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oter419.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418.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379.xml" ContentType="application/vnd.openxmlformats-officedocument.wordprocessingml.footer+xml"/>
  <Override PartName="/word/footer417.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378.xml" ContentType="application/vnd.openxmlformats-officedocument.wordprocessingml.footer+xml"/>
  <Override PartName="/word/footer416.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409.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408.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369.xml" ContentType="application/vnd.openxmlformats-officedocument.wordprocessingml.footer+xml"/>
  <Override PartName="/word/footer407.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368.xml" ContentType="application/vnd.openxmlformats-officedocument.wordprocessingml.footer+xml"/>
  <Override PartName="/word/footer406.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54.xml" ContentType="application/vnd.openxmlformats-officedocument.wordprocessingml.footer+xml"/>
  <Override PartName="/word/footer234.xml" ContentType="application/vnd.openxmlformats-officedocument.wordprocessingml.footer+xml"/>
  <Override PartName="/word/footer196.xml" ContentType="application/vnd.openxmlformats-officedocument.wordprocessingml.footer+xml"/>
  <Override PartName="/word/footer53.xml" ContentType="application/vnd.openxmlformats-officedocument.wordprocessingml.footer+xml"/>
  <Override PartName="/word/footer233.xml" ContentType="application/vnd.openxmlformats-officedocument.wordprocessingml.footer+xml"/>
  <Override PartName="/word/footer195.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194.xml" ContentType="application/vnd.openxmlformats-officedocument.wordprocessingml.footer+xml"/>
  <Override PartName="/word/footer51.xml" ContentType="application/vnd.openxmlformats-officedocument.wordprocessingml.footer+xml"/>
  <Override PartName="/word/footer231.xml" ContentType="application/vnd.openxmlformats-officedocument.wordprocessingml.footer+xml"/>
  <Override PartName="/word/footer193.xml" ContentType="application/vnd.openxmlformats-officedocument.wordprocessingml.footer+xml"/>
  <Override PartName="/word/footer50.xml" ContentType="application/vnd.openxmlformats-officedocument.wordprocessingml.footer+xml"/>
  <Override PartName="/word/footer359.xml" ContentType="application/vnd.openxmlformats-officedocument.wordprocessingml.footer+xml"/>
  <Override PartName="/word/footer230.xml" ContentType="application/vnd.openxmlformats-officedocument.wordprocessingml.footer+xml"/>
  <Override PartName="/word/footer192.xml" ContentType="application/vnd.openxmlformats-officedocument.wordprocessingml.footer+xml"/>
  <Override PartName="/word/footer358.xml" ContentType="application/vnd.openxmlformats-officedocument.wordprocessingml.footer+xml"/>
  <Override PartName="/word/footer225.xml" ContentType="application/vnd.openxmlformats-officedocument.wordprocessingml.footer+xml"/>
  <Override PartName="/word/footer44.xml" ContentType="application/vnd.openxmlformats-officedocument.wordprocessingml.footer+xml"/>
  <Override PartName="/word/footer187.xml" ContentType="application/vnd.openxmlformats-officedocument.wordprocessingml.footer+xml"/>
  <Override PartName="/word/footer224.xml" ContentType="application/vnd.openxmlformats-officedocument.wordprocessingml.footer+xml"/>
  <Override PartName="/word/footer43.xml" ContentType="application/vnd.openxmlformats-officedocument.wordprocessingml.footer+xml"/>
  <Override PartName="/word/footer186.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3.xml" ContentType="application/vnd.openxmlformats-officedocument.wordprocessingml.footer+xml"/>
  <Override PartName="/word/footer42.xml" ContentType="application/vnd.openxmlformats-officedocument.wordprocessingml.footer+xml"/>
  <Override PartName="/word/footer185.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184.xml" ContentType="application/vnd.openxmlformats-officedocument.wordprocessingml.footer+xml"/>
  <Override PartName="/word/footer221.xml" ContentType="application/vnd.openxmlformats-officedocument.wordprocessingml.footer+xml"/>
  <Override PartName="/word/footer40.xml" ContentType="application/vnd.openxmlformats-officedocument.wordprocessingml.footer+xml"/>
  <Override PartName="/word/footer183.xml" ContentType="application/vnd.openxmlformats-officedocument.wordprocessingml.footer+xml"/>
  <Override PartName="/word/footer349.xml" ContentType="application/vnd.openxmlformats-officedocument.wordprocessingml.footer+xml"/>
  <Override PartName="/word/footer220.xml" ContentType="application/vnd.openxmlformats-officedocument.wordprocessingml.footer+xml"/>
  <Override PartName="/word/footer182.xml" ContentType="application/vnd.openxmlformats-officedocument.wordprocessingml.footer+xml"/>
  <Override PartName="/word/footer348.xml" ContentType="application/vnd.openxmlformats-officedocument.wordprocessingml.footer+xml"/>
  <Override PartName="/word/footer215.xml" ContentType="application/vnd.openxmlformats-officedocument.wordprocessingml.footer+xml"/>
  <Override PartName="/word/footer177.xml" ContentType="application/vnd.openxmlformats-officedocument.wordprocessingml.footer+xml"/>
  <Override PartName="/word/footer34.xml" ContentType="application/vnd.openxmlformats-officedocument.wordprocessingml.footer+xml"/>
  <Override PartName="/word/footer214.xml" ContentType="application/vnd.openxmlformats-officedocument.wordprocessingml.footer+xml"/>
  <Override PartName="/word/footer176.xml" ContentType="application/vnd.openxmlformats-officedocument.wordprocessingml.footer+xml"/>
  <Override PartName="/word/footer33.xml" ContentType="application/vnd.openxmlformats-officedocument.wordprocessingml.footer+xml"/>
  <Override PartName="/word/footer213.xml" ContentType="application/vnd.openxmlformats-officedocument.wordprocessingml.footer+xml"/>
  <Override PartName="/word/footer175.xml" ContentType="application/vnd.openxmlformats-officedocument.wordprocessingml.footer+xml"/>
  <Override PartName="/word/footer32.xml" ContentType="application/vnd.openxmlformats-officedocument.wordprocessingml.footer+xml"/>
  <Override PartName="/word/footer212.xml" ContentType="application/vnd.openxmlformats-officedocument.wordprocessingml.footer+xml"/>
  <Override PartName="/word/footer174.xml" ContentType="application/vnd.openxmlformats-officedocument.wordprocessingml.footer+xml"/>
  <Override PartName="/word/footer31.xml" ContentType="application/vnd.openxmlformats-officedocument.wordprocessingml.footer+xml"/>
  <Override PartName="/word/footer211.xml" ContentType="application/vnd.openxmlformats-officedocument.wordprocessingml.footer+xml"/>
  <Override PartName="/word/footer173.xml" ContentType="application/vnd.openxmlformats-officedocument.wordprocessingml.footer+xml"/>
  <Override PartName="/word/footer30.xml" ContentType="application/vnd.openxmlformats-officedocument.wordprocessingml.footer+xml"/>
  <Override PartName="/word/footer9.xml" ContentType="application/vnd.openxmlformats-officedocument.wordprocessingml.footer+xml"/>
  <Override PartName="/word/footer339.xml" ContentType="application/vnd.openxmlformats-officedocument.wordprocessingml.footer+xml"/>
  <Override PartName="/word/footer210.xml" ContentType="application/vnd.openxmlformats-officedocument.wordprocessingml.footer+xml"/>
  <Override PartName="/word/footer172.xml" ContentType="application/vnd.openxmlformats-officedocument.wordprocessingml.footer+xml"/>
  <Override PartName="/word/footer8.xml" ContentType="application/vnd.openxmlformats-officedocument.wordprocessingml.footer+xml"/>
  <Override PartName="/word/footer338.xml" ContentType="application/vnd.openxmlformats-officedocument.wordprocessingml.footer+xml"/>
  <Override PartName="/word/footer205.xml" ContentType="application/vnd.openxmlformats-officedocument.wordprocessingml.footer+xml"/>
  <Override PartName="/word/footer167.xml" ContentType="application/vnd.openxmlformats-officedocument.wordprocessingml.footer+xml"/>
  <Override PartName="/word/footer24.xml" ContentType="application/vnd.openxmlformats-officedocument.wordprocessingml.footer+xml"/>
  <Override PartName="/word/footer204.xml" ContentType="application/vnd.openxmlformats-officedocument.wordprocessingml.footer+xml"/>
  <Override PartName="/word/footer166.xml" ContentType="application/vnd.openxmlformats-officedocument.wordprocessingml.footer+xml"/>
  <Override PartName="/word/footer23.xml" ContentType="application/vnd.openxmlformats-officedocument.wordprocessingml.footer+xml"/>
  <Override PartName="/word/footer203.xml" ContentType="application/vnd.openxmlformats-officedocument.wordprocessingml.footer+xml"/>
  <Override PartName="/word/footer165.xml" ContentType="application/vnd.openxmlformats-officedocument.wordprocessingml.footer+xml"/>
  <Override PartName="/word/footer22.xml" ContentType="application/vnd.openxmlformats-officedocument.wordprocessingml.footer+xml"/>
  <Override PartName="/word/footer202.xml" ContentType="application/vnd.openxmlformats-officedocument.wordprocessingml.footer+xml"/>
  <Override PartName="/word/footer164.xml" ContentType="application/vnd.openxmlformats-officedocument.wordprocessingml.footer+xml"/>
  <Override PartName="/word/footer21.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Override PartName="/word/footer20.xml" ContentType="application/vnd.openxmlformats-officedocument.wordprocessingml.footer+xml"/>
  <Override PartName="/word/footer329.xml" ContentType="application/vnd.openxmlformats-officedocument.wordprocessingml.footer+xml"/>
  <Override PartName="/word/footer199.xml" ContentType="application/vnd.openxmlformats-officedocument.wordprocessingml.footer+xml"/>
  <Override PartName="/word/footer56.xml" ContentType="application/vnd.openxmlformats-officedocument.wordprocessingml.footer+xml"/>
  <Override PartName="/word/footer237.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328.xml" ContentType="application/vnd.openxmlformats-officedocument.wordprocessingml.footer+xml"/>
  <Override PartName="/word/footer198.xml" ContentType="application/vnd.openxmlformats-officedocument.wordprocessingml.footer+xml"/>
  <Override PartName="/word/footer55.xml" ContentType="application/vnd.openxmlformats-officedocument.wordprocessingml.footer+xml"/>
  <Override PartName="/word/footer236.xml" ContentType="application/vnd.openxmlformats-officedocument.wordprocessingml.footer+xml"/>
  <Override PartName="/word/footer191.xml" ContentType="application/vnd.openxmlformats-officedocument.wordprocessingml.footer+xml"/>
  <Override PartName="/word/footer357.xml" ContentType="application/vnd.openxmlformats-officedocument.wordprocessingml.footer+xml"/>
  <Override PartName="/word/footer190.xml" ContentType="application/vnd.openxmlformats-officedocument.wordprocessingml.footer+xml"/>
  <Override PartName="/word/footer356.xml" ContentType="application/vnd.openxmlformats-officedocument.wordprocessingml.footer+xml"/>
  <Override PartName="/word/footer181.xml" ContentType="application/vnd.openxmlformats-officedocument.wordprocessingml.footer+xml"/>
  <Override PartName="/word/footer347.xml" ContentType="application/vnd.openxmlformats-officedocument.wordprocessingml.footer+xml"/>
  <Override PartName="/word/footer180.xml" ContentType="application/vnd.openxmlformats-officedocument.wordprocessingml.footer+xml"/>
  <Override PartName="/word/footer346.xml" ContentType="application/vnd.openxmlformats-officedocument.wordprocessingml.footer+xml"/>
  <Override PartName="/word/footer179.xml" ContentType="application/vnd.openxmlformats-officedocument.wordprocessingml.footer+xml"/>
  <Override PartName="/word/footer217.xml" ContentType="application/vnd.openxmlformats-officedocument.wordprocessingml.footer+xml"/>
  <Override PartName="/word/footer36.xml" ContentType="application/vnd.openxmlformats-officedocument.wordprocessingml.footer+xml"/>
  <Override PartName="/word/footer178.xml" ContentType="application/vnd.openxmlformats-officedocument.wordprocessingml.footer+xml"/>
  <Override PartName="/word/footer216.xml" ContentType="application/vnd.openxmlformats-officedocument.wordprocessingml.footer+xml"/>
  <Override PartName="/word/footer35.xml" ContentType="application/vnd.openxmlformats-officedocument.wordprocessingml.footer+xml"/>
  <Override PartName="/word/footer171.xml" ContentType="application/vnd.openxmlformats-officedocument.wordprocessingml.footer+xml"/>
  <Override PartName="/word/footer7.xml" ContentType="application/vnd.openxmlformats-officedocument.wordprocessingml.footer+xml"/>
  <Override PartName="/word/footer337.xml" ContentType="application/vnd.openxmlformats-officedocument.wordprocessingml.footer+xml"/>
  <Override PartName="/word/footer170.xml" ContentType="application/vnd.openxmlformats-officedocument.wordprocessingml.footer+xml"/>
  <Override PartName="/word/footer6.xml" ContentType="application/vnd.openxmlformats-officedocument.wordprocessingml.footer+xml"/>
  <Override PartName="/word/footer336.xml" ContentType="application/vnd.openxmlformats-officedocument.wordprocessingml.footer+xml"/>
  <Override PartName="/word/footer169.xml" ContentType="application/vnd.openxmlformats-officedocument.wordprocessingml.footer+xml"/>
  <Override PartName="/word/footer207.xml" ContentType="application/vnd.openxmlformats-officedocument.wordprocessingml.footer+xml"/>
  <Override PartName="/word/footer26.xml" ContentType="application/vnd.openxmlformats-officedocument.wordprocessingml.footer+xml"/>
  <Override PartName="/word/footer168.xml" ContentType="application/vnd.openxmlformats-officedocument.wordprocessingml.footer+xml"/>
  <Override PartName="/word/footer206.xml" ContentType="application/vnd.openxmlformats-officedocument.wordprocessingml.footer+xml"/>
  <Override PartName="/word/footer25.xml" ContentType="application/vnd.openxmlformats-officedocument.wordprocessingml.footer+xml"/>
  <Override PartName="/word/footer161.xml" ContentType="application/vnd.openxmlformats-officedocument.wordprocessingml.footer+xml"/>
  <Override PartName="/word/footer327.xml" ContentType="application/vnd.openxmlformats-officedocument.wordprocessingml.footer+xml"/>
  <Override PartName="/word/footer160.xml" ContentType="application/vnd.openxmlformats-officedocument.wordprocessingml.footer+xml"/>
  <Override PartName="/word/footer326.xml" ContentType="application/vnd.openxmlformats-officedocument.wordprocessingml.footer+xml"/>
  <Override PartName="/word/footer159.xml" ContentType="application/vnd.openxmlformats-officedocument.wordprocessingml.footer+xml"/>
  <Override PartName="/word/footer16.xml" ContentType="application/vnd.openxmlformats-officedocument.wordprocessingml.footer+xml"/>
  <Override PartName="/word/footer158.xml" ContentType="application/vnd.openxmlformats-officedocument.wordprocessingml.footer+xml"/>
  <Override PartName="/word/media/image1.png" ContentType="image/png"/>
  <Override PartName="/word/media/image2.jpeg" ContentType="image/jpeg"/>
  <Override PartName="/word/footer15.xml" ContentType="application/vnd.openxmlformats-officedocument.wordprocessingml.footer+xml"/>
  <Override PartName="/word/footer157.xml" ContentType="application/vnd.openxmlformats-officedocument.wordprocessingml.footer+xml"/>
  <Override PartName="/word/footer14.xml" ContentType="application/vnd.openxmlformats-officedocument.wordprocessingml.footer+xml"/>
  <Override PartName="/word/footer156.xml" ContentType="application/vnd.openxmlformats-officedocument.wordprocessingml.footer+xml"/>
  <Override PartName="/word/footer13.xml" ContentType="application/vnd.openxmlformats-officedocument.wordprocessingml.footer+xml"/>
  <Override PartName="/word/footer155.xml" ContentType="application/vnd.openxmlformats-officedocument.wordprocessingml.footer+xml"/>
  <Override PartName="/word/footer12.xml" ContentType="application/vnd.openxmlformats-officedocument.wordprocessingml.footer+xml"/>
  <Override PartName="/word/footer154.xml" ContentType="application/vnd.openxmlformats-officedocument.wordprocessingml.footer+xml"/>
  <Override PartName="/word/footer11.xml" ContentType="application/vnd.openxmlformats-officedocument.wordprocessingml.footer+xml"/>
  <Override PartName="/word/footer153.xml" ContentType="application/vnd.openxmlformats-officedocument.wordprocessingml.footer+xml"/>
  <Override PartName="/word/footer10.xml" ContentType="application/vnd.openxmlformats-officedocument.wordprocessingml.footer+xml"/>
  <Override PartName="/word/footer319.xml" ContentType="application/vnd.openxmlformats-officedocument.wordprocessingml.footer+xml"/>
  <Override PartName="/word/footer152.xml" ContentType="application/vnd.openxmlformats-officedocument.wordprocessingml.footer+xml"/>
  <Override PartName="/word/footer318.xml" ContentType="application/vnd.openxmlformats-officedocument.wordprocessingml.footer+xml"/>
  <Override PartName="/word/settings.xml" ContentType="application/vnd.openxmlformats-officedocument.wordprocessingml.settings+xml"/>
  <Override PartName="/word/footer151.xml" ContentType="application/vnd.openxmlformats-officedocument.wordprocessingml.footer+xml"/>
  <Override PartName="/word/footer317.xml" ContentType="application/vnd.openxmlformats-officedocument.wordprocessingml.footer+xml"/>
  <Override PartName="/word/footer150.xml" ContentType="application/vnd.openxmlformats-officedocument.wordprocessingml.footer+xml"/>
  <Override PartName="/word/footer316.xml" ContentType="application/vnd.openxmlformats-officedocument.wordprocessingml.footer+xml"/>
  <Override PartName="/word/footer149.xml" ContentType="application/vnd.openxmlformats-officedocument.wordprocessingml.footer+xml"/>
  <Override PartName="/word/footer148.xml" ContentType="application/vnd.openxmlformats-officedocument.wordprocessingml.footer+xml"/>
  <Override PartName="/word/footer147.xml" ContentType="application/vnd.openxmlformats-officedocument.wordprocessingml.footer+xml"/>
  <Override PartName="/word/footer146.xml" ContentType="application/vnd.openxmlformats-officedocument.wordprocessingml.footer+xml"/>
  <Override PartName="/word/footer145.xml" ContentType="application/vnd.openxmlformats-officedocument.wordprocessingml.footer+xml"/>
  <Override PartName="/word/footer144.xml" ContentType="application/vnd.openxmlformats-officedocument.wordprocessingml.footer+xml"/>
  <Override PartName="/word/footer143.xml" ContentType="application/vnd.openxmlformats-officedocument.wordprocessingml.footer+xml"/>
  <Override PartName="/word/footer309.xml" ContentType="application/vnd.openxmlformats-officedocument.wordprocessingml.footer+xml"/>
  <Override PartName="/word/footer142.xml" ContentType="application/vnd.openxmlformats-officedocument.wordprocessingml.footer+xml"/>
  <Override PartName="/word/footer308.xml" ContentType="application/vnd.openxmlformats-officedocument.wordprocessingml.footer+xml"/>
  <Override PartName="/word/footer141.xml" ContentType="application/vnd.openxmlformats-officedocument.wordprocessingml.footer+xml"/>
  <Override PartName="/word/footer307.xml" ContentType="application/vnd.openxmlformats-officedocument.wordprocessingml.footer+xml"/>
  <Override PartName="/word/footer140.xml" ContentType="application/vnd.openxmlformats-officedocument.wordprocessingml.footer+xml"/>
  <Override PartName="/word/footer306.xml" ContentType="application/vnd.openxmlformats-officedocument.wordprocessingml.footer+xml"/>
  <Override PartName="/word/footer139.xml" ContentType="application/vnd.openxmlformats-officedocument.wordprocessingml.footer+xml"/>
  <Override PartName="/word/footer138.xml" ContentType="application/vnd.openxmlformats-officedocument.wordprocessingml.footer+xml"/>
  <Override PartName="/word/footer137.xml" ContentType="application/vnd.openxmlformats-officedocument.wordprocessingml.footer+xml"/>
  <Override PartName="/word/footer136.xml" ContentType="application/vnd.openxmlformats-officedocument.wordprocessingml.footer+xml"/>
  <Override PartName="/word/footer135.xml" ContentType="application/vnd.openxmlformats-officedocument.wordprocessingml.footer+xml"/>
  <Override PartName="/word/footnotes.xml" ContentType="application/vnd.openxmlformats-officedocument.wordprocessingml.footnotes+xml"/>
  <Override PartName="/word/footer134.xml" ContentType="application/vnd.openxmlformats-officedocument.wordprocessingml.footer+xml"/>
  <Override PartName="/word/footer133.xml" ContentType="application/vnd.openxmlformats-officedocument.wordprocessingml.footer+xml"/>
  <Override PartName="/word/footer132.xml" ContentType="application/vnd.openxmlformats-officedocument.wordprocessingml.footer+xml"/>
  <Override PartName="/word/footer131.xml" ContentType="application/vnd.openxmlformats-officedocument.wordprocessingml.footer+xml"/>
  <Override PartName="/word/footer130.xml" ContentType="application/vnd.openxmlformats-officedocument.wordprocessingml.footer+xml"/>
  <Override PartName="/word/footer129.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128.xml" ContentType="application/vnd.openxmlformats-officedocument.wordprocessingml.footer+xml"/>
  <Override PartName="/word/footer84.xml" ContentType="application/vnd.openxmlformats-officedocument.wordprocessingml.footer+xml"/>
  <Override PartName="/word/footer265.xml" ContentType="application/vnd.openxmlformats-officedocument.wordprocessingml.footer+xml"/>
  <Override PartName="/word/footer127.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6.xml" ContentType="application/vnd.openxmlformats-officedocument.wordprocessingml.footer+xml"/>
  <Override PartName="/word/footer82.xml" ContentType="application/vnd.openxmlformats-officedocument.wordprocessingml.footer+xml"/>
  <Override PartName="/word/footer263.xml" ContentType="application/vnd.openxmlformats-officedocument.wordprocessingml.footer+xml"/>
  <Override PartName="/word/footer429.xml" ContentType="application/vnd.openxmlformats-officedocument.wordprocessingml.footer+xml"/>
  <Override PartName="/word/footer219.xml" ContentType="application/vnd.openxmlformats-officedocument.wordprocessingml.footer+xml"/>
  <Override PartName="/word/footer38.xml" ContentType="application/vnd.openxmlformats-officedocument.wordprocessingml.footer+xml"/>
  <Override PartName="/word/footer218.xml" ContentType="application/vnd.openxmlformats-officedocument.wordprocessingml.footer+xml"/>
  <Override PartName="/word/footer37.xml" ContentType="application/vnd.openxmlformats-officedocument.wordprocessingml.footer+xml"/>
  <Override PartName="/word/footer209.xml" ContentType="application/vnd.openxmlformats-officedocument.wordprocessingml.footer+xml"/>
  <Override PartName="/word/footer28.xml" ContentType="application/vnd.openxmlformats-officedocument.wordprocessingml.footer+xml"/>
  <Override PartName="/word/footer463.xml" ContentType="application/vnd.openxmlformats-officedocument.wordprocessingml.footer+xml"/>
  <Override PartName="/word/footer280.xml" ContentType="application/vnd.openxmlformats-officedocument.wordprocessingml.footer+xml"/>
  <Override PartName="/word/footer446.xml" ContentType="application/vnd.openxmlformats-officedocument.wordprocessingml.footer+xml"/>
  <Override PartName="/word/footer281.xml" ContentType="application/vnd.openxmlformats-officedocument.wordprocessingml.footer+xml"/>
  <Override PartName="/word/footer447.xml" ContentType="application/vnd.openxmlformats-officedocument.wordprocessingml.footer+xml"/>
  <Override PartName="/word/footer282.xml" ContentType="application/vnd.openxmlformats-officedocument.wordprocessingml.footer+xml"/>
  <Override PartName="/word/footer448.xml" ContentType="application/vnd.openxmlformats-officedocument.wordprocessingml.footer+xml"/>
  <Override PartName="/word/footer283.xml" ContentType="application/vnd.openxmlformats-officedocument.wordprocessingml.footer+xml"/>
  <Override PartName="/word/footer449.xml" ContentType="application/vnd.openxmlformats-officedocument.wordprocessingml.footer+xml"/>
  <Override PartName="/word/footer284.xml" ContentType="application/vnd.openxmlformats-officedocument.wordprocessingml.footer+xml"/>
  <Override PartName="/word/footer285.xml" ContentType="application/vnd.openxmlformats-officedocument.wordprocessingml.footer+xml"/>
  <Override PartName="/word/footer286.xml" ContentType="application/vnd.openxmlformats-officedocument.wordprocessingml.footer+xml"/>
  <Override PartName="/word/footer287.xml" ContentType="application/vnd.openxmlformats-officedocument.wordprocessingml.footer+xml"/>
  <Override PartName="/word/footer288.xml" ContentType="application/vnd.openxmlformats-officedocument.wordprocessingml.footer+xml"/>
  <Override PartName="/word/footer289.xml" ContentType="application/vnd.openxmlformats-officedocument.wordprocessingml.footer+xml"/>
  <Override PartName="/word/footer270.xml" ContentType="application/vnd.openxmlformats-officedocument.wordprocessingml.footer+xml"/>
  <Override PartName="/word/footer436.xml" ContentType="application/vnd.openxmlformats-officedocument.wordprocessingml.footer+xml"/>
  <Override PartName="/word/footer398.xml" ContentType="application/vnd.openxmlformats-officedocument.wordprocessingml.footer+xml"/>
  <Override PartName="/word/footer293.xml" ContentType="application/vnd.openxmlformats-officedocument.wordprocessingml.footer+xml"/>
  <Override PartName="/word/footer459.xml" ContentType="application/vnd.openxmlformats-officedocument.wordprocessingml.footer+xml"/>
  <Override PartName="/word/footer294.xml" ContentType="application/vnd.openxmlformats-officedocument.wordprocessingml.footer+xml"/>
  <Override PartName="/word/footer295.xml" ContentType="application/vnd.openxmlformats-officedocument.wordprocessingml.footer+xml"/>
  <Override PartName="/word/footer296.xml" ContentType="application/vnd.openxmlformats-officedocument.wordprocessingml.footer+xml"/>
  <Override PartName="/word/footer297.xml" ContentType="application/vnd.openxmlformats-officedocument.wordprocessingml.footer+xml"/>
  <Override PartName="/word/footer298.xml" ContentType="application/vnd.openxmlformats-officedocument.wordprocessingml.footer+xml"/>
  <Override PartName="/word/footer299.xml" ContentType="application/vnd.openxmlformats-officedocument.wordprocessingml.footer+xml"/>
  <Override PartName="/word/footer300.xml" ContentType="application/vnd.openxmlformats-officedocument.wordprocessingml.footer+xml"/>
  <Override PartName="/word/footer301.xml" ContentType="application/vnd.openxmlformats-officedocument.wordprocessingml.footer+xml"/>
  <Override PartName="/word/footer302.xml" ContentType="application/vnd.openxmlformats-officedocument.wordprocessingml.footer+xml"/>
  <Override PartName="/word/footer370.xml" ContentType="application/vnd.openxmlformats-officedocument.wordprocessingml.footer+xml"/>
  <Override PartName="/word/footer303.xml" ContentType="application/vnd.openxmlformats-officedocument.wordprocessingml.footer+xml"/>
  <Override PartName="/word/numbering.xml" ContentType="application/vnd.openxmlformats-officedocument.wordprocessingml.numbering+xml"/>
  <Override PartName="/word/footer371.xml" ContentType="application/vnd.openxmlformats-officedocument.wordprocessingml.footer+xml"/>
  <Override PartName="/word/footer304.xml" ContentType="application/vnd.openxmlformats-officedocument.wordprocessingml.footer+xml"/>
  <Override PartName="/word/document.xml" ContentType="application/vnd.openxmlformats-officedocument.wordprocessingml.document.main+xml"/>
  <Override PartName="/word/footer310.xml" ContentType="application/vnd.openxmlformats-officedocument.wordprocessingml.footer+xml"/>
  <Override PartName="/word/footer311.xml" ContentType="application/vnd.openxmlformats-officedocument.wordprocessingml.footer+xml"/>
  <Override PartName="/word/footer312.xml" ContentType="application/vnd.openxmlformats-officedocument.wordprocessingml.footer+xml"/>
  <Override PartName="/word/footer380.xml" ContentType="application/vnd.openxmlformats-officedocument.wordprocessingml.footer+xml"/>
  <Override PartName="/word/footer313.xml" ContentType="application/vnd.openxmlformats-officedocument.wordprocessingml.footer+xml"/>
  <Override PartName="/word/footer381.xml" ContentType="application/vnd.openxmlformats-officedocument.wordprocessingml.footer+xml"/>
  <Override PartName="/word/footer314.xml" ContentType="application/vnd.openxmlformats-officedocument.wordprocessingml.footer+xml"/>
  <Override PartName="/word/footer320.xml" ContentType="application/vnd.openxmlformats-officedocument.wordprocessingml.footer+xml"/>
  <Override PartName="/word/footer321.xml" ContentType="application/vnd.openxmlformats-officedocument.wordprocessingml.footer+xml"/>
  <Override PartName="/word/footer322.xml" ContentType="application/vnd.openxmlformats-officedocument.wordprocessingml.footer+xml"/>
  <Override PartName="/word/footer390.xml" ContentType="application/vnd.openxmlformats-officedocument.wordprocessingml.footer+xml"/>
  <Override PartName="/word/footer323.xml" ContentType="application/vnd.openxmlformats-officedocument.wordprocessingml.footer+xml"/>
  <Override PartName="/word/footer391.xml" ContentType="application/vnd.openxmlformats-officedocument.wordprocessingml.footer+xml"/>
  <Override PartName="/word/footer324.xml" ContentType="application/vnd.openxmlformats-officedocument.wordprocessingml.footer+xml"/>
  <Override PartName="/word/footer330.xml" ContentType="application/vnd.openxmlformats-officedocument.wordprocessingml.footer+xml"/>
  <Override PartName="/word/footer340.xml" ContentType="application/vnd.openxmlformats-officedocument.wordprocessingml.footer+xml"/>
  <Override PartName="/word/footer341.xml" ContentType="application/vnd.openxmlformats-officedocument.wordprocessingml.footer+xml"/>
  <Override PartName="/word/footer342.xml" ContentType="application/vnd.openxmlformats-officedocument.wordprocessingml.footer+xml"/>
  <Override PartName="/word/footer343.xml" ContentType="application/vnd.openxmlformats-officedocument.wordprocessingml.footer+xml"/>
  <Override PartName="/word/footer344.xml" ContentType="application/vnd.openxmlformats-officedocument.wordprocessingml.footer+xml"/>
  <Override PartName="/word/footer345.xml" ContentType="application/vnd.openxmlformats-officedocument.wordprocessingml.footer+xml"/>
  <Override PartName="/word/footer350.xml" ContentType="application/vnd.openxmlformats-officedocument.wordprocessingml.footer+xml"/>
  <Override PartName="/word/footer351.xml" ContentType="application/vnd.openxmlformats-officedocument.wordprocessingml.footer+xml"/>
  <Override PartName="/word/footer352.xml" ContentType="application/vnd.openxmlformats-officedocument.wordprocessingml.footer+xml"/>
  <Override PartName="/word/footer354.xml" ContentType="application/vnd.openxmlformats-officedocument.wordprocessingml.footer+xml"/>
  <Override PartName="/word/footer59.xml" ContentType="application/vnd.openxmlformats-officedocument.wordprocessingml.footer+xml"/>
  <Override PartName="/word/footer325.xml" ContentType="application/vnd.openxmlformats-officedocument.wordprocessingml.footer+xml"/>
  <Override PartName="/word/footer431.xml" ContentType="application/vnd.openxmlformats-officedocument.wordprocessingml.footer+xml"/>
  <Override PartName="/word/footer393.xml" ContentType="application/vnd.openxmlformats-officedocument.wordprocessingml.footer+xml"/>
  <Override PartName="/word/footer457.xml" ContentType="application/vnd.openxmlformats-officedocument.wordprocessingml.footer+xml"/>
  <Override PartName="/word/footer291.xml" ContentType="application/vnd.openxmlformats-officedocument.wordprocessingml.footer+xml"/>
  <Override PartName="/word/footer396.xml" ContentType="application/vnd.openxmlformats-officedocument.wordprocessingml.footer+xml"/>
  <Override PartName="/word/footer434.xml" ContentType="application/vnd.openxmlformats-officedocument.wordprocessingml.footer+xml"/>
  <Override PartName="/word/footer458.xml" ContentType="application/vnd.openxmlformats-officedocument.wordprocessingml.footer+xml"/>
  <Override PartName="/word/footer292.xml" ContentType="application/vnd.openxmlformats-officedocument.wordprocessingml.footer+xml"/>
  <Override PartName="/word/footer360.xml" ContentType="application/vnd.openxmlformats-officedocument.wordprocessingml.footer+xml"/>
  <Override PartName="/word/footer397.xml" ContentType="application/vnd.openxmlformats-officedocument.wordprocessingml.footer+xml"/>
  <Override PartName="/word/footer435.xml" ContentType="application/vnd.openxmlformats-officedocument.wordprocessingml.footer+xml"/>
  <Override PartName="/word/footer440.xml" ContentType="application/vnd.openxmlformats-officedocument.wordprocessingml.footer+xml"/>
  <Override PartName="/word/footer355.xml" ContentType="application/vnd.openxmlformats-officedocument.wordprocessingml.footer+xml"/>
  <Override PartName="/word/footer441.xml" ContentType="application/vnd.openxmlformats-officedocument.wordprocessingml.footer+xml"/>
  <Override PartName="/word/footer443.xml" ContentType="application/vnd.openxmlformats-officedocument.wordprocessingml.footer+xml"/>
  <Override PartName="/word/footer444.xml" ContentType="application/vnd.openxmlformats-officedocument.wordprocessingml.footer+xml"/>
  <Override PartName="/word/footer353.xml" ContentType="application/vnd.openxmlformats-officedocument.wordprocessingml.footer+xml"/>
  <Override PartName="/word/footer445.xml" ContentType="application/vnd.openxmlformats-officedocument.wordprocessingml.footer+xml"/>
  <Override PartName="/word/footer450.xml" ContentType="application/vnd.openxmlformats-officedocument.wordprocessingml.footer+xml"/>
  <Override PartName="/word/footer442.xml" ContentType="application/vnd.openxmlformats-officedocument.wordprocessingml.footer+xml"/>
  <Override PartName="/word/theme/theme1.xml" ContentType="application/vnd.openxmlformats-officedocument.theme+xml"/>
  <Override PartName="/word/footer433.xml" ContentType="application/vnd.openxmlformats-officedocument.wordprocessingml.footer+xml"/>
  <Override PartName="/word/footer395.xml" ContentType="application/vnd.openxmlformats-officedocument.wordprocessingml.footer+xml"/>
  <Override PartName="/word/footer465.xml" ContentType="application/vnd.openxmlformats-officedocument.wordprocessingml.footer+xml"/>
  <Override PartName="/word/footer453.xml" ContentType="application/vnd.openxmlformats-officedocument.wordprocessingml.footer+xml"/>
  <Override PartName="/word/footer464.xml" ContentType="application/vnd.openxmlformats-officedocument.wordprocessingml.footer+xml"/>
  <Override PartName="/word/footer452.xml" ContentType="application/vnd.openxmlformats-officedocument.wordprocessingml.footer+xml"/>
  <Override PartName="/word/footer451.xml" ContentType="application/vnd.openxmlformats-officedocument.wordprocessingml.footer+xml"/>
  <Override PartName="/word/footer462.xml" ContentType="application/vnd.openxmlformats-officedocument.wordprocessingml.footer+xml"/>
  <Override PartName="/word/footer405.xml" ContentType="application/vnd.openxmlformats-officedocument.wordprocessingml.footer+xml"/>
  <Override PartName="/word/footer102.xml" ContentType="application/vnd.openxmlformats-officedocument.wordprocessingml.footer+xml"/>
  <Override PartName="/word/footer367.xml" ContentType="application/vnd.openxmlformats-officedocument.wordprocessingml.footer+xml"/>
  <Override PartName="/word/footer461.xml" ContentType="application/vnd.openxmlformats-officedocument.wordprocessingml.footer+xml"/>
  <Override PartName="/word/footer404.xml" ContentType="application/vnd.openxmlformats-officedocument.wordprocessingml.footer+xml"/>
  <Override PartName="/word/footer101.xml" ContentType="application/vnd.openxmlformats-officedocument.wordprocessingml.footer+xml"/>
  <Override PartName="/word/footer366.xml" ContentType="application/vnd.openxmlformats-officedocument.wordprocessingml.footer+xml"/>
  <Override PartName="/word/footer460.xml" ContentType="application/vnd.openxmlformats-officedocument.wordprocessingml.footer+xml"/>
  <Override PartName="/word/footer456.xml" ContentType="application/vnd.openxmlformats-officedocument.wordprocessingml.footer+xml"/>
  <Override PartName="/word/footer290.xml" ContentType="application/vnd.openxmlformats-officedocument.wordprocessingml.footer+xml"/>
  <Override PartName="/word/footer455.xml" ContentType="application/vnd.openxmlformats-officedocument.wordprocessingml.footer+xml"/>
  <Override PartName="/word/footer432.xml" ContentType="application/vnd.openxmlformats-officedocument.wordprocessingml.footer+xml"/>
  <Override PartName="/word/footer394.xml" ContentType="application/vnd.openxmlformats-officedocument.wordprocessingml.footer+xml"/>
  <Override PartName="/word/footer454.xml" ContentType="application/vnd.openxmlformats-officedocument.wordprocessingml.footer+xml"/>
  <Override PartName="/word/footer392.xml" ContentType="application/vnd.openxmlformats-officedocument.wordprocessingml.footer+xml"/>
  <Override PartName="/word/footer430.xml" ContentType="application/vnd.openxmlformats-officedocument.wordprocessingml.footer+xml"/>
  <Override PartName="/word/footer422.xml" ContentType="application/vnd.openxmlformats-officedocument.wordprocessingml.footer+xml"/>
  <Override PartName="/word/footer384.xml" ContentType="application/vnd.openxmlformats-officedocument.wordprocessingml.footer+xml"/>
  <Override PartName="/word/footer382.xml" ContentType="application/vnd.openxmlformats-officedocument.wordprocessingml.footer+xml"/>
  <Override PartName="/word/footer420.xml" ContentType="application/vnd.openxmlformats-officedocument.wordprocessingml.footer+xml"/>
  <Override PartName="/word/footer315.xml" ContentType="application/vnd.openxmlformats-officedocument.wordprocessingml.footer+xml"/>
  <Override PartName="/word/footer421.xml" ContentType="application/vnd.openxmlformats-officedocument.wordprocessingml.footer+xml"/>
  <Override PartName="/word/footer383.xml" ContentType="application/vnd.openxmlformats-officedocument.wordprocessingml.footer+xml"/>
  <Override PartName="/word/footer412.xml" ContentType="application/vnd.openxmlformats-officedocument.wordprocessingml.footer+xml"/>
  <Override PartName="/word/footer374.xml" ContentType="application/vnd.openxmlformats-officedocument.wordprocessingml.footer+xml"/>
  <Override PartName="/word/footer411.xml" ContentType="application/vnd.openxmlformats-officedocument.wordprocessingml.footer+xml"/>
  <Override PartName="/word/footer373.xml" ContentType="application/vnd.openxmlformats-officedocument.wordprocessingml.footer+xml"/>
  <Override PartName="/word/footer305.xml" ContentType="application/vnd.openxmlformats-officedocument.wordprocessingml.footer+xml"/>
  <Override PartName="/word/footer372.xml" ContentType="application/vnd.openxmlformats-officedocument.wordprocessingml.footer+xml"/>
  <Override PartName="/word/footer410.xml" ContentType="application/vnd.openxmlformats-officedocument.wordprocessingml.footer+xml"/>
  <Override PartName="/word/footer402.xml" ContentType="application/vnd.openxmlformats-officedocument.wordprocessingml.footer+xml"/>
  <Override PartName="/word/footer364.xml" ContentType="application/vnd.openxmlformats-officedocument.wordprocessingml.footer+xml"/>
  <Override PartName="/word/footer401.xml" ContentType="application/vnd.openxmlformats-officedocument.wordprocessingml.footer+xml"/>
  <Override PartName="/word/footer363.xml" ContentType="application/vnd.openxmlformats-officedocument.wordprocessingml.footer+xml"/>
  <Override PartName="/word/footer400.xml" ContentType="application/vnd.openxmlformats-officedocument.wordprocessingml.footer+xml"/>
  <Override PartName="/word/footer362.xml" ContentType="application/vnd.openxmlformats-officedocument.wordprocessingml.footer+xml"/>
  <Override PartName="/word/footer361.xml" ContentType="application/vnd.openxmlformats-officedocument.wordprocessingml.footer+xml"/>
  <Override PartName="/word/footer403.xml" ContentType="application/vnd.openxmlformats-officedocument.wordprocessingml.footer+xml"/>
  <Override PartName="/word/footer365.xml" ContentType="application/vnd.openxmlformats-officedocument.wordprocessingml.footer+xml"/>
  <Override PartName="/word/footer100.xml" ContentType="application/vnd.openxmlformats-officedocument.wordprocessingml.footer+xml"/>
  <Override PartName="/word/footer99.xml" ContentType="application/vnd.openxmlformats-officedocument.wordprocessingml.footer+xml"/>
  <Override PartName="/word/footer226.xml" ContentType="application/vnd.openxmlformats-officedocument.wordprocessingml.footer+xml"/>
  <Override PartName="/word/footer188.xml" ContentType="application/vnd.openxmlformats-officedocument.wordprocessingml.footer+xml"/>
  <Override PartName="/word/footer45.xml" ContentType="application/vnd.openxmlformats-officedocument.wordprocessingml.footer+xml"/>
  <Override PartName="/word/footer279.xml" ContentType="application/vnd.openxmlformats-officedocument.wordprocessingml.footer+xml"/>
  <Override PartName="/word/footer98.xml" ContentType="application/vnd.openxmlformats-officedocument.wordprocessingml.footer+xml"/>
  <Override PartName="/word/footer27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277.xml" ContentType="application/vnd.openxmlformats-officedocument.wordprocessingml.footer+xml"/>
  <Override PartName="/word/footer96.xml" ContentType="application/vnd.openxmlformats-officedocument.wordprocessingml.footer+xml"/>
  <Override PartName="/word/footer276.xml" ContentType="application/vnd.openxmlformats-officedocument.wordprocessingml.footer+xml"/>
  <Override PartName="/word/footer95.xml" ContentType="application/vnd.openxmlformats-officedocument.wordprocessingml.footer+xml"/>
  <Override PartName="/word/footer208.xml" ContentType="application/vnd.openxmlformats-officedocument.wordprocessingml.footer+xml"/>
  <Override PartName="/word/footer27.xml" ContentType="application/vnd.openxmlformats-officedocument.wordprocessingml.footer+xml"/>
  <Override PartName="/word/footer89.xml" ContentType="application/vnd.openxmlformats-officedocument.wordprocessingml.footer+xml"/>
  <Override PartName="/word/footer269.xml" ContentType="application/vnd.openxmlformats-officedocument.wordprocessingml.footer+xml"/>
  <Override PartName="/word/footer88.xml" ContentType="application/vnd.openxmlformats-officedocument.wordprocessingml.footer+xml"/>
  <Override PartName="/word/footer26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footer267.xml" ContentType="application/vnd.openxmlformats-officedocument.wordprocessingml.footer+xml"/>
  <Override PartName="/word/footer86.xml" ContentType="application/vnd.openxmlformats-officedocument.wordprocessingml.footer+xml"/>
  <Override PartName="/word/footer18.xml" ContentType="application/vnd.openxmlformats-officedocument.wordprocessingml.footer+xml"/>
  <Override PartName="/word/footer17.xml" ContentType="application/vnd.openxmlformats-officedocument.wordprocessingml.footer+xml"/>
  <Override PartName="/word/footer79.xml" ContentType="application/vnd.openxmlformats-officedocument.wordprocessingml.footer+xml"/>
  <Override PartName="/word/footer122.xml" ContentType="application/vnd.openxmlformats-officedocument.wordprocessingml.footer+xml"/>
  <Override PartName="/word/footer425.xml" ContentType="application/vnd.openxmlformats-officedocument.wordprocessingml.footer+xml"/>
  <Override PartName="/word/footer387.xml" ContentType="application/vnd.openxmlformats-officedocument.wordprocessingml.footer+xml"/>
  <Override PartName="/word/footer259.xml" ContentType="application/vnd.openxmlformats-officedocument.wordprocessingml.footer+xml"/>
  <Override PartName="/word/footer78.xml" ContentType="application/vnd.openxmlformats-officedocument.wordprocessingml.footer+xml"/>
  <Override PartName="/word/footer121.xml" ContentType="application/vnd.openxmlformats-officedocument.wordprocessingml.footer+xml"/>
  <Override PartName="/word/footer424.xml" ContentType="application/vnd.openxmlformats-officedocument.wordprocessingml.footer+xml"/>
  <Override PartName="/word/footer386.xml" ContentType="application/vnd.openxmlformats-officedocument.wordprocessingml.footer+xml"/>
  <Override PartName="/word/footer258.xml" ContentType="application/vnd.openxmlformats-officedocument.wordprocessingml.footer+xml"/>
  <Override PartName="/word/footer77.xml" ContentType="application/vnd.openxmlformats-officedocument.wordprocessingml.footer+xml"/>
  <Override PartName="/word/footer120.xml" ContentType="application/vnd.openxmlformats-officedocument.wordprocessingml.footer+xml"/>
  <Override PartName="/word/footer423.xml" ContentType="application/vnd.openxmlformats-officedocument.wordprocessingml.footer+xml"/>
  <Override PartName="/word/footer385.xml" ContentType="application/vnd.openxmlformats-officedocument.wordprocessingml.footer+xml"/>
  <Override PartName="/word/footer257.xml" ContentType="application/vnd.openxmlformats-officedocument.wordprocessingml.footer+xml"/>
  <Override PartName="/word/footer76.xml" ContentType="application/vnd.openxmlformats-officedocument.wordprocessingml.footer+xml"/>
  <Override PartName="/word/footer256.xml" ContentType="application/vnd.openxmlformats-officedocument.wordprocessingml.footer+xml"/>
  <Override PartName="/word/footer119.xml" ContentType="application/vnd.openxmlformats-officedocument.wordprocessingml.footer+xml"/>
  <Override PartName="/word/footer75.xml" ContentType="application/vnd.openxmlformats-officedocument.wordprocessingml.footer+xml"/>
  <Override PartName="/word/footer25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58.xml" ContentType="application/vnd.openxmlformats-officedocument.wordprocessingml.footer+xml"/>
  <Override PartName="/word/footer239.xml" ContentType="application/vnd.openxmlformats-officedocument.wordprocessingml.footer+xml"/>
  <Override PartName="/word/footer57.xml" ContentType="application/vnd.openxmlformats-officedocument.wordprocessingml.footer+xml"/>
  <Override PartName="/word/footer238.xml" ContentType="application/vnd.openxmlformats-officedocument.wordprocessingml.footer+xml"/>
  <Override PartName="/word/footer69.xml" ContentType="application/vnd.openxmlformats-officedocument.wordprocessingml.footer+xml"/>
  <Override PartName="/word/footer415.xml" ContentType="application/vnd.openxmlformats-officedocument.wordprocessingml.footer+xml"/>
  <Override PartName="/word/footer112.xml" ContentType="application/vnd.openxmlformats-officedocument.wordprocessingml.footer+xml"/>
  <Override PartName="/word/footer377.xml" ContentType="application/vnd.openxmlformats-officedocument.wordprocessingml.footer+xml"/>
  <Override PartName="/word/footer414.xml" ContentType="application/vnd.openxmlformats-officedocument.wordprocessingml.footer+xml"/>
  <Override PartName="/word/footer376.xml" ContentType="application/vnd.openxmlformats-officedocument.wordprocessingml.footer+xml"/>
  <Override PartName="/word/footer111.xml" ContentType="application/vnd.openxmlformats-officedocument.wordprocessingml.footer+xml"/>
  <Override PartName="/word/footer413.xml" ContentType="application/vnd.openxmlformats-officedocument.wordprocessingml.footer+xml"/>
  <Override PartName="/word/footer375.xml" ContentType="application/vnd.openxmlformats-officedocument.wordprocessingml.footer+xml"/>
  <Override PartName="/word/footer110.xml" ContentType="application/vnd.openxmlformats-officedocument.wordprocessingml.footer+xml"/>
  <Override PartName="/word/footer272.xml" ContentType="application/vnd.openxmlformats-officedocument.wordprocessingml.footer+xml"/>
  <Override PartName="/word/footer91.xml" ContentType="application/vnd.openxmlformats-officedocument.wordprocessingml.footer+xml"/>
  <Override PartName="/word/footer438.xml" ContentType="application/vnd.openxmlformats-officedocument.wordprocessingml.footer+xml"/>
  <Override PartName="/word/footer275.xml" ContentType="application/vnd.openxmlformats-officedocument.wordprocessingml.footer+xml"/>
  <Override PartName="/word/footer94.xml" ContentType="application/vnd.openxmlformats-officedocument.wordprocessingml.footer+xml"/>
  <Override PartName="/word/footer90.xml" ContentType="application/vnd.openxmlformats-officedocument.wordprocessingml.footer+xml"/>
  <Override PartName="/word/footer271.xml" ContentType="application/vnd.openxmlformats-officedocument.wordprocessingml.footer+xml"/>
  <Override PartName="/word/footer399.xml" ContentType="application/vnd.openxmlformats-officedocument.wordprocessingml.footer+xml"/>
  <Override PartName="/word/footer437.xml" ContentType="application/vnd.openxmlformats-officedocument.wordprocessingml.footer+xml"/>
  <Override PartName="/word/footer93.xml" ContentType="application/vnd.openxmlformats-officedocument.wordprocessingml.footer+xml"/>
  <Override PartName="/word/footer274.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246.xml" ContentType="application/vnd.openxmlformats-officedocument.wordprocessingml.footer+xml"/>
  <Override PartName="/word/footer49.xml" ContentType="application/vnd.openxmlformats-officedocument.wordprocessingml.footer+xml"/>
  <Override PartName="/word/footer92.xml" ContentType="application/vnd.openxmlformats-officedocument.wordprocessingml.footer+xml"/>
  <Override PartName="/word/footer439.xml" ContentType="application/vnd.openxmlformats-officedocument.wordprocessingml.footer+xml"/>
  <Override PartName="/word/footer273.xml" ContentType="application/vnd.openxmlformats-officedocument.wordprocessingml.footer+xml"/>
  <Override PartName="/word/footer64.xml" ContentType="application/vnd.openxmlformats-officedocument.wordprocessingml.footer+xml"/>
  <Override PartName="/word/footer245.xml" ContentType="application/vnd.openxmlformats-officedocument.wordprocessingml.footer+xml"/>
  <Override PartName="/word/footer108.xml" ContentType="application/vnd.openxmlformats-officedocument.wordprocessingml.footer+xml"/>
  <Override PartName="/word/footer5.xml" ContentType="application/vnd.openxmlformats-officedocument.wordprocessingml.footer+xml"/>
  <Override PartName="/word/footer335.xml" ContentType="application/vnd.openxmlformats-officedocument.wordprocessingml.footer+xml"/>
  <Override PartName="/word/footer229.xml" ContentType="application/vnd.openxmlformats-officedocument.wordprocessingml.footer+xml"/>
  <Override PartName="/word/footer48.xml" ContentType="application/vnd.openxmlformats-officedocument.wordprocessingml.footer+xml"/>
  <Override PartName="/word/styles.xml" ContentType="application/vnd.openxmlformats-officedocument.wordprocessingml.styles+xml"/>
  <Override PartName="/word/footer261.xml" ContentType="application/vnd.openxmlformats-officedocument.wordprocessingml.footer+xml"/>
  <Override PartName="/word/footer80.xml" ContentType="application/vnd.openxmlformats-officedocument.wordprocessingml.footer+xml"/>
  <Override PartName="/word/footer427.xml" ContentType="application/vnd.openxmlformats-officedocument.wordprocessingml.footer+xml"/>
  <Override PartName="/word/footer389.xml" ContentType="application/vnd.openxmlformats-officedocument.wordprocessingml.footer+xml"/>
  <Override PartName="/word/footer124.xml" ContentType="application/vnd.openxmlformats-officedocument.wordprocessingml.footer+xml"/>
  <Override PartName="/word/footer68.xml" ContentType="application/vnd.openxmlformats-officedocument.wordprocessingml.footer+xml"/>
  <Override PartName="/word/footer249.xml" ContentType="application/vnd.openxmlformats-officedocument.wordprocessingml.footer+xml"/>
  <Override PartName="/word/footer66.xml" ContentType="application/vnd.openxmlformats-officedocument.wordprocessingml.footer+xml"/>
  <Override PartName="/word/footer247.xml" ContentType="application/vnd.openxmlformats-officedocument.wordprocessingml.footer+xml"/>
  <Override PartName="/word/footer1.xml" ContentType="application/vnd.openxmlformats-officedocument.wordprocessingml.footer+xml"/>
  <Override PartName="/word/footer331.xml" ContentType="application/vnd.openxmlformats-officedocument.wordprocessingml.footer+xml"/>
  <Override PartName="/word/footer260.xml" ContentType="application/vnd.openxmlformats-officedocument.wordprocessingml.footer+xml"/>
  <Override PartName="/word/footer426.xml" ContentType="application/vnd.openxmlformats-officedocument.wordprocessingml.footer+xml"/>
  <Override PartName="/word/footer388.xml" ContentType="application/vnd.openxmlformats-officedocument.wordprocessingml.footer+xml"/>
  <Override PartName="/word/footer123.xml" ContentType="application/vnd.openxmlformats-officedocument.wordprocessingml.footer+xml"/>
  <Override PartName="/word/footer67.xml" ContentType="application/vnd.openxmlformats-officedocument.wordprocessingml.footer+xml"/>
  <Override PartName="/word/footer248.xml" ContentType="application/vnd.openxmlformats-officedocument.wordprocessingml.footer+xml"/>
  <Override PartName="/word/footer2.xml" ContentType="application/vnd.openxmlformats-officedocument.wordprocessingml.footer+xml"/>
  <Override PartName="/word/footer332.xml" ContentType="application/vnd.openxmlformats-officedocument.wordprocessingml.footer+xml"/>
  <Override PartName="/word/footer333.xml" ContentType="application/vnd.openxmlformats-officedocument.wordprocessingml.footer+xml"/>
  <Override PartName="/word/footer3.xml" ContentType="application/vnd.openxmlformats-officedocument.wordprocessingml.footer+xml"/>
  <Override PartName="/word/footer227.xml" ContentType="application/vnd.openxmlformats-officedocument.wordprocessingml.footer+xml"/>
  <Override PartName="/word/footer189.xml" ContentType="application/vnd.openxmlformats-officedocument.wordprocessingml.footer+xml"/>
  <Override PartName="/word/footer46.xml" ContentType="application/vnd.openxmlformats-officedocument.wordprocessingml.footer+xml"/>
  <Override PartName="/word/footer334.xml" ContentType="application/vnd.openxmlformats-officedocument.wordprocessingml.footer+xml"/>
  <Override PartName="/word/footer4.xml" ContentType="application/vnd.openxmlformats-officedocument.wordprocessingml.footer+xml"/>
  <Override PartName="/word/footer63.xml" ContentType="application/vnd.openxmlformats-officedocument.wordprocessingml.footer+xml"/>
  <Override PartName="/word/footer244.xml" ContentType="application/vnd.openxmlformats-officedocument.wordprocessingml.footer+xml"/>
  <Override PartName="/word/footer107.xml" ContentType="application/vnd.openxmlformats-officedocument.wordprocessingml.footer+xml"/>
  <Override PartName="/word/footer228.xml" ContentType="application/vnd.openxmlformats-officedocument.wordprocessingml.footer+xml"/>
  <Override PartName="/word/footer47.xml" ContentType="application/vnd.openxmlformats-officedocument.wordprocessingml.footer+xml"/>
  <Override PartName="/word/footer254.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262.xml" ContentType="application/vnd.openxmlformats-officedocument.wordprocessingml.footer+xml"/>
  <Override PartName="/word/footer81.xml" ContentType="application/vnd.openxmlformats-officedocument.wordprocessingml.footer+xml"/>
  <Override PartName="/word/footer428.xml" ContentType="application/vnd.openxmlformats-officedocument.wordprocessingml.footer+xml"/>
  <Override PartName="/word/footer125.xml" ContentType="application/vnd.openxmlformats-officedocument.wordprocessingml.footer+xml"/>
  <Override PartName="/word/footer39.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موسوعة الشهید الثانی جلد </w:t>
      </w:r>
      <w:r>
        <w:rPr/>
        <w:t>9</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1446075_1067777946">
            <w:r>
              <w:rPr>
                <w:webHidden/>
                <w:rStyle w:val="IndexLink"/>
                <w:rtl w:val="true"/>
              </w:rPr>
              <w:t>هوية الکتاب</w:t>
            </w:r>
            <w:r>
              <w:rPr>
                <w:rStyle w:val="IndexLink"/>
                <w:rtl w:val="true"/>
              </w:rPr>
              <w:tab/>
            </w:r>
            <w:r>
              <w:rPr>
                <w:rStyle w:val="IndexLink"/>
              </w:rPr>
              <w:t>5</w:t>
            </w:r>
          </w:hyperlink>
        </w:p>
        <w:p>
          <w:pPr>
            <w:pStyle w:val="Contents2"/>
            <w:tabs>
              <w:tab w:val="clear" w:pos="8743"/>
              <w:tab w:val="right" w:pos="9026" w:leader="dot"/>
            </w:tabs>
            <w:rPr/>
          </w:pPr>
          <w:hyperlink w:anchor="__RefHeading___Toc1446077_1067777946">
            <w:r>
              <w:rPr>
                <w:webHidden/>
                <w:rStyle w:val="IndexLink"/>
                <w:rtl w:val="true"/>
              </w:rPr>
              <w:t>اشارة</w:t>
            </w:r>
            <w:r>
              <w:rPr>
                <w:rStyle w:val="IndexLink"/>
                <w:rtl w:val="true"/>
              </w:rPr>
              <w:tab/>
            </w:r>
            <w:r>
              <w:rPr>
                <w:rStyle w:val="IndexLink"/>
              </w:rPr>
              <w:t>6</w:t>
            </w:r>
          </w:hyperlink>
        </w:p>
        <w:p>
          <w:pPr>
            <w:pStyle w:val="Contents2"/>
            <w:tabs>
              <w:tab w:val="clear" w:pos="8743"/>
              <w:tab w:val="right" w:pos="9026" w:leader="dot"/>
            </w:tabs>
            <w:rPr/>
          </w:pPr>
          <w:hyperlink w:anchor="__RefHeading___Toc1446079_1067777946">
            <w:r>
              <w:rPr>
                <w:webHidden/>
                <w:rStyle w:val="IndexLink"/>
                <w:rtl w:val="true"/>
              </w:rPr>
              <w:t>فهرس الموضوعات</w:t>
            </w:r>
            <w:r>
              <w:rPr>
                <w:rStyle w:val="IndexLink"/>
                <w:rtl w:val="true"/>
              </w:rPr>
              <w:tab/>
            </w:r>
            <w:r>
              <w:rPr>
                <w:rStyle w:val="IndexLink"/>
              </w:rPr>
              <w:t>12</w:t>
            </w:r>
          </w:hyperlink>
        </w:p>
        <w:p>
          <w:pPr>
            <w:pStyle w:val="Contents2"/>
            <w:tabs>
              <w:tab w:val="clear" w:pos="8743"/>
              <w:tab w:val="right" w:pos="9026" w:leader="dot"/>
            </w:tabs>
            <w:rPr/>
          </w:pPr>
          <w:hyperlink w:anchor="__RefHeading___Toc1446081_1067777946">
            <w:r>
              <w:rPr>
                <w:webHidden/>
                <w:rStyle w:val="IndexLink"/>
                <w:rtl w:val="true"/>
              </w:rPr>
              <w:t>كتاب الإقرار</w:t>
            </w:r>
            <w:r>
              <w:rPr>
                <w:rStyle w:val="IndexLink"/>
                <w:rtl w:val="true"/>
              </w:rPr>
              <w:tab/>
            </w:r>
            <w:r>
              <w:rPr>
                <w:rStyle w:val="IndexLink"/>
              </w:rPr>
              <w:t>16</w:t>
            </w:r>
          </w:hyperlink>
        </w:p>
        <w:p>
          <w:pPr>
            <w:pStyle w:val="Contents3"/>
            <w:tabs>
              <w:tab w:val="clear" w:pos="8459"/>
              <w:tab w:val="right" w:pos="9026" w:leader="dot"/>
            </w:tabs>
            <w:rPr/>
          </w:pPr>
          <w:hyperlink w:anchor="__RefHeading___Toc1446083_1067777946">
            <w:r>
              <w:rPr>
                <w:webHidden/>
                <w:rStyle w:val="IndexLink"/>
                <w:rtl w:val="true"/>
              </w:rPr>
              <w:t>اشارة</w:t>
            </w:r>
            <w:r>
              <w:rPr>
                <w:rStyle w:val="IndexLink"/>
                <w:rtl w:val="true"/>
              </w:rPr>
              <w:tab/>
            </w:r>
            <w:r>
              <w:rPr>
                <w:rStyle w:val="IndexLink"/>
              </w:rPr>
              <w:t>16</w:t>
            </w:r>
          </w:hyperlink>
        </w:p>
        <w:p>
          <w:pPr>
            <w:pStyle w:val="Contents3"/>
            <w:tabs>
              <w:tab w:val="clear" w:pos="8459"/>
              <w:tab w:val="right" w:pos="9026" w:leader="dot"/>
            </w:tabs>
            <w:rPr/>
          </w:pPr>
          <w:hyperlink w:anchor="__RefHeading___Toc1446085_1067777946">
            <w:r>
              <w:rPr>
                <w:webHidden/>
                <w:rStyle w:val="IndexLink"/>
                <w:rtl w:val="true"/>
              </w:rPr>
              <w:t>الفصل الأوّل</w:t>
            </w:r>
            <w:r>
              <w:rPr>
                <w:rStyle w:val="IndexLink"/>
                <w:rtl w:val="true"/>
              </w:rPr>
              <w:t xml:space="preserve">: </w:t>
            </w:r>
            <w:r>
              <w:rPr>
                <w:rStyle w:val="IndexLink"/>
                <w:rtl w:val="true"/>
              </w:rPr>
              <w:t>الصيغة وتوابعها</w:t>
            </w:r>
            <w:r>
              <w:rPr>
                <w:rStyle w:val="IndexLink"/>
                <w:rtl w:val="true"/>
              </w:rPr>
              <w:tab/>
            </w:r>
            <w:r>
              <w:rPr>
                <w:rStyle w:val="IndexLink"/>
              </w:rPr>
              <w:t>18</w:t>
            </w:r>
          </w:hyperlink>
        </w:p>
        <w:p>
          <w:pPr>
            <w:pStyle w:val="Contents3"/>
            <w:tabs>
              <w:tab w:val="clear" w:pos="8459"/>
              <w:tab w:val="right" w:pos="9026" w:leader="dot"/>
            </w:tabs>
            <w:rPr/>
          </w:pPr>
          <w:hyperlink w:anchor="__RefHeading___Toc1446087_1067777946">
            <w:r>
              <w:rPr>
                <w:webHidden/>
                <w:rStyle w:val="IndexLink"/>
                <w:rtl w:val="true"/>
              </w:rPr>
              <w:t>الفصل الثاني في تعقيب الإقرار بما ينافيه</w:t>
            </w:r>
            <w:r>
              <w:rPr>
                <w:rStyle w:val="IndexLink"/>
                <w:rtl w:val="true"/>
              </w:rPr>
              <w:tab/>
            </w:r>
            <w:r>
              <w:rPr>
                <w:rStyle w:val="IndexLink"/>
              </w:rPr>
              <w:t>32</w:t>
            </w:r>
          </w:hyperlink>
        </w:p>
        <w:p>
          <w:pPr>
            <w:pStyle w:val="Contents3"/>
            <w:tabs>
              <w:tab w:val="clear" w:pos="8459"/>
              <w:tab w:val="right" w:pos="9026" w:leader="dot"/>
            </w:tabs>
            <w:rPr/>
          </w:pPr>
          <w:hyperlink w:anchor="__RefHeading___Toc1446089_1067777946">
            <w:r>
              <w:rPr>
                <w:webHidden/>
                <w:rStyle w:val="IndexLink"/>
                <w:rtl w:val="true"/>
              </w:rPr>
              <w:t>الفصل الثالث في الإقرار بالنسب</w:t>
            </w:r>
            <w:r>
              <w:rPr>
                <w:rStyle w:val="IndexLink"/>
                <w:rtl w:val="true"/>
              </w:rPr>
              <w:tab/>
            </w:r>
            <w:r>
              <w:rPr>
                <w:rStyle w:val="IndexLink"/>
              </w:rPr>
              <w:t>39</w:t>
            </w:r>
          </w:hyperlink>
        </w:p>
        <w:p>
          <w:pPr>
            <w:pStyle w:val="Contents2"/>
            <w:tabs>
              <w:tab w:val="clear" w:pos="8743"/>
              <w:tab w:val="right" w:pos="9026" w:leader="dot"/>
            </w:tabs>
            <w:rPr/>
          </w:pPr>
          <w:hyperlink w:anchor="__RefHeading___Toc1446091_1067777946">
            <w:r>
              <w:rPr>
                <w:webHidden/>
                <w:rStyle w:val="IndexLink"/>
                <w:rtl w:val="true"/>
              </w:rPr>
              <w:t>كتاب الغصب</w:t>
            </w:r>
            <w:r>
              <w:rPr>
                <w:rStyle w:val="IndexLink"/>
                <w:rtl w:val="true"/>
              </w:rPr>
              <w:tab/>
            </w:r>
            <w:r>
              <w:rPr>
                <w:rStyle w:val="IndexLink"/>
              </w:rPr>
              <w:t>46</w:t>
            </w:r>
          </w:hyperlink>
        </w:p>
        <w:p>
          <w:pPr>
            <w:pStyle w:val="Contents2"/>
            <w:tabs>
              <w:tab w:val="clear" w:pos="8743"/>
              <w:tab w:val="right" w:pos="9026" w:leader="dot"/>
            </w:tabs>
            <w:rPr/>
          </w:pPr>
          <w:hyperlink w:anchor="__RefHeading___Toc1446093_1067777946">
            <w:r>
              <w:rPr>
                <w:webHidden/>
                <w:rStyle w:val="IndexLink"/>
                <w:rtl w:val="true"/>
              </w:rPr>
              <w:t>كتاب اللُّقَطَة</w:t>
            </w:r>
            <w:r>
              <w:rPr>
                <w:rStyle w:val="IndexLink"/>
                <w:rtl w:val="true"/>
              </w:rPr>
              <w:tab/>
            </w:r>
            <w:r>
              <w:rPr>
                <w:rStyle w:val="IndexLink"/>
              </w:rPr>
              <w:t>64</w:t>
            </w:r>
          </w:hyperlink>
        </w:p>
        <w:p>
          <w:pPr>
            <w:pStyle w:val="Contents3"/>
            <w:tabs>
              <w:tab w:val="clear" w:pos="8459"/>
              <w:tab w:val="right" w:pos="9026" w:leader="dot"/>
            </w:tabs>
            <w:rPr/>
          </w:pPr>
          <w:hyperlink w:anchor="__RefHeading___Toc1446095_1067777946">
            <w:r>
              <w:rPr>
                <w:webHidden/>
                <w:rStyle w:val="IndexLink"/>
                <w:rtl w:val="true"/>
              </w:rPr>
              <w:t>اشارة</w:t>
            </w:r>
            <w:r>
              <w:rPr>
                <w:rStyle w:val="IndexLink"/>
                <w:rtl w:val="true"/>
              </w:rPr>
              <w:tab/>
            </w:r>
            <w:r>
              <w:rPr>
                <w:rStyle w:val="IndexLink"/>
              </w:rPr>
              <w:t>64</w:t>
            </w:r>
          </w:hyperlink>
        </w:p>
        <w:p>
          <w:pPr>
            <w:pStyle w:val="Contents3"/>
            <w:tabs>
              <w:tab w:val="clear" w:pos="8459"/>
              <w:tab w:val="right" w:pos="9026" w:leader="dot"/>
            </w:tabs>
            <w:rPr/>
          </w:pPr>
          <w:hyperlink w:anchor="__RefHeading___Toc1446097_1067777946">
            <w:r>
              <w:rPr>
                <w:webHidden/>
                <w:rStyle w:val="IndexLink"/>
                <w:rtl w:val="true"/>
              </w:rPr>
              <w:t>الفصل الأوّل في اللقيط</w:t>
            </w:r>
            <w:r>
              <w:rPr>
                <w:rStyle w:val="IndexLink"/>
                <w:rtl w:val="true"/>
              </w:rPr>
              <w:tab/>
            </w:r>
            <w:r>
              <w:rPr>
                <w:rStyle w:val="IndexLink"/>
              </w:rPr>
              <w:t>66</w:t>
            </w:r>
          </w:hyperlink>
        </w:p>
        <w:p>
          <w:pPr>
            <w:pStyle w:val="Contents3"/>
            <w:tabs>
              <w:tab w:val="clear" w:pos="8459"/>
              <w:tab w:val="right" w:pos="9026" w:leader="dot"/>
            </w:tabs>
            <w:rPr/>
          </w:pPr>
          <w:hyperlink w:anchor="__RefHeading___Toc1446099_1067777946">
            <w:r>
              <w:rPr>
                <w:webHidden/>
                <w:rStyle w:val="IndexLink"/>
                <w:rtl w:val="true"/>
              </w:rPr>
              <w:t>الفصل الثاني في لقطة الحَيَوان</w:t>
            </w:r>
            <w:r>
              <w:rPr>
                <w:rStyle w:val="IndexLink"/>
                <w:rtl w:val="true"/>
              </w:rPr>
              <w:tab/>
            </w:r>
            <w:r>
              <w:rPr>
                <w:rStyle w:val="IndexLink"/>
              </w:rPr>
              <w:t>74</w:t>
            </w:r>
          </w:hyperlink>
        </w:p>
        <w:p>
          <w:pPr>
            <w:pStyle w:val="Contents3"/>
            <w:tabs>
              <w:tab w:val="clear" w:pos="8459"/>
              <w:tab w:val="right" w:pos="9026" w:leader="dot"/>
            </w:tabs>
            <w:rPr/>
          </w:pPr>
          <w:hyperlink w:anchor="__RefHeading___Toc1446101_1067777946">
            <w:r>
              <w:rPr>
                <w:webHidden/>
                <w:rStyle w:val="IndexLink"/>
                <w:rtl w:val="true"/>
              </w:rPr>
              <w:t>الفصل الثالث في لقطة المال غير الحيوان مطلقاً</w:t>
            </w:r>
            <w:r>
              <w:rPr>
                <w:rStyle w:val="IndexLink"/>
                <w:rtl w:val="true"/>
              </w:rPr>
              <w:tab/>
            </w:r>
            <w:r>
              <w:rPr>
                <w:rStyle w:val="IndexLink"/>
              </w:rPr>
              <w:t>79</w:t>
            </w:r>
          </w:hyperlink>
        </w:p>
        <w:p>
          <w:pPr>
            <w:pStyle w:val="Contents2"/>
            <w:tabs>
              <w:tab w:val="clear" w:pos="8743"/>
              <w:tab w:val="right" w:pos="9026" w:leader="dot"/>
            </w:tabs>
            <w:rPr/>
          </w:pPr>
          <w:hyperlink w:anchor="__RefHeading___Toc1446103_1067777946">
            <w:r>
              <w:rPr>
                <w:webHidden/>
                <w:rStyle w:val="IndexLink"/>
                <w:rtl w:val="true"/>
              </w:rPr>
              <w:t>كتاب إحياء الموات</w:t>
            </w:r>
            <w:r>
              <w:rPr>
                <w:rStyle w:val="IndexLink"/>
                <w:rtl w:val="true"/>
              </w:rPr>
              <w:tab/>
            </w:r>
            <w:r>
              <w:rPr>
                <w:rStyle w:val="IndexLink"/>
              </w:rPr>
              <w:t>92</w:t>
            </w:r>
          </w:hyperlink>
        </w:p>
        <w:p>
          <w:pPr>
            <w:pStyle w:val="Contents3"/>
            <w:tabs>
              <w:tab w:val="clear" w:pos="8459"/>
              <w:tab w:val="right" w:pos="9026" w:leader="dot"/>
            </w:tabs>
            <w:rPr/>
          </w:pPr>
          <w:hyperlink w:anchor="__RefHeading___Toc1446105_1067777946">
            <w:r>
              <w:rPr>
                <w:webHidden/>
                <w:rStyle w:val="IndexLink"/>
                <w:rtl w:val="true"/>
              </w:rPr>
              <w:t>اشارة</w:t>
            </w:r>
            <w:r>
              <w:rPr>
                <w:rStyle w:val="IndexLink"/>
                <w:rtl w:val="true"/>
              </w:rPr>
              <w:tab/>
            </w:r>
            <w:r>
              <w:rPr>
                <w:rStyle w:val="IndexLink"/>
              </w:rPr>
              <w:t>92</w:t>
            </w:r>
          </w:hyperlink>
        </w:p>
        <w:p>
          <w:pPr>
            <w:pStyle w:val="Contents3"/>
            <w:tabs>
              <w:tab w:val="clear" w:pos="8459"/>
              <w:tab w:val="right" w:pos="9026" w:leader="dot"/>
            </w:tabs>
            <w:rPr/>
          </w:pPr>
          <w:hyperlink w:anchor="__RefHeading___Toc1446107_1067777946">
            <w:r>
              <w:rPr>
                <w:webHidden/>
                <w:rStyle w:val="IndexLink"/>
                <w:rtl w:val="true"/>
              </w:rPr>
              <w:t>وشروط الإحياء المُمَلكِ</w:t>
            </w:r>
            <w:r>
              <w:rPr>
                <w:rStyle w:val="IndexLink"/>
                <w:rtl w:val="true"/>
              </w:rPr>
              <w:tab/>
            </w:r>
            <w:r>
              <w:rPr>
                <w:rStyle w:val="IndexLink"/>
              </w:rPr>
              <w:t>99</w:t>
            </w:r>
          </w:hyperlink>
        </w:p>
        <w:p>
          <w:pPr>
            <w:pStyle w:val="Contents3"/>
            <w:tabs>
              <w:tab w:val="clear" w:pos="8459"/>
              <w:tab w:val="right" w:pos="9026" w:leader="dot"/>
            </w:tabs>
            <w:rPr/>
          </w:pPr>
          <w:hyperlink w:anchor="__RefHeading___Toc1446109_1067777946">
            <w:r>
              <w:rPr>
                <w:webHidden/>
                <w:rStyle w:val="IndexLink"/>
                <w:rtl w:val="true"/>
              </w:rPr>
              <w:t>القول في المشتَرَكات بين الناس في الجملة</w:t>
            </w:r>
            <w:r>
              <w:rPr>
                <w:rStyle w:val="IndexLink"/>
                <w:rtl w:val="true"/>
              </w:rPr>
              <w:tab/>
            </w:r>
            <w:r>
              <w:rPr>
                <w:rStyle w:val="IndexLink"/>
              </w:rPr>
              <w:t>105</w:t>
            </w:r>
          </w:hyperlink>
        </w:p>
        <w:p>
          <w:pPr>
            <w:pStyle w:val="Contents2"/>
            <w:tabs>
              <w:tab w:val="clear" w:pos="8743"/>
              <w:tab w:val="right" w:pos="9026" w:leader="dot"/>
            </w:tabs>
            <w:rPr/>
          </w:pPr>
          <w:hyperlink w:anchor="__RefHeading___Toc1446111_1067777946">
            <w:r>
              <w:rPr>
                <w:webHidden/>
                <w:rStyle w:val="IndexLink"/>
                <w:rtl w:val="true"/>
              </w:rPr>
              <w:t>کتاب الصيد والذباحة</w:t>
            </w:r>
            <w:r>
              <w:rPr>
                <w:rStyle w:val="IndexLink"/>
                <w:rtl w:val="true"/>
              </w:rPr>
              <w:tab/>
            </w:r>
            <w:r>
              <w:rPr>
                <w:rStyle w:val="IndexLink"/>
              </w:rPr>
              <w:t>114</w:t>
            </w:r>
          </w:hyperlink>
        </w:p>
        <w:p>
          <w:pPr>
            <w:pStyle w:val="Contents3"/>
            <w:tabs>
              <w:tab w:val="clear" w:pos="8459"/>
              <w:tab w:val="right" w:pos="9026" w:leader="dot"/>
            </w:tabs>
            <w:rPr/>
          </w:pPr>
          <w:hyperlink w:anchor="__RefHeading___Toc1446113_1067777946">
            <w:r>
              <w:rPr>
                <w:webHidden/>
                <w:rStyle w:val="IndexLink"/>
                <w:rtl w:val="true"/>
              </w:rPr>
              <w:t>اشارة</w:t>
            </w:r>
            <w:r>
              <w:rPr>
                <w:rStyle w:val="IndexLink"/>
                <w:rtl w:val="true"/>
              </w:rPr>
              <w:tab/>
            </w:r>
            <w:r>
              <w:rPr>
                <w:rStyle w:val="IndexLink"/>
              </w:rPr>
              <w:t>114</w:t>
            </w:r>
          </w:hyperlink>
        </w:p>
        <w:p>
          <w:pPr>
            <w:pStyle w:val="Contents3"/>
            <w:tabs>
              <w:tab w:val="clear" w:pos="8459"/>
              <w:tab w:val="right" w:pos="9026" w:leader="dot"/>
            </w:tabs>
            <w:rPr/>
          </w:pPr>
          <w:hyperlink w:anchor="__RefHeading___Toc1446115_1067777946">
            <w:r>
              <w:rPr>
                <w:webHidden/>
                <w:rStyle w:val="IndexLink"/>
                <w:rtl w:val="true"/>
              </w:rPr>
              <w:t>الفصل الأول في آلة الصيد</w:t>
            </w:r>
            <w:r>
              <w:rPr>
                <w:rStyle w:val="IndexLink"/>
                <w:rtl w:val="true"/>
              </w:rPr>
              <w:tab/>
            </w:r>
            <w:r>
              <w:rPr>
                <w:rStyle w:val="IndexLink"/>
              </w:rPr>
              <w:t>116</w:t>
            </w:r>
          </w:hyperlink>
        </w:p>
        <w:p>
          <w:pPr>
            <w:pStyle w:val="Contents3"/>
            <w:tabs>
              <w:tab w:val="clear" w:pos="8459"/>
              <w:tab w:val="right" w:pos="9026" w:leader="dot"/>
            </w:tabs>
            <w:rPr/>
          </w:pPr>
          <w:hyperlink w:anchor="__RefHeading___Toc1446117_1067777946">
            <w:r>
              <w:rPr>
                <w:webHidden/>
                <w:rStyle w:val="IndexLink"/>
                <w:rtl w:val="true"/>
              </w:rPr>
              <w:t>الفصل الثاني في الذباحة</w:t>
            </w:r>
            <w:r>
              <w:rPr>
                <w:rStyle w:val="IndexLink"/>
                <w:rtl w:val="true"/>
              </w:rPr>
              <w:tab/>
            </w:r>
            <w:r>
              <w:rPr>
                <w:rStyle w:val="IndexLink"/>
              </w:rPr>
              <w:t>121</w:t>
            </w:r>
          </w:hyperlink>
        </w:p>
        <w:p>
          <w:pPr>
            <w:pStyle w:val="Contents3"/>
            <w:tabs>
              <w:tab w:val="clear" w:pos="8459"/>
              <w:tab w:val="right" w:pos="9026" w:leader="dot"/>
            </w:tabs>
            <w:rPr/>
          </w:pPr>
          <w:hyperlink w:anchor="__RefHeading___Toc1446119_1067777946">
            <w:r>
              <w:rPr>
                <w:webHidden/>
                <w:rStyle w:val="IndexLink"/>
                <w:rtl w:val="true"/>
              </w:rPr>
              <w:t>الفصل الثالث في اللواحق</w:t>
            </w:r>
            <w:r>
              <w:rPr>
                <w:rStyle w:val="IndexLink"/>
                <w:rtl w:val="true"/>
              </w:rPr>
              <w:tab/>
            </w:r>
            <w:r>
              <w:rPr>
                <w:rStyle w:val="IndexLink"/>
              </w:rPr>
              <w:t>132</w:t>
            </w:r>
          </w:hyperlink>
        </w:p>
        <w:p>
          <w:pPr>
            <w:pStyle w:val="Contents2"/>
            <w:tabs>
              <w:tab w:val="clear" w:pos="8743"/>
              <w:tab w:val="right" w:pos="9026" w:leader="dot"/>
            </w:tabs>
            <w:rPr/>
          </w:pPr>
          <w:hyperlink w:anchor="__RefHeading___Toc1446121_1067777946">
            <w:r>
              <w:rPr>
                <w:webHidden/>
                <w:rStyle w:val="IndexLink"/>
                <w:rtl w:val="true"/>
              </w:rPr>
              <w:t>كتاب الأطعمة والأشربة</w:t>
            </w:r>
            <w:r>
              <w:rPr>
                <w:rStyle w:val="IndexLink"/>
                <w:rtl w:val="true"/>
              </w:rPr>
              <w:tab/>
            </w:r>
            <w:r>
              <w:rPr>
                <w:rStyle w:val="IndexLink"/>
              </w:rPr>
              <w:t>140</w:t>
            </w:r>
          </w:hyperlink>
        </w:p>
        <w:p>
          <w:pPr>
            <w:pStyle w:val="Contents2"/>
            <w:tabs>
              <w:tab w:val="clear" w:pos="8743"/>
              <w:tab w:val="right" w:pos="9026" w:leader="dot"/>
            </w:tabs>
            <w:rPr/>
          </w:pPr>
          <w:hyperlink w:anchor="__RefHeading___Toc1446123_1067777946">
            <w:r>
              <w:rPr>
                <w:webHidden/>
                <w:rStyle w:val="IndexLink"/>
                <w:rtl w:val="true"/>
              </w:rPr>
              <w:t>كتاب الميراث</w:t>
            </w:r>
            <w:r>
              <w:rPr>
                <w:rStyle w:val="IndexLink"/>
                <w:rtl w:val="true"/>
              </w:rPr>
              <w:tab/>
            </w:r>
            <w:r>
              <w:rPr>
                <w:rStyle w:val="IndexLink"/>
              </w:rPr>
              <w:t>178</w:t>
            </w:r>
          </w:hyperlink>
        </w:p>
        <w:p>
          <w:pPr>
            <w:pStyle w:val="Contents3"/>
            <w:tabs>
              <w:tab w:val="clear" w:pos="8459"/>
              <w:tab w:val="right" w:pos="9026" w:leader="dot"/>
            </w:tabs>
            <w:rPr/>
          </w:pPr>
          <w:hyperlink w:anchor="__RefHeading___Toc1446125_1067777946">
            <w:r>
              <w:rPr>
                <w:webHidden/>
                <w:rStyle w:val="IndexLink"/>
                <w:rtl w:val="true"/>
              </w:rPr>
              <w:t>اشارة</w:t>
            </w:r>
            <w:r>
              <w:rPr>
                <w:rStyle w:val="IndexLink"/>
                <w:rtl w:val="true"/>
              </w:rPr>
              <w:tab/>
            </w:r>
            <w:r>
              <w:rPr>
                <w:rStyle w:val="IndexLink"/>
              </w:rPr>
              <w:t>178</w:t>
            </w:r>
          </w:hyperlink>
        </w:p>
        <w:p>
          <w:pPr>
            <w:pStyle w:val="Contents3"/>
            <w:tabs>
              <w:tab w:val="clear" w:pos="8459"/>
              <w:tab w:val="right" w:pos="9026" w:leader="dot"/>
            </w:tabs>
            <w:rPr/>
          </w:pPr>
          <w:hyperlink w:anchor="__RefHeading___Toc1446127_1067777946">
            <w:r>
              <w:rPr>
                <w:webHidden/>
                <w:rStyle w:val="IndexLink"/>
                <w:rtl w:val="true"/>
              </w:rPr>
              <w:t>الفصل الأول</w:t>
            </w:r>
            <w:r>
              <w:rPr>
                <w:rStyle w:val="IndexLink"/>
                <w:rtl w:val="true"/>
              </w:rPr>
              <w:t xml:space="preserve">: </w:t>
            </w:r>
            <w:r>
              <w:rPr>
                <w:rStyle w:val="IndexLink"/>
                <w:rtl w:val="true"/>
              </w:rPr>
              <w:t>البحث في الموجبات للإرث والموانع منه</w:t>
            </w:r>
            <w:r>
              <w:rPr>
                <w:rStyle w:val="IndexLink"/>
                <w:rtl w:val="true"/>
              </w:rPr>
              <w:tab/>
            </w:r>
            <w:r>
              <w:rPr>
                <w:rStyle w:val="IndexLink"/>
              </w:rPr>
              <w:t>180</w:t>
            </w:r>
          </w:hyperlink>
        </w:p>
        <w:p>
          <w:pPr>
            <w:pStyle w:val="Contents3"/>
            <w:tabs>
              <w:tab w:val="clear" w:pos="8459"/>
              <w:tab w:val="right" w:pos="9026" w:leader="dot"/>
            </w:tabs>
            <w:rPr/>
          </w:pPr>
          <w:hyperlink w:anchor="__RefHeading___Toc1446129_1067777946">
            <w:r>
              <w:rPr>
                <w:webHidden/>
                <w:rStyle w:val="IndexLink"/>
                <w:rtl w:val="true"/>
              </w:rPr>
              <w:t xml:space="preserve">الفصل الثاني في بيان </w:t>
            </w:r>
            <w:r>
              <w:rPr>
                <w:rStyle w:val="IndexLink"/>
                <w:rtl w:val="true"/>
              </w:rPr>
              <w:t>(</w:t>
            </w:r>
            <w:r>
              <w:rPr>
                <w:rStyle w:val="IndexLink"/>
                <w:rtl w:val="true"/>
              </w:rPr>
              <w:t>السهام</w:t>
            </w:r>
            <w:r>
              <w:rPr>
                <w:rStyle w:val="IndexLink"/>
                <w:rtl w:val="true"/>
              </w:rPr>
              <w:t xml:space="preserve">) </w:t>
            </w:r>
            <w:r>
              <w:rPr>
                <w:rStyle w:val="IndexLink"/>
                <w:rtl w:val="true"/>
              </w:rPr>
              <w:t>المقدرة و بيان أهلها</w:t>
            </w:r>
            <w:r>
              <w:rPr>
                <w:rStyle w:val="IndexLink"/>
                <w:rtl w:val="true"/>
              </w:rPr>
              <w:tab/>
            </w:r>
            <w:r>
              <w:rPr>
                <w:rStyle w:val="IndexLink"/>
              </w:rPr>
              <w:t>193</w:t>
            </w:r>
          </w:hyperlink>
        </w:p>
        <w:p>
          <w:pPr>
            <w:pStyle w:val="Contents4"/>
            <w:tabs>
              <w:tab w:val="clear" w:pos="8176"/>
              <w:tab w:val="right" w:pos="9026" w:leader="dot"/>
            </w:tabs>
            <w:rPr/>
          </w:pPr>
          <w:hyperlink w:anchor="__RefHeading___Toc1446131_1067777946">
            <w:r>
              <w:rPr>
                <w:webHidden/>
                <w:rStyle w:val="IndexLink"/>
                <w:rtl w:val="true"/>
              </w:rPr>
              <w:t>اشارة</w:t>
            </w:r>
            <w:r>
              <w:rPr>
                <w:rStyle w:val="IndexLink"/>
                <w:rtl w:val="true"/>
              </w:rPr>
              <w:tab/>
            </w:r>
            <w:r>
              <w:rPr>
                <w:rStyle w:val="IndexLink"/>
              </w:rPr>
              <w:t>193</w:t>
            </w:r>
          </w:hyperlink>
        </w:p>
        <w:p>
          <w:pPr>
            <w:pStyle w:val="Contents4"/>
            <w:tabs>
              <w:tab w:val="clear" w:pos="8176"/>
              <w:tab w:val="right" w:pos="9026" w:leader="dot"/>
            </w:tabs>
            <w:rPr/>
          </w:pPr>
          <w:hyperlink w:anchor="__RefHeading___Toc1446133_1067777946">
            <w:r>
              <w:rPr>
                <w:webHidden/>
                <w:rStyle w:val="IndexLink"/>
                <w:rtl w:val="true"/>
              </w:rPr>
              <w:t>القول في ميراث الأجداد والإخوة</w:t>
            </w:r>
            <w:r>
              <w:rPr>
                <w:rStyle w:val="IndexLink"/>
                <w:rtl w:val="true"/>
              </w:rPr>
              <w:tab/>
            </w:r>
            <w:r>
              <w:rPr>
                <w:rStyle w:val="IndexLink"/>
              </w:rPr>
              <w:t>210</w:t>
            </w:r>
          </w:hyperlink>
        </w:p>
        <w:p>
          <w:pPr>
            <w:pStyle w:val="Contents4"/>
            <w:tabs>
              <w:tab w:val="clear" w:pos="8176"/>
              <w:tab w:val="right" w:pos="9026" w:leader="dot"/>
            </w:tabs>
            <w:rPr/>
          </w:pPr>
          <w:hyperlink w:anchor="__RefHeading___Toc1446135_1067777946">
            <w:r>
              <w:rPr>
                <w:webHidden/>
                <w:rStyle w:val="IndexLink"/>
                <w:rtl w:val="true"/>
              </w:rPr>
              <w:t>القول في ميراث الأعمام والأخوال وأولادهم</w:t>
            </w:r>
            <w:r>
              <w:rPr>
                <w:rStyle w:val="IndexLink"/>
                <w:rtl w:val="true"/>
              </w:rPr>
              <w:tab/>
            </w:r>
            <w:r>
              <w:rPr>
                <w:rStyle w:val="IndexLink"/>
              </w:rPr>
              <w:t>217</w:t>
            </w:r>
          </w:hyperlink>
        </w:p>
        <w:p>
          <w:pPr>
            <w:pStyle w:val="Contents4"/>
            <w:tabs>
              <w:tab w:val="clear" w:pos="8176"/>
              <w:tab w:val="right" w:pos="9026" w:leader="dot"/>
            </w:tabs>
            <w:rPr/>
          </w:pPr>
          <w:hyperlink w:anchor="__RefHeading___Toc1446137_1067777946">
            <w:r>
              <w:rPr>
                <w:webHidden/>
                <w:rStyle w:val="IndexLink"/>
                <w:rtl w:val="true"/>
              </w:rPr>
              <w:t>القول في ميراث الأزواج</w:t>
            </w:r>
            <w:r>
              <w:rPr>
                <w:rStyle w:val="IndexLink"/>
                <w:rtl w:val="true"/>
              </w:rPr>
              <w:tab/>
            </w:r>
            <w:r>
              <w:rPr>
                <w:rStyle w:val="IndexLink"/>
              </w:rPr>
              <w:t>224</w:t>
            </w:r>
          </w:hyperlink>
        </w:p>
        <w:p>
          <w:pPr>
            <w:pStyle w:val="Contents3"/>
            <w:tabs>
              <w:tab w:val="clear" w:pos="8459"/>
              <w:tab w:val="right" w:pos="9026" w:leader="dot"/>
            </w:tabs>
            <w:rPr/>
          </w:pPr>
          <w:hyperlink w:anchor="__RefHeading___Toc1446139_1067777946">
            <w:r>
              <w:rPr>
                <w:webHidden/>
                <w:rStyle w:val="IndexLink"/>
                <w:rtl w:val="true"/>
              </w:rPr>
              <w:t>الفصل الثالث في الولاء</w:t>
            </w:r>
            <w:r>
              <w:rPr>
                <w:rStyle w:val="IndexLink"/>
                <w:rtl w:val="true"/>
              </w:rPr>
              <w:tab/>
            </w:r>
            <w:r>
              <w:rPr>
                <w:rStyle w:val="IndexLink"/>
              </w:rPr>
              <w:t>230</w:t>
            </w:r>
          </w:hyperlink>
        </w:p>
        <w:p>
          <w:pPr>
            <w:pStyle w:val="Contents3"/>
            <w:tabs>
              <w:tab w:val="clear" w:pos="8459"/>
              <w:tab w:val="right" w:pos="9026" w:leader="dot"/>
            </w:tabs>
            <w:rPr/>
          </w:pPr>
          <w:hyperlink w:anchor="__RefHeading___Toc1446141_1067777946">
            <w:r>
              <w:rPr>
                <w:webHidden/>
                <w:rStyle w:val="IndexLink"/>
                <w:rtl w:val="true"/>
              </w:rPr>
              <w:t>الفصل الرابع في التوابع</w:t>
            </w:r>
            <w:r>
              <w:rPr>
                <w:rStyle w:val="IndexLink"/>
                <w:rtl w:val="true"/>
              </w:rPr>
              <w:tab/>
            </w:r>
            <w:r>
              <w:rPr>
                <w:rStyle w:val="IndexLink"/>
              </w:rPr>
              <w:t>235</w:t>
            </w:r>
          </w:hyperlink>
        </w:p>
        <w:p>
          <w:pPr>
            <w:pStyle w:val="Contents2"/>
            <w:tabs>
              <w:tab w:val="clear" w:pos="8743"/>
              <w:tab w:val="right" w:pos="9026" w:leader="dot"/>
            </w:tabs>
            <w:rPr/>
          </w:pPr>
          <w:hyperlink w:anchor="__RefHeading___Toc1446143_1067777946">
            <w:r>
              <w:rPr>
                <w:webHidden/>
                <w:rStyle w:val="IndexLink"/>
                <w:rtl w:val="true"/>
              </w:rPr>
              <w:t>كتاب الحدود</w:t>
            </w:r>
            <w:r>
              <w:rPr>
                <w:rStyle w:val="IndexLink"/>
                <w:rtl w:val="true"/>
              </w:rPr>
              <w:tab/>
            </w:r>
            <w:r>
              <w:rPr>
                <w:rStyle w:val="IndexLink"/>
              </w:rPr>
              <w:t>254</w:t>
            </w:r>
          </w:hyperlink>
        </w:p>
        <w:p>
          <w:pPr>
            <w:pStyle w:val="Contents3"/>
            <w:tabs>
              <w:tab w:val="clear" w:pos="8459"/>
              <w:tab w:val="right" w:pos="9026" w:leader="dot"/>
            </w:tabs>
            <w:rPr/>
          </w:pPr>
          <w:hyperlink w:anchor="__RefHeading___Toc1446145_1067777946">
            <w:r>
              <w:rPr>
                <w:webHidden/>
                <w:rStyle w:val="IndexLink"/>
                <w:rtl w:val="true"/>
              </w:rPr>
              <w:t>اشارة</w:t>
            </w:r>
            <w:r>
              <w:rPr>
                <w:rStyle w:val="IndexLink"/>
                <w:rtl w:val="true"/>
              </w:rPr>
              <w:tab/>
            </w:r>
            <w:r>
              <w:rPr>
                <w:rStyle w:val="IndexLink"/>
              </w:rPr>
              <w:t>254</w:t>
            </w:r>
          </w:hyperlink>
        </w:p>
        <w:p>
          <w:pPr>
            <w:pStyle w:val="Contents3"/>
            <w:tabs>
              <w:tab w:val="clear" w:pos="8459"/>
              <w:tab w:val="right" w:pos="9026" w:leader="dot"/>
            </w:tabs>
            <w:rPr/>
          </w:pPr>
          <w:hyperlink w:anchor="__RefHeading___Toc1446147_1067777946">
            <w:r>
              <w:rPr>
                <w:webHidden/>
                <w:rStyle w:val="IndexLink"/>
                <w:rtl w:val="true"/>
              </w:rPr>
              <w:t>الفصل الأول في حد الزنى</w:t>
            </w:r>
            <w:r>
              <w:rPr>
                <w:rStyle w:val="IndexLink"/>
                <w:rtl w:val="true"/>
              </w:rPr>
              <w:t>)</w:t>
              <w:tab/>
            </w:r>
            <w:r>
              <w:rPr>
                <w:rStyle w:val="IndexLink"/>
              </w:rPr>
              <w:t>256</w:t>
            </w:r>
          </w:hyperlink>
        </w:p>
        <w:p>
          <w:pPr>
            <w:pStyle w:val="Contents3"/>
            <w:tabs>
              <w:tab w:val="clear" w:pos="8459"/>
              <w:tab w:val="right" w:pos="9026" w:leader="dot"/>
            </w:tabs>
            <w:rPr/>
          </w:pPr>
          <w:hyperlink w:anchor="__RefHeading___Toc1446149_1067777946">
            <w:r>
              <w:rPr>
                <w:webHidden/>
                <w:rStyle w:val="IndexLink"/>
                <w:rtl w:val="true"/>
              </w:rPr>
              <w:t>الفصل الثاني في اللواط</w:t>
            </w:r>
            <w:r>
              <w:rPr>
                <w:rStyle w:val="IndexLink"/>
                <w:rtl w:val="true"/>
              </w:rPr>
              <w:tab/>
            </w:r>
            <w:r>
              <w:rPr>
                <w:rStyle w:val="IndexLink"/>
              </w:rPr>
              <w:t>285</w:t>
            </w:r>
          </w:hyperlink>
        </w:p>
        <w:p>
          <w:pPr>
            <w:pStyle w:val="Contents3"/>
            <w:tabs>
              <w:tab w:val="clear" w:pos="8459"/>
              <w:tab w:val="right" w:pos="9026" w:leader="dot"/>
            </w:tabs>
            <w:rPr/>
          </w:pPr>
          <w:hyperlink w:anchor="__RefHeading___Toc1446151_1067777946">
            <w:r>
              <w:rPr>
                <w:webHidden/>
                <w:rStyle w:val="IndexLink"/>
                <w:rtl w:val="true"/>
              </w:rPr>
              <w:t>الفصل الثالث في القَذف</w:t>
            </w:r>
            <w:r>
              <w:rPr>
                <w:rStyle w:val="IndexLink"/>
                <w:rtl w:val="true"/>
              </w:rPr>
              <w:tab/>
            </w:r>
            <w:r>
              <w:rPr>
                <w:rStyle w:val="IndexLink"/>
              </w:rPr>
              <w:t>292</w:t>
            </w:r>
          </w:hyperlink>
        </w:p>
        <w:p>
          <w:pPr>
            <w:pStyle w:val="Contents3"/>
            <w:tabs>
              <w:tab w:val="clear" w:pos="8459"/>
              <w:tab w:val="right" w:pos="9026" w:leader="dot"/>
            </w:tabs>
            <w:rPr/>
          </w:pPr>
          <w:hyperlink w:anchor="__RefHeading___Toc1446153_1067777946">
            <w:r>
              <w:rPr>
                <w:webHidden/>
                <w:rStyle w:val="IndexLink"/>
                <w:rtl w:val="true"/>
              </w:rPr>
              <w:t>الفصل الرابع في الشرب أي شربِ المُسْكِر</w:t>
            </w:r>
            <w:r>
              <w:rPr>
                <w:rStyle w:val="IndexLink"/>
                <w:rtl w:val="true"/>
              </w:rPr>
              <w:tab/>
            </w:r>
            <w:r>
              <w:rPr>
                <w:rStyle w:val="IndexLink"/>
              </w:rPr>
              <w:t>305</w:t>
            </w:r>
          </w:hyperlink>
        </w:p>
        <w:p>
          <w:pPr>
            <w:pStyle w:val="Contents3"/>
            <w:tabs>
              <w:tab w:val="clear" w:pos="8459"/>
              <w:tab w:val="right" w:pos="9026" w:leader="dot"/>
            </w:tabs>
            <w:rPr/>
          </w:pPr>
          <w:hyperlink w:anchor="__RefHeading___Toc1446155_1067777946">
            <w:r>
              <w:rPr>
                <w:webHidden/>
                <w:rStyle w:val="IndexLink"/>
                <w:rtl w:val="true"/>
              </w:rPr>
              <w:t>الفصل الخامس في السَرِقَة</w:t>
            </w:r>
            <w:r>
              <w:rPr>
                <w:rStyle w:val="IndexLink"/>
                <w:rtl w:val="true"/>
              </w:rPr>
              <w:tab/>
            </w:r>
            <w:r>
              <w:rPr>
                <w:rStyle w:val="IndexLink"/>
              </w:rPr>
              <w:t>313</w:t>
            </w:r>
          </w:hyperlink>
        </w:p>
        <w:p>
          <w:pPr>
            <w:pStyle w:val="Contents3"/>
            <w:tabs>
              <w:tab w:val="clear" w:pos="8459"/>
              <w:tab w:val="right" w:pos="9026" w:leader="dot"/>
            </w:tabs>
            <w:rPr/>
          </w:pPr>
          <w:hyperlink w:anchor="__RefHeading___Toc1446157_1067777946">
            <w:r>
              <w:rPr>
                <w:webHidden/>
                <w:rStyle w:val="IndexLink"/>
                <w:rtl w:val="true"/>
              </w:rPr>
              <w:t>الفصل السادس في المحاربة</w:t>
            </w:r>
            <w:r>
              <w:rPr>
                <w:rStyle w:val="IndexLink"/>
                <w:rtl w:val="true"/>
              </w:rPr>
              <w:tab/>
            </w:r>
            <w:r>
              <w:rPr>
                <w:rStyle w:val="IndexLink"/>
              </w:rPr>
              <w:t>330</w:t>
            </w:r>
          </w:hyperlink>
        </w:p>
        <w:p>
          <w:pPr>
            <w:pStyle w:val="Contents3"/>
            <w:tabs>
              <w:tab w:val="clear" w:pos="8459"/>
              <w:tab w:val="right" w:pos="9026" w:leader="dot"/>
            </w:tabs>
            <w:rPr/>
          </w:pPr>
          <w:hyperlink w:anchor="__RefHeading___Toc1446159_1067777946">
            <w:r>
              <w:rPr>
                <w:webHidden/>
                <w:rStyle w:val="IndexLink"/>
                <w:rtl w:val="true"/>
              </w:rPr>
              <w:t>الفصل السابع في عقوباتٍ متفرّقةٍ</w:t>
            </w:r>
            <w:r>
              <w:rPr>
                <w:rStyle w:val="IndexLink"/>
                <w:rtl w:val="true"/>
              </w:rPr>
              <w:tab/>
            </w:r>
            <w:r>
              <w:rPr>
                <w:rStyle w:val="IndexLink"/>
              </w:rPr>
              <w:t>337</w:t>
            </w:r>
          </w:hyperlink>
        </w:p>
        <w:p>
          <w:pPr>
            <w:pStyle w:val="Contents2"/>
            <w:tabs>
              <w:tab w:val="clear" w:pos="8743"/>
              <w:tab w:val="right" w:pos="9026" w:leader="dot"/>
            </w:tabs>
            <w:rPr/>
          </w:pPr>
          <w:hyperlink w:anchor="__RefHeading___Toc1446161_1067777946">
            <w:r>
              <w:rPr>
                <w:webHidden/>
                <w:rStyle w:val="IndexLink"/>
                <w:rtl w:val="true"/>
              </w:rPr>
              <w:t>كتاب القصاص</w:t>
            </w:r>
            <w:r>
              <w:rPr>
                <w:rStyle w:val="IndexLink"/>
                <w:rtl w:val="true"/>
              </w:rPr>
              <w:tab/>
            </w:r>
            <w:r>
              <w:rPr>
                <w:rStyle w:val="IndexLink"/>
              </w:rPr>
              <w:t>352</w:t>
            </w:r>
          </w:hyperlink>
        </w:p>
        <w:p>
          <w:pPr>
            <w:pStyle w:val="Contents3"/>
            <w:tabs>
              <w:tab w:val="clear" w:pos="8459"/>
              <w:tab w:val="right" w:pos="9026" w:leader="dot"/>
            </w:tabs>
            <w:rPr/>
          </w:pPr>
          <w:hyperlink w:anchor="__RefHeading___Toc1446163_1067777946">
            <w:r>
              <w:rPr>
                <w:webHidden/>
                <w:rStyle w:val="IndexLink"/>
                <w:rtl w:val="true"/>
              </w:rPr>
              <w:t>اشارة</w:t>
            </w:r>
            <w:r>
              <w:rPr>
                <w:rStyle w:val="IndexLink"/>
                <w:rtl w:val="true"/>
              </w:rPr>
              <w:tab/>
            </w:r>
            <w:r>
              <w:rPr>
                <w:rStyle w:val="IndexLink"/>
              </w:rPr>
              <w:t>352</w:t>
            </w:r>
          </w:hyperlink>
        </w:p>
        <w:p>
          <w:pPr>
            <w:pStyle w:val="Contents3"/>
            <w:tabs>
              <w:tab w:val="clear" w:pos="8459"/>
              <w:tab w:val="right" w:pos="9026" w:leader="dot"/>
            </w:tabs>
            <w:rPr/>
          </w:pPr>
          <w:hyperlink w:anchor="__RefHeading___Toc1446165_1067777946">
            <w:r>
              <w:rPr>
                <w:webHidden/>
                <w:rStyle w:val="IndexLink"/>
                <w:rtl w:val="true"/>
              </w:rPr>
              <w:t>الفصل الأوّل في قصاص النفس</w:t>
            </w:r>
            <w:r>
              <w:rPr>
                <w:rStyle w:val="IndexLink"/>
                <w:rtl w:val="true"/>
              </w:rPr>
              <w:tab/>
            </w:r>
            <w:r>
              <w:rPr>
                <w:rStyle w:val="IndexLink"/>
              </w:rPr>
              <w:t>354</w:t>
            </w:r>
          </w:hyperlink>
        </w:p>
        <w:p>
          <w:pPr>
            <w:pStyle w:val="Contents4"/>
            <w:tabs>
              <w:tab w:val="clear" w:pos="8176"/>
              <w:tab w:val="right" w:pos="9026" w:leader="dot"/>
            </w:tabs>
            <w:rPr/>
          </w:pPr>
          <w:hyperlink w:anchor="__RefHeading___Toc1446167_1067777946">
            <w:r>
              <w:rPr>
                <w:webHidden/>
                <w:rStyle w:val="IndexLink"/>
                <w:rtl w:val="true"/>
              </w:rPr>
              <w:t>اشارة</w:t>
            </w:r>
            <w:r>
              <w:rPr>
                <w:rStyle w:val="IndexLink"/>
                <w:rtl w:val="true"/>
              </w:rPr>
              <w:tab/>
            </w:r>
            <w:r>
              <w:rPr>
                <w:rStyle w:val="IndexLink"/>
              </w:rPr>
              <w:t>354</w:t>
            </w:r>
          </w:hyperlink>
        </w:p>
        <w:p>
          <w:pPr>
            <w:pStyle w:val="Contents4"/>
            <w:tabs>
              <w:tab w:val="clear" w:pos="8176"/>
              <w:tab w:val="right" w:pos="9026" w:leader="dot"/>
            </w:tabs>
            <w:rPr/>
          </w:pPr>
          <w:hyperlink w:anchor="__RefHeading___Toc1446169_1067777946">
            <w:r>
              <w:rPr>
                <w:webHidden/>
                <w:rStyle w:val="IndexLink"/>
                <w:rtl w:val="true"/>
              </w:rPr>
              <w:t>القول في شرائط القصاص</w:t>
            </w:r>
            <w:r>
              <w:rPr>
                <w:rStyle w:val="IndexLink"/>
                <w:rtl w:val="true"/>
              </w:rPr>
              <w:tab/>
            </w:r>
            <w:r>
              <w:rPr>
                <w:rStyle w:val="IndexLink"/>
              </w:rPr>
              <w:t>363</w:t>
            </w:r>
          </w:hyperlink>
        </w:p>
        <w:p>
          <w:pPr>
            <w:pStyle w:val="Contents4"/>
            <w:tabs>
              <w:tab w:val="clear" w:pos="8176"/>
              <w:tab w:val="right" w:pos="9026" w:leader="dot"/>
            </w:tabs>
            <w:rPr/>
          </w:pPr>
          <w:hyperlink w:anchor="__RefHeading___Toc1446171_1067777946">
            <w:r>
              <w:rPr>
                <w:webHidden/>
                <w:rStyle w:val="IndexLink"/>
                <w:rtl w:val="true"/>
              </w:rPr>
              <w:t>القول فيما يثبت به القتل</w:t>
            </w:r>
            <w:r>
              <w:rPr>
                <w:rStyle w:val="IndexLink"/>
                <w:rtl w:val="true"/>
              </w:rPr>
              <w:tab/>
            </w:r>
            <w:r>
              <w:rPr>
                <w:rStyle w:val="IndexLink"/>
              </w:rPr>
              <w:t>377</w:t>
            </w:r>
          </w:hyperlink>
        </w:p>
        <w:p>
          <w:pPr>
            <w:pStyle w:val="Contents3"/>
            <w:tabs>
              <w:tab w:val="clear" w:pos="8459"/>
              <w:tab w:val="right" w:pos="9026" w:leader="dot"/>
            </w:tabs>
            <w:rPr/>
          </w:pPr>
          <w:hyperlink w:anchor="__RefHeading___Toc1446173_1067777946">
            <w:r>
              <w:rPr>
                <w:webHidden/>
                <w:rStyle w:val="IndexLink"/>
                <w:rtl w:val="true"/>
              </w:rPr>
              <w:t>الفصل الثاني في قصاص الطَّرَف</w:t>
            </w:r>
            <w:r>
              <w:rPr>
                <w:rStyle w:val="IndexLink"/>
                <w:rtl w:val="true"/>
              </w:rPr>
              <w:tab/>
            </w:r>
            <w:r>
              <w:rPr>
                <w:rStyle w:val="IndexLink"/>
              </w:rPr>
              <w:t>382</w:t>
            </w:r>
          </w:hyperlink>
        </w:p>
        <w:p>
          <w:pPr>
            <w:pStyle w:val="Contents3"/>
            <w:tabs>
              <w:tab w:val="clear" w:pos="8459"/>
              <w:tab w:val="right" w:pos="9026" w:leader="dot"/>
            </w:tabs>
            <w:rPr/>
          </w:pPr>
          <w:hyperlink w:anchor="__RefHeading___Toc1446175_1067777946">
            <w:r>
              <w:rPr>
                <w:webHidden/>
                <w:rStyle w:val="IndexLink"/>
                <w:rtl w:val="true"/>
              </w:rPr>
              <w:t>الفصل الثالث في اللواحق</w:t>
            </w:r>
            <w:r>
              <w:rPr>
                <w:rStyle w:val="IndexLink"/>
                <w:rtl w:val="true"/>
              </w:rPr>
              <w:tab/>
            </w:r>
            <w:r>
              <w:rPr>
                <w:rStyle w:val="IndexLink"/>
              </w:rPr>
              <w:t>389</w:t>
            </w:r>
          </w:hyperlink>
        </w:p>
        <w:p>
          <w:pPr>
            <w:pStyle w:val="Contents2"/>
            <w:tabs>
              <w:tab w:val="clear" w:pos="8743"/>
              <w:tab w:val="right" w:pos="9026" w:leader="dot"/>
            </w:tabs>
            <w:rPr/>
          </w:pPr>
          <w:hyperlink w:anchor="__RefHeading___Toc1446177_1067777946">
            <w:r>
              <w:rPr>
                <w:webHidden/>
                <w:rStyle w:val="IndexLink"/>
                <w:rtl w:val="true"/>
              </w:rPr>
              <w:t>كتاب الديات</w:t>
            </w:r>
            <w:r>
              <w:rPr>
                <w:rStyle w:val="IndexLink"/>
                <w:rtl w:val="true"/>
              </w:rPr>
              <w:tab/>
            </w:r>
            <w:r>
              <w:rPr>
                <w:rStyle w:val="IndexLink"/>
              </w:rPr>
              <w:t>398</w:t>
            </w:r>
          </w:hyperlink>
        </w:p>
        <w:p>
          <w:pPr>
            <w:pStyle w:val="Contents3"/>
            <w:tabs>
              <w:tab w:val="clear" w:pos="8459"/>
              <w:tab w:val="right" w:pos="9026" w:leader="dot"/>
            </w:tabs>
            <w:rPr/>
          </w:pPr>
          <w:hyperlink w:anchor="__RefHeading___Toc1446179_1067777946">
            <w:r>
              <w:rPr>
                <w:webHidden/>
                <w:rStyle w:val="IndexLink"/>
                <w:rtl w:val="true"/>
              </w:rPr>
              <w:t>اشارة</w:t>
            </w:r>
            <w:r>
              <w:rPr>
                <w:rStyle w:val="IndexLink"/>
                <w:rtl w:val="true"/>
              </w:rPr>
              <w:tab/>
            </w:r>
            <w:r>
              <w:rPr>
                <w:rStyle w:val="IndexLink"/>
              </w:rPr>
              <w:t>398</w:t>
            </w:r>
          </w:hyperlink>
        </w:p>
        <w:p>
          <w:pPr>
            <w:pStyle w:val="Contents3"/>
            <w:tabs>
              <w:tab w:val="clear" w:pos="8459"/>
              <w:tab w:val="right" w:pos="9026" w:leader="dot"/>
            </w:tabs>
            <w:rPr/>
          </w:pPr>
          <w:hyperlink w:anchor="__RefHeading___Toc1446181_1067777946">
            <w:r>
              <w:rPr>
                <w:webHidden/>
                <w:rStyle w:val="IndexLink"/>
                <w:rtl w:val="true"/>
              </w:rPr>
              <w:t>الفصل الأوّل في مَوْرِد الدية</w:t>
            </w:r>
            <w:r>
              <w:rPr>
                <w:rStyle w:val="IndexLink"/>
                <w:rtl w:val="true"/>
              </w:rPr>
              <w:tab/>
            </w:r>
            <w:r>
              <w:rPr>
                <w:rStyle w:val="IndexLink"/>
              </w:rPr>
              <w:t>400</w:t>
            </w:r>
          </w:hyperlink>
        </w:p>
        <w:p>
          <w:pPr>
            <w:pStyle w:val="Contents3"/>
            <w:tabs>
              <w:tab w:val="clear" w:pos="8459"/>
              <w:tab w:val="right" w:pos="9026" w:leader="dot"/>
            </w:tabs>
            <w:rPr/>
          </w:pPr>
          <w:hyperlink w:anchor="__RefHeading___Toc1446183_1067777946">
            <w:r>
              <w:rPr>
                <w:webHidden/>
                <w:rStyle w:val="IndexLink"/>
                <w:rtl w:val="true"/>
              </w:rPr>
              <w:t>الفصل الثاني في التقديرات</w:t>
            </w:r>
            <w:r>
              <w:rPr>
                <w:rStyle w:val="IndexLink"/>
                <w:rtl w:val="true"/>
              </w:rPr>
              <w:tab/>
            </w:r>
            <w:r>
              <w:rPr>
                <w:rStyle w:val="IndexLink"/>
              </w:rPr>
              <w:t>421</w:t>
            </w:r>
          </w:hyperlink>
        </w:p>
        <w:p>
          <w:pPr>
            <w:pStyle w:val="Contents4"/>
            <w:tabs>
              <w:tab w:val="clear" w:pos="8176"/>
              <w:tab w:val="right" w:pos="9026" w:leader="dot"/>
            </w:tabs>
            <w:rPr/>
          </w:pPr>
          <w:hyperlink w:anchor="__RefHeading___Toc1446185_1067777946">
            <w:r>
              <w:rPr>
                <w:webHidden/>
                <w:rStyle w:val="IndexLink"/>
                <w:rtl w:val="true"/>
              </w:rPr>
              <w:t>اشارة</w:t>
            </w:r>
            <w:r>
              <w:rPr>
                <w:rStyle w:val="IndexLink"/>
                <w:rtl w:val="true"/>
              </w:rPr>
              <w:tab/>
            </w:r>
            <w:r>
              <w:rPr>
                <w:rStyle w:val="IndexLink"/>
              </w:rPr>
              <w:t>421</w:t>
            </w:r>
          </w:hyperlink>
        </w:p>
        <w:p>
          <w:pPr>
            <w:pStyle w:val="Contents4"/>
            <w:tabs>
              <w:tab w:val="clear" w:pos="8176"/>
              <w:tab w:val="right" w:pos="9026" w:leader="dot"/>
            </w:tabs>
            <w:rPr/>
          </w:pPr>
          <w:hyperlink w:anchor="__RefHeading___Toc1446187_1067777946">
            <w:r>
              <w:rPr>
                <w:webHidden/>
                <w:rStyle w:val="IndexLink"/>
                <w:rtl w:val="true"/>
              </w:rPr>
              <w:t>القول في دية المنافع</w:t>
            </w:r>
            <w:r>
              <w:rPr>
                <w:rStyle w:val="IndexLink"/>
                <w:rtl w:val="true"/>
              </w:rPr>
              <w:tab/>
            </w:r>
            <w:r>
              <w:rPr>
                <w:rStyle w:val="IndexLink"/>
              </w:rPr>
              <w:t>444</w:t>
            </w:r>
          </w:hyperlink>
        </w:p>
        <w:p>
          <w:pPr>
            <w:pStyle w:val="Contents3"/>
            <w:tabs>
              <w:tab w:val="clear" w:pos="8459"/>
              <w:tab w:val="right" w:pos="9026" w:leader="dot"/>
            </w:tabs>
            <w:rPr/>
          </w:pPr>
          <w:hyperlink w:anchor="__RefHeading___Toc1446189_1067777946">
            <w:r>
              <w:rPr>
                <w:webHidden/>
                <w:rStyle w:val="IndexLink"/>
                <w:rtl w:val="true"/>
              </w:rPr>
              <w:t>الفصل الثالث في الشِجَاج</w:t>
            </w:r>
            <w:r>
              <w:rPr>
                <w:rStyle w:val="IndexLink"/>
                <w:rtl w:val="true"/>
              </w:rPr>
              <w:tab/>
            </w:r>
            <w:r>
              <w:rPr>
                <w:rStyle w:val="IndexLink"/>
              </w:rPr>
              <w:t>449</w:t>
            </w:r>
          </w:hyperlink>
        </w:p>
        <w:p>
          <w:pPr>
            <w:pStyle w:val="Contents3"/>
            <w:tabs>
              <w:tab w:val="clear" w:pos="8459"/>
              <w:tab w:val="right" w:pos="9026" w:leader="dot"/>
            </w:tabs>
            <w:rPr/>
          </w:pPr>
          <w:hyperlink w:anchor="__RefHeading___Toc1446191_1067777946">
            <w:r>
              <w:rPr>
                <w:webHidden/>
                <w:rStyle w:val="IndexLink"/>
                <w:rtl w:val="true"/>
              </w:rPr>
              <w:t>الفصل الرابع في التوابع</w:t>
            </w:r>
            <w:r>
              <w:rPr>
                <w:rStyle w:val="IndexLink"/>
                <w:rtl w:val="true"/>
              </w:rPr>
              <w:tab/>
            </w:r>
            <w:r>
              <w:rPr>
                <w:rStyle w:val="IndexLink"/>
              </w:rPr>
              <w:t>456</w:t>
            </w:r>
          </w:hyperlink>
        </w:p>
        <w:p>
          <w:pPr>
            <w:pStyle w:val="Contents4"/>
            <w:tabs>
              <w:tab w:val="clear" w:pos="8176"/>
              <w:tab w:val="right" w:pos="9026" w:leader="dot"/>
            </w:tabs>
            <w:rPr/>
          </w:pPr>
          <w:hyperlink w:anchor="__RefHeading___Toc1446193_1067777946">
            <w:r>
              <w:rPr>
                <w:webHidden/>
                <w:rStyle w:val="IndexLink"/>
                <w:rtl w:val="true"/>
              </w:rPr>
              <w:t>اشارة</w:t>
            </w:r>
            <w:r>
              <w:rPr>
                <w:rStyle w:val="IndexLink"/>
                <w:rtl w:val="true"/>
              </w:rPr>
              <w:tab/>
            </w:r>
            <w:r>
              <w:rPr>
                <w:rStyle w:val="IndexLink"/>
              </w:rPr>
              <w:t>456</w:t>
            </w:r>
          </w:hyperlink>
        </w:p>
        <w:p>
          <w:pPr>
            <w:pStyle w:val="Contents4"/>
            <w:tabs>
              <w:tab w:val="clear" w:pos="8176"/>
              <w:tab w:val="right" w:pos="9026" w:leader="dot"/>
            </w:tabs>
            <w:rPr/>
          </w:pPr>
          <w:hyperlink w:anchor="__RefHeading___Toc1446195_1067777946">
            <w:r>
              <w:rPr>
                <w:webHidden/>
                <w:rStyle w:val="IndexLink"/>
                <w:rtl w:val="true"/>
              </w:rPr>
              <w:t>الأوّل</w:t>
            </w:r>
            <w:r>
              <w:rPr>
                <w:rStyle w:val="IndexLink"/>
                <w:rtl w:val="true"/>
              </w:rPr>
              <w:t xml:space="preserve">: </w:t>
            </w:r>
            <w:r>
              <w:rPr>
                <w:rStyle w:val="IndexLink"/>
                <w:rtl w:val="true"/>
              </w:rPr>
              <w:t>دية الجَنِين</w:t>
            </w:r>
            <w:r>
              <w:rPr>
                <w:rStyle w:val="IndexLink"/>
                <w:rtl w:val="true"/>
              </w:rPr>
              <w:tab/>
            </w:r>
            <w:r>
              <w:rPr>
                <w:rStyle w:val="IndexLink"/>
              </w:rPr>
              <w:t>456</w:t>
            </w:r>
          </w:hyperlink>
        </w:p>
        <w:p>
          <w:pPr>
            <w:pStyle w:val="Contents4"/>
            <w:tabs>
              <w:tab w:val="clear" w:pos="8176"/>
              <w:tab w:val="right" w:pos="9026" w:leader="dot"/>
            </w:tabs>
            <w:rPr/>
          </w:pPr>
          <w:hyperlink w:anchor="__RefHeading___Toc1446197_1067777946">
            <w:r>
              <w:rPr>
                <w:webHidden/>
                <w:rStyle w:val="IndexLink"/>
                <w:rtl w:val="true"/>
              </w:rPr>
              <w:t>الثاني في العاقلة التي تَحمِل ديةَ الخطأ</w:t>
            </w:r>
            <w:r>
              <w:rPr>
                <w:rStyle w:val="IndexLink"/>
                <w:rtl w:val="true"/>
              </w:rPr>
              <w:tab/>
            </w:r>
            <w:r>
              <w:rPr>
                <w:rStyle w:val="IndexLink"/>
              </w:rPr>
              <w:t>460</w:t>
            </w:r>
          </w:hyperlink>
        </w:p>
        <w:p>
          <w:pPr>
            <w:pStyle w:val="Contents4"/>
            <w:tabs>
              <w:tab w:val="clear" w:pos="8176"/>
              <w:tab w:val="right" w:pos="9026" w:leader="dot"/>
            </w:tabs>
            <w:rPr/>
          </w:pPr>
          <w:hyperlink w:anchor="__RefHeading___Toc1446199_1067777946">
            <w:r>
              <w:rPr>
                <w:webHidden/>
                <w:rStyle w:val="IndexLink"/>
                <w:rtl w:val="true"/>
              </w:rPr>
              <w:t>الثالث فى الكفّارة اللازمة للقاتل بسبب القتل مطلقاً</w:t>
            </w:r>
            <w:r>
              <w:rPr>
                <w:rStyle w:val="IndexLink"/>
                <w:rtl w:val="true"/>
              </w:rPr>
              <w:tab/>
            </w:r>
            <w:r>
              <w:rPr>
                <w:rStyle w:val="IndexLink"/>
              </w:rPr>
              <w:t>463</w:t>
            </w:r>
          </w:hyperlink>
        </w:p>
        <w:p>
          <w:pPr>
            <w:pStyle w:val="Contents4"/>
            <w:tabs>
              <w:tab w:val="clear" w:pos="8176"/>
              <w:tab w:val="right" w:pos="9026" w:leader="dot"/>
            </w:tabs>
            <w:rPr/>
          </w:pPr>
          <w:hyperlink w:anchor="__RefHeading___Toc1446201_1067777946">
            <w:r>
              <w:rPr>
                <w:webHidden/>
                <w:rStyle w:val="IndexLink"/>
                <w:rtl w:val="true"/>
              </w:rPr>
              <w:t>الرابع في الجناية على الحيوان الصامتِ</w:t>
            </w:r>
            <w:r>
              <w:rPr>
                <w:rStyle w:val="IndexLink"/>
                <w:rtl w:val="true"/>
              </w:rPr>
              <w:tab/>
            </w:r>
            <w:r>
              <w:rPr>
                <w:rStyle w:val="IndexLink"/>
              </w:rPr>
              <w:t>464</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1049_88297"/>
      <w:bookmarkStart w:id="1" w:name="pg11049_88297"/>
      <w:bookmarkEnd w:id="1"/>
    </w:p>
    <w:p>
      <w:pPr>
        <w:pStyle w:val="Heading2"/>
        <w:numPr>
          <w:ilvl w:val="1"/>
          <w:numId w:val="1"/>
        </w:numPr>
        <w:rPr/>
      </w:pPr>
      <w:bookmarkStart w:id="2" w:name="pg11049_88297"/>
      <w:bookmarkStart w:id="3" w:name="__RefHeading___Toc1446075_1067777946"/>
      <w:bookmarkStart w:id="4" w:name="_Toc1"/>
      <w:bookmarkEnd w:id="2"/>
      <w:bookmarkEnd w:id="3"/>
      <w:r>
        <w:rPr>
          <w:rtl w:val="true"/>
        </w:rPr>
        <w:t>هوية الکتاب</w:t>
      </w:r>
      <w:bookmarkEnd w:id="4"/>
    </w:p>
    <w:p>
      <w:pPr>
        <w:pStyle w:val="BookText"/>
        <w:rPr/>
      </w:pPr>
      <w:r>
        <w:rPr>
          <w:rFonts w:ascii="Amiri" w:hAnsi="Amiri" w:eastAsia="Amiri" w:cs="Amiri"/>
          <w:color w:val="111111"/>
          <w:sz w:val="28"/>
          <w:sz w:val="28"/>
          <w:szCs w:val="28"/>
          <w:rtl w:val="true"/>
          <w:lang w:bidi="ar-SA"/>
        </w:rPr>
        <w:t>موسوعة</w:t>
      </w:r>
    </w:p>
    <w:p>
      <w:pPr>
        <w:pStyle w:val="BookText"/>
        <w:rPr/>
      </w:pPr>
      <w:r>
        <w:rPr>
          <w:rFonts w:ascii="Amiri" w:hAnsi="Amiri" w:eastAsia="Amiri" w:cs="Amiri"/>
          <w:color w:val="111111"/>
          <w:sz w:val="28"/>
          <w:sz w:val="28"/>
          <w:szCs w:val="28"/>
          <w:rtl w:val="true"/>
          <w:lang w:bidi="ar-SA"/>
        </w:rPr>
        <w:t>الشهيد الثاني</w:t>
      </w:r>
    </w:p>
    <w:p>
      <w:pPr>
        <w:pStyle w:val="BookText"/>
        <w:rPr/>
      </w:pPr>
      <w:r>
        <w:rPr>
          <w:rFonts w:ascii="IRNazanin" w:hAnsi="IRNazanin" w:eastAsia="IRNazanin"/>
          <w:color w:val="111111"/>
          <w:sz w:val="28"/>
          <w:sz w:val="28"/>
          <w:szCs w:val="28"/>
          <w:rtl w:val="true"/>
          <w:lang w:bidi="fa-IR"/>
        </w:rPr>
        <w:t>الجزء التاسع</w:t>
      </w:r>
    </w:p>
    <w:p>
      <w:pPr>
        <w:pStyle w:val="BookText"/>
        <w:rPr/>
      </w:pPr>
      <w:r>
        <w:rPr>
          <w:rFonts w:ascii="Amiri" w:hAnsi="Amiri" w:eastAsia="Amiri" w:cs="Amiri"/>
          <w:color w:val="111111"/>
          <w:sz w:val="28"/>
          <w:sz w:val="28"/>
          <w:szCs w:val="28"/>
          <w:rtl w:val="true"/>
          <w:lang w:bidi="ar-SA"/>
        </w:rPr>
        <w:t>الروضة البهية</w:t>
      </w:r>
    </w:p>
    <w:p>
      <w:pPr>
        <w:pStyle w:val="BookText"/>
        <w:rPr/>
      </w:pPr>
      <w:r>
        <w:rPr>
          <w:rFonts w:ascii="Amiri" w:hAnsi="Amiri" w:eastAsia="Amiri" w:cs="Amiri"/>
          <w:color w:val="111111"/>
          <w:sz w:val="28"/>
          <w:sz w:val="28"/>
          <w:szCs w:val="28"/>
          <w:rtl w:val="true"/>
          <w:lang w:bidi="ar-SA"/>
        </w:rPr>
        <w:t xml:space="preserve">في شرح اللمعة الدمشقية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p>
    <w:p>
      <w:pPr>
        <w:pStyle w:val="BookText"/>
        <w:rPr/>
      </w:pPr>
      <w:r>
        <w:rPr>
          <w:rFonts w:ascii="Amiri" w:hAnsi="Amiri" w:eastAsia="Amiri" w:cs="Amiri"/>
          <w:color w:val="111111"/>
          <w:sz w:val="28"/>
          <w:sz w:val="28"/>
          <w:szCs w:val="28"/>
          <w:rtl w:val="true"/>
          <w:lang w:bidi="ar-SA"/>
        </w:rPr>
        <w:t>المركز العالي للعلوم والثقافة الإسلامية</w:t>
      </w:r>
    </w:p>
    <w:p>
      <w:pPr>
        <w:pStyle w:val="BookText"/>
        <w:rPr/>
      </w:pPr>
      <w:r>
        <w:rPr>
          <w:rFonts w:ascii="Amiri" w:hAnsi="Amiri" w:eastAsia="Amiri" w:cs="Amiri"/>
          <w:color w:val="111111"/>
          <w:sz w:val="28"/>
          <w:sz w:val="28"/>
          <w:szCs w:val="28"/>
          <w:rtl w:val="true"/>
          <w:lang w:bidi="ar-SA"/>
        </w:rPr>
        <w:t>مركز إحياء التراث الإسلامي</w:t>
      </w:r>
    </w:p>
    <w:p>
      <w:pPr>
        <w:pStyle w:val="BookText"/>
        <w:rPr/>
      </w:pPr>
      <w:r>
        <w:rPr>
          <w:rFonts w:ascii="Amiri" w:hAnsi="Amiri" w:eastAsia="Amiri" w:cs="Amiri"/>
          <w:color w:val="111111"/>
          <w:sz w:val="28"/>
          <w:sz w:val="28"/>
          <w:szCs w:val="28"/>
          <w:rtl w:val="true"/>
          <w:lang w:bidi="ar-SA"/>
        </w:rPr>
        <w:t>المركز العالي للعلوم والثقافة الإسلامية</w:t>
      </w:r>
    </w:p>
    <w:p>
      <w:pPr>
        <w:pStyle w:val="BookText"/>
        <w:rPr/>
      </w:pPr>
      <w:r>
        <w:rPr>
          <w:rFonts w:ascii="Amiri" w:hAnsi="Amiri" w:eastAsia="Amiri" w:cs="Amiri"/>
          <w:color w:val="111111"/>
          <w:sz w:val="28"/>
          <w:sz w:val="28"/>
          <w:szCs w:val="28"/>
          <w:rtl w:val="true"/>
          <w:lang w:bidi="ar-SA"/>
        </w:rPr>
        <w:t>موسوعة الشهيد الثاني</w:t>
      </w:r>
    </w:p>
    <w:p>
      <w:pPr>
        <w:pStyle w:val="BookText"/>
        <w:rPr/>
      </w:pPr>
      <w:r>
        <w:rPr>
          <w:rFonts w:ascii="Amiri" w:hAnsi="Amiri" w:eastAsia="Amiri" w:cs="Amiri"/>
          <w:color w:val="111111"/>
          <w:sz w:val="28"/>
          <w:sz w:val="28"/>
          <w:szCs w:val="28"/>
          <w:rtl w:val="true"/>
          <w:lang w:bidi="ar-SA"/>
        </w:rPr>
        <w:t xml:space="preserve">الجزء التاسع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الروضة البهية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المركز العالي للعلوم والثقافة الإسلامية</w:t>
      </w:r>
    </w:p>
    <w:p>
      <w:pPr>
        <w:pStyle w:val="BookText"/>
        <w:rPr/>
      </w:pPr>
      <w:r>
        <w:rPr>
          <w:rFonts w:ascii="Amiri" w:hAnsi="Amiri" w:eastAsia="Amiri" w:cs="Amiri"/>
          <w:color w:val="111111"/>
          <w:sz w:val="28"/>
          <w:sz w:val="28"/>
          <w:szCs w:val="28"/>
          <w:rtl w:val="true"/>
          <w:lang w:bidi="ar-SA"/>
        </w:rPr>
        <w:t>الإعداد والتحقيق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مركز إحياء التراث الإسلامي</w:t>
      </w:r>
    </w:p>
    <w:p>
      <w:pPr>
        <w:pStyle w:val="BookText"/>
        <w:rPr/>
      </w:pPr>
      <w:r>
        <w:rPr>
          <w:rFonts w:ascii="Amiri" w:hAnsi="Amiri" w:eastAsia="Amiri" w:cs="Amiri"/>
          <w:color w:val="111111"/>
          <w:sz w:val="28"/>
          <w:sz w:val="28"/>
          <w:szCs w:val="28"/>
          <w:rtl w:val="true"/>
          <w:lang w:bidi="ar-SA"/>
        </w:rPr>
        <w:t>الطباعة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مطبعة الباقري</w:t>
      </w:r>
    </w:p>
    <w:p>
      <w:pPr>
        <w:pStyle w:val="BookText"/>
        <w:rPr/>
      </w:pPr>
      <w:r>
        <w:rPr>
          <w:rFonts w:ascii="Amiri" w:hAnsi="Amiri" w:eastAsia="Amiri" w:cs="Amiri"/>
          <w:color w:val="111111"/>
          <w:sz w:val="28"/>
          <w:sz w:val="28"/>
          <w:szCs w:val="28"/>
          <w:rtl w:val="true"/>
          <w:lang w:bidi="ar-SA"/>
        </w:rPr>
        <w:t xml:space="preserve">الطبعة الأولى </w:t>
      </w:r>
      <w:r>
        <w:rPr>
          <w:rFonts w:eastAsia="Amiri" w:cs="Amiri" w:ascii="Amiri" w:hAnsi="Amiri"/>
          <w:color w:val="111111"/>
          <w:sz w:val="28"/>
          <w:szCs w:val="28"/>
          <w:lang w:bidi="ar-SA"/>
        </w:rPr>
        <w:t>1434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2013</w:t>
      </w:r>
      <w:r>
        <w:rPr>
          <w:rFonts w:ascii="Amiri" w:hAnsi="Amiri" w:eastAsia="Amiri" w:cs="Amiri"/>
          <w:color w:val="111111"/>
          <w:sz w:val="28"/>
          <w:sz w:val="28"/>
          <w:szCs w:val="28"/>
          <w:rtl w:val="true"/>
          <w:lang w:bidi="ar-SA"/>
        </w:rPr>
        <w:t>م</w:t>
      </w:r>
    </w:p>
    <w:p>
      <w:pPr>
        <w:pStyle w:val="BookText"/>
        <w:rPr/>
      </w:pPr>
      <w:r>
        <w:rPr>
          <w:rFonts w:ascii="Amiri" w:hAnsi="Amiri" w:eastAsia="Amiri" w:cs="Amiri"/>
          <w:color w:val="111111"/>
          <w:sz w:val="28"/>
          <w:sz w:val="28"/>
          <w:szCs w:val="28"/>
          <w:rtl w:val="true"/>
          <w:lang w:bidi="ar-SA"/>
        </w:rPr>
        <w:t>الكمية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نسخة</w:t>
      </w:r>
    </w:p>
    <w:p>
      <w:pPr>
        <w:pStyle w:val="BookText"/>
        <w:rPr/>
      </w:pPr>
      <w:r>
        <w:rPr>
          <w:rFonts w:ascii="IRNazanin" w:hAnsi="IRNazanin" w:eastAsia="IRNazanin"/>
          <w:color w:val="111111"/>
          <w:sz w:val="28"/>
          <w:sz w:val="28"/>
          <w:szCs w:val="28"/>
          <w:rtl w:val="true"/>
          <w:lang w:bidi="fa-IR"/>
        </w:rPr>
        <w:t>العنوان</w:t>
      </w:r>
      <w:r>
        <w:rPr>
          <w:rFonts w:eastAsia="IRNazanin" w:cs="IRNazanin"/>
          <w:color w:val="111111"/>
          <w:sz w:val="28"/>
          <w:szCs w:val="28"/>
          <w:rtl w:val="true"/>
          <w:lang w:bidi="fa-IR"/>
        </w:rPr>
        <w:t xml:space="preserve">: </w:t>
      </w:r>
      <w:r>
        <w:rPr>
          <w:rFonts w:eastAsia="IRNazanin" w:cs="IRNazanin"/>
          <w:color w:val="111111"/>
          <w:sz w:val="28"/>
          <w:szCs w:val="28"/>
          <w:lang w:bidi="fa-IR"/>
        </w:rPr>
        <w:t>143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التسلسل</w:t>
      </w:r>
      <w:r>
        <w:rPr>
          <w:rFonts w:eastAsia="IRNazanin" w:cs="IRNazanin"/>
          <w:color w:val="111111"/>
          <w:sz w:val="28"/>
          <w:szCs w:val="28"/>
          <w:rtl w:val="true"/>
          <w:lang w:bidi="fa-IR"/>
        </w:rPr>
        <w:t xml:space="preserve">: </w:t>
      </w:r>
      <w:r>
        <w:rPr>
          <w:rFonts w:eastAsia="IRNazanin" w:cs="IRNazanin"/>
          <w:color w:val="111111"/>
          <w:sz w:val="28"/>
          <w:szCs w:val="28"/>
          <w:lang w:bidi="fa-IR"/>
        </w:rPr>
        <w:t>242</w:t>
      </w:r>
    </w:p>
    <w:p>
      <w:pPr>
        <w:pStyle w:val="BookText"/>
        <w:rPr/>
      </w:pPr>
      <w:r>
        <w:rPr>
          <w:rFonts w:ascii="Amiri" w:hAnsi="Amiri" w:eastAsia="Amiri" w:cs="Amiri"/>
          <w:color w:val="111111"/>
          <w:sz w:val="28"/>
          <w:sz w:val="28"/>
          <w:szCs w:val="28"/>
          <w:rtl w:val="true"/>
          <w:lang w:bidi="ar-SA"/>
        </w:rPr>
        <w:t>حقوق الطبع محفوظة للناشر</w:t>
      </w:r>
    </w:p>
    <w:p>
      <w:pPr>
        <w:pStyle w:val="BookText"/>
        <w:rPr/>
      </w:pPr>
      <w:r>
        <w:rPr>
          <w:rFonts w:ascii="Amiri" w:hAnsi="Amiri" w:eastAsia="Amiri" w:cs="Amiri"/>
          <w:color w:val="111111"/>
          <w:sz w:val="28"/>
          <w:sz w:val="28"/>
          <w:szCs w:val="28"/>
          <w:rtl w:val="true"/>
          <w:lang w:bidi="ar-SA"/>
        </w:rPr>
        <w:t>العنوان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 شارع الشهداء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صفائية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زقاق آمار، الرقم </w:t>
      </w:r>
      <w:r>
        <w:rPr>
          <w:rFonts w:eastAsia="Amiri" w:cs="Amiri" w:ascii="Amiri" w:hAnsi="Amiri"/>
          <w:color w:val="111111"/>
          <w:sz w:val="28"/>
          <w:szCs w:val="28"/>
          <w:lang w:bidi="ar-SA"/>
        </w:rPr>
        <w:t>42</w:t>
      </w:r>
    </w:p>
    <w:p>
      <w:pPr>
        <w:pStyle w:val="BookText"/>
        <w:rPr/>
      </w:pPr>
      <w:r>
        <w:rPr>
          <w:rFonts w:ascii="Amiri" w:hAnsi="Amiri" w:eastAsia="Amiri" w:cs="Amiri"/>
          <w:color w:val="111111"/>
          <w:sz w:val="28"/>
          <w:sz w:val="28"/>
          <w:szCs w:val="28"/>
          <w:rtl w:val="true"/>
          <w:lang w:bidi="ar-SA"/>
        </w:rPr>
        <w:t>التلفون والفاكس</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7832833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التوزيع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 </w:t>
      </w:r>
      <w:r>
        <w:rPr>
          <w:rFonts w:eastAsia="Amiri" w:cs="Amiri" w:ascii="Amiri" w:hAnsi="Amiri"/>
          <w:color w:val="111111"/>
          <w:sz w:val="28"/>
          <w:szCs w:val="28"/>
          <w:lang w:bidi="ar-SA"/>
        </w:rPr>
        <w:t>7832834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طهران </w:t>
      </w:r>
      <w:r>
        <w:rPr>
          <w:rFonts w:eastAsia="Amiri" w:cs="Amiri" w:ascii="Amiri" w:hAnsi="Amiri"/>
          <w:color w:val="111111"/>
          <w:sz w:val="28"/>
          <w:szCs w:val="28"/>
          <w:lang w:bidi="ar-SA"/>
        </w:rPr>
        <w:t>66951534</w:t>
      </w:r>
    </w:p>
    <w:p>
      <w:pPr>
        <w:pStyle w:val="BookText"/>
        <w:rPr/>
      </w:pP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37185/38585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الرمز البريدي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16439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37156</w:t>
      </w:r>
    </w:p>
    <w:p>
      <w:pPr>
        <w:pStyle w:val="BookText"/>
        <w:rPr/>
      </w:pPr>
      <w:r>
        <w:rPr>
          <w:rFonts w:ascii="IRNazanin" w:hAnsi="IRNazanin" w:eastAsia="IRNazanin"/>
          <w:color w:val="111111"/>
          <w:sz w:val="28"/>
          <w:sz w:val="28"/>
          <w:szCs w:val="28"/>
          <w:rtl w:val="true"/>
          <w:lang w:bidi="fa-IR"/>
        </w:rPr>
        <w:t>وب سایت</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www.pub.isca.ac.ir</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البريد الالكتروني</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lang w:val="en-US" w:bidi="en-US"/>
        </w:rPr>
        <w:t>nashr@isca.ac.ir</w:t>
      </w:r>
    </w:p>
    <w:p>
      <w:pPr>
        <w:pStyle w:val="BookText"/>
        <w:rPr/>
      </w:pPr>
      <w:r>
        <w:rPr>
          <w:rFonts w:ascii="IRNazanin" w:hAnsi="IRNazanin" w:eastAsia="IRNazanin"/>
          <w:color w:val="111111"/>
          <w:sz w:val="28"/>
          <w:sz w:val="28"/>
          <w:szCs w:val="28"/>
          <w:rtl w:val="true"/>
          <w:lang w:bidi="fa-IR"/>
        </w:rPr>
        <w:t xml:space="preserve">شهید ثانی زین الدین بن على </w:t>
      </w:r>
      <w:r>
        <w:rPr>
          <w:rFonts w:eastAsia="IRNazanin" w:cs="IRNazanin"/>
          <w:color w:val="111111"/>
          <w:sz w:val="28"/>
          <w:szCs w:val="28"/>
          <w:lang w:bidi="fa-IR"/>
        </w:rPr>
        <w:t>111</w:t>
      </w:r>
      <w:r>
        <w:rPr>
          <w:rFonts w:eastAsia="IRNazanin" w:cs="IRNazanin"/>
          <w:color w:val="111111"/>
          <w:sz w:val="28"/>
          <w:szCs w:val="28"/>
          <w:rtl w:val="true"/>
          <w:lang w:bidi="fa-IR"/>
        </w:rPr>
        <w:t xml:space="preserve"> - </w:t>
      </w:r>
      <w:r>
        <w:rPr>
          <w:rFonts w:eastAsia="IRNazanin" w:cs="IRNazanin"/>
          <w:color w:val="111111"/>
          <w:sz w:val="28"/>
          <w:szCs w:val="28"/>
          <w:lang w:bidi="fa-IR"/>
        </w:rPr>
        <w:t>965</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موسوعة الشهيد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الإعداد والتحقيق مركز إحياء التراث الإسلامي، المركز العالي للعلوم والثقافة الإسلامية ،</w:t>
      </w:r>
      <w:r>
        <w:rPr>
          <w:rFonts w:eastAsia="Amiri" w:cs="Amiri" w:ascii="Amiri" w:hAnsi="Amiri"/>
          <w:color w:val="111111"/>
          <w:sz w:val="28"/>
          <w:szCs w:val="28"/>
          <w:lang w:bidi="ar-SA"/>
        </w:rPr>
        <w:t>1434</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2013</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978-600-5570-74-8</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ISBN</w:t>
      </w:r>
      <w:r>
        <w:rPr>
          <w:rFonts w:eastAsia="Times New Roman" w:cs="Times New Roman" w:ascii="Times New Roman" w:hAnsi="Times New Roman"/>
          <w:color w:val="111111"/>
          <w:sz w:val="28"/>
          <w:szCs w:val="28"/>
          <w:rtl w:val="true"/>
          <w:lang w:val="en-US" w:bidi="en-US"/>
        </w:rPr>
        <w:t xml:space="preserve"> - (</w:t>
      </w:r>
      <w:r>
        <w:rPr>
          <w:rFonts w:ascii="IRNazanin" w:hAnsi="IRNazanin" w:eastAsia="IRNazanin"/>
          <w:color w:val="111111"/>
          <w:sz w:val="28"/>
          <w:sz w:val="28"/>
          <w:szCs w:val="28"/>
          <w:rtl w:val="true"/>
          <w:lang w:bidi="fa-IR"/>
        </w:rPr>
        <w:t>دوره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ISBN 978-600-5570-84-7</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فهرست نویسی بر اساس اطلاعات فيبا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کتابنامه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مندرجات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الروضة البهية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مجموعه ها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دانش و دانش اندوزی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جنبه های مذهبی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اسلام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اسلام و آموزش و پرورش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اخلاق اسلامی 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پژوهشگاه علوم و فرهنگ اسلامی مرکز احیای آثار اسلامی ب عنوان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w:t>
      </w:r>
      <w:r>
        <w:rPr>
          <w:rFonts w:eastAsia="Times New Roman" w:cs="Times New Roman" w:ascii="Times New Roman" w:hAnsi="Times New Roman"/>
          <w:color w:val="111111"/>
          <w:sz w:val="28"/>
          <w:szCs w:val="28"/>
          <w:lang w:val="en-US" w:bidi="en-US"/>
        </w:rPr>
        <w:t>BP4/6/92</w:t>
      </w:r>
    </w:p>
    <w:p>
      <w:pPr>
        <w:pStyle w:val="BookText"/>
        <w:rPr/>
      </w:pPr>
      <w:r>
        <w:rPr>
          <w:rFonts w:eastAsia="Times New Roman" w:cs="Times New Roman" w:ascii="Times New Roman" w:hAnsi="Times New Roman"/>
          <w:color w:val="111111"/>
          <w:sz w:val="28"/>
          <w:szCs w:val="28"/>
          <w:lang w:val="en-US" w:bidi="en-US"/>
        </w:rPr>
        <w:t>297/08</w:t>
      </w:r>
    </w:p>
    <w:p>
      <w:pPr>
        <w:pStyle w:val="BookText"/>
        <w:rPr/>
      </w:pPr>
      <w:r>
        <w:rPr>
          <w:rFonts w:ascii="Amiri" w:hAnsi="Amiri" w:eastAsia="Amiri" w:cs="Amiri"/>
          <w:color w:val="111111"/>
          <w:sz w:val="28"/>
          <w:sz w:val="28"/>
          <w:szCs w:val="28"/>
          <w:rtl w:val="true"/>
          <w:lang w:bidi="ar-SA"/>
        </w:rPr>
        <w:t>المحرر الرقمي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عليرضا حقاني فر</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1446077_1067777946"/>
      <w:bookmarkStart w:id="6" w:name="_Toc2"/>
      <w:bookmarkEnd w:id="5"/>
      <w:r>
        <w:rPr>
          <w:rtl w:val="true"/>
        </w:rPr>
        <w:t>اشارة</w:t>
      </w:r>
      <w:bookmarkEnd w:id="6"/>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بِسْمِ اللَّهِ الرَّحْمَنِ الرَّحِيمِ </w:t>
      </w:r>
    </w:p>
    <w:p>
      <w:pPr>
        <w:pStyle w:val="BookText"/>
        <w:rPr/>
      </w:pPr>
      <w:r>
        <w:rPr>
          <w:rFonts w:ascii="Amiri" w:hAnsi="Amiri" w:eastAsia="Amiri" w:cs="Amiri"/>
          <w:color w:val="111111"/>
          <w:sz w:val="28"/>
          <w:sz w:val="28"/>
          <w:szCs w:val="28"/>
          <w:rtl w:val="true"/>
          <w:lang w:bidi="ar-SA"/>
        </w:rPr>
        <w:t>موسوعة الشهيد الثاني</w:t>
      </w:r>
    </w:p>
    <w:p>
      <w:pPr>
        <w:pStyle w:val="BookText"/>
        <w:rPr/>
      </w:pPr>
      <w:r>
        <w:rPr>
          <w:rFonts w:ascii="IRNazanin" w:hAnsi="IRNazanin" w:eastAsia="IRNazanin"/>
          <w:color w:val="111111"/>
          <w:sz w:val="28"/>
          <w:sz w:val="28"/>
          <w:szCs w:val="28"/>
          <w:rtl w:val="true"/>
          <w:lang w:bidi="fa-IR"/>
        </w:rPr>
        <w:t>الجزء التاسع</w:t>
      </w:r>
    </w:p>
    <w:p>
      <w:pPr>
        <w:pStyle w:val="BookText"/>
        <w:rPr/>
      </w:pPr>
      <w:r>
        <w:rPr>
          <w:rFonts w:ascii="Amiri" w:hAnsi="Amiri" w:eastAsia="Amiri" w:cs="Amiri"/>
          <w:color w:val="111111"/>
          <w:sz w:val="28"/>
          <w:sz w:val="28"/>
          <w:szCs w:val="28"/>
          <w:rtl w:val="true"/>
          <w:lang w:bidi="ar-SA"/>
        </w:rPr>
        <w:t>الروضة البهيّة</w:t>
      </w:r>
    </w:p>
    <w:p>
      <w:pPr>
        <w:pStyle w:val="BookText"/>
        <w:rPr/>
      </w:pPr>
      <w:r>
        <w:rPr>
          <w:rFonts w:ascii="Amiri" w:hAnsi="Amiri" w:eastAsia="Amiri" w:cs="Amiri"/>
          <w:color w:val="111111"/>
          <w:sz w:val="28"/>
          <w:sz w:val="28"/>
          <w:szCs w:val="28"/>
          <w:rtl w:val="true"/>
          <w:lang w:bidi="ar-SA"/>
        </w:rPr>
        <w:t xml:space="preserve">فى شرح اللمعة الدمشقية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p>
    <w:p>
      <w:pPr>
        <w:pStyle w:val="BookText"/>
        <w:rPr/>
      </w:pPr>
      <w:r>
        <w:rPr>
          <w:rFonts w:ascii="Amiri" w:hAnsi="Amiri" w:eastAsia="Amiri" w:cs="Amiri"/>
          <w:color w:val="111111"/>
          <w:sz w:val="28"/>
          <w:sz w:val="28"/>
          <w:szCs w:val="28"/>
          <w:rtl w:val="true"/>
          <w:lang w:bidi="ar-SA"/>
        </w:rPr>
        <w:t>المركز العالي للعلوم والثقافة الإسلامية</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مركز إحياء التراث الإسلامي </w:t>
      </w:r>
    </w:p>
    <w:p>
      <w:pPr>
        <w:pStyle w:val="BookText"/>
        <w:rPr/>
      </w:pPr>
      <w:r>
        <w:rPr>
          <w:rFonts w:ascii="Amiri" w:hAnsi="Amiri" w:eastAsia="Amiri" w:cs="Amiri"/>
          <w:color w:val="111111"/>
          <w:sz w:val="28"/>
          <w:sz w:val="28"/>
          <w:szCs w:val="28"/>
          <w:rtl w:val="true"/>
          <w:lang w:bidi="ar-SA"/>
        </w:rPr>
        <w:t>المركز العالي للعلوم والثقافة الإسلامية</w:t>
      </w:r>
    </w:p>
    <w:p>
      <w:pPr>
        <w:pStyle w:val="BookText"/>
        <w:rPr/>
      </w:pPr>
      <w:r>
        <w:rPr>
          <w:rFonts w:ascii="Amiri" w:hAnsi="Amiri" w:eastAsia="Amiri" w:cs="Amiri"/>
          <w:color w:val="111111"/>
          <w:sz w:val="28"/>
          <w:sz w:val="28"/>
          <w:szCs w:val="28"/>
          <w:rtl w:val="true"/>
          <w:lang w:bidi="ar-SA"/>
        </w:rPr>
        <w:t>موسوعة الشهيد الثاني</w:t>
      </w:r>
    </w:p>
    <w:p>
      <w:pPr>
        <w:pStyle w:val="BookText"/>
        <w:rPr/>
      </w:pPr>
      <w:r>
        <w:rPr>
          <w:rFonts w:ascii="Amiri" w:hAnsi="Amiri" w:eastAsia="Amiri" w:cs="Amiri"/>
          <w:color w:val="111111"/>
          <w:sz w:val="28"/>
          <w:sz w:val="28"/>
          <w:szCs w:val="28"/>
          <w:rtl w:val="true"/>
          <w:lang w:bidi="ar-SA"/>
        </w:rPr>
        <w:t xml:space="preserve">الجزء التاسع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الروضة البهية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المركز العالي للعلوم والثقافة الإسلامية</w:t>
      </w:r>
    </w:p>
    <w:p>
      <w:pPr>
        <w:pStyle w:val="BookText"/>
        <w:rPr/>
      </w:pPr>
      <w:r>
        <w:rPr>
          <w:rFonts w:ascii="Amiri" w:hAnsi="Amiri" w:eastAsia="Amiri" w:cs="Amiri"/>
          <w:color w:val="111111"/>
          <w:sz w:val="28"/>
          <w:sz w:val="28"/>
          <w:szCs w:val="28"/>
          <w:rtl w:val="true"/>
          <w:lang w:bidi="ar-SA"/>
        </w:rPr>
        <w:t>الإعداد والتحقيق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مركز إحياء التراث الإسلامي</w:t>
      </w:r>
    </w:p>
    <w:p>
      <w:pPr>
        <w:pStyle w:val="BookText"/>
        <w:rPr/>
      </w:pPr>
      <w:r>
        <w:rPr>
          <w:rFonts w:ascii="Amiri" w:hAnsi="Amiri" w:eastAsia="Amiri" w:cs="Amiri"/>
          <w:color w:val="111111"/>
          <w:sz w:val="28"/>
          <w:sz w:val="28"/>
          <w:szCs w:val="28"/>
          <w:rtl w:val="true"/>
          <w:lang w:bidi="ar-SA"/>
        </w:rPr>
        <w:t>الطباعة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مطبعة الباقري</w:t>
      </w:r>
    </w:p>
    <w:p>
      <w:pPr>
        <w:pStyle w:val="BookText"/>
        <w:rPr/>
      </w:pPr>
      <w:r>
        <w:rPr>
          <w:rFonts w:ascii="Amiri" w:hAnsi="Amiri" w:eastAsia="Amiri" w:cs="Amiri"/>
          <w:color w:val="111111"/>
          <w:sz w:val="28"/>
          <w:sz w:val="28"/>
          <w:szCs w:val="28"/>
          <w:rtl w:val="true"/>
          <w:lang w:bidi="ar-SA"/>
        </w:rPr>
        <w:t xml:space="preserve">الطبعة الأولى </w:t>
      </w:r>
      <w:r>
        <w:rPr>
          <w:rFonts w:eastAsia="Amiri" w:cs="Amiri" w:ascii="Amiri" w:hAnsi="Amiri"/>
          <w:color w:val="111111"/>
          <w:sz w:val="28"/>
          <w:szCs w:val="28"/>
          <w:lang w:bidi="ar-SA"/>
        </w:rPr>
        <w:t>1434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2013</w:t>
      </w:r>
      <w:r>
        <w:rPr>
          <w:rFonts w:ascii="Amiri" w:hAnsi="Amiri" w:eastAsia="Amiri" w:cs="Amiri"/>
          <w:color w:val="111111"/>
          <w:sz w:val="28"/>
          <w:sz w:val="28"/>
          <w:szCs w:val="28"/>
          <w:rtl w:val="true"/>
          <w:lang w:bidi="ar-SA"/>
        </w:rPr>
        <w:t>م</w:t>
      </w:r>
    </w:p>
    <w:p>
      <w:pPr>
        <w:pStyle w:val="BookText"/>
        <w:rPr/>
      </w:pPr>
      <w:r>
        <w:rPr>
          <w:rFonts w:ascii="Amiri" w:hAnsi="Amiri" w:eastAsia="Amiri" w:cs="Amiri"/>
          <w:color w:val="111111"/>
          <w:sz w:val="28"/>
          <w:sz w:val="28"/>
          <w:szCs w:val="28"/>
          <w:rtl w:val="true"/>
          <w:lang w:bidi="ar-SA"/>
        </w:rPr>
        <w:t>الكمية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نسخة</w:t>
      </w:r>
    </w:p>
    <w:p>
      <w:pPr>
        <w:pStyle w:val="BookText"/>
        <w:rPr/>
      </w:pPr>
      <w:r>
        <w:rPr>
          <w:rFonts w:ascii="IRNazanin" w:hAnsi="IRNazanin" w:eastAsia="IRNazanin"/>
          <w:color w:val="111111"/>
          <w:sz w:val="28"/>
          <w:sz w:val="28"/>
          <w:szCs w:val="28"/>
          <w:rtl w:val="true"/>
          <w:lang w:bidi="fa-IR"/>
        </w:rPr>
        <w:t>العنوان</w:t>
      </w:r>
      <w:r>
        <w:rPr>
          <w:rFonts w:eastAsia="IRNazanin" w:cs="IRNazanin"/>
          <w:color w:val="111111"/>
          <w:sz w:val="28"/>
          <w:szCs w:val="28"/>
          <w:rtl w:val="true"/>
          <w:lang w:bidi="fa-IR"/>
        </w:rPr>
        <w:t xml:space="preserve">: </w:t>
      </w:r>
      <w:r>
        <w:rPr>
          <w:rFonts w:eastAsia="IRNazanin" w:cs="IRNazanin"/>
          <w:color w:val="111111"/>
          <w:sz w:val="28"/>
          <w:szCs w:val="28"/>
          <w:lang w:bidi="fa-IR"/>
        </w:rPr>
        <w:t>143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التسلسل</w:t>
      </w:r>
      <w:r>
        <w:rPr>
          <w:rFonts w:eastAsia="IRNazanin" w:cs="IRNazanin"/>
          <w:color w:val="111111"/>
          <w:sz w:val="28"/>
          <w:szCs w:val="28"/>
          <w:rtl w:val="true"/>
          <w:lang w:bidi="fa-IR"/>
        </w:rPr>
        <w:t xml:space="preserve">: </w:t>
      </w:r>
      <w:r>
        <w:rPr>
          <w:rFonts w:eastAsia="IRNazanin" w:cs="IRNazanin"/>
          <w:color w:val="111111"/>
          <w:sz w:val="28"/>
          <w:szCs w:val="28"/>
          <w:lang w:bidi="fa-IR"/>
        </w:rPr>
        <w:t>242</w:t>
      </w:r>
    </w:p>
    <w:p>
      <w:pPr>
        <w:pStyle w:val="BookText"/>
        <w:rPr/>
      </w:pPr>
      <w:r>
        <w:rPr>
          <w:rFonts w:ascii="Amiri" w:hAnsi="Amiri" w:eastAsia="Amiri" w:cs="Amiri"/>
          <w:color w:val="111111"/>
          <w:sz w:val="28"/>
          <w:sz w:val="28"/>
          <w:szCs w:val="28"/>
          <w:rtl w:val="true"/>
          <w:lang w:bidi="ar-SA"/>
        </w:rPr>
        <w:t>حقوق الطبع محفوظة للناشر</w:t>
      </w:r>
    </w:p>
    <w:p>
      <w:pPr>
        <w:pStyle w:val="BookText"/>
        <w:rPr/>
      </w:pPr>
      <w:r>
        <w:rPr>
          <w:rFonts w:ascii="Amiri" w:hAnsi="Amiri" w:eastAsia="Amiri" w:cs="Amiri"/>
          <w:color w:val="111111"/>
          <w:sz w:val="28"/>
          <w:sz w:val="28"/>
          <w:szCs w:val="28"/>
          <w:rtl w:val="true"/>
          <w:lang w:bidi="ar-SA"/>
        </w:rPr>
        <w:t>العنوان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 شارع الشهداء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صفائية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زقاق آمار، الرقم </w:t>
      </w:r>
      <w:r>
        <w:rPr>
          <w:rFonts w:eastAsia="Amiri" w:cs="Amiri" w:ascii="Amiri" w:hAnsi="Amiri"/>
          <w:color w:val="111111"/>
          <w:sz w:val="28"/>
          <w:szCs w:val="28"/>
          <w:lang w:bidi="ar-SA"/>
        </w:rPr>
        <w:t>42</w:t>
      </w:r>
    </w:p>
    <w:p>
      <w:pPr>
        <w:pStyle w:val="BookText"/>
        <w:rPr/>
      </w:pPr>
      <w:r>
        <w:rPr>
          <w:rFonts w:ascii="Amiri" w:hAnsi="Amiri" w:eastAsia="Amiri" w:cs="Amiri"/>
          <w:color w:val="111111"/>
          <w:sz w:val="28"/>
          <w:sz w:val="28"/>
          <w:szCs w:val="28"/>
          <w:rtl w:val="true"/>
          <w:lang w:bidi="ar-SA"/>
        </w:rPr>
        <w:t>التلفون والفاكس</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7832833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التوزيع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 </w:t>
      </w:r>
      <w:r>
        <w:rPr>
          <w:rFonts w:eastAsia="Amiri" w:cs="Amiri" w:ascii="Amiri" w:hAnsi="Amiri"/>
          <w:color w:val="111111"/>
          <w:sz w:val="28"/>
          <w:szCs w:val="28"/>
          <w:lang w:bidi="ar-SA"/>
        </w:rPr>
        <w:t>7832834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طهران </w:t>
      </w:r>
      <w:r>
        <w:rPr>
          <w:rFonts w:eastAsia="Amiri" w:cs="Amiri" w:ascii="Amiri" w:hAnsi="Amiri"/>
          <w:color w:val="111111"/>
          <w:sz w:val="28"/>
          <w:szCs w:val="28"/>
          <w:lang w:bidi="ar-SA"/>
        </w:rPr>
        <w:t>66951534</w:t>
      </w:r>
    </w:p>
    <w:p>
      <w:pPr>
        <w:pStyle w:val="BookText"/>
        <w:rPr/>
      </w:pP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37185/38585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الرمز البريدي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16439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37156</w:t>
      </w:r>
    </w:p>
    <w:p>
      <w:pPr>
        <w:pStyle w:val="BookText"/>
        <w:rPr/>
      </w:pPr>
      <w:r>
        <w:rPr>
          <w:rFonts w:ascii="IRNazanin" w:hAnsi="IRNazanin" w:eastAsia="IRNazanin"/>
          <w:color w:val="111111"/>
          <w:sz w:val="28"/>
          <w:sz w:val="28"/>
          <w:szCs w:val="28"/>
          <w:rtl w:val="true"/>
          <w:lang w:bidi="fa-IR"/>
        </w:rPr>
        <w:t>وب سایت</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www.pub.isca.ac.ir</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البريد الالكتروني</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lang w:val="en-US" w:bidi="en-US"/>
        </w:rPr>
        <w:t>nashr@isca.ac.ir</w:t>
      </w:r>
    </w:p>
    <w:p>
      <w:pPr>
        <w:pStyle w:val="BookText"/>
        <w:rPr/>
      </w:pPr>
      <w:r>
        <w:rPr>
          <w:rFonts w:ascii="IRNazanin" w:hAnsi="IRNazanin" w:eastAsia="IRNazanin"/>
          <w:color w:val="111111"/>
          <w:sz w:val="28"/>
          <w:sz w:val="28"/>
          <w:szCs w:val="28"/>
          <w:rtl w:val="true"/>
          <w:lang w:bidi="fa-IR"/>
        </w:rPr>
        <w:t xml:space="preserve">شهید ثانی زین الدین بن على </w:t>
      </w:r>
      <w:r>
        <w:rPr>
          <w:rFonts w:eastAsia="IRNazanin" w:cs="IRNazanin"/>
          <w:color w:val="111111"/>
          <w:sz w:val="28"/>
          <w:szCs w:val="28"/>
          <w:lang w:bidi="fa-IR"/>
        </w:rPr>
        <w:t>111</w:t>
      </w:r>
      <w:r>
        <w:rPr>
          <w:rFonts w:eastAsia="IRNazanin" w:cs="IRNazanin"/>
          <w:color w:val="111111"/>
          <w:sz w:val="28"/>
          <w:szCs w:val="28"/>
          <w:rtl w:val="true"/>
          <w:lang w:bidi="fa-IR"/>
        </w:rPr>
        <w:t xml:space="preserve"> - </w:t>
      </w:r>
      <w:r>
        <w:rPr>
          <w:rFonts w:eastAsia="IRNazanin" w:cs="IRNazanin"/>
          <w:color w:val="111111"/>
          <w:sz w:val="28"/>
          <w:szCs w:val="28"/>
          <w:lang w:bidi="fa-IR"/>
        </w:rPr>
        <w:t>965</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موسوعة الشهيد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الإعداد والتحقيق مركز إحياء التراث الإسلامي، المركز العالي للعلوم والثقافة الإسلامية ،</w:t>
      </w:r>
      <w:r>
        <w:rPr>
          <w:rFonts w:eastAsia="Amiri" w:cs="Amiri" w:ascii="Amiri" w:hAnsi="Amiri"/>
          <w:color w:val="111111"/>
          <w:sz w:val="28"/>
          <w:szCs w:val="28"/>
          <w:lang w:bidi="ar-SA"/>
        </w:rPr>
        <w:t>1434</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2013</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978-600-5570-74-8</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ISBN</w:t>
      </w:r>
      <w:r>
        <w:rPr>
          <w:rFonts w:eastAsia="Times New Roman" w:cs="Times New Roman" w:ascii="Times New Roman" w:hAnsi="Times New Roman"/>
          <w:color w:val="111111"/>
          <w:sz w:val="28"/>
          <w:szCs w:val="28"/>
          <w:rtl w:val="true"/>
          <w:lang w:val="en-US" w:bidi="en-US"/>
        </w:rPr>
        <w:t xml:space="preserve"> - (</w:t>
      </w:r>
      <w:r>
        <w:rPr>
          <w:rFonts w:ascii="IRNazanin" w:hAnsi="IRNazanin" w:eastAsia="IRNazanin"/>
          <w:color w:val="111111"/>
          <w:sz w:val="28"/>
          <w:sz w:val="28"/>
          <w:szCs w:val="28"/>
          <w:rtl w:val="true"/>
          <w:lang w:bidi="fa-IR"/>
        </w:rPr>
        <w:t>دوره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ISBN 978-600-5570-84-7</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فهرست نویسی بر اساس اطلاعات فيبا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کتابنامه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مندرجات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الروضة البهية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مجموعه ها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دانش و دانش اندوزی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جنبه های مذهبی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اسلام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اسلام و آموزش و پرورش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اخلاق اسلامی 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پژوهشگاه علوم و فرهنگ اسلامی مرکز احیای آثار اسلامی ب عنوان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w:t>
      </w:r>
      <w:r>
        <w:rPr>
          <w:rFonts w:eastAsia="Times New Roman" w:cs="Times New Roman" w:ascii="Times New Roman" w:hAnsi="Times New Roman"/>
          <w:color w:val="111111"/>
          <w:sz w:val="28"/>
          <w:szCs w:val="28"/>
          <w:lang w:val="en-US" w:bidi="en-US"/>
        </w:rPr>
        <w:t>BP4/6/92</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297/08</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دلیل</w:t>
      </w:r>
    </w:p>
    <w:p>
      <w:pPr>
        <w:pStyle w:val="BookText"/>
        <w:rPr/>
      </w:pPr>
      <w:r>
        <w:rPr>
          <w:rFonts w:ascii="Amiri" w:hAnsi="Amiri" w:eastAsia="Amiri" w:cs="Amiri"/>
          <w:color w:val="111111"/>
          <w:sz w:val="28"/>
          <w:sz w:val="28"/>
          <w:szCs w:val="28"/>
          <w:rtl w:val="true"/>
          <w:lang w:bidi="ar-SA"/>
        </w:rPr>
        <w:t>موسوعة الشهيد الثاني</w:t>
      </w:r>
    </w:p>
    <w:p>
      <w:pPr>
        <w:pStyle w:val="BookText"/>
        <w:rPr/>
      </w:pPr>
      <w:r>
        <w:rPr>
          <w:rFonts w:ascii="Amiri" w:hAnsi="Amiri" w:eastAsia="Amiri" w:cs="Amiri"/>
          <w:color w:val="111111"/>
          <w:sz w:val="28"/>
          <w:sz w:val="28"/>
          <w:szCs w:val="28"/>
          <w:rtl w:val="true"/>
          <w:lang w:bidi="ar-SA"/>
        </w:rPr>
        <w:t xml:space="preserve">المدخل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الشهيد الثاني حياته وآثاره</w:t>
      </w:r>
    </w:p>
    <w:p>
      <w:pPr>
        <w:pStyle w:val="BookText"/>
        <w:rPr/>
      </w:pPr>
      <w:r>
        <w:rPr>
          <w:rFonts w:ascii="Amiri" w:hAnsi="Amiri" w:eastAsia="Amiri" w:cs="Amiri"/>
          <w:color w:val="111111"/>
          <w:sz w:val="28"/>
          <w:sz w:val="28"/>
          <w:szCs w:val="28"/>
          <w:rtl w:val="true"/>
          <w:lang w:bidi="ar-SA"/>
        </w:rPr>
        <w:t xml:space="preserve">الجزء الأوّل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منية المريد</w:t>
      </w:r>
    </w:p>
    <w:p>
      <w:pPr>
        <w:pStyle w:val="BookText"/>
        <w:rPr/>
      </w:pPr>
      <w:r>
        <w:rPr>
          <w:rFonts w:ascii="Amiri" w:hAnsi="Amiri" w:eastAsia="Amiri" w:cs="Amiri"/>
          <w:color w:val="111111"/>
          <w:sz w:val="28"/>
          <w:sz w:val="28"/>
          <w:szCs w:val="28"/>
          <w:rtl w:val="true"/>
          <w:lang w:bidi="ar-SA"/>
        </w:rPr>
        <w:t xml:space="preserve">الجزء الثاني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الرسائل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كشف الريبة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التنبيهات العلية؛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مسكن الفؤاد؛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البداية</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الرعاية لحال البداية في علم الدراية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الجزء الثالث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الرسائل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تخفيف العباد في بيان أحوال الاجتهاد؛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تقليد الميت؛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العدالة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ماء البئر ؛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تيقن الطهارة والحدث والشك في السابق منهما؛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الحدث الأصغر أثناء غسل الجنابة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النية؛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صلاة الجمعة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الحثّ على صلاة الجمعة؛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خصائص يوم الجمعة؛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نتائج الأفكار في بيان حكم المقيمين في الأسفار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أقل ما يجب معرفته من أحكام ؛ الحج والعمرة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نيّات الحج والعمرة؛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مناسك الحج والعمرة؛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طلاق الغائب؛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ميراث الزوجة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الحبوة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أجوبة مسائل شكر بن حمدان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أجوبة مسائل السيد ابن طراد الحسيني؛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أجوبة مسائل زين الدين بن إدريس؛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أجوبة مسائل الشيخ حسين بن زمعة المدني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أجوبة مسائل الشيخ أحمد المازحي؛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أجوبة مسائل السيد شرف الدين السمّاكي؛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أجوبة المسائل النجفية</w:t>
      </w:r>
      <w:r>
        <w:rPr>
          <w:rFonts w:eastAsia="Amiri" w:cs="Amiri" w:ascii="Amiri" w:hAnsi="Amiri"/>
          <w:color w:val="111111"/>
          <w:sz w:val="28"/>
          <w:szCs w:val="28"/>
          <w:rtl w:val="true"/>
          <w:lang w:bidi="ar-SA"/>
        </w:rPr>
        <w:t>.</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الجزء الرابع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الرسائل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تفسير آية البسْمَلَة؛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الإسطنبولية في الواجبات العينية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الاقتصاد والإرشاد إلى طريق الاجتهاد؛ </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وصيّةً نافعة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شرح حديث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الدنيا مزرعة الآخرة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تحقيق الإجماع في زمن الغَيْبَة؛ </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مخالفة الشيخ الطوسي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لإجماعات نفسه؛ </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ترجمة الشهيد بقلمه الشريف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حاشية خلاصة الأقوال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حاشية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رجال ابن داود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الإجازات </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الإنهاءات والبلاغات؛ </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الفوائد</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الجزء الخامس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تمهيد القواعد</w:t>
      </w:r>
    </w:p>
    <w:p>
      <w:pPr>
        <w:pStyle w:val="BookText"/>
        <w:rPr/>
      </w:pPr>
      <w:r>
        <w:rPr>
          <w:rFonts w:ascii="Amiri" w:hAnsi="Amiri" w:eastAsia="Amiri" w:cs="Amiri"/>
          <w:color w:val="111111"/>
          <w:sz w:val="28"/>
          <w:sz w:val="28"/>
          <w:szCs w:val="28"/>
          <w:rtl w:val="true"/>
          <w:lang w:bidi="ar-SA"/>
        </w:rPr>
        <w:t xml:space="preserve">الجزء السادس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الجزء التاسع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الروضة البهية في شرح اللمعة الدمشقية</w:t>
      </w:r>
    </w:p>
    <w:p>
      <w:pPr>
        <w:pStyle w:val="BookText"/>
        <w:rPr/>
      </w:pPr>
      <w:r>
        <w:rPr>
          <w:rFonts w:ascii="Amiri" w:hAnsi="Amiri" w:eastAsia="Amiri" w:cs="Amiri"/>
          <w:color w:val="111111"/>
          <w:sz w:val="28"/>
          <w:sz w:val="28"/>
          <w:szCs w:val="28"/>
          <w:rtl w:val="true"/>
          <w:lang w:bidi="ar-SA"/>
        </w:rPr>
        <w:t xml:space="preserve">الجزء العاشر والجزء الحادي عشر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روض الجنان في شرح إرشاد الأذهان</w:t>
      </w:r>
    </w:p>
    <w:p>
      <w:pPr>
        <w:pStyle w:val="BookText"/>
        <w:rPr/>
      </w:pPr>
      <w:r>
        <w:rPr>
          <w:rFonts w:ascii="Amiri" w:hAnsi="Amiri" w:eastAsia="Amiri" w:cs="Amiri"/>
          <w:color w:val="111111"/>
          <w:sz w:val="28"/>
          <w:sz w:val="28"/>
          <w:szCs w:val="28"/>
          <w:rtl w:val="true"/>
          <w:lang w:bidi="ar-SA"/>
        </w:rPr>
        <w:t xml:space="preserve">الجزء الثاني عشر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المقاصد العلية وحاشيتا الألفية</w:t>
      </w:r>
    </w:p>
    <w:p>
      <w:pPr>
        <w:pStyle w:val="BookText"/>
        <w:rPr/>
      </w:pPr>
      <w:r>
        <w:rPr>
          <w:rFonts w:ascii="Amiri" w:hAnsi="Amiri" w:eastAsia="Amiri" w:cs="Amiri"/>
          <w:color w:val="111111"/>
          <w:sz w:val="28"/>
          <w:sz w:val="28"/>
          <w:szCs w:val="28"/>
          <w:rtl w:val="true"/>
          <w:lang w:bidi="ar-SA"/>
        </w:rPr>
        <w:t xml:space="preserve">الجزء الثالث عشر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الفوائد المليّة لشرح الرسالة النفلية</w:t>
      </w:r>
    </w:p>
    <w:p>
      <w:pPr>
        <w:pStyle w:val="BookText"/>
        <w:rPr/>
      </w:pPr>
      <w:r>
        <w:rPr>
          <w:rFonts w:ascii="Amiri" w:hAnsi="Amiri" w:eastAsia="Amiri" w:cs="Amiri"/>
          <w:color w:val="111111"/>
          <w:sz w:val="28"/>
          <w:sz w:val="28"/>
          <w:szCs w:val="28"/>
          <w:rtl w:val="true"/>
          <w:lang w:bidi="ar-SA"/>
        </w:rPr>
        <w:t xml:space="preserve">الجزء الرابع عشر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حاشية شرائع الإسلام وحاشية المختصر النافع</w:t>
      </w:r>
    </w:p>
    <w:p>
      <w:pPr>
        <w:pStyle w:val="BookText"/>
        <w:rPr/>
      </w:pPr>
      <w:r>
        <w:rPr>
          <w:rFonts w:ascii="Amiri" w:hAnsi="Amiri" w:eastAsia="Amiri" w:cs="Amiri"/>
          <w:color w:val="111111"/>
          <w:sz w:val="28"/>
          <w:sz w:val="28"/>
          <w:szCs w:val="28"/>
          <w:rtl w:val="true"/>
          <w:lang w:bidi="ar-SA"/>
        </w:rPr>
        <w:t xml:space="preserve">الجزء الخامس عشر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حاشية القواعد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فوائد القواعد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الجزء السادس عشر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حاشية إرشاد الأذهان</w:t>
      </w:r>
    </w:p>
    <w:p>
      <w:pPr>
        <w:pStyle w:val="BookText"/>
        <w:rPr/>
      </w:pPr>
      <w:r>
        <w:rPr>
          <w:rFonts w:ascii="Amiri" w:hAnsi="Amiri" w:eastAsia="Amiri" w:cs="Amiri"/>
          <w:color w:val="111111"/>
          <w:sz w:val="28"/>
          <w:sz w:val="28"/>
          <w:szCs w:val="28"/>
          <w:rtl w:val="true"/>
          <w:lang w:bidi="ar-SA"/>
        </w:rPr>
        <w:t xml:space="preserve">الجزء السابع عشر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الجزء الثامن والعشرون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مسالك الأفهام إلى تنقيح شرائع الإسلام</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الجزء التاسع والعشرون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الفهارس </w:t>
      </w:r>
      <w:bookmarkStart w:id="7" w:name="pg11049_88303"/>
    </w:p>
    <w:p>
      <w:pPr>
        <w:pStyle w:val="Heading2"/>
        <w:numPr>
          <w:ilvl w:val="1"/>
          <w:numId w:val="1"/>
        </w:numPr>
        <w:rPr/>
      </w:pPr>
      <w:bookmarkStart w:id="8" w:name="__RefHeading___Toc1446079_1067777946"/>
      <w:bookmarkStart w:id="9" w:name="_Toc3"/>
      <w:bookmarkEnd w:id="7"/>
      <w:bookmarkEnd w:id="8"/>
      <w:r>
        <w:rPr>
          <w:rtl w:val="true"/>
        </w:rPr>
        <w:t>فهرس الموضوعات</w:t>
      </w:r>
      <w:bookmarkEnd w:id="9"/>
    </w:p>
    <w:p>
      <w:pPr>
        <w:pStyle w:val="BookText"/>
        <w:rPr/>
      </w:pPr>
      <w:r>
        <w:rPr>
          <w:rFonts w:ascii="Amiri" w:hAnsi="Amiri" w:eastAsia="Amiri" w:cs="Amiri"/>
          <w:color w:val="111111"/>
          <w:sz w:val="28"/>
          <w:sz w:val="28"/>
          <w:szCs w:val="28"/>
          <w:rtl w:val="true"/>
          <w:lang w:bidi="ar-SA"/>
        </w:rPr>
        <w:t>كتاب الإقرار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p>
    <w:p>
      <w:pPr>
        <w:pStyle w:val="BookText"/>
        <w:rPr/>
      </w:pPr>
      <w:r>
        <w:rPr>
          <w:rFonts w:ascii="Amiri" w:hAnsi="Amiri" w:eastAsia="Amiri" w:cs="Amiri"/>
          <w:color w:val="111111"/>
          <w:sz w:val="28"/>
          <w:sz w:val="28"/>
          <w:szCs w:val="28"/>
          <w:rtl w:val="true"/>
          <w:lang w:bidi="ar-SA"/>
        </w:rPr>
        <w:t>الفصل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الصيغة وتوابعها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p>
    <w:p>
      <w:pPr>
        <w:pStyle w:val="BookText"/>
        <w:rPr/>
      </w:pPr>
      <w:r>
        <w:rPr>
          <w:rFonts w:ascii="Amiri" w:hAnsi="Amiri" w:eastAsia="Amiri" w:cs="Amiri"/>
          <w:color w:val="111111"/>
          <w:sz w:val="28"/>
          <w:sz w:val="28"/>
          <w:szCs w:val="28"/>
          <w:rtl w:val="true"/>
          <w:lang w:bidi="ar-SA"/>
        </w:rPr>
        <w:t>الفصل الثاني في تعقيب الإقرار بما ينافيه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w:t>
      </w:r>
    </w:p>
    <w:p>
      <w:pPr>
        <w:pStyle w:val="BookText"/>
        <w:rPr/>
      </w:pPr>
      <w:r>
        <w:rPr>
          <w:rFonts w:ascii="Amiri" w:hAnsi="Amiri" w:eastAsia="Amiri" w:cs="Amiri"/>
          <w:color w:val="111111"/>
          <w:sz w:val="28"/>
          <w:sz w:val="28"/>
          <w:szCs w:val="28"/>
          <w:rtl w:val="true"/>
          <w:lang w:bidi="ar-SA"/>
        </w:rPr>
        <w:t>الفصل الثالث في الإقرار بالنسب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w:t>
      </w:r>
    </w:p>
    <w:p>
      <w:pPr>
        <w:pStyle w:val="BookText"/>
        <w:rPr/>
      </w:pPr>
      <w:r>
        <w:rPr>
          <w:rFonts w:ascii="Amiri" w:hAnsi="Amiri" w:eastAsia="Amiri" w:cs="Amiri"/>
          <w:color w:val="111111"/>
          <w:sz w:val="28"/>
          <w:sz w:val="28"/>
          <w:szCs w:val="28"/>
          <w:rtl w:val="true"/>
          <w:lang w:bidi="ar-SA"/>
        </w:rPr>
        <w:t xml:space="preserve">كتاب الغصب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w:t>
      </w:r>
    </w:p>
    <w:p>
      <w:pPr>
        <w:pStyle w:val="BookText"/>
        <w:rPr/>
      </w:pPr>
      <w:r>
        <w:rPr>
          <w:rFonts w:ascii="Amiri" w:hAnsi="Amiri" w:eastAsia="Amiri" w:cs="Amiri"/>
          <w:color w:val="111111"/>
          <w:sz w:val="28"/>
          <w:sz w:val="28"/>
          <w:szCs w:val="28"/>
          <w:rtl w:val="true"/>
          <w:lang w:bidi="ar-SA"/>
        </w:rPr>
        <w:t xml:space="preserve">كتاب اللقطة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59</w:t>
      </w:r>
    </w:p>
    <w:p>
      <w:pPr>
        <w:pStyle w:val="BookText"/>
        <w:rPr/>
      </w:pPr>
      <w:r>
        <w:rPr>
          <w:rFonts w:ascii="Amiri" w:hAnsi="Amiri" w:eastAsia="Amiri" w:cs="Amiri"/>
          <w:color w:val="111111"/>
          <w:sz w:val="28"/>
          <w:sz w:val="28"/>
          <w:szCs w:val="28"/>
          <w:rtl w:val="true"/>
          <w:lang w:bidi="ar-SA"/>
        </w:rPr>
        <w:t>الفصل الأوّل في اللقيط</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61</w:t>
      </w:r>
    </w:p>
    <w:p>
      <w:pPr>
        <w:pStyle w:val="BookText"/>
        <w:rPr/>
      </w:pPr>
      <w:r>
        <w:rPr>
          <w:rFonts w:ascii="Amiri" w:hAnsi="Amiri" w:eastAsia="Amiri" w:cs="Amiri"/>
          <w:color w:val="111111"/>
          <w:sz w:val="28"/>
          <w:sz w:val="28"/>
          <w:szCs w:val="28"/>
          <w:rtl w:val="true"/>
          <w:lang w:bidi="ar-SA"/>
        </w:rPr>
        <w:t xml:space="preserve">الفصل الثاني في لقطة الحيوان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69</w:t>
      </w:r>
    </w:p>
    <w:p>
      <w:pPr>
        <w:pStyle w:val="BookText"/>
        <w:rPr/>
      </w:pPr>
      <w:r>
        <w:rPr>
          <w:rFonts w:ascii="Amiri" w:hAnsi="Amiri" w:eastAsia="Amiri" w:cs="Amiri"/>
          <w:color w:val="111111"/>
          <w:sz w:val="28"/>
          <w:sz w:val="28"/>
          <w:szCs w:val="28"/>
          <w:rtl w:val="true"/>
          <w:lang w:bidi="ar-SA"/>
        </w:rPr>
        <w:t>الفصل الثالث في لقطة المال غير الحيوان مطلقاً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74</w:t>
      </w:r>
    </w:p>
    <w:p>
      <w:pPr>
        <w:pStyle w:val="BookText"/>
        <w:rPr/>
      </w:pPr>
      <w:r>
        <w:rPr>
          <w:rFonts w:ascii="Amiri" w:hAnsi="Amiri" w:eastAsia="Amiri" w:cs="Amiri"/>
          <w:color w:val="111111"/>
          <w:sz w:val="28"/>
          <w:sz w:val="28"/>
          <w:szCs w:val="28"/>
          <w:rtl w:val="true"/>
          <w:lang w:bidi="ar-SA"/>
        </w:rPr>
        <w:t xml:space="preserve">كتاب إحياء الموات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87</w:t>
      </w:r>
    </w:p>
    <w:p>
      <w:pPr>
        <w:pStyle w:val="BookText"/>
        <w:rPr/>
      </w:pPr>
      <w:r>
        <w:rPr>
          <w:rFonts w:ascii="Amiri" w:hAnsi="Amiri" w:eastAsia="Amiri" w:cs="Amiri"/>
          <w:color w:val="111111"/>
          <w:sz w:val="28"/>
          <w:sz w:val="28"/>
          <w:szCs w:val="28"/>
          <w:rtl w:val="true"/>
          <w:lang w:bidi="ar-SA"/>
        </w:rPr>
        <w:t xml:space="preserve">شروط الإحياء المُمَلّك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94</w:t>
      </w:r>
    </w:p>
    <w:p>
      <w:pPr>
        <w:pStyle w:val="BookText"/>
        <w:rPr/>
      </w:pPr>
      <w:r>
        <w:rPr>
          <w:rFonts w:ascii="Amiri" w:hAnsi="Amiri" w:eastAsia="Amiri" w:cs="Amiri"/>
          <w:color w:val="111111"/>
          <w:sz w:val="28"/>
          <w:sz w:val="28"/>
          <w:szCs w:val="28"/>
          <w:rtl w:val="true"/>
          <w:lang w:bidi="ar-SA"/>
        </w:rPr>
        <w:t xml:space="preserve">القول في المشتَرَكات بين الناس في الجملة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100</w:t>
      </w:r>
    </w:p>
    <w:p>
      <w:pPr>
        <w:pStyle w:val="BookText"/>
        <w:rPr/>
      </w:pPr>
      <w:r>
        <w:rPr>
          <w:rFonts w:ascii="IRNazanin" w:hAnsi="IRNazanin" w:eastAsia="IRNazanin"/>
          <w:color w:val="111111"/>
          <w:sz w:val="28"/>
          <w:sz w:val="28"/>
          <w:szCs w:val="28"/>
          <w:rtl w:val="true"/>
          <w:lang w:bidi="fa-IR"/>
        </w:rPr>
        <w:t>کتاب الصيد والذباحة</w:t>
      </w:r>
      <w:r>
        <w:rPr>
          <w:rFonts w:eastAsia="IRNazanin" w:cs="IRNazanin"/>
          <w:color w:val="111111"/>
          <w:sz w:val="28"/>
          <w:szCs w:val="28"/>
          <w:rtl w:val="true"/>
          <w:lang w:bidi="fa-IR"/>
        </w:rPr>
        <w:t>...</w:t>
      </w:r>
      <w:r>
        <w:rPr>
          <w:rFonts w:eastAsia="IRNazanin" w:cs="IRNazanin"/>
          <w:color w:val="111111"/>
          <w:sz w:val="28"/>
          <w:szCs w:val="28"/>
          <w:lang w:bidi="fa-IR"/>
        </w:rPr>
        <w:t>109</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الفصل الأوّل في آلة الصيد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الفصل الثاني في الذباحة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116</w:t>
      </w:r>
    </w:p>
    <w:p>
      <w:pPr>
        <w:pStyle w:val="BookText"/>
        <w:rPr/>
      </w:pPr>
      <w:r>
        <w:rPr>
          <w:rFonts w:ascii="Amiri" w:hAnsi="Amiri" w:eastAsia="Amiri" w:cs="Amiri"/>
          <w:color w:val="111111"/>
          <w:sz w:val="28"/>
          <w:sz w:val="28"/>
          <w:szCs w:val="28"/>
          <w:rtl w:val="true"/>
          <w:lang w:bidi="ar-SA"/>
        </w:rPr>
        <w:t xml:space="preserve">الفصل الثالث في اللواحق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127</w:t>
      </w:r>
    </w:p>
    <w:p>
      <w:pPr>
        <w:pStyle w:val="BookText"/>
        <w:rPr/>
      </w:pPr>
      <w:r>
        <w:rPr>
          <w:rFonts w:ascii="Amiri" w:hAnsi="Amiri" w:eastAsia="Amiri" w:cs="Amiri"/>
          <w:color w:val="111111"/>
          <w:sz w:val="28"/>
          <w:sz w:val="28"/>
          <w:szCs w:val="28"/>
          <w:rtl w:val="true"/>
          <w:lang w:bidi="ar-SA"/>
        </w:rPr>
        <w:t xml:space="preserve">كتاب الأطعمة والأشربة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135</w:t>
      </w:r>
    </w:p>
    <w:p>
      <w:pPr>
        <w:pStyle w:val="BookText"/>
        <w:rPr/>
      </w:pPr>
      <w:r>
        <w:rPr>
          <w:rFonts w:ascii="Amiri" w:hAnsi="Amiri" w:eastAsia="Amiri" w:cs="Amiri"/>
          <w:color w:val="111111"/>
          <w:sz w:val="28"/>
          <w:sz w:val="28"/>
          <w:szCs w:val="28"/>
          <w:rtl w:val="true"/>
          <w:lang w:bidi="ar-SA"/>
        </w:rPr>
        <w:t xml:space="preserve">كتاب الميراث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173</w:t>
      </w:r>
    </w:p>
    <w:p>
      <w:pPr>
        <w:pStyle w:val="BookText"/>
        <w:rPr/>
      </w:pPr>
      <w:r>
        <w:rPr>
          <w:rFonts w:ascii="Amiri" w:hAnsi="Amiri" w:eastAsia="Amiri" w:cs="Amiri"/>
          <w:color w:val="111111"/>
          <w:sz w:val="28"/>
          <w:sz w:val="28"/>
          <w:szCs w:val="28"/>
          <w:rtl w:val="true"/>
          <w:lang w:bidi="ar-SA"/>
        </w:rPr>
        <w:t>الفصل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البحث في الموجبات للإرث والموانع منه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175</w:t>
      </w:r>
    </w:p>
    <w:p>
      <w:pPr>
        <w:pStyle w:val="BookText"/>
        <w:rPr/>
      </w:pPr>
      <w:r>
        <w:rPr>
          <w:rFonts w:ascii="Amiri" w:hAnsi="Amiri" w:eastAsia="Amiri" w:cs="Amiri"/>
          <w:color w:val="111111"/>
          <w:sz w:val="28"/>
          <w:sz w:val="28"/>
          <w:szCs w:val="28"/>
          <w:rtl w:val="true"/>
          <w:lang w:bidi="ar-SA"/>
        </w:rPr>
        <w:t>الفصل الثاني في بيان السهام المقدَّرة و بيان أهلها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188</w:t>
      </w:r>
    </w:p>
    <w:p>
      <w:pPr>
        <w:pStyle w:val="BookText"/>
        <w:rPr/>
      </w:pPr>
      <w:r>
        <w:rPr>
          <w:rFonts w:ascii="Amiri" w:hAnsi="Amiri" w:eastAsia="Amiri" w:cs="Amiri"/>
          <w:color w:val="111111"/>
          <w:sz w:val="28"/>
          <w:sz w:val="28"/>
          <w:szCs w:val="28"/>
          <w:rtl w:val="true"/>
          <w:lang w:bidi="ar-SA"/>
        </w:rPr>
        <w:t xml:space="preserve">القول في ميراث الأجداد والإخوة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205</w:t>
      </w:r>
    </w:p>
    <w:p>
      <w:pPr>
        <w:pStyle w:val="BookText"/>
        <w:rPr/>
      </w:pPr>
      <w:r>
        <w:rPr>
          <w:rFonts w:ascii="Amiri" w:hAnsi="Amiri" w:eastAsia="Amiri" w:cs="Amiri"/>
          <w:color w:val="111111"/>
          <w:sz w:val="28"/>
          <w:sz w:val="28"/>
          <w:szCs w:val="28"/>
          <w:rtl w:val="true"/>
          <w:lang w:bidi="ar-SA"/>
        </w:rPr>
        <w:t xml:space="preserve">القول في ميراث الأعمام والأخوال وأولادهم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212</w:t>
      </w:r>
    </w:p>
    <w:p>
      <w:pPr>
        <w:pStyle w:val="BookText"/>
        <w:rPr/>
      </w:pPr>
      <w:r>
        <w:rPr>
          <w:rFonts w:ascii="Amiri" w:hAnsi="Amiri" w:eastAsia="Amiri" w:cs="Amiri"/>
          <w:color w:val="111111"/>
          <w:sz w:val="28"/>
          <w:sz w:val="28"/>
          <w:szCs w:val="28"/>
          <w:rtl w:val="true"/>
          <w:lang w:bidi="ar-SA"/>
        </w:rPr>
        <w:t xml:space="preserve">القول في ميراث الأزواج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219</w:t>
      </w:r>
    </w:p>
    <w:p>
      <w:pPr>
        <w:pStyle w:val="BookText"/>
        <w:rPr/>
      </w:pPr>
      <w:r>
        <w:rPr>
          <w:rFonts w:ascii="Amiri" w:hAnsi="Amiri" w:eastAsia="Amiri" w:cs="Amiri"/>
          <w:color w:val="111111"/>
          <w:sz w:val="28"/>
          <w:sz w:val="28"/>
          <w:szCs w:val="28"/>
          <w:rtl w:val="true"/>
          <w:lang w:bidi="ar-SA"/>
        </w:rPr>
        <w:t xml:space="preserve">الفصل الثالث في الولاء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225</w:t>
      </w:r>
    </w:p>
    <w:p>
      <w:pPr>
        <w:pStyle w:val="BookText"/>
        <w:rPr/>
      </w:pPr>
      <w:r>
        <w:rPr>
          <w:rFonts w:ascii="Amiri" w:hAnsi="Amiri" w:eastAsia="Amiri" w:cs="Amiri"/>
          <w:color w:val="111111"/>
          <w:sz w:val="28"/>
          <w:sz w:val="28"/>
          <w:szCs w:val="28"/>
          <w:rtl w:val="true"/>
          <w:lang w:bidi="ar-SA"/>
        </w:rPr>
        <w:t xml:space="preserve">الفصل الرابع في التوابع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230</w:t>
      </w:r>
    </w:p>
    <w:p>
      <w:pPr>
        <w:pStyle w:val="BookText"/>
        <w:rPr/>
      </w:pPr>
      <w:r>
        <w:rPr>
          <w:rFonts w:ascii="Amiri" w:hAnsi="Amiri" w:eastAsia="Amiri" w:cs="Amiri"/>
          <w:color w:val="111111"/>
          <w:sz w:val="28"/>
          <w:sz w:val="28"/>
          <w:szCs w:val="28"/>
          <w:rtl w:val="true"/>
          <w:lang w:bidi="ar-SA"/>
        </w:rPr>
        <w:t xml:space="preserve">كتاب الحدود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249</w:t>
      </w:r>
    </w:p>
    <w:p>
      <w:pPr>
        <w:pStyle w:val="BookText"/>
        <w:rPr/>
      </w:pPr>
      <w:r>
        <w:rPr>
          <w:rFonts w:ascii="Amiri" w:hAnsi="Amiri" w:eastAsia="Amiri" w:cs="Amiri"/>
          <w:color w:val="111111"/>
          <w:sz w:val="28"/>
          <w:sz w:val="28"/>
          <w:szCs w:val="28"/>
          <w:rtl w:val="true"/>
          <w:lang w:bidi="ar-SA"/>
        </w:rPr>
        <w:t xml:space="preserve">الفصل الأوّل في حدّ الزنى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251</w:t>
      </w:r>
    </w:p>
    <w:p>
      <w:pPr>
        <w:pStyle w:val="BookText"/>
        <w:rPr/>
      </w:pPr>
      <w:r>
        <w:rPr>
          <w:rFonts w:ascii="Amiri" w:hAnsi="Amiri" w:eastAsia="Amiri" w:cs="Amiri"/>
          <w:color w:val="111111"/>
          <w:sz w:val="28"/>
          <w:sz w:val="28"/>
          <w:szCs w:val="28"/>
          <w:rtl w:val="true"/>
          <w:lang w:bidi="ar-SA"/>
        </w:rPr>
        <w:t xml:space="preserve">الفصل الثاني في اللواط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280</w:t>
      </w:r>
    </w:p>
    <w:p>
      <w:pPr>
        <w:pStyle w:val="BookText"/>
        <w:rPr/>
      </w:pPr>
      <w:r>
        <w:rPr>
          <w:rFonts w:ascii="Amiri" w:hAnsi="Amiri" w:eastAsia="Amiri" w:cs="Amiri"/>
          <w:color w:val="111111"/>
          <w:sz w:val="28"/>
          <w:sz w:val="28"/>
          <w:szCs w:val="28"/>
          <w:rtl w:val="true"/>
          <w:lang w:bidi="ar-SA"/>
        </w:rPr>
        <w:t xml:space="preserve">الفصل الثالث في القذف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287</w:t>
      </w:r>
    </w:p>
    <w:p>
      <w:pPr>
        <w:pStyle w:val="BookText"/>
        <w:rPr/>
      </w:pPr>
      <w:r>
        <w:rPr>
          <w:rFonts w:ascii="Amiri" w:hAnsi="Amiri" w:eastAsia="Amiri" w:cs="Amiri"/>
          <w:color w:val="111111"/>
          <w:sz w:val="28"/>
          <w:sz w:val="28"/>
          <w:szCs w:val="28"/>
          <w:rtl w:val="true"/>
          <w:lang w:bidi="ar-SA"/>
        </w:rPr>
        <w:t>الفصل الرابع في شرب المُسْكِر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300</w:t>
      </w:r>
    </w:p>
    <w:p>
      <w:pPr>
        <w:pStyle w:val="BookText"/>
        <w:rPr/>
      </w:pPr>
      <w:r>
        <w:rPr>
          <w:rFonts w:ascii="Amiri" w:hAnsi="Amiri" w:eastAsia="Amiri" w:cs="Amiri"/>
          <w:color w:val="111111"/>
          <w:sz w:val="28"/>
          <w:sz w:val="28"/>
          <w:szCs w:val="28"/>
          <w:rtl w:val="true"/>
          <w:lang w:bidi="ar-SA"/>
        </w:rPr>
        <w:t xml:space="preserve">الفصل الخامس في السرقة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308</w:t>
      </w:r>
    </w:p>
    <w:p>
      <w:pPr>
        <w:pStyle w:val="BookText"/>
        <w:rPr/>
      </w:pPr>
      <w:r>
        <w:rPr>
          <w:rFonts w:ascii="Amiri" w:hAnsi="Amiri" w:eastAsia="Amiri" w:cs="Amiri"/>
          <w:color w:val="111111"/>
          <w:sz w:val="28"/>
          <w:sz w:val="28"/>
          <w:szCs w:val="28"/>
          <w:rtl w:val="true"/>
          <w:lang w:bidi="ar-SA"/>
        </w:rPr>
        <w:t xml:space="preserve">الفصل السادس فى المحاربة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325</w:t>
      </w:r>
    </w:p>
    <w:p>
      <w:pPr>
        <w:pStyle w:val="BookText"/>
        <w:rPr/>
      </w:pPr>
      <w:r>
        <w:rPr>
          <w:rFonts w:ascii="Amiri" w:hAnsi="Amiri" w:eastAsia="Amiri" w:cs="Amiri"/>
          <w:color w:val="111111"/>
          <w:sz w:val="28"/>
          <w:sz w:val="28"/>
          <w:szCs w:val="28"/>
          <w:rtl w:val="true"/>
          <w:lang w:bidi="ar-SA"/>
        </w:rPr>
        <w:t>الفصل السابع في عقوباتٍ متفرّقةٍ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332</w:t>
      </w:r>
    </w:p>
    <w:p>
      <w:pPr>
        <w:pStyle w:val="BookText"/>
        <w:rPr/>
      </w:pPr>
      <w:r>
        <w:rPr>
          <w:rFonts w:ascii="Amiri" w:hAnsi="Amiri" w:eastAsia="Amiri" w:cs="Amiri"/>
          <w:color w:val="111111"/>
          <w:sz w:val="28"/>
          <w:sz w:val="28"/>
          <w:szCs w:val="28"/>
          <w:rtl w:val="true"/>
          <w:lang w:bidi="ar-SA"/>
        </w:rPr>
        <w:t>كتاب القصاص</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347</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الفصل الأوّل في قصاص النفس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349</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القول في شرائط القصاص</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358</w:t>
      </w:r>
    </w:p>
    <w:p>
      <w:pPr>
        <w:pStyle w:val="BookText"/>
        <w:rPr/>
      </w:pPr>
      <w:r>
        <w:rPr>
          <w:rFonts w:ascii="Amiri" w:hAnsi="Amiri" w:eastAsia="Amiri" w:cs="Amiri"/>
          <w:color w:val="111111"/>
          <w:sz w:val="28"/>
          <w:sz w:val="28"/>
          <w:szCs w:val="28"/>
          <w:rtl w:val="true"/>
          <w:lang w:bidi="ar-SA"/>
        </w:rPr>
        <w:t>القول فيما يثبت به القتل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372</w:t>
      </w:r>
    </w:p>
    <w:p>
      <w:pPr>
        <w:pStyle w:val="BookText"/>
        <w:rPr/>
      </w:pPr>
      <w:r>
        <w:rPr>
          <w:rFonts w:ascii="Amiri" w:hAnsi="Amiri" w:eastAsia="Amiri" w:cs="Amiri"/>
          <w:color w:val="111111"/>
          <w:sz w:val="28"/>
          <w:sz w:val="28"/>
          <w:szCs w:val="28"/>
          <w:rtl w:val="true"/>
          <w:lang w:bidi="ar-SA"/>
        </w:rPr>
        <w:t xml:space="preserve">الفصل الثاني في قصاص الطَّرَف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377</w:t>
      </w:r>
    </w:p>
    <w:p>
      <w:pPr>
        <w:pStyle w:val="BookText"/>
        <w:rPr/>
      </w:pPr>
      <w:r>
        <w:rPr>
          <w:rFonts w:ascii="Amiri" w:hAnsi="Amiri" w:eastAsia="Amiri" w:cs="Amiri"/>
          <w:color w:val="111111"/>
          <w:sz w:val="28"/>
          <w:sz w:val="28"/>
          <w:szCs w:val="28"/>
          <w:rtl w:val="true"/>
          <w:lang w:bidi="ar-SA"/>
        </w:rPr>
        <w:t xml:space="preserve">الفصل الثالث في اللواحق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384</w:t>
      </w:r>
    </w:p>
    <w:p>
      <w:pPr>
        <w:pStyle w:val="BookText"/>
        <w:rPr/>
      </w:pPr>
      <w:r>
        <w:rPr>
          <w:rFonts w:ascii="Amiri" w:hAnsi="Amiri" w:eastAsia="Amiri" w:cs="Amiri"/>
          <w:color w:val="111111"/>
          <w:sz w:val="28"/>
          <w:sz w:val="28"/>
          <w:szCs w:val="28"/>
          <w:rtl w:val="true"/>
          <w:lang w:bidi="ar-SA"/>
        </w:rPr>
        <w:t xml:space="preserve">كتاب الديات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393</w:t>
      </w:r>
    </w:p>
    <w:p>
      <w:pPr>
        <w:pStyle w:val="BookText"/>
        <w:rPr/>
      </w:pPr>
      <w:r>
        <w:rPr>
          <w:rFonts w:ascii="Amiri" w:hAnsi="Amiri" w:eastAsia="Amiri" w:cs="Amiri"/>
          <w:color w:val="111111"/>
          <w:sz w:val="28"/>
          <w:sz w:val="28"/>
          <w:szCs w:val="28"/>
          <w:rtl w:val="true"/>
          <w:lang w:bidi="ar-SA"/>
        </w:rPr>
        <w:t xml:space="preserve">الفصل الأوّل في مَوْرِد الدية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395</w:t>
      </w:r>
    </w:p>
    <w:p>
      <w:pPr>
        <w:pStyle w:val="BookText"/>
        <w:rPr/>
      </w:pPr>
      <w:r>
        <w:rPr>
          <w:rFonts w:ascii="Amiri" w:hAnsi="Amiri" w:eastAsia="Amiri" w:cs="Amiri"/>
          <w:color w:val="111111"/>
          <w:sz w:val="28"/>
          <w:sz w:val="28"/>
          <w:szCs w:val="28"/>
          <w:rtl w:val="true"/>
          <w:lang w:bidi="ar-SA"/>
        </w:rPr>
        <w:t xml:space="preserve">الفصل الثاني في التقديرات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416</w:t>
      </w:r>
    </w:p>
    <w:p>
      <w:pPr>
        <w:pStyle w:val="BookText"/>
        <w:rPr/>
      </w:pPr>
      <w:r>
        <w:rPr>
          <w:rFonts w:ascii="Amiri" w:hAnsi="Amiri" w:eastAsia="Amiri" w:cs="Amiri"/>
          <w:color w:val="111111"/>
          <w:sz w:val="28"/>
          <w:sz w:val="28"/>
          <w:szCs w:val="28"/>
          <w:rtl w:val="true"/>
          <w:lang w:bidi="ar-SA"/>
        </w:rPr>
        <w:t xml:space="preserve">القول في دية المنافع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439</w:t>
      </w:r>
    </w:p>
    <w:p>
      <w:pPr>
        <w:pStyle w:val="BookText"/>
        <w:rPr/>
      </w:pPr>
      <w:r>
        <w:rPr>
          <w:rFonts w:ascii="Amiri" w:hAnsi="Amiri" w:eastAsia="Amiri" w:cs="Amiri"/>
          <w:color w:val="111111"/>
          <w:sz w:val="28"/>
          <w:sz w:val="28"/>
          <w:szCs w:val="28"/>
          <w:rtl w:val="true"/>
          <w:lang w:bidi="ar-SA"/>
        </w:rPr>
        <w:t>الفصل الثالث في الشجَاج</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444</w:t>
      </w:r>
    </w:p>
    <w:p>
      <w:pPr>
        <w:pStyle w:val="BookText"/>
        <w:rPr/>
      </w:pPr>
      <w:r>
        <w:rPr>
          <w:rFonts w:ascii="Amiri" w:hAnsi="Amiri" w:eastAsia="Amiri" w:cs="Amiri"/>
          <w:color w:val="111111"/>
          <w:sz w:val="28"/>
          <w:sz w:val="28"/>
          <w:szCs w:val="28"/>
          <w:rtl w:val="true"/>
          <w:lang w:bidi="ar-SA"/>
        </w:rPr>
        <w:t xml:space="preserve">الفصل الرابع في التوابع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451</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دية الجنين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451</w:t>
      </w:r>
    </w:p>
    <w:p>
      <w:pPr>
        <w:pStyle w:val="BookText"/>
        <w:rPr/>
      </w:pPr>
      <w:r>
        <w:rPr>
          <w:rFonts w:ascii="Amiri" w:hAnsi="Amiri" w:eastAsia="Amiri" w:cs="Amiri"/>
          <w:color w:val="111111"/>
          <w:sz w:val="28"/>
          <w:sz w:val="28"/>
          <w:szCs w:val="28"/>
          <w:rtl w:val="true"/>
          <w:lang w:bidi="ar-SA"/>
        </w:rPr>
        <w:t>الثاني في العاقلة التي تحمل دية الخطأ</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455</w:t>
      </w:r>
    </w:p>
    <w:p>
      <w:pPr>
        <w:pStyle w:val="BookText"/>
        <w:rPr/>
      </w:pPr>
      <w:r>
        <w:rPr>
          <w:rFonts w:ascii="Amiri" w:hAnsi="Amiri" w:eastAsia="Amiri" w:cs="Amiri"/>
          <w:color w:val="111111"/>
          <w:sz w:val="28"/>
          <w:sz w:val="28"/>
          <w:szCs w:val="28"/>
          <w:rtl w:val="true"/>
          <w:lang w:bidi="ar-SA"/>
        </w:rPr>
        <w:t xml:space="preserve">الثالث في الكفّارة اللازمة للقاتل بسبب القتل مطلقاً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458</w:t>
      </w:r>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الرابع في الجناية على الحيوان الصامت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459</w:t>
      </w:r>
      <w:r>
        <w:rPr>
          <w:rFonts w:eastAsia="Amiri" w:cs="Amiri" w:ascii="Amiri" w:hAnsi="Amiri"/>
          <w:color w:val="111111"/>
          <w:sz w:val="28"/>
          <w:szCs w:val="28"/>
          <w:rtl w:val="true"/>
          <w:lang w:bidi="ar-SA"/>
        </w:rPr>
        <w:t xml:space="preserve"> </w:t>
      </w:r>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0" w:name="pg11049_88307"/>
      <w:bookmarkStart w:id="11" w:name="pg11049_88307"/>
      <w:bookmarkEnd w:id="11"/>
    </w:p>
    <w:p>
      <w:pPr>
        <w:pStyle w:val="Heading2"/>
        <w:numPr>
          <w:ilvl w:val="1"/>
          <w:numId w:val="1"/>
        </w:numPr>
        <w:rPr/>
      </w:pPr>
      <w:bookmarkStart w:id="12" w:name="pg11049_88307"/>
      <w:bookmarkStart w:id="13" w:name="__RefHeading___Toc1446081_1067777946"/>
      <w:bookmarkStart w:id="14" w:name="_Toc4"/>
      <w:bookmarkEnd w:id="12"/>
      <w:bookmarkEnd w:id="13"/>
      <w:r>
        <w:rPr>
          <w:rtl w:val="true"/>
        </w:rPr>
        <w:t>كتاب الإقرار</w:t>
      </w:r>
      <w:bookmarkEnd w:id="14"/>
    </w:p>
    <w:p>
      <w:pPr>
        <w:pStyle w:val="Heading3"/>
        <w:numPr>
          <w:ilvl w:val="2"/>
          <w:numId w:val="1"/>
        </w:numPr>
        <w:rPr/>
      </w:pPr>
      <w:bookmarkStart w:id="15" w:name="__RefHeading___Toc1446083_1067777946"/>
      <w:bookmarkStart w:id="16" w:name="_Toc5"/>
      <w:bookmarkEnd w:id="15"/>
      <w:r>
        <w:rPr>
          <w:rtl w:val="true"/>
        </w:rPr>
        <w:t>اشارة</w:t>
      </w:r>
      <w:bookmarkEnd w:id="16"/>
    </w:p>
    <w:p>
      <w:pPr>
        <w:sectPr>
          <w:footerReference w:type="default" r:id="rId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وفيه فصول </w:t>
      </w:r>
      <w:r>
        <w:rPr>
          <w:rFonts w:eastAsia="Amiri" w:cs="Amiri" w:ascii="Amiri" w:hAnsi="Amiri"/>
          <w:color w:val="111111"/>
          <w:sz w:val="28"/>
          <w:szCs w:val="28"/>
          <w:rtl w:val="true"/>
          <w:lang w:bidi="ar-SA"/>
        </w:rPr>
        <w:t xml:space="preserve">:) </w:t>
      </w:r>
    </w:p>
    <w:p>
      <w:pPr>
        <w:sectPr>
          <w:footerReference w:type="default" r:id="rId17"/>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7" w:name="pg11049_88309"/>
      <w:bookmarkStart w:id="18" w:name="pg11049_88309"/>
      <w:bookmarkEnd w:id="18"/>
    </w:p>
    <w:p>
      <w:pPr>
        <w:pStyle w:val="Heading3"/>
        <w:numPr>
          <w:ilvl w:val="2"/>
          <w:numId w:val="1"/>
        </w:numPr>
        <w:rPr/>
      </w:pPr>
      <w:bookmarkStart w:id="19" w:name="pg11049_88309"/>
      <w:bookmarkStart w:id="20" w:name="__RefHeading___Toc1446085_1067777946"/>
      <w:bookmarkStart w:id="21" w:name="_Toc6"/>
      <w:bookmarkEnd w:id="19"/>
      <w:bookmarkEnd w:id="20"/>
      <w:r>
        <w:rPr>
          <w:rtl w:val="true"/>
        </w:rPr>
        <w:t>الفصل الأوّل</w:t>
      </w:r>
      <w:r>
        <w:rPr>
          <w:rtl w:val="true"/>
        </w:rPr>
        <w:t xml:space="preserve">: </w:t>
      </w:r>
      <w:r>
        <w:rPr>
          <w:rtl w:val="true"/>
        </w:rPr>
        <w:t>الصيغة وتوابعها</w:t>
      </w:r>
      <w:bookmarkEnd w:id="21"/>
    </w:p>
    <w:p>
      <w:pPr>
        <w:pStyle w:val="BookText"/>
        <w:rPr/>
      </w:pPr>
      <w:r>
        <w:rPr>
          <w:rFonts w:ascii="Amiri" w:hAnsi="Amiri" w:eastAsia="Amiri" w:cs="Amiri"/>
          <w:color w:val="111111"/>
          <w:sz w:val="28"/>
          <w:sz w:val="28"/>
          <w:szCs w:val="28"/>
          <w:rtl w:val="true"/>
          <w:lang w:bidi="ar-SA"/>
        </w:rPr>
        <w:t>من شرائطِ المُقِرّ وجملةٍ من أحكامه المترتبة على الصيغة، ويندرج فيه بعضُ شرائط المُقَرّ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عليه أن يُدرج شرائط المُقَر له أيضاً فيه ،وهي أهلیته للتملك ، وأن لا يُكَذِّب المُقِرّ وأن يكون ممّن يملك المُقَرَّ به، فلو أَقَرَّ للحائط أو الدابَّةِ لغا، ولو أكذبه لم يُعْطَ، ولو لم يصلح لملكه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لو أقر لمسلم بخنزير، أو خمرٍ غير محترمة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بَطَل، وإنّما أدرجنا ذلك ليتم الباب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الصيغة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عندي 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الشيءُ؛ كهذا البيت أو البستان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دون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بيتي وبستاني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المشهور؛ لامتناع اجتماع مالكين مُستَوعِبَين على شيءٍ واحدٍ، والإقرارُ يقتضي سَبْقَ مِلك المُقَرّ له على وقت الإقرار فيجتمع النقيضان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بسبب صحيح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كشراء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ونحوه صح؛ لجواز أن يكون له حق وقد جَعَل دارَه في مقابلته</w:t>
      </w:r>
      <w:r>
        <w:rPr>
          <w:rFonts w:eastAsia="Amiri" w:cs="Amiri" w:ascii="Amiri" w:hAnsi="Amiri"/>
          <w:color w:val="111111"/>
          <w:sz w:val="28"/>
          <w:szCs w:val="28"/>
          <w:rtl w:val="true"/>
          <w:lang w:bidi="ar-SA"/>
        </w:rPr>
        <w:t>.</w:t>
      </w:r>
    </w:p>
    <w:p>
      <w:pPr>
        <w:sectPr>
          <w:footerReference w:type="default" r:id="rId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والأقوى الصحة مطلقاً؛ لإمكان تنزيل الخالي من الضميمة عليها؛ لأنّ الإقرار مطلقاً يُنَزَّل على السبب الصحيح مع إمكان غيره؛ ولأنّ التناقض إنما يتحقق مع ثبوت الملك لهما في نفس الأمر، أما ثبوت أحدهما ظاهراً والآخر في نفس الأمر فلا، والحال هنا كذلك، فإنّ الإخبار بملك المقرّ له يقتضي ثبوت ملكه في الواقع ونسبة المقرّ به إلى نفسه يُحمّل على الظاهر فإنّه المطابق لحكم الإقرار؛ إذ لابد فيه من كون المقرّ به تحت يد المقر، وهي تقتضي ظاهراً كونه ملكاً له؛ ولأنّ </w:t>
      </w:r>
    </w:p>
    <w:p>
      <w:pPr>
        <w:pStyle w:val="BookText"/>
        <w:rPr/>
      </w:pPr>
      <w:r>
        <w:rPr>
          <w:rFonts w:ascii="Amiri" w:hAnsi="Amiri" w:eastAsia="Amiri" w:cs="Amiri"/>
          <w:color w:val="111111"/>
          <w:sz w:val="28"/>
          <w:sz w:val="28"/>
          <w:szCs w:val="28"/>
          <w:rtl w:val="true"/>
          <w:lang w:bidi="ar-SA"/>
        </w:rPr>
        <w:t>الإضافةً يكفى فيها أدنى مُلابسة مثل</w:t>
      </w:r>
      <w:r>
        <w:rPr>
          <w:rStyle w:val="FootnoteAnchor"/>
          <w:rtl w:val="true"/>
        </w:rPr>
        <w:footnoteReference w:id="2"/>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لَا تُخْرِجُوهُنَّ مِنْ بُيُوتِهِنَّ</w:t>
      </w:r>
      <w:r>
        <w:rPr>
          <w:rStyle w:val="FootnoteAnchor"/>
          <w:rtl w:val="true"/>
        </w:rPr>
        <w:footnoteReference w:id="3"/>
      </w:r>
      <w:r>
        <w:rPr>
          <w:rFonts w:ascii="Amiri" w:hAnsi="Amiri" w:eastAsia="Amiri" w:cs="Amiri"/>
          <w:color w:val="111111"/>
          <w:sz w:val="28"/>
          <w:sz w:val="28"/>
          <w:szCs w:val="28"/>
          <w:rtl w:val="true"/>
          <w:lang w:bidi="ar-SA"/>
        </w:rPr>
        <w:t xml:space="preserve">، فإن المراد ، بيوت الأزواج، وأضيفت إلى الزوجات بملابسة السكني، ولو كان ملكاً لهنّ لما جاز إخراجهنّ عند الفاحشة، وكقول أحدِ حامِلي الخشبة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خُذْ طَرَفَك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كوكب الخَرقاء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شهادة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دِينه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وهذه الإضافة لو كانت مجازاً لوجب الحمل عليه؛ لوجود القرينة الصارفةِ عن الحقيقة، والمعيّنة له؛ لأن الحكم بصحة إقرار العقلاء مع الإتيان باللام المفيد للملك والاستحقاق قرينة على أنّ نسبة المال إلى المقر بحسب الظاهر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وفَرَقَ المصنِّف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بين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مِلكي لفلان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فحكم بالبطلان في الأوّل، وتوقَّف في الثاني </w:t>
      </w:r>
      <w:r>
        <w:rPr>
          <w:rStyle w:val="FootnoteAnchor"/>
          <w:rtl w:val="true"/>
        </w:rPr>
        <w:footnoteReference w:id="4"/>
      </w:r>
      <w:r>
        <w:rPr>
          <w:rFonts w:ascii="Amiri" w:hAnsi="Amiri" w:eastAsia="Amiri" w:cs="Amiri"/>
          <w:color w:val="111111"/>
          <w:sz w:val="28"/>
          <w:sz w:val="28"/>
          <w:szCs w:val="28"/>
          <w:rtl w:val="true"/>
          <w:lang w:bidi="ar-SA"/>
        </w:rPr>
        <w:t>، والأقوى عدم الفرق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وليس منه ما لو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مسكني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يقتضي الإقرار قطعاً؛ لأنّ إضافة السكنى لاتقتضي ملكيّة العين؛ لجواز أن يَسكُن مال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 في ذمتي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وشبهه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له قبلي كذا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علقه بالمشيئة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كقوله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شئتَ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شاء زيد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شاء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بطل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الإقرارُ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اتصل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الشرط؛ لأنّ الإقرار إخبار جازم عن حق لازم سابقي على وقت الصيغة، فالتعليق ينافيه؛ لانتفاء الجزم في المعلَّق، إلا أن يقصد في التعليق على مشيئة الله التبرّكَ فلا يَضُرّ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يُشكل البطلان فى الأوّل بأنّ الصيغة قبل التعليق تامة الإفادة لمقصود الإقرار، فيكون التعليق بعدها كتعقيبه بما ينافي، فينبغي أن يَلغُوَ المنافي لا أن يَبطُلَ الإقرار</w:t>
      </w:r>
      <w:r>
        <w:rPr>
          <w:rFonts w:eastAsia="Amiri" w:cs="Amiri" w:ascii="Amiri" w:hAnsi="Amiri"/>
          <w:color w:val="111111"/>
          <w:sz w:val="28"/>
          <w:szCs w:val="28"/>
          <w:rtl w:val="true"/>
          <w:lang w:bidi="ar-SA"/>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والاعتذار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كون الكلام كالجملة الواحدة لا يتم إلا بآخره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وارد في تعقيبه </w:t>
      </w:r>
    </w:p>
    <w:p>
      <w:pPr>
        <w:pStyle w:val="BookText"/>
        <w:rPr/>
      </w:pPr>
      <w:r>
        <w:rPr>
          <w:rFonts w:ascii="Amiri" w:hAnsi="Amiri" w:eastAsia="Amiri" w:cs="Amiri"/>
          <w:color w:val="111111"/>
          <w:sz w:val="28"/>
          <w:sz w:val="28"/>
          <w:szCs w:val="28"/>
          <w:rtl w:val="true"/>
          <w:lang w:bidi="ar-SA"/>
        </w:rPr>
        <w:t>بالمنافي مع حكمهم بصحته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يُفرّق بين المقامين بأنّ المراد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المنافي الذي لا يُسمَع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وَقَع بعد تمام صيغةٍ جامعةٍ لشرائط الصحة وهنا ليس كذلك؛ لأنّ من جملة الشرائط التنجيز وهو غيرُ متحقق بالتعليق، فتَلْغُو الصيغة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ويصح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الإقرار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بالعربية وغيرها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لاشتراك اللغات في التعبير عما في الضمير، والدلالة على المعاني الذهنية بحسب المواضعة، لكن يُشترط في تحقق اللزوم علمُ اللافظ بالوضع، فلو أقرّ عربي بالعجمية أو بالعكس وهو لا يعلم مؤدَّى اللفظ لم يقع، ويُقبل قوله في عدم العلم إن أمكن في حقه أو صَدَّقه المقَرُّ له، عملاً بالظاهر والأصل من عدم تجدّد العلم بغير لغته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والمعتبر في الألفاظ الدالة على الإقرار إفادتها له عرفاً وإن لم تقع على القانون العربي، وقلنا باعتباره في غيره من العقود والإيقاعات اللازمة؛ لتوقف تلك على النقل، ومَن ثُمَّ لم تصح بغير العربية مع إمكانها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ولو علقه بشهادة الغير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شَهِد لك فلانٌ عليَّ بكذا، فهو لك في ذمّتي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 عليّ كذا إن شهد لك به فلان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شَهِد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بكذا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فهو صادق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فهو صدق أو حقٌّ أو لازم لذمتى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ونحوه،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فالأقرب البطلان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كان قد علق ثبوت الحق على الشهادة، وذلك لا يُصَدَّق إلّا إذا كان ثابتاً في ذمّته الآن وحكم بصدقه على تقدير شهادته، ولا يكون صادقاً إلا إذا كان المشهود به في ذمته؛ لوجوب مطابقة الخبر الصادق لمُخبَره بحسب الواقع؛ إذ ليس للشهادة أثر في ثبوتِ الصدق ولا عدمه فلولا حصول الصدق عند المقرّ لما علقه على الشهادة لاستحالة أن تجعله الشهادة صادقاً وليس بصادق، وإذا لم يكن للشهادة تأثير في حصول الصدق وقد حَكَم به وَجَب أن يلزمه المالُ وإن أنكر الشهادة، فضلاً عن شهادته أو عدم شهادته</w:t>
      </w:r>
      <w:r>
        <w:rPr>
          <w:rFonts w:eastAsia="Amiri" w:cs="Amiri" w:ascii="Amiri" w:hAnsi="Amiri"/>
          <w:color w:val="111111"/>
          <w:sz w:val="28"/>
          <w:szCs w:val="28"/>
          <w:rtl w:val="true"/>
          <w:lang w:bidi="ar-SA"/>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وإنّما لم يؤثر هذا كلُّه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لجواز أن يعتقد استحالة صدقه؛ لاستحالة شهادته عنده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ومثله في محاورات العوام كثير، يقول أحدهم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شهد فلان أنّي لستُ لأبي فهو </w:t>
      </w:r>
    </w:p>
    <w:p>
      <w:pPr>
        <w:pStyle w:val="BookText"/>
        <w:rPr/>
      </w:pPr>
      <w:r>
        <w:rPr>
          <w:rFonts w:ascii="Amiri" w:hAnsi="Amiri" w:eastAsia="Amiri" w:cs="Amiri"/>
          <w:color w:val="111111"/>
          <w:sz w:val="28"/>
          <w:sz w:val="28"/>
          <w:szCs w:val="28"/>
          <w:rtl w:val="true"/>
          <w:lang w:bidi="ar-SA"/>
        </w:rPr>
        <w:t>صادق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يريد إلّا أنّه لا تصدر منه الشهادة؛ للقطع بعدم تصديقه إياه على كونه ليس لأبيه، وغايته قيام الاحتمال وهو كافٍ في عدمِ اللزوم وعدم صراحة الصيغة في المطلوب، مُعتضداً بأصالة براءة الذمة، مع أنّ ما ذُكِر</w:t>
      </w:r>
      <w:r>
        <w:rPr>
          <w:rStyle w:val="FootnoteAnchor"/>
          <w:rtl w:val="true"/>
        </w:rPr>
        <w:footnoteReference w:id="5"/>
      </w:r>
      <w:r>
        <w:rPr>
          <w:rFonts w:ascii="Amiri" w:hAnsi="Amiri" w:eastAsia="Amiri" w:cs="Amiri"/>
          <w:color w:val="111111"/>
          <w:sz w:val="28"/>
          <w:sz w:val="28"/>
          <w:szCs w:val="28"/>
          <w:rtl w:val="true"/>
          <w:lang w:bidi="ar-SA"/>
        </w:rPr>
        <w:t>في توجيه اللزوم معارض بالإقرار المعلق على شرط بتقريب ما ذكر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وكذا قولهم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يصدق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كلما لم يكن المالُ ثابتاً فى ذمّته لم يكن صادقاً على تقدير الشهادة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وينعكس بعكس النقيض إلى قولنا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كلما كان صادقاً على تقدير الشهادة كان ثابتاً في ذمته وإن لم يشهد لكن المقدَّم حقٌّ؛ لعموم إقرار العقلاء على أنفسهم جائز</w:t>
      </w:r>
      <w:r>
        <w:rPr>
          <w:rFonts w:eastAsia="Amiri" w:cs="Amiri" w:ascii="Amiri" w:hAnsi="Amiri"/>
          <w:color w:val="111111"/>
          <w:sz w:val="28"/>
          <w:szCs w:val="28"/>
          <w:rtl w:val="true"/>
          <w:lang w:bidi="ar-SA"/>
        </w:rPr>
        <w:t>»</w:t>
      </w:r>
      <w:r>
        <w:rPr>
          <w:rStyle w:val="FootnoteAnchor"/>
          <w:rtl w:val="true"/>
        </w:rPr>
        <w:footnoteReference w:id="6"/>
      </w:r>
      <w:r>
        <w:rPr>
          <w:rFonts w:ascii="Amiri" w:hAnsi="Amiri" w:eastAsia="Amiri" w:cs="Amiri"/>
          <w:color w:val="111111"/>
          <w:sz w:val="28"/>
          <w:sz w:val="28"/>
          <w:szCs w:val="28"/>
          <w:rtl w:val="true"/>
          <w:lang w:bidi="ar-SA"/>
        </w:rPr>
        <w:t xml:space="preserve">وقد أقرّ بصدقه على تقدير الشهادة، فالتالي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ثبوت المال في ذمته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 فإنه معارض بالمعلق، ومنقوض بالاحتمال الظاهر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ولابد من كون المقر كاملاً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بالبلوغ والعقل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خالياً من الحجر للسفه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أما الحجرُ للفلس، فقد تقدَّم في باب الدين اختيار المصنِّف أنّه مانع من الإقرار بالعين دون الدين، فلذا لم يذكره هنا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ويُعتبر مع ذلك القصد والاختيار، فلا عبرة بإقرار الصبي وإن بلغ عشراً، إن لم تُجز وصيّته ووقفه وصدقته، وإلا قُبِل إقراره بها؛ لأنّ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مَلَك شيئاً مَلَك الإقرار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أقرَّ بالبلوغ استفسر، فإن فَسَّره بالإمناء قُبِل مع إمكانه، ولا يمين عليه؛ حذراً من الدور</w:t>
      </w:r>
      <w:r>
        <w:rPr>
          <w:rFonts w:eastAsia="Amiri" w:cs="Amiri" w:ascii="Amiri" w:hAnsi="Amiri"/>
          <w:color w:val="111111"/>
          <w:sz w:val="28"/>
          <w:szCs w:val="28"/>
          <w:rtl w:val="true"/>
          <w:lang w:bidi="ar-SA"/>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ودفع المصنِّف له في الدروس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يمينه موقوفة على إمكان بلوغه، والموقوف على يمينه هو وقوع بلوغه فتغايرت الجهة</w:t>
      </w:r>
      <w:r>
        <w:rPr>
          <w:rStyle w:val="FootnoteAnchor"/>
          <w:rtl w:val="true"/>
        </w:rPr>
        <w:footnoteReference w:id="7"/>
      </w:r>
      <w:r>
        <w:rPr>
          <w:rFonts w:ascii="Amiri" w:hAnsi="Amiri" w:eastAsia="Amiri" w:cs="Amiri"/>
          <w:color w:val="111111"/>
          <w:sz w:val="28"/>
          <w:sz w:val="28"/>
          <w:szCs w:val="28"/>
          <w:rtl w:val="true"/>
          <w:lang w:bidi="ar-SA"/>
        </w:rPr>
        <w:t>، مندفع بأنّ إمكان البلوغ غير كافٍ شرعاً في اعتبار أفعالِ الصبي وأقواله التي منها يمينه ومثله إقرار الصبية به أو بالحيض</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وإن ادّعاه بالسنّ كُلّف البيِّنة، سواءٌ في ذلك الغريب والخامل وغيرهما، خلافاً للتذكرة حيث ألحقهما فيه بمدّعي الاحتلام</w:t>
      </w:r>
      <w:r>
        <w:rPr>
          <w:rStyle w:val="FootnoteAnchor"/>
          <w:rtl w:val="true"/>
        </w:rPr>
        <w:footnoteReference w:id="8"/>
      </w:r>
      <w:r>
        <w:rPr>
          <w:rFonts w:ascii="Amiri" w:hAnsi="Amiri" w:eastAsia="Amiri" w:cs="Amiri"/>
          <w:color w:val="111111"/>
          <w:sz w:val="28"/>
          <w:sz w:val="28"/>
          <w:szCs w:val="28"/>
          <w:rtl w:val="true"/>
          <w:lang w:bidi="ar-SA"/>
        </w:rPr>
        <w:t>لتعذر إقامة البيّنة عليهما غالباً؛ أو بالإنبات اعتبر، فإنّ محلَّه ليس من العورة، ولو فُرِض أنّه منها فهو موضع حاجة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بإقرار المجنون إلا من ذي الدور وقت الوثوق بعقله، ولا بإقرار غير القاصد كالنائم والهازل والساهي والغالط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ادَّعَى المقر أحد هذه، ففي تقديم قوله عملاً بالأصل، أو قول الآخر عملاً بالظاهر وجهان، ومثله دعواه بعد البلوغ وقوعه حالة الصبا، والمجنون حالته مع العلم به، فلو لم يُعلم له حالة جنونٍ حَلَف نافيه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والأقوى عدم القبول في الجميع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بإقرار المكره فيما أكره على الإقرار به، إلا مع ظهور أمارة اختياره كأن يُكرَه على أمر فيُقر بأزيد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الخلوّ من السَفَه فهو شرط في الإقرار المالي، فلو أقرَّ بغيره كجنايةٍ تُوجِب القصاص ونكاح وطلاق قبل، ولو اجتمعا قُبل في غير المال، كالسرقة بالنسبة إلى القطع، ولا يلزم بعد زوال حجره ما بَطَل قبله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وكذا يُقبل إقرارُ المُفَلَّس في غير المال مطلقاً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وإقرار المريض من الثلث مع التُهَمة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الظنُّ الغالب بأنه إنما يريد بالإقرار تخصيص المقر له بالمقرّ به، وأنه في نفس الأمر كاذب</w:t>
      </w:r>
      <w:r>
        <w:rPr>
          <w:rFonts w:eastAsia="Amiri" w:cs="Amiri" w:ascii="Amiri" w:hAnsi="Amiri"/>
          <w:color w:val="111111"/>
          <w:sz w:val="28"/>
          <w:szCs w:val="28"/>
          <w:rtl w:val="true"/>
          <w:lang w:bidi="ar-SA"/>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ولو اختلف المقَرُّ له والوارث فيها فعلى المدّعِي لها البينة؛ لأصالة عدمها، وعلى منكرها اليمين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ويكفي في يمين المقرّ له أنّه لا يعلم التهمة ، لا أنّها ليست حاصلةً في نفس الأمر؛ لابتناء الإقرار على الظاهر، ولا يُكلَّف الحلف على استحقاق المقرّ به من حيثُ إِنَّه يَعلَم بوجه استحقاقه؛ لأنّ ذلك غير شرط في استباحة المقرّ به، بل له أخذه ما لم يعلم فساد السبب</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هذا كله مع موت المقرّ في مرضه، فلو بَرِئَ نفذ من الأصل مطلقاً، ولا فرق في ذلك بين الوارث والأجنبي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يكن هناك تُهَمَةٌ ظاهرة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الأصل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مطلقاً، على أصح الأقوال</w:t>
      </w:r>
      <w:r>
        <w:rPr>
          <w:rStyle w:val="FootnoteAnchor"/>
          <w:rtl w:val="true"/>
        </w:rPr>
        <w:footnoteReference w:id="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وإطلاق الكيل أو الوزن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الإقرار، كأن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له عندي كَيلُ حِنطةٍ أو يَطلُ سَمْنٍ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يُحمل 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الكيل والوزن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المتعارَفِ في البلد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بلد المقر وإن خالف بلد المقرّ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تعدَّد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المكيالُ والميزانُ في بلده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عيَّن المقرّ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شاء منها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لم يغلب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أحدُها في الاستعمال على الباقي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فيُحمل على الغالب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تعذَّر استفساره فالمتيقَنُ هو الأقل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وكذا القول في النقد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ولو أقرَّ بلفظ مبهم صح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إقرارُه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وأُلزِم تفسيره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واللفظ المبهم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كالمال والشيء والجزيل والعظيم والحقير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والنفيس، ومالٍ أي مالٍ ويُقبل تفسيره بما قل؛ لأنَّ كلَّ مالِ عظيمٌ خطرُه شرعاً؛ كما يُنبِّه عليه كفرُ مُستَحِلِّه، فتقبل هذه الأوصاف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لابد من كونه ممّا يُتَمَوَّل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يُعدّ مالاً عرفاً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لاكقِشْرِ جَوزة، أو حبّة دُخْنٍ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حنطة؛ إذ لا قيمة لذلك عادة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يُقبل بذلك، لأنه مملوك شرعاً، والحقيقة الشرعيّة مقدمة على العرفية، ولتحريم أخذه بغير إذن مالكه ووجوبِ ردّه</w:t>
      </w:r>
      <w:r>
        <w:rPr>
          <w:rStyle w:val="FootnoteAnchor"/>
          <w:rtl w:val="true"/>
        </w:rPr>
        <w:footnoteReference w:id="10"/>
      </w:r>
      <w:r>
        <w:rPr>
          <w:rFonts w:ascii="Amiri" w:hAnsi="Amiri" w:eastAsia="Amiri" w:cs="Amiri"/>
          <w:color w:val="111111"/>
          <w:sz w:val="28"/>
          <w:sz w:val="28"/>
          <w:szCs w:val="28"/>
          <w:rtl w:val="true"/>
          <w:lang w:bidi="ar-SA"/>
        </w:rPr>
        <w:t xml:space="preserve">، ويُشكل بأنّ المِلكَ لا يستلزم إطلاق اسم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المال شرعاً والعرفُ يَأباه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يَتَّجِه ذلك تفسيراً للشيء وإنْ وَصفه بالأوصاف العظيمة؛ لما ذُكِر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ويَقرب منه ما لو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له عليَّ حقٌّ</w:t>
      </w:r>
      <w:r>
        <w:rPr>
          <w:rFonts w:eastAsia="Amiri" w:cs="Amiri" w:ascii="Amiri" w:hAnsi="Amiri"/>
          <w:color w:val="111111"/>
          <w:sz w:val="28"/>
          <w:szCs w:val="28"/>
          <w:rtl w:val="true"/>
          <w:lang w:bidi="ar-SA"/>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 قبول تفسيرهما بردّ السلام والعيادة وتسميتِ العِطاس وجهان من إطلاق الحق عليهما في الأخبار</w:t>
      </w:r>
      <w:r>
        <w:rPr>
          <w:rStyle w:val="FootnoteAnchor"/>
          <w:rtl w:val="true"/>
        </w:rPr>
        <w:footnoteReference w:id="11"/>
      </w:r>
      <w:r>
        <w:rPr>
          <w:rFonts w:ascii="Amiri" w:hAnsi="Amiri" w:eastAsia="Amiri" w:cs="Amiri"/>
          <w:color w:val="111111"/>
          <w:sz w:val="28"/>
          <w:sz w:val="28"/>
          <w:szCs w:val="28"/>
          <w:rtl w:val="true"/>
          <w:lang w:bidi="ar-SA"/>
        </w:rPr>
        <w:t>فيُطلَق الشيءُ لأنّه أعم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أنّه خلافُ المتعارَف، وبعدهما </w:t>
      </w:r>
    </w:p>
    <w:p>
      <w:pPr>
        <w:pStyle w:val="BookText"/>
        <w:rPr/>
      </w:pPr>
      <w:r>
        <w:rPr>
          <w:rFonts w:ascii="Amiri" w:hAnsi="Amiri" w:eastAsia="Amiri" w:cs="Amiri"/>
          <w:color w:val="111111"/>
          <w:sz w:val="28"/>
          <w:sz w:val="28"/>
          <w:szCs w:val="28"/>
          <w:rtl w:val="true"/>
          <w:lang w:bidi="ar-SA"/>
        </w:rPr>
        <w:t>عن الفهم في معرض الإقرار، وهو الأشهر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امتنع من التفسير حُبس وعُوقب عليه حتى يُفَسِّر ؛ لوجوبه عليه، ولو مات قبله طُولِب الوارث به إن عَلِمَه وخَلَفَ تَرِكةً، فإن أنكر العلم وادّعاه عليه المقر له حَلَف على عدمه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فرق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الإبهام والرجوع إليه في التفسير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بين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عظيم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كثير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لاشتراكهما في الاحتمال</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والقائل الشيخ </w:t>
      </w:r>
      <w:r>
        <w:rPr>
          <w:rStyle w:val="FootnoteAnchor"/>
          <w:rtl w:val="true"/>
        </w:rPr>
        <w:footnoteReference w:id="12"/>
      </w:r>
      <w:r>
        <w:rPr>
          <w:rFonts w:ascii="Amiri" w:hAnsi="Amiri" w:eastAsia="Amiri" w:cs="Amiri"/>
          <w:color w:val="111111"/>
          <w:sz w:val="28"/>
          <w:sz w:val="28"/>
          <w:szCs w:val="28"/>
          <w:rtl w:val="true"/>
          <w:lang w:bidi="ar-SA"/>
        </w:rPr>
        <w:t>وجماعة</w:t>
      </w:r>
      <w:r>
        <w:rPr>
          <w:rStyle w:val="FootnoteAnchor"/>
          <w:rtl w:val="true"/>
        </w:rPr>
        <w:footnoteReference w:id="1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بالفرق، وأن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الكثير ثمانون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كالنذر؛ للرواية الواردة به فيه</w:t>
      </w:r>
      <w:r>
        <w:rPr>
          <w:rStyle w:val="FootnoteAnchor"/>
          <w:rtl w:val="true"/>
        </w:rPr>
        <w:footnoteReference w:id="14"/>
      </w:r>
      <w:r>
        <w:rPr>
          <w:rFonts w:ascii="IRNazanin" w:hAnsi="IRNazanin" w:eastAsia="IRNazanin"/>
          <w:color w:val="111111"/>
          <w:sz w:val="28"/>
          <w:sz w:val="28"/>
          <w:szCs w:val="28"/>
          <w:rtl w:val="true"/>
          <w:lang w:bidi="fa-IR"/>
        </w:rPr>
        <w:t xml:space="preserve">، والاستشهاد بقوله تعالى </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لَقَدْ نَصَرَكُمُ اللَّهُ فِي مَوَاطِنَ كَثِيرَةٍ</w:t>
      </w:r>
      <w:r>
        <w:rPr>
          <w:rStyle w:val="FootnoteAnchor"/>
          <w:rtl w:val="true"/>
        </w:rPr>
        <w:footnoteReference w:id="1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ويُضعف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تسليمه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ببطلان القياس؛ ولاستعمال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الكثير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القرآن لغير ذلك مثل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فِئَةٌ كَثِيرَةً</w:t>
      </w:r>
      <w:r>
        <w:rPr>
          <w:rStyle w:val="FootnoteAnchor"/>
          <w:rtl w:val="true"/>
        </w:rPr>
        <w:footnoteReference w:id="16"/>
      </w:r>
      <w:r>
        <w:rPr>
          <w:rFonts w:ascii="IRNazanin" w:hAnsi="IRNazanin" w:eastAsia="IRNazanin"/>
          <w:color w:val="111111"/>
          <w:sz w:val="28"/>
          <w:sz w:val="28"/>
          <w:szCs w:val="28"/>
          <w:rtl w:val="true"/>
          <w:lang w:bidi="fa-IR"/>
        </w:rPr>
        <w:t>،</w:t>
      </w:r>
      <w:r>
        <w:rPr>
          <w:rFonts w:ascii="Amiri" w:hAnsi="Amiri" w:eastAsia="Amiri" w:cs="Amiri"/>
          <w:color w:val="111111"/>
          <w:sz w:val="28"/>
          <w:sz w:val="28"/>
          <w:szCs w:val="28"/>
          <w:rtl w:val="true"/>
          <w:lang w:bidi="ar-SA"/>
        </w:rPr>
        <w:t>وذِكْرًا كَثِيرًا</w:t>
      </w:r>
      <w:r>
        <w:rPr>
          <w:rStyle w:val="FootnoteAnchor"/>
          <w:rtl w:val="true"/>
        </w:rPr>
        <w:footnoteReference w:id="17"/>
      </w:r>
      <w:r>
        <w:rPr>
          <w:rFonts w:ascii="Amiri" w:hAnsi="Amiri" w:eastAsia="Amiri" w:cs="Amiri"/>
          <w:color w:val="111111"/>
          <w:sz w:val="28"/>
          <w:sz w:val="28"/>
          <w:szCs w:val="28"/>
          <w:rtl w:val="true"/>
          <w:lang w:bidi="ar-SA"/>
        </w:rPr>
        <w:t>، ودعوى أنه عرف شرعي فلا قياس، خلافُ الظاهر، وإلحاق العظيم به غريب</w:t>
      </w:r>
      <w:r>
        <w:rPr>
          <w:rStyle w:val="FootnoteAnchor"/>
          <w:rtl w:val="true"/>
        </w:rPr>
        <w:footnoteReference w:id="18"/>
      </w:r>
      <w:r>
        <w:rPr>
          <w:rFonts w:eastAsia="Times New Roman" w:cs="Times New Roman" w:ascii="Times New Roman" w:hAnsi="Times New Roman"/>
          <w:color w:val="111111"/>
          <w:sz w:val="28"/>
          <w:szCs w:val="28"/>
          <w:rtl w:val="true"/>
          <w:lang w:val="en-US" w:bidi="en-US"/>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ولو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أكثر من مال فلان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لَزِمه بقدره وزيادة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فسِره بدونه وادَّعى ظنَّ القلّة حَلَف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لأصالة عدم علمه به مع ظهور أن المال من شأنه أن يَخفَى، وفسَّر بما ظنّه وزاد عليه زيادةً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وينبغي تقييده بإمكان الجهل به في حقه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فرق في ذلك بين قوله قبل ذلك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إنّي أعلم مال فلان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وعدمه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لو كان قد أقر بأنه قدرٌ يَزِيد عمَّا ادَّعَى ظَنَّه لم يُقبل إنكاره ثانياً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ولو تَأَوَّل بأنّ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مال فلانٍ حرام أو شبهة أو عين وما أقررت به حلال أو دين والحلال والدين أكثر نفعاً أو بقاء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ففى قبوله قولان</w:t>
      </w:r>
      <w:r>
        <w:rPr>
          <w:rStyle w:val="FootnoteAnchor"/>
          <w:rtl w:val="true"/>
        </w:rPr>
        <w:footnoteReference w:id="1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 المتبادر كثرة المقدار فيكون حقيقةً فيها، وهي مقدَّمة على المجاز مع عدم القرينة الصارفة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إمكان إرادة المجاز، ولا يُعلم قصده إلا من لفظه فيُرجع إليه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يخفى قوّةُ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لو اتصل التفسير بالإقرار لم يبعد القبول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ولو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له عليَّ كذا درهم بالحركات الثلاث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الرفع والنصب والجر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أو الوقف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بالسكون، وما في معناه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لاشتراكه بين الواحد فما زاد وضعاً، فيُحمّل على الأقل؛ لأنه المتيقن إذا لم يُفسّره بأزيد؛ فإنّ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كناية عن الشيء، فمع الرفع يكون الدرهم بدلاً منه، والتقدير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شيء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درهم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ومع النصب يكون تمييزاً </w:t>
      </w:r>
      <w:r>
        <w:rPr>
          <w:rStyle w:val="FootnoteAnchor"/>
          <w:rtl w:val="true"/>
        </w:rPr>
        <w:footnoteReference w:id="20"/>
      </w:r>
      <w:r>
        <w:rPr>
          <w:rFonts w:ascii="Amiri" w:hAnsi="Amiri" w:eastAsia="Amiri" w:cs="Amiri"/>
          <w:color w:val="111111"/>
          <w:sz w:val="28"/>
          <w:sz w:val="28"/>
          <w:szCs w:val="28"/>
          <w:rtl w:val="true"/>
          <w:lang w:bidi="ar-SA"/>
        </w:rPr>
        <w:t>له، وأجاز بعضُ أهل العربية نصبه على القطع</w:t>
      </w:r>
      <w:r>
        <w:rPr>
          <w:rStyle w:val="FootnoteAnchor"/>
          <w:rtl w:val="true"/>
        </w:rPr>
        <w:footnoteReference w:id="21"/>
      </w:r>
      <w:r>
        <w:rPr>
          <w:rFonts w:ascii="Amiri" w:hAnsi="Amiri" w:eastAsia="Amiri" w:cs="Amiri"/>
          <w:color w:val="111111"/>
          <w:sz w:val="28"/>
          <w:sz w:val="28"/>
          <w:szCs w:val="28"/>
          <w:rtl w:val="true"/>
          <w:lang w:bidi="ar-SA"/>
        </w:rPr>
        <w:t>؛ كأنه قطع ما ابتدأ به وأقرَّ بدرهم، ومع الجرّ تُقَدَّر الإضافة بيانيةً 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حَبَّ الْحَصِيدِ</w:t>
      </w:r>
      <w:r>
        <w:rPr>
          <w:rStyle w:val="FootnoteAnchor"/>
          <w:rtl w:val="true"/>
        </w:rPr>
        <w:footnoteReference w:id="22"/>
      </w:r>
      <w:r>
        <w:rPr>
          <w:rFonts w:ascii="Amiri" w:hAnsi="Amiri" w:eastAsia="Amiri" w:cs="Amiri"/>
          <w:color w:val="111111"/>
          <w:sz w:val="28"/>
          <w:sz w:val="28"/>
          <w:szCs w:val="28"/>
          <w:rtl w:val="true"/>
          <w:lang w:bidi="ar-SA"/>
        </w:rPr>
        <w:t>والتقدير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شيء هو درهم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ويُشكل بأنّ ذلك وإن صح إلا أنه يمكن تقديرُ ما هو أقل منه بجعل الشيء جزءً من الدرهم أُضيف إليه، فيلزمه جزء يُرجَع في تفسيره إليه؛ لأنّه المتيقن، ولأصالة البراءة من الزائد، ومِن ثُمَّ حُمِل الرفعُ والنصب على الدرهم مع احتمالهما أزيد منه</w:t>
      </w:r>
      <w:r>
        <w:rPr>
          <w:rFonts w:eastAsia="Amiri" w:cs="Amiri" w:ascii="Amiri" w:hAnsi="Amiri"/>
          <w:color w:val="111111"/>
          <w:sz w:val="28"/>
          <w:szCs w:val="28"/>
          <w:rtl w:val="true"/>
          <w:lang w:bidi="ar-SA"/>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الجرَّ لَحْنُ يُحمَل على أخويه، فيلزمه حكمُهما</w:t>
      </w:r>
      <w:r>
        <w:rPr>
          <w:rStyle w:val="FootnoteAnchor"/>
          <w:rtl w:val="true"/>
        </w:rPr>
        <w:footnoteReference w:id="2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مع الوقف فيحتمل الرفع والجرَّ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أعرب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النصبَ ؛ لوجوب إثبات الألف فيه وقفاً، فيُحمل على مدلول ما احتمَله، فعلى ما اختاره يشتركان في احتمال الدرهم فيُحمل عليه، وعلى ما حققناه </w:t>
      </w:r>
    </w:p>
    <w:p>
      <w:pPr>
        <w:pStyle w:val="BookText"/>
        <w:rPr/>
      </w:pPr>
      <w:r>
        <w:rPr>
          <w:rFonts w:ascii="Amiri" w:hAnsi="Amiri" w:eastAsia="Amiri" w:cs="Amiri"/>
          <w:color w:val="111111"/>
          <w:sz w:val="28"/>
          <w:sz w:val="28"/>
          <w:szCs w:val="28"/>
          <w:rtl w:val="true"/>
          <w:lang w:bidi="ar-SA"/>
        </w:rPr>
        <w:t>يلزمه جزء درهم خاصةً؛ لأنه باحتماله الرفع والجر حصل الشك فيما زاد على الجزء، فيُحمل على المتيقن، وهو ما دلت عليه الإضافة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كذا كذا درهماً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كذا وكذا درهماً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حمله على الدرهم، مع الحركات الثلاث والوقف؛ لاحتمال كون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الثاني تأكيداً للأوّل في الأوّل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والحكم في الإعراب ما سلف، وفي الوقف يُنَزَّل على أقل الاحتمالات، وكون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كذا شيئاً مبهماً، والثاني معطوفاً عليه في الثاني، ومُيّزا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تقدير النصب، وأبدلا منه على تقدير الرفع، وبيّنا معاً بالدرهم مع الجرّ، ونُزِّل على أحدهما مع الوقف، أو أُضيف الجزء إلى جزء الدرهم في الجرّ على ما اخترناه، وحُمِل الوقف عليه أيضاً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ولو فَسَّر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حالة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الأقسام الثلاثة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ببعض درهم جاز</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لإمكانه وضعاً بجعل الشيء المراد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ألحق به كناية عن الجزء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وفيه أن قبول تفسيره به يقتضي صحته بحسب الوضع، فكيف يُحمّل مع الإطلاق على ما هو أكثر منه مع إمكان الأقل، فالحمل عليه مطلقاً أقوى</w:t>
      </w:r>
      <w:r>
        <w:rPr>
          <w:rFonts w:eastAsia="Amiri" w:cs="Amiri" w:ascii="Amiri" w:hAnsi="Amiri"/>
          <w:color w:val="111111"/>
          <w:sz w:val="28"/>
          <w:szCs w:val="28"/>
          <w:rtl w:val="true"/>
          <w:lang w:bidi="ar-SA"/>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والقائل به الشيخ </w:t>
      </w:r>
      <w:r>
        <w:rPr>
          <w:rStyle w:val="FootnoteAnchor"/>
          <w:rtl w:val="true"/>
        </w:rPr>
        <w:footnoteReference w:id="24"/>
      </w:r>
      <w:r>
        <w:rPr>
          <w:rFonts w:ascii="Amiri" w:hAnsi="Amiri" w:eastAsia="Amiri" w:cs="Amiri"/>
          <w:color w:val="111111"/>
          <w:sz w:val="28"/>
          <w:sz w:val="28"/>
          <w:szCs w:val="28"/>
          <w:rtl w:val="true"/>
          <w:lang w:bidi="ar-SA"/>
        </w:rPr>
        <w:t xml:space="preserve">وجماعة </w:t>
      </w:r>
      <w:r>
        <w:rPr>
          <w:rStyle w:val="FootnoteAnchor"/>
          <w:rtl w:val="true"/>
        </w:rPr>
        <w:footnoteReference w:id="25"/>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يُتبع في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المذكور من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كذا وكذا كذا وكذا وكذا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بالحركات الثلاث والوقف، وذلك اثنتا عشرة صورةً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مُوازِنه </w:t>
      </w:r>
      <w:r>
        <w:rPr>
          <w:rStyle w:val="FootnoteAnchor"/>
          <w:rtl w:val="true"/>
        </w:rPr>
        <w:footnoteReference w:id="26"/>
      </w:r>
      <w:r>
        <w:rPr>
          <w:rFonts w:ascii="Amiri" w:hAnsi="Amiri" w:eastAsia="Amiri" w:cs="Amiri"/>
          <w:color w:val="111111"/>
          <w:sz w:val="28"/>
          <w:sz w:val="28"/>
          <w:szCs w:val="28"/>
          <w:rtl w:val="true"/>
          <w:lang w:bidi="ar-SA"/>
        </w:rPr>
        <w:t>من الأعداد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جعلاً لكذا كنايةً عن العدد لا عن الشيء، فيكون الدرهم في جميع أحواله تمييزاً لذلك العدد فيُنظر إلى ما يُناسبه بحسب ما تقتضيه قواعد العربية من إعراب المميز للعدد، ويُحمل عليه فيلزمه مع إفرادِ المبهم ورفع الدرهم درهم؛ لأن المميز لا يكون مرفوعاً فيُجعَل بدلاً كما مرّ، ومع النصب عشرون درهماً؛ لأنّه أقل عددٍ مفردٍ يُنصب مميزه إذ فوقه ثلاثون إلى تسعين فيُحمل على الأقل، ومع الجرّ مائة درهم؛ لأنه </w:t>
      </w:r>
    </w:p>
    <w:p>
      <w:pPr>
        <w:pStyle w:val="BookText"/>
        <w:rPr/>
      </w:pPr>
      <w:r>
        <w:rPr>
          <w:rFonts w:ascii="Amiri" w:hAnsi="Amiri" w:eastAsia="Amiri" w:cs="Amiri"/>
          <w:color w:val="111111"/>
          <w:sz w:val="28"/>
          <w:sz w:val="28"/>
          <w:szCs w:val="28"/>
          <w:rtl w:val="true"/>
          <w:lang w:bidi="ar-SA"/>
        </w:rPr>
        <w:t>أقل عددٍ مفردٍ فُسِّر بمفردٍ مجرورٍ؛ إذ فوقه الألفُ، ومع الوقف درهم لاحتماله الرفع والجرَّ فيُحمل على الأقل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ومع تكريره بغير عطف ورفع الدرهم درهم؛ لما ذكر في الإفراد، مع كون الثاني تأكيداً للأوّل، ومع نصبه أحد عشر؛ لأنه أقل عددٍ مركب مع غيره يَنتَصِب بعده مميزه؛ إذ فوقه اثنا عشر إلى تسعةَ عشرَ فيُحمل على المتيقن، ومع جره ثلاثمائة درهم؛ لأنه أقل عددٍ أُضيف إلى آخر وميز بمفرد مجرورٍ؛ إذ فوقه أربعمائة إلى تسعمائة ثمّ مائةُ مائة، ثمّ مائة ألفٍ، ثمّ ألفُ ألفٍ فيُحمل على المتيقّن والتركيب هنا لا يَأْتي؛ لأنّ مميّز المركب لم يرد مجروراً، وهذا القسم لم يُصرح به صاحبُ القول ولكنّه لازم له، ومع الوقف يُحتمل الرفعُ والجرُّ فيُحمل على الأقلّ منهما وهو الرفع؛ ومع تكريره معطوفاً ورفع الدرهم يلزمه درهم؛ لما ذُكر في الإفراد بجعل الدرهم بدلاً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مجموع المعطوف والمعطوف عليه، ويُحتمل أن يلزمه درهم وزيادة؛ لأنه ذكر شيئين متغايرين بالعطف، فيُجعَل الدرهم تفسيراً للقريب منهما وهو المعطوف، فيبقى المعطوفُ عليه على إبهامه فيُرجع إليه في تفسيره، وأصالة البراءة تدفعه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ومع نصب الدرهم يلزمه أحد وعشرون درهماً؛ لأنه أقل عددَين عُطِف أحدهما على الآخر وانتصب المميّز بعدهما؛ إذ فوقه اثنان وعشرون إلى تسعة وتسعين فيُحمَل على الأقل، ومع جرّ الدرهم يلزمه ألف ومائة؛ لأنّه أقل عددين عُطِف أحدهما على الآخر ومُيّز بمفردٍ مجرورٍ؛ إذ فوقه من الأعدادِ المعطوف عليها المائة والألفُ ما لا نهاية له، ويُحتمل جعل الدرهم مميزاً للمعطوف فيكون مائةً، ويبقى المعطوف عليه مبهماً فيُرجع إليه في تفسيره، وجعله درهماً لمناسبة الأعداد المميّزة فيكون التقدير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درهم ومائة درهم لأصالة البراءة من الزائد، وهذا القسم أيضاً لم يُصرحوا بحكمه ولكنه لازم للقاعدة؛ ومع الوقف عليه يُحتمل الرفعُ والجرُّ فيُحمل على الأقل وهو الرفع</w:t>
      </w:r>
      <w:r>
        <w:rPr>
          <w:rFonts w:eastAsia="Amiri" w:cs="Amiri" w:ascii="Amiri" w:hAnsi="Amiri"/>
          <w:color w:val="111111"/>
          <w:sz w:val="28"/>
          <w:szCs w:val="28"/>
          <w:rtl w:val="true"/>
          <w:lang w:bidi="ar-SA"/>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وإنما حملنا العبارة على جميع هذه الأقسام مع احتمال أن يريد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وكذا كذا درهماً، وكذا وكذا درهماً كذلك حكمهما في حالة النصب لأنه الملفوظ، ويكون حكمُهما في غير حالة النصب مسكوتاً عنه؛ لأنّه عقبه بقوله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ولو فَسَّر في الجرّ ببعض </w:t>
      </w:r>
    </w:p>
    <w:p>
      <w:pPr>
        <w:pStyle w:val="BookText"/>
        <w:rPr/>
      </w:pPr>
      <w:r>
        <w:rPr>
          <w:rFonts w:ascii="Amiri" w:hAnsi="Amiri" w:eastAsia="Amiri" w:cs="Amiri"/>
          <w:color w:val="111111"/>
          <w:sz w:val="28"/>
          <w:sz w:val="28"/>
          <w:szCs w:val="28"/>
          <w:rtl w:val="true"/>
          <w:lang w:bidi="ar-SA"/>
        </w:rPr>
        <w:t>درهمٍ جاز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وذلك يقتضي كون ما سبق شاملاً لحالة الجر؛ إذ يَبعُد كونُ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ولو فَسَّر في الجر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تتميماً لحكم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المفردِ لبعده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وعلى التقديرين يترتب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يُتبع في ذلك مُوازِنُه، فعلى ما ذكرنا تَتَشَعَّبُ الصور إلى اثنتي عشرة وهي الحاصلة </w:t>
      </w:r>
      <w:r>
        <w:rPr>
          <w:rStyle w:val="FootnoteAnchor"/>
          <w:rtl w:val="true"/>
        </w:rPr>
        <w:footnoteReference w:id="27"/>
      </w:r>
      <w:r>
        <w:rPr>
          <w:rFonts w:ascii="Amiri" w:hAnsi="Amiri" w:eastAsia="Amiri" w:cs="Amiri"/>
          <w:color w:val="111111"/>
          <w:sz w:val="28"/>
          <w:sz w:val="28"/>
          <w:szCs w:val="28"/>
          <w:rtl w:val="true"/>
          <w:lang w:bidi="ar-SA"/>
        </w:rPr>
        <w:t>من ضرب أقسام الإعراب الأربعة في المسائل الثلاث وهي كذا المفرد والمكرر بغير عطف، ومع العطف، وعلى الاحتمال يَسقُط من القسمين الأخيرين ما زاد على نصب المميز، فتنتصف الصور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وكيف كان فهذا القول</w:t>
      </w:r>
      <w:r>
        <w:rPr>
          <w:rStyle w:val="FootnoteAnchor"/>
          <w:rtl w:val="true"/>
        </w:rPr>
        <w:footnoteReference w:id="28"/>
      </w:r>
      <w:r>
        <w:rPr>
          <w:rFonts w:ascii="Amiri" w:hAnsi="Amiri" w:eastAsia="Amiri" w:cs="Amiri"/>
          <w:color w:val="111111"/>
          <w:sz w:val="28"/>
          <w:sz w:val="28"/>
          <w:szCs w:val="28"/>
          <w:rtl w:val="true"/>
          <w:lang w:bidi="ar-SA"/>
        </w:rPr>
        <w:t>ضعيفٌ، فإنّ هذه الألفاظ لم تُوضع لهذه المعاني لغةً، ولا اصطلاحاً، ومناسبتها على الوجه المذكور لا يوجب اشتغال الذمة بمقتضاها مع أصالة البراءة واحتمالها لغيرها على الوجه الذي 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فرق في ذلك بين كون المقر من أهل العربية وغيرهم؛ لاستعمالها على الوجه المناسب للعربية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غير ما ادعوه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استعمالاً شهيراً خلافاً للعلّامة حيث فَرّق، فحكم بما ادعاه الشيخ</w:t>
      </w:r>
      <w:r>
        <w:rPr>
          <w:rStyle w:val="FootnoteAnchor"/>
          <w:rtl w:val="true"/>
        </w:rPr>
        <w:footnoteReference w:id="29"/>
      </w:r>
      <w:r>
        <w:rPr>
          <w:rFonts w:ascii="Amiri" w:hAnsi="Amiri" w:eastAsia="Amiri" w:cs="Amiri"/>
          <w:color w:val="111111"/>
          <w:sz w:val="28"/>
          <w:sz w:val="28"/>
          <w:szCs w:val="28"/>
          <w:rtl w:val="true"/>
          <w:lang w:bidi="ar-SA"/>
        </w:rPr>
        <w:t>على المقر إذا كان من أهل اللسان</w:t>
      </w:r>
      <w:r>
        <w:rPr>
          <w:rStyle w:val="FootnoteAnchor"/>
          <w:rtl w:val="true"/>
        </w:rPr>
        <w:footnoteReference w:id="30"/>
      </w:r>
      <w:r>
        <w:rPr>
          <w:rFonts w:ascii="IRNazanin" w:hAnsi="IRNazanin" w:eastAsia="IRNazanin"/>
          <w:color w:val="111111"/>
          <w:sz w:val="28"/>
          <w:sz w:val="28"/>
          <w:szCs w:val="28"/>
          <w:rtl w:val="true"/>
          <w:lang w:bidi="fa-IR"/>
        </w:rPr>
        <w:t>، وقد ظهر ضعفه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يمكن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 الاطّلاع على القصد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على قصد المقرّ، وأنه أراد ما ادعاء القائل، ومع الاطلاع لا إشكال</w:t>
      </w:r>
      <w:r>
        <w:rPr>
          <w:rFonts w:eastAsia="Amiri" w:cs="Amiri" w:ascii="Amiri" w:hAnsi="Amiri"/>
          <w:color w:val="111111"/>
          <w:sz w:val="28"/>
          <w:szCs w:val="28"/>
          <w:rtl w:val="true"/>
          <w:lang w:bidi="ar-SA"/>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ولو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 عليك ألْفُ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 مُقِرٌّ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لَزِمَه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الألفُ، أمّا جوابه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فظاهر؛ لأن قول المجاب إن كان خبراً فهي بعده حرفُ تصديقٍ، وإن كان استفهاماً محذوف الهمزة فهي بعده للإثباتِ والإعلام؛ لأنّ الاستفهام عن الماضي إثباته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ونفيه 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مثله، وأما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فإنّها وإن كانت لإبطال النفي، إلّا أنّ الاستعمال العرفي جوز وقوعها في جواب الخبر المثبتِ كنعم، والإقرار جارٍ عليه لا على دقائق اللغة، ولو قدر كون القول استفهاماً، فقد وقع استعمالها </w:t>
      </w:r>
    </w:p>
    <w:p>
      <w:pPr>
        <w:pStyle w:val="BookText"/>
        <w:rPr/>
      </w:pPr>
      <w:r>
        <w:rPr>
          <w:rFonts w:ascii="Amiri" w:hAnsi="Amiri" w:eastAsia="Amiri" w:cs="Amiri"/>
          <w:color w:val="111111"/>
          <w:sz w:val="28"/>
          <w:sz w:val="28"/>
          <w:szCs w:val="28"/>
          <w:rtl w:val="true"/>
          <w:lang w:bidi="ar-SA"/>
        </w:rPr>
        <w:t>في جوابه لغةً وإِنْ قل، ومنه قول النبي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صلى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لأصحابه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أترضون أن تكونوا من أرفع</w:t>
      </w:r>
    </w:p>
    <w:p>
      <w:pPr>
        <w:pStyle w:val="BookText"/>
        <w:rPr/>
      </w:pPr>
      <w:r>
        <w:rPr>
          <w:rFonts w:ascii="Amiri" w:hAnsi="Amiri" w:eastAsia="Amiri" w:cs="Amiri"/>
          <w:color w:val="111111"/>
          <w:sz w:val="28"/>
          <w:sz w:val="28"/>
          <w:szCs w:val="28"/>
          <w:rtl w:val="true"/>
          <w:lang w:bidi="ar-SA"/>
        </w:rPr>
        <w:t>أهل الجنّة؟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w:t>
      </w:r>
      <w:r>
        <w:rPr>
          <w:rStyle w:val="FootnoteAnchor"/>
          <w:rtl w:val="true"/>
        </w:rPr>
        <w:footnoteReference w:id="3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والعرف قاض به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وأما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أنا مقرّ 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فإنّه وإن احتمل كونه مقرّاً به لغيره، وكونه وعداً بالإقرار من حيث إنّ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مقراً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فاعل يحتمل الاستقبال، إلّا أنّ المتبادِرَ منه كونُ ضمير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عائداً إلى ما ذكره المقر له وكونه إقراراً بالفعل عرفاً والمرجع فيه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وقَوَّى المصنّف في الدروس أنه ليس بإقرار حتى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لك</w:t>
      </w:r>
      <w:r>
        <w:rPr>
          <w:rFonts w:eastAsia="Amiri" w:cs="Amiri" w:ascii="Amiri" w:hAnsi="Amiri"/>
          <w:color w:val="111111"/>
          <w:sz w:val="28"/>
          <w:szCs w:val="28"/>
          <w:rtl w:val="true"/>
          <w:lang w:bidi="ar-SA"/>
        </w:rPr>
        <w:t>»</w:t>
      </w:r>
      <w:r>
        <w:rPr>
          <w:rStyle w:val="FootnoteAnchor"/>
          <w:rtl w:val="true"/>
        </w:rPr>
        <w:footnoteReference w:id="32"/>
      </w:r>
      <w:r>
        <w:rPr>
          <w:rFonts w:ascii="Amiri" w:hAnsi="Amiri" w:eastAsia="Amiri" w:cs="Amiri"/>
          <w:color w:val="111111"/>
          <w:sz w:val="28"/>
          <w:sz w:val="28"/>
          <w:szCs w:val="28"/>
          <w:rtl w:val="true"/>
          <w:lang w:bidi="ar-SA"/>
        </w:rPr>
        <w:t xml:space="preserve">، 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ما ذكر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لا يدفع لولا دَلالة العرف وهي واردة على الأمرين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ومثله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 مقر بدعواك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بما ادَّعَيتَ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لستُ منكراً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لدلالة العرف مع احتمال أن لا يكون الأخيرُ إقراراً؛ لأنه أعمّ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زِنْهُ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انْتَقِدْهُ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 مُقرّ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يقل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لم يكن شيئاً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الأولان فلانتفاء دَلالتهما على الإقرار؛ لإمكان خروجهما مَخرج الاستهزاء، فإنّه استعمال شائع في العرف، وأما الأخير، فلأنه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انتفاء احتماله الوعد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يُحتمل كونُ المقرّ به المدَّعَى ،وغيرَه، فإنه لو وصل به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بالشهادتين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ببطلان دعواك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يَختلّ اللفظ؛ لأنّ المقَرَّ به غير مذكور فجاز تقديره بما يُطابق المدَّعَى وغيره، معتضداً بأصالة البراءة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ويُحتمل عَدُّه إقراراً؛ لأنّ صدوره عقيب الدعوى قرينةُ صَرفه إليها، وقد استُعمِل لغةً كذلك، كما في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أَقْرَرْتُمْ وَأَخَذْتُمْ عَلَى ذَلِكُمْ إِصْرِى قَالُواْ أَقْرَرْنَا</w:t>
      </w:r>
      <w:r>
        <w:rPr>
          <w:rStyle w:val="FootnoteAnchor"/>
          <w:rtl w:val="true"/>
        </w:rPr>
        <w:footnoteReference w:id="33"/>
      </w:r>
      <w:r>
        <w:rPr>
          <w:rFonts w:ascii="IRNazanin" w:hAnsi="IRNazanin" w:eastAsia="IRNazanin"/>
          <w:color w:val="111111"/>
          <w:sz w:val="28"/>
          <w:sz w:val="28"/>
          <w:szCs w:val="28"/>
          <w:rtl w:val="true"/>
          <w:lang w:bidi="fa-IR"/>
        </w:rPr>
        <w:t>وقوله تعالى</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فَاشْهَدُوا</w:t>
      </w:r>
      <w:r>
        <w:rPr>
          <w:rStyle w:val="FootnoteAnchor"/>
          <w:rtl w:val="true"/>
        </w:rPr>
        <w:footnoteReference w:id="34"/>
      </w:r>
      <w:r>
        <w:rPr>
          <w:rFonts w:ascii="Amiri" w:hAnsi="Amiri" w:eastAsia="Amiri" w:cs="Amiri"/>
          <w:color w:val="111111"/>
          <w:sz w:val="28"/>
          <w:sz w:val="28"/>
          <w:szCs w:val="28"/>
          <w:rtl w:val="true"/>
          <w:lang w:bidi="ar-SA"/>
        </w:rPr>
        <w:t>، ولأنه لولاه لكان هذراً</w:t>
      </w:r>
      <w:r>
        <w:rPr>
          <w:rFonts w:eastAsia="Amiri" w:cs="Amiri" w:ascii="Amiri" w:hAnsi="Amiri"/>
          <w:color w:val="111111"/>
          <w:sz w:val="28"/>
          <w:szCs w:val="28"/>
          <w:rtl w:val="true"/>
          <w:lang w:bidi="ar-SA"/>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وفيه منع القرينة؛ لوقوعه كثيراً على خلاف ذلك، واحتمال الاستهزاء مُندفع عن </w:t>
      </w:r>
    </w:p>
    <w:p>
      <w:pPr>
        <w:pStyle w:val="BookText"/>
        <w:rPr/>
      </w:pPr>
      <w:r>
        <w:rPr>
          <w:rFonts w:ascii="Amiri" w:hAnsi="Amiri" w:eastAsia="Amiri" w:cs="Amiri"/>
          <w:color w:val="111111"/>
          <w:sz w:val="28"/>
          <w:sz w:val="28"/>
          <w:szCs w:val="28"/>
          <w:rtl w:val="true"/>
          <w:lang w:bidi="ar-SA"/>
        </w:rPr>
        <w:t>الآية، ودعوى الهذرية إنما يتم لو لم يكن الجواب بذلك مفيداً ولو بطريق الاستهزاء، ولا شبهة في كونه من الأُمور المقصودة للعقلاء عرفاً، المُستعمل لغةً، وقيام الاحتمال يَمنَع لزوم الإقرار بذلك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أليس لى عليك 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إقراراً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حرف يقتضي إبطال النفي، سواءً كان مجرَّداً نحوُزَعَمَ الَّذِينَ كَفَرُوا أَن لَّن يُبْعَثُوا قُلْ بَلَى وَرَبِّي</w:t>
      </w:r>
      <w:r>
        <w:rPr>
          <w:rStyle w:val="FootnoteAnchor"/>
          <w:rtl w:val="true"/>
        </w:rPr>
        <w:footnoteReference w:id="35"/>
      </w:r>
      <w:r>
        <w:rPr>
          <w:rFonts w:ascii="Amiri" w:hAnsi="Amiri" w:eastAsia="Amiri" w:cs="Amiri"/>
          <w:color w:val="111111"/>
          <w:sz w:val="28"/>
          <w:sz w:val="28"/>
          <w:szCs w:val="28"/>
          <w:rtl w:val="true"/>
          <w:lang w:bidi="ar-SA"/>
        </w:rPr>
        <w:t xml:space="preserve">أم مقروناً بالاستفهام الحقيقي كالمثال، أو التقريري نحوُأَلَمْ يَأْتِكُمْ نَذِيرٌ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 بَلَى</w:t>
      </w:r>
      <w:r>
        <w:rPr>
          <w:rStyle w:val="FootnoteAnchor"/>
          <w:rtl w:val="true"/>
        </w:rPr>
        <w:footnoteReference w:id="36"/>
      </w:r>
      <w:r>
        <w:rPr>
          <w:rFonts w:ascii="IRNazanin" w:hAnsi="IRNazanin" w:eastAsia="IRNazanin"/>
          <w:color w:val="111111"/>
          <w:sz w:val="28"/>
          <w:sz w:val="28"/>
          <w:szCs w:val="28"/>
          <w:rtl w:val="true"/>
          <w:lang w:bidi="fa-IR"/>
        </w:rPr>
        <w:t>،</w:t>
      </w:r>
      <w:r>
        <w:rPr>
          <w:rFonts w:ascii="Amiri" w:hAnsi="Amiri" w:eastAsia="Amiri" w:cs="Amiri"/>
          <w:color w:val="111111"/>
          <w:sz w:val="28"/>
          <w:sz w:val="28"/>
          <w:szCs w:val="28"/>
          <w:rtl w:val="true"/>
          <w:lang w:bidi="ar-SA"/>
        </w:rPr>
        <w:t>أَلَسْتُ بِرَبِّكُمْ قَالُوا بَلَى</w:t>
      </w:r>
      <w:r>
        <w:rPr>
          <w:rStyle w:val="FootnoteAnchor"/>
          <w:rtl w:val="true"/>
        </w:rPr>
        <w:footnoteReference w:id="37"/>
      </w:r>
      <w:r>
        <w:rPr>
          <w:rFonts w:ascii="IRNazanin" w:hAnsi="IRNazanin" w:eastAsia="IRNazanin"/>
          <w:color w:val="111111"/>
          <w:sz w:val="28"/>
          <w:sz w:val="28"/>
          <w:szCs w:val="28"/>
          <w:rtl w:val="true"/>
          <w:lang w:bidi="fa-IR"/>
        </w:rPr>
        <w:t xml:space="preserve">، ولأن أصل بلى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زيدت عليها الألفُ، فقوله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ردُّ لقوله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ليس عليك كذا فإنّه الذي دَخَل عليه حرفُ الاستفهام ونفي له، ونفي النفي إثبات فيكون إقراراً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الأقوى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لقيامها مقام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لغةً وعرفاً، أما العرف فظاهر، وأمّا اللغة فمنها قول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صلى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للأنصار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ألستم ترون لهم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فقالوا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r>
        <w:rPr>
          <w:rStyle w:val="FootnoteAnchor"/>
          <w:rtl w:val="true"/>
        </w:rPr>
        <w:footnoteReference w:id="3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وقول بعضهم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أليس الليلُ يَجمَع أُمَّ عمررٍ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وإيانا؟ فذاك بنا تدان تَدَانٍ </w:t>
      </w:r>
      <w:r>
        <w:rPr>
          <w:rStyle w:val="FootnoteAnchor"/>
          <w:rtl w:val="true"/>
        </w:rPr>
        <w:footnoteReference w:id="39"/>
      </w:r>
    </w:p>
    <w:p>
      <w:pPr>
        <w:pStyle w:val="BookText"/>
        <w:rPr/>
      </w:pPr>
      <w:r>
        <w:rPr>
          <w:rFonts w:ascii="Amiri" w:hAnsi="Amiri" w:eastAsia="Amiri" w:cs="Amiri"/>
          <w:color w:val="111111"/>
          <w:sz w:val="28"/>
          <w:sz w:val="28"/>
          <w:szCs w:val="28"/>
          <w:rtl w:val="true"/>
          <w:lang w:bidi="ar-SA"/>
        </w:rPr>
        <w:t>نعم، وأرى الهلال كما تراه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ويَعلُوها النهارُ كما علاني </w:t>
      </w:r>
      <w:r>
        <w:rPr>
          <w:rStyle w:val="FootnoteAnchor"/>
          <w:rtl w:val="true"/>
        </w:rPr>
        <w:footnoteReference w:id="40"/>
      </w:r>
    </w:p>
    <w:p>
      <w:pPr>
        <w:pStyle w:val="BookText"/>
        <w:rPr/>
      </w:pPr>
      <w:r>
        <w:rPr>
          <w:rFonts w:ascii="Amiri" w:hAnsi="Amiri" w:eastAsia="Amiri" w:cs="Amiri"/>
          <w:color w:val="111111"/>
          <w:sz w:val="28"/>
          <w:sz w:val="28"/>
          <w:szCs w:val="28"/>
          <w:rtl w:val="true"/>
          <w:lang w:bidi="ar-SA"/>
        </w:rPr>
        <w:t xml:space="preserve">ونقل في المغني عن سيبويه وقوع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جواب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وحَكَى عن جماعة من المتقدمين والمتأخرين جوازه </w:t>
      </w:r>
      <w:r>
        <w:rPr>
          <w:rStyle w:val="FootnoteAnchor"/>
          <w:rtl w:val="true"/>
        </w:rPr>
        <w:footnoteReference w:id="41"/>
      </w:r>
      <w:r>
        <w:rPr>
          <w:rFonts w:eastAsia="Times New Roman" w:cs="Times New Roman" w:ascii="Times New Roman" w:hAnsi="Times New Roman"/>
          <w:color w:val="111111"/>
          <w:sz w:val="28"/>
          <w:szCs w:val="28"/>
          <w:rtl w:val="true"/>
          <w:lang w:val="en-US" w:bidi="en-US"/>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والقولُ الآخَرُ أنّه لا يكون إقراراً؛ لأنّ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حرفُ تصديق كما مر، فإذا ورد على النفي الداخل عليه الاستفهام كان تصديقاً له، فيُنافي الإقرار، ولهذا قيل ونُسب إلى </w:t>
      </w:r>
    </w:p>
    <w:p>
      <w:pPr>
        <w:pStyle w:val="BookText"/>
        <w:rPr/>
      </w:pPr>
      <w:r>
        <w:rPr>
          <w:rFonts w:ascii="IRNazanin" w:hAnsi="IRNazanin" w:eastAsia="IRNazanin"/>
          <w:color w:val="111111"/>
          <w:sz w:val="28"/>
          <w:sz w:val="28"/>
          <w:szCs w:val="28"/>
          <w:rtl w:val="true"/>
          <w:lang w:bidi="fa-IR"/>
        </w:rPr>
        <w:t>ابن عباس</w:t>
      </w:r>
      <w:r>
        <w:rPr>
          <w:rStyle w:val="FootnoteAnchor"/>
          <w:rtl w:val="true"/>
        </w:rPr>
        <w:footnoteReference w:id="4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المخاطبين بقوله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أَلَسْتُ بِرَبِّكُمْ قَالُوا بَلَى</w:t>
      </w:r>
      <w:r>
        <w:rPr>
          <w:rStyle w:val="FootnoteAnchor"/>
          <w:rtl w:val="true"/>
        </w:rPr>
        <w:footnoteReference w:id="43"/>
      </w:r>
      <w:r>
        <w:rPr>
          <w:rFonts w:ascii="Amiri" w:hAnsi="Amiri" w:eastAsia="Amiri" w:cs="Amiri"/>
          <w:color w:val="111111"/>
          <w:sz w:val="28"/>
          <w:sz w:val="28"/>
          <w:szCs w:val="28"/>
          <w:rtl w:val="true"/>
          <w:lang w:bidi="ar-SA"/>
        </w:rPr>
        <w:t>لو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كفروا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فيكون التقدير حينئذ ليس لك عليَّ فيكون إنكاراً لا إقراراً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وجوابه أنا لأننازع في إطلاقها كذلك، لكن قد استعملت في المعنى الآخَرِ لغةً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اعترف به جماعة </w:t>
      </w:r>
      <w:r>
        <w:rPr>
          <w:rStyle w:val="FootnoteAnchor"/>
          <w:rtl w:val="true"/>
        </w:rPr>
        <w:footnoteReference w:id="44"/>
      </w:r>
    </w:p>
    <w:p>
      <w:pPr>
        <w:pStyle w:val="BookText"/>
        <w:rPr/>
      </w:pPr>
      <w:r>
        <w:rPr>
          <w:rFonts w:ascii="Amiri" w:hAnsi="Amiri" w:eastAsia="Amiri" w:cs="Amiri"/>
          <w:color w:val="111111"/>
          <w:sz w:val="28"/>
          <w:sz w:val="28"/>
          <w:szCs w:val="28"/>
          <w:rtl w:val="true"/>
          <w:lang w:bidi="ar-SA"/>
        </w:rPr>
        <w:t xml:space="preserve">الشهيد الأوّل، ج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جامع المقاصد، ج </w:t>
      </w:r>
      <w:r>
        <w:rPr>
          <w:rFonts w:eastAsia="Amiri" w:cs="Amiri" w:ascii="Amiri" w:hAnsi="Amiri"/>
          <w:color w:val="111111"/>
          <w:sz w:val="28"/>
          <w:szCs w:val="28"/>
          <w:lang w:bidi="ar-SA"/>
        </w:rPr>
        <w:t>9</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195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والمثبِتُ مقدَّم، واشتهرت فيه عرفاً، ورُدَّ المحكي عن ابن عباس</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وجُوِّز الجوابُ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وحَمَله في المغني على أنّه لم يكن إقراراً كافياً ؛ لاحتماله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وحيث ظهر ذلك عرفاً، ووافقته اللغةُ، رُجّح هذا المعنى وقَوِيَ كونه إقراراً</w:t>
      </w:r>
      <w:r>
        <w:rPr>
          <w:rFonts w:eastAsia="Amiri" w:cs="Amiri" w:ascii="Amiri" w:hAnsi="Amiri"/>
          <w:color w:val="111111"/>
          <w:sz w:val="28"/>
          <w:szCs w:val="28"/>
          <w:rtl w:val="true"/>
          <w:lang w:bidi="ar-SA"/>
        </w:rPr>
        <w:t>.</w:t>
      </w:r>
      <w:bookmarkStart w:id="22" w:name="pg11049_88323"/>
    </w:p>
    <w:p>
      <w:pPr>
        <w:pStyle w:val="Heading3"/>
        <w:numPr>
          <w:ilvl w:val="2"/>
          <w:numId w:val="1"/>
        </w:numPr>
        <w:rPr/>
      </w:pPr>
      <w:bookmarkStart w:id="23" w:name="__RefHeading___Toc1446087_1067777946"/>
      <w:bookmarkStart w:id="24" w:name="_Toc7"/>
      <w:bookmarkEnd w:id="22"/>
      <w:bookmarkEnd w:id="23"/>
      <w:r>
        <w:rPr>
          <w:rtl w:val="true"/>
        </w:rPr>
        <w:t>الفصل الثاني في تعقيب الإقرار بما ينافيه</w:t>
      </w:r>
      <w:bookmarkEnd w:id="24"/>
    </w:p>
    <w:p>
      <w:pPr>
        <w:pStyle w:val="BookText"/>
        <w:rPr/>
      </w:pPr>
      <w:r>
        <w:rPr>
          <w:rFonts w:ascii="IRNazanin" w:hAnsi="IRNazanin" w:eastAsia="IRNazanin"/>
          <w:color w:val="111111"/>
          <w:sz w:val="28"/>
          <w:sz w:val="28"/>
          <w:szCs w:val="28"/>
          <w:rtl w:val="true"/>
          <w:lang w:bidi="fa-IR"/>
        </w:rPr>
        <w:t xml:space="preserve">وهو قسمان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مقبول و مردود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والمقبولُ منه الاستثناء إذا لم يَستَوعِب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المستثنى منه، سواءٌ بَقِي أقل مما أخرج أم أكثرُ أم مساءٍ ؛ لأن المستثنى والمستثنى منه كالشيء الواحد فلا يتفاوت الحالُ بكَثرتِه وقِلَّتِه، ولوقوعه في القرآن</w:t>
      </w:r>
      <w:r>
        <w:rPr>
          <w:rStyle w:val="FootnoteAnchor"/>
          <w:rtl w:val="true"/>
        </w:rPr>
        <w:footnoteReference w:id="45"/>
      </w:r>
      <w:r>
        <w:rPr>
          <w:rFonts w:ascii="Amiri" w:hAnsi="Amiri" w:eastAsia="Amiri" w:cs="Amiri"/>
          <w:color w:val="111111"/>
          <w:sz w:val="28"/>
          <w:sz w:val="28"/>
          <w:szCs w:val="28"/>
          <w:rtl w:val="true"/>
          <w:lang w:bidi="ar-SA"/>
        </w:rPr>
        <w:t>وغيره من اللفظ الفصيح العربي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يصح الاستثناء إذا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اتصل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بالمستثنى منه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بما جرت به العادة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فيُغتفر التنفّس بينهما والسُعَالُ وغيرهما ممّا لا يُعدّ منفصلاً عرفاً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ولمّا كان الاستثناء إخراج ما لولاه لَدَخَل في اللفظ، كان المستثنى والمستثنى منه متناقضين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فمِن الإثبات نفي ومن النفي إثباتٌ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الأوّل فعليه إجماع العلماء، وأمّا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فلانه لولاه لم يكن لا إله إلا الله يتم به التوحيد؛ لأنه لا يتم إلا بإثبات الإلهية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ونفيها عما عداه تعالى والنفي هنا حاصل، فلو لم يحصل الإثبات لم يتم التوحيد</w:t>
      </w:r>
      <w:r>
        <w:rPr>
          <w:rFonts w:eastAsia="Amiri" w:cs="Amiri" w:ascii="Amiri" w:hAnsi="Amiri"/>
          <w:color w:val="111111"/>
          <w:sz w:val="28"/>
          <w:szCs w:val="28"/>
          <w:rtl w:val="true"/>
          <w:lang w:bidi="ar-SA"/>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وعلى ما ذكر من القواعد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فلو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له عليَّ مائة إلّا تسعين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فهو إقرار بعشرة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لأنّ المستثنى منه إثبات للمائة، فالمستثنى نفي للتسعين منها فبقي عشرة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ولو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إلّا تسعون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بالرفع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فهو إقرار بمائةٍ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لأنه لم يستثن منها شيئاً؛ لأنّ الاستثناء من الموجبِ التام لا يكون إلا منصوباً، فلمّا رَفَعه لم يكن استثناءً وإنما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فيه بمنزلة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يوصف بها وبتاليها ما قبلها، ولمّا كانت المائة مرفوعةً بالابتداء كانت التسعون مرفوعة صفة للمرفوع، والمعنى له مائة موصوفة بأنها غيرُ تسعين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فقد وَصَف المقَرَّ </w:t>
      </w:r>
    </w:p>
    <w:p>
      <w:pPr>
        <w:pStyle w:val="BookText"/>
        <w:rPr/>
      </w:pPr>
      <w:r>
        <w:rPr>
          <w:rFonts w:ascii="Amiri" w:hAnsi="Amiri" w:eastAsia="Amiri" w:cs="Amiri"/>
          <w:color w:val="111111"/>
          <w:sz w:val="28"/>
          <w:sz w:val="28"/>
          <w:szCs w:val="28"/>
          <w:rtl w:val="true"/>
          <w:lang w:bidi="ar-SA"/>
        </w:rPr>
        <w:t>به ولم يستثن منه شيئاً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وهذه الصفة مؤكدةً، صالحة للإسقاط؛ إذ كلُّ مائة فهي موصوفة بذلك مثلها فى نَفْخَةٌ وَحِدَةٌ</w:t>
      </w:r>
      <w:r>
        <w:rPr>
          <w:rStyle w:val="FootnoteAnchor"/>
          <w:rtl w:val="true"/>
        </w:rPr>
        <w:footnoteReference w:id="4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واعلم أنّ المشهور بين النحاة</w:t>
      </w:r>
      <w:r>
        <w:rPr>
          <w:rStyle w:val="FootnoteAnchor"/>
          <w:rtl w:val="true"/>
        </w:rPr>
        <w:footnoteReference w:id="47"/>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الوصفية كونها وصفاً لجمع مُنكَرٍ، كقوله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كَانَ فِيهِمَا ءَالِهَةٌ إِلَّا اللَّهُ لَفَسَدَتَا</w:t>
      </w:r>
      <w:r>
        <w:rPr>
          <w:rStyle w:val="FootnoteAnchor"/>
          <w:rtl w:val="true"/>
        </w:rPr>
        <w:footnoteReference w:id="48"/>
      </w:r>
      <w:r>
        <w:rPr>
          <w:rFonts w:ascii="Amiri" w:hAnsi="Amiri" w:eastAsia="Amiri" w:cs="Amiri"/>
          <w:color w:val="111111"/>
          <w:sz w:val="28"/>
          <w:sz w:val="28"/>
          <w:szCs w:val="28"/>
          <w:rtl w:val="true"/>
          <w:lang w:bidi="ar-SA"/>
        </w:rPr>
        <w:t xml:space="preserve">، والمائة ليست من هذا الباب، لكن الذي اختاره جماعة من المتأخرين عدم اشتراط ذلك </w:t>
      </w:r>
      <w:r>
        <w:rPr>
          <w:rStyle w:val="FootnoteAnchor"/>
          <w:rtl w:val="true"/>
        </w:rPr>
        <w:footnoteReference w:id="49"/>
      </w:r>
      <w:r>
        <w:rPr>
          <w:rFonts w:ascii="Amiri" w:hAnsi="Amiri" w:eastAsia="Amiri" w:cs="Amiri"/>
          <w:color w:val="111111"/>
          <w:sz w:val="28"/>
          <w:sz w:val="28"/>
          <w:szCs w:val="28"/>
          <w:rtl w:val="true"/>
          <w:lang w:bidi="ar-SA"/>
        </w:rPr>
        <w:t xml:space="preserve">، ونَقَل في المغني عن سيبويه جواز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كان مَعَنا رجلٌ إلا زيدٌ لغَلَبْنا</w:t>
      </w:r>
      <w:r>
        <w:rPr>
          <w:rFonts w:eastAsia="Amiri" w:cs="Amiri" w:ascii="Amiri" w:hAnsi="Amiri"/>
          <w:color w:val="111111"/>
          <w:sz w:val="28"/>
          <w:szCs w:val="28"/>
          <w:rtl w:val="true"/>
          <w:lang w:bidi="ar-SA"/>
        </w:rPr>
        <w:t>»</w:t>
      </w:r>
      <w:r>
        <w:rPr>
          <w:rStyle w:val="FootnoteAnchor"/>
          <w:rtl w:val="true"/>
        </w:rPr>
        <w:footnoteReference w:id="50"/>
      </w:r>
      <w:r>
        <w:rPr>
          <w:rFonts w:ascii="Amiri" w:hAnsi="Amiri" w:eastAsia="Amiri" w:cs="Amiri"/>
          <w:color w:val="111111"/>
          <w:sz w:val="28"/>
          <w:sz w:val="28"/>
          <w:szCs w:val="28"/>
          <w:rtl w:val="true"/>
          <w:lang w:bidi="ar-SA"/>
        </w:rPr>
        <w:t>أي غير زيد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ليس له عليَّ مائة إلّا تسعون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إقرار بتسعين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لأن المستثنى من المنفي التام يكون مرفوعاً، فلما رفع التسعين عُلم أنه استثناء من المنفي، فيكون إثباتاً للتسعين بعد نفي المائة،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ولو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إلّا تسعين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بالياء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فليس مقراً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لأن نصب المستثنى دليل على كون المستثنى منه موجباً، ولما كان ظاهره النفي حُمِل على أنّ حرف النفي داخل على الجملة المثبتة المشتملة على الاستثناء، أعني مجموع المستثنى والمستثنى منه وهي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مائة إلا تسعين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المقدار الذي هو مائة إلّا تسعين ليس له عليَّ أعني العشرة الباقية بعد الاستثناء</w:t>
      </w:r>
      <w:r>
        <w:rPr>
          <w:rFonts w:eastAsia="Amiri" w:cs="Amiri" w:ascii="Amiri" w:hAnsi="Amiri"/>
          <w:color w:val="111111"/>
          <w:sz w:val="28"/>
          <w:szCs w:val="28"/>
          <w:rtl w:val="true"/>
          <w:lang w:bidi="ar-SA"/>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كذا قرَّره المصنِّفُ في شرح الإرشاد على نظير العبارة</w:t>
      </w:r>
      <w:r>
        <w:rPr>
          <w:rStyle w:val="FootnoteAnchor"/>
          <w:rtl w:val="true"/>
        </w:rPr>
        <w:footnoteReference w:id="51"/>
      </w:r>
      <w:r>
        <w:rPr>
          <w:rFonts w:ascii="Amiri" w:hAnsi="Amiri" w:eastAsia="Amiri" w:cs="Amiri"/>
          <w:color w:val="111111"/>
          <w:sz w:val="28"/>
          <w:sz w:val="28"/>
          <w:szCs w:val="28"/>
          <w:rtl w:val="true"/>
          <w:lang w:bidi="ar-SA"/>
        </w:rPr>
        <w:t>، وغيره</w:t>
      </w:r>
      <w:r>
        <w:rPr>
          <w:rStyle w:val="FootnoteAnchor"/>
          <w:rtl w:val="true"/>
        </w:rPr>
        <w:footnoteReference w:id="5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وفيه نظر؛ لأنّ ذلك لا يَتِمّ إلا مع امتناع النصب على تقدير كون المستثنى منه منفيّاً تاماً، لكن النصب جائز حينئذٍ اتفاقاً وإن لم يبلغ رُتبةَ الرفع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ابن هشام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النصب عربي جيّد</w:t>
      </w:r>
      <w:r>
        <w:rPr>
          <w:rFonts w:eastAsia="Amiri" w:cs="Amiri" w:ascii="Amiri" w:hAnsi="Amiri"/>
          <w:color w:val="111111"/>
          <w:sz w:val="28"/>
          <w:szCs w:val="28"/>
          <w:rtl w:val="true"/>
          <w:lang w:bidi="ar-SA"/>
        </w:rPr>
        <w:t>»</w:t>
      </w:r>
      <w:r>
        <w:rPr>
          <w:rStyle w:val="FootnoteAnchor"/>
          <w:rtl w:val="true"/>
        </w:rPr>
        <w:footnoteReference w:id="53"/>
      </w:r>
      <w:r>
        <w:rPr>
          <w:rFonts w:ascii="Amiri" w:hAnsi="Amiri" w:eastAsia="Amiri" w:cs="Amiri"/>
          <w:color w:val="111111"/>
          <w:sz w:val="28"/>
          <w:sz w:val="28"/>
          <w:szCs w:val="28"/>
          <w:rtl w:val="true"/>
          <w:lang w:bidi="ar-SA"/>
        </w:rPr>
        <w:t xml:space="preserve">، وقد قُرِئَ به </w:t>
      </w:r>
    </w:p>
    <w:p>
      <w:pPr>
        <w:pStyle w:val="BookText"/>
        <w:rPr/>
      </w:pPr>
      <w:r>
        <w:rPr>
          <w:rFonts w:ascii="Amiri" w:hAnsi="Amiri" w:eastAsia="Amiri" w:cs="Amiri"/>
          <w:color w:val="111111"/>
          <w:sz w:val="28"/>
          <w:sz w:val="28"/>
          <w:szCs w:val="28"/>
          <w:rtl w:val="true"/>
          <w:lang w:bidi="ar-SA"/>
        </w:rPr>
        <w:t>في السبع</w:t>
      </w:r>
      <w:r>
        <w:rPr>
          <w:rStyle w:val="FootnoteAnchor"/>
          <w:rtl w:val="true"/>
        </w:rPr>
        <w:footnoteReference w:id="54"/>
      </w:r>
      <w:r>
        <w:rPr>
          <w:rFonts w:ascii="Amiri" w:hAnsi="Amiri" w:eastAsia="Amiri" w:cs="Amiri"/>
          <w:color w:val="111111"/>
          <w:sz w:val="28"/>
          <w:sz w:val="28"/>
          <w:szCs w:val="28"/>
          <w:rtl w:val="true"/>
          <w:lang w:bidi="ar-SA"/>
        </w:rPr>
        <w:t>ما فَعَلُوهُ إِلَّا قَلِيلٌ</w:t>
      </w:r>
      <w:r>
        <w:rPr>
          <w:rStyle w:val="FootnoteAnchor"/>
          <w:rtl w:val="true"/>
        </w:rPr>
        <w:footnoteReference w:id="55"/>
      </w:r>
      <w:r>
        <w:rPr>
          <w:rFonts w:ascii="IRNazanin" w:hAnsi="IRNazanin" w:eastAsia="IRNazanin"/>
          <w:color w:val="111111"/>
          <w:sz w:val="28"/>
          <w:sz w:val="28"/>
          <w:szCs w:val="28"/>
          <w:rtl w:val="true"/>
          <w:lang w:bidi="fa-IR"/>
        </w:rPr>
        <w:t xml:space="preserve">، </w:t>
      </w:r>
      <w:r>
        <w:rPr>
          <w:rFonts w:ascii="Amiri" w:hAnsi="Amiri" w:eastAsia="Amiri" w:cs="Amiri"/>
          <w:color w:val="111111"/>
          <w:sz w:val="28"/>
          <w:sz w:val="28"/>
          <w:szCs w:val="28"/>
          <w:rtl w:val="true"/>
          <w:lang w:bidi="ar-SA"/>
        </w:rPr>
        <w:t>وَلَا يَلْتَفِتْ مِنكُمْ أَحَدٌ إِلَّاأَمْرَأَتَكَ</w:t>
      </w:r>
      <w:r>
        <w:rPr>
          <w:rStyle w:val="FootnoteAnchor"/>
          <w:rtl w:val="true"/>
        </w:rPr>
        <w:footnoteReference w:id="5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فالأولى في توجيه عدم لزوم شيء في المسألة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تقدير النصب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يُحتمل كونه على الاستثناء من المنفي فيكون إقراراً بتسعين، وكونه من المثبت والنفي موجة إلى مجموع الجملة، فلا يكون إقراراً بشيء، فلا يلزمه شيء؛ لقيام الاحتمال واشتراك مدلول اللفظ لغةً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أنّ حمله على المعنى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جواز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خلافُ الظاهر، والمتبادِرُ من صيغ الاستثناء هو الأول، وخلافه يحتاج إلى تكلُّف لا يتبادر من الإطلاق، وهو قرينةُ ترجيح أحد المعنيين المشتركين، إلا أن فتواهم المُنْضَمَّ إلى أصالة البراءة، وقيام الاحتمال في الجملة، يُعَيِّن المصير إلى ما قالوه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ولو تعدد الاستثناء وكان بعاطف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له عليَّ عشرة إلا أربعةً وإلا ثلاثةً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 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الاستثناء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الثاني أزيد من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له عليَّ عشرة إلا أربعةً إِلَّا خمسةً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مساوياً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كقوله في المثال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إلّا أربعة إلا أربعة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رَجَعا جميعاً إلى المستثنى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مع العطف، فلوجوب اشتراك المعطوف والمعطوف عليه في الحكم، فهما كالجملة الواحدة، ولا فرق بين تكرر حرف الاستثناء وعدمه، ولا بين زيادة الثاني على الأوّل ومساواته له ونقصانه عنه، وأما مع زيادة الثاني على الأوّل أو مساواتِه، فلاستلزام عوده إلى الأقرب الاستغراق، وهو باطل فيُصان كلامه عن الهذر بعودهما معاً إلى المستثنى منه</w:t>
      </w:r>
      <w:r>
        <w:rPr>
          <w:rFonts w:eastAsia="Amiri" w:cs="Amiri" w:ascii="Amiri" w:hAnsi="Amiri"/>
          <w:color w:val="111111"/>
          <w:sz w:val="28"/>
          <w:szCs w:val="28"/>
          <w:rtl w:val="true"/>
          <w:lang w:bidi="ar-SA"/>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واعلم أنّه لا يلزم من عودهما معاً إليه صحتهما، بل إن لم يستغرق الجميع المستثنى منه صح كالمثالين وإلّا ،فلا لكن إن لَزِمَ الاستغراق من الثاني خاصةً كما لو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له عشرة إلا خمسةً إلا خمسة لغا الثاني خاصةً؛ لأنه هو الذي أوجب الفساد، وكذا مع العطف، سواء كان الثانى مساوياً للأوّل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ذُكِر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 أزيد 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له عشرة إلا ثلاثة وإلا </w:t>
      </w:r>
    </w:p>
    <w:p>
      <w:pPr>
        <w:pStyle w:val="BookText"/>
        <w:rPr/>
      </w:pPr>
      <w:r>
        <w:rPr>
          <w:rFonts w:ascii="Amiri" w:hAnsi="Amiri" w:eastAsia="Amiri" w:cs="Amiri"/>
          <w:color w:val="111111"/>
          <w:sz w:val="28"/>
          <w:sz w:val="28"/>
          <w:szCs w:val="28"/>
          <w:rtl w:val="true"/>
          <w:lang w:bidi="ar-SA"/>
        </w:rPr>
        <w:t>سبعةُ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 أنقص كما لو قدَّم السبعة على الثلاثة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يكن بعاطف ولا مساوياً للأوّل ولا أزيد منه، بل كان أنقص بغير عطف كقوله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له عليَّ عشرة إلا تسعة إلا ثمانية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رجع التالي إلى مثلُوّه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القُربه؛ إذ لو عاد إلى البعيد لَزِم ترجيحه على الأقرب بغير مرجّح، وعوده إليهما يوجب التناقض؛ إذ المستثنى والمستثنى منه متخالفان نفياً وإثباتاً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فيلزمه في المثال تسعة؛ لأنّ قوله الأوّلَ إقرار بعشرة حيث إنه إثبات والاستثناءُ الأوّلُ نفى للتسعة منها؛ لأنه وارد على إثبات فيبقى واحد، واستثناؤُه الثاني إثبات للثمانية؛ لأنه استثناء من المنفي فيكون مثبتاً فيَضُمّ ما أثبته وهو الثمانية إلى ما بقي وهو الواحد، وذلك تسعة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أنّه ضَمَّ إلى ذلك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إلّا سبعة إلا ستة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وصل إلى الواحد لَزِمه خمسةٌ؛ لأنّه بالاستثناء الثالث نَفَى سبعةً ممّا اجتمع وهو تسعة فبقي اثنان، وبالرابع أثبت ستةً فبقي ثمانية، وبالخامس يصير ثلاثةً، وبالسادس يصير سبعة، وبالسابع أربعةً، وبالثامن ستة، وبالتاسع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الواحد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ينتفي منها واحد، يبقى خمسة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والضابط أن تجمع الأعداد المثبتة وهي الأزواج على حِدَةٍ، والمنفيّة وهي الأفراد كذلك وتُسقط جملة المنفي من جملة المثبت، فالمثبَتُ ثلاثون والمنفي خمسة وعشرون والباقي بعد الإسقاط خمسة، ولو أنّه لمّا وصل إلى الواحد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إلّا اثنين إلا ثلاثة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أن وَصَل إلى التسعة لَزِمه 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بَدَأ باستثناء الواحد وختم به لَزِمه خمسة، ولو عَكس القسم الأوّلَ فَبَدَأ باستثناء الواحد وختم بالتسعة لَزِمه 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واضح بعد الإحاطة بما تقدَّم من القواعد، ورَتِّب عليه ما شئت من التفريع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ولو استثنى من غير الجنس صح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كان مجازاً لتصريحه بإرادته، أو لإمكان تأويله بالمتصل؛ بأن يُضمِر قيمة المستثنى ونحوها مما يُطابق المستثنى منه منه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وأسقط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المستثنى باعتبار قيمته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المستثنى منه فإذا بقي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بقيّةٌ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لَزِمَت وَإِلَّا بَطَل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الاستثناء؛ للاستغراق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كما لو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له عليَّ مائةً إلّا ثوباً</w:t>
      </w:r>
      <w:r>
        <w:rPr>
          <w:rFonts w:eastAsia="Amiri" w:cs="Amiri" w:ascii="Amiri" w:hAnsi="Amiri"/>
          <w:color w:val="111111"/>
          <w:sz w:val="28"/>
          <w:szCs w:val="28"/>
          <w:rtl w:val="true"/>
          <w:lang w:bidi="ar-SA"/>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هذا مثال الاستثناء من غير الجنس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مطلقاً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فيصح ويُطالب بتفسير الثوب، فإن </w:t>
      </w:r>
    </w:p>
    <w:p>
      <w:pPr>
        <w:pStyle w:val="BookText"/>
        <w:rPr/>
      </w:pPr>
      <w:r>
        <w:rPr>
          <w:rFonts w:ascii="Amiri" w:hAnsi="Amiri" w:eastAsia="Amiri" w:cs="Amiri"/>
          <w:color w:val="111111"/>
          <w:sz w:val="28"/>
          <w:sz w:val="28"/>
          <w:szCs w:val="28"/>
          <w:rtl w:val="true"/>
          <w:lang w:bidi="ar-SA"/>
        </w:rPr>
        <w:t>بَقِيَ من قيمته بقيّة من المائة بعد إخراج القيمة ،قبل، وإن استغرقها بطل الاستثناء على الأقوى، وألزم بالمائة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يبطل التفسير خاصةً فيُطالب بغيره</w:t>
      </w:r>
      <w:r>
        <w:rPr>
          <w:rStyle w:val="FootnoteAnchor"/>
          <w:rtl w:val="true"/>
        </w:rPr>
        <w:footnoteReference w:id="5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الاستثناء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المستغرِقُ باطل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اتفاقاً كما لو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له على مائة إلا مائةً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يُحمل على الغلط، ولو ادعاه لم يُسمع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إذا لم يَتَعَقَّبه استثناءً آخَرُ يُزيل استغراقه، كما لو عقب ذلك بقوله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 تسعين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فيصح الاستثناءان ويلزمه تسعون؛ لأن الكلام جملةً واحدةً لا يتم إلا بآخِره، وآخِرُه يُصَيّر الأوّلَ غيرَ مُستَوعِب، فإنّ المائة المستثناة منفيّة لأنها استثناء من مثبت والتسعين مثبتة؛ لأنها استثناء من منفي فيصير جملة الكلام في قوّة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 تسعون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وكأنه استثنى من أوّل الأمر عشرة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يبطل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الإضراب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الكلام الأول 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مثل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له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مائة بل تسعون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فيلزمه في الموضعين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وهما الاستثناء المستغرق ومع الإضراب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مائةٌ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لبطلان المتعقب في الأول للاستغراق، وفي الثاني للإضراب الموجِبِ لإنكار ما قد أقرَّ به فلا يلتفت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وليس ذلك كالاستثناء؛ لأنّه من متمَّمات الكلام لغةً، والمحكوم بثبوته فيه هو الباقي من المستثنى منه بعده، بخلاف الإضراب فإنّه بعد الإيجاب يَجعَل ما قبل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كالمسكوت عنه بعد الإقرار به فلا يُسمع، فالفارق بينهما اللغة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ولو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له عليَّ عشرةٌ من ثَمَن مبيع لم أقبضه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أُلْزِم بالعشرة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يُلتفت إلى دعواه عدم قبض المبيع؛ للتنافي بين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وكونه لم يقبض المبيع؛ لأن مقتضاه عدم استحقاق المطالبة بثمنه مع ثبوته في الذمة، فإنّ البائع لا يستحق المطالبة بالثمن إلا مع تسليم المبيع</w:t>
      </w:r>
      <w:r>
        <w:rPr>
          <w:rFonts w:eastAsia="Amiri" w:cs="Amiri" w:ascii="Amiri" w:hAnsi="Amiri"/>
          <w:color w:val="111111"/>
          <w:sz w:val="28"/>
          <w:szCs w:val="28"/>
          <w:rtl w:val="true"/>
          <w:lang w:bidi="ar-SA"/>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وفيه نظر؛ إذ لا منافاة بين ثبوته في الذمة وعدم قبض المبيع، إنما التنافي بين </w:t>
      </w:r>
    </w:p>
    <w:p>
      <w:pPr>
        <w:pStyle w:val="BookText"/>
        <w:rPr/>
      </w:pPr>
      <w:r>
        <w:rPr>
          <w:rFonts w:ascii="Amiri" w:hAnsi="Amiri" w:eastAsia="Amiri" w:cs="Amiri"/>
          <w:color w:val="111111"/>
          <w:sz w:val="28"/>
          <w:sz w:val="28"/>
          <w:szCs w:val="28"/>
          <w:rtl w:val="true"/>
          <w:lang w:bidi="ar-SA"/>
        </w:rPr>
        <w:t>استحقاق المطالبة به مع عدم القبض وهو أمرٌ ،آخَرُ ومِن ثَمَّ ذهب الشيخ إلى قبول هذا الإقرار</w:t>
      </w:r>
      <w:r>
        <w:rPr>
          <w:rStyle w:val="FootnoteAnchor"/>
          <w:rtl w:val="true"/>
        </w:rPr>
        <w:footnoteReference w:id="58"/>
      </w:r>
      <w:r>
        <w:rPr>
          <w:rFonts w:ascii="Amiri" w:hAnsi="Amiri" w:eastAsia="Amiri" w:cs="Amiri"/>
          <w:color w:val="111111"/>
          <w:sz w:val="28"/>
          <w:sz w:val="28"/>
          <w:szCs w:val="28"/>
          <w:rtl w:val="true"/>
          <w:lang w:bidi="ar-SA"/>
        </w:rPr>
        <w:t>؛ لإمكان أن يكون عليه العشرة ثمناً، ولا يجب التسليم قبل القبض؛ ولأصالة عدم القبض وبراءة الذمة من المطالبة به؛ ولأنّ للإنسان أن يُخبر بما في ذمته، وقد يشتري شيئاً ولا يقبضه فيُخبر بالواقع، فلو ألزم بغير ما أقرَّ به كان ذريعةً إلى سد باب الإقرار وهو مُنافٍ للحكمة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والتحقيق أنّ هذا ليس من باب تعقيب الإقرار بالمنافي، بل هو إقرار بالعشرة؛ لثبوتها في الذمة، وإن سُلَّمَ كلامه فهو إقرار منضَمُّ إلى دعوى عينٍ من أعيان مال المقرّ له أو شيءٍ في ذمّته فيُسمَع الإقرارُ ولا تُسمع الدعوى، وذكره في هذا الباب لمناسبة ما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يُلزم بالعشرة لو أقرّ بها ثمّ عقبه بكونها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ثمن خمر أو خنزير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لتعقيبه الإقرار بما يقتضي سقوطه؛ لعدم صلاحية الخمر والخنزير مبيعاً يُستحق به الثمنُ في شرع الإسلام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لو قال المقرّ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كان ذلك من ثمن خمرٍ أو خنزيرٍ فظَنَنْتُه لازماً لي وأَمكَن الجهل بذلك في حقه توجهت دعواه، وكان له تحليف المقر له على نفيه إن ادَّعَى العلم بالاستحقاق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أَعلَمُ الحال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حَلف على عدم العلم بالفساد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لم يُمكن الجهل بذلك في حق المقر لم يُلتفت إلى دعواه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ولو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قَفِيزُ حِنطة بل قفيزُ شَعِيرٍ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لَزِماه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قفيزُ الحنطة والشعير؛ لثبوت الأوّل بإقراره والثاني بالإضراب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ولو قال</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له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قفيزُ حنطة بل قفيزان حنطةً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فعليه قفيزان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وهما الأكثر خاصةً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له هذا الدرهم بل هذا الدرهم فعليه الدرهمان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لاعترافه في الإضراب بدرهم آخَرَ مع عدم سماع العدول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ولو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له هذا الدرهم بل درهم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واحدٌ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لعدم تحقق المغايرة بين المعيَّنِ والمطلق لإمكان حمله عليه</w:t>
      </w:r>
      <w:r>
        <w:rPr>
          <w:rFonts w:eastAsia="Amiri" w:cs="Amiri" w:ascii="Amiri" w:hAnsi="Amiri"/>
          <w:color w:val="111111"/>
          <w:sz w:val="28"/>
          <w:szCs w:val="28"/>
          <w:rtl w:val="true"/>
          <w:lang w:bidi="ar-SA"/>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وحاصل الفرق بين هذه الصور يرجع إلى تحقيق 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وخلاصته أنّها حرفُ </w:t>
      </w:r>
    </w:p>
    <w:p>
      <w:pPr>
        <w:pStyle w:val="BookText"/>
        <w:rPr/>
      </w:pPr>
      <w:r>
        <w:rPr>
          <w:rFonts w:ascii="IRNazanin" w:hAnsi="IRNazanin" w:eastAsia="IRNazanin"/>
          <w:color w:val="111111"/>
          <w:sz w:val="28"/>
          <w:sz w:val="28"/>
          <w:szCs w:val="28"/>
          <w:rtl w:val="true"/>
          <w:lang w:bidi="fa-IR"/>
        </w:rPr>
        <w:t>إضراب، ثمّ إن تَقَدَّمَها إيجاب وتلاها مفردٌ جَعَلَتْ ما قبلها كالمسكوت عنه، فلا يُحكَم عليه بشيء، وأثبتت الحكم لما بعدها، وحيث كان الأوّلُ إقراراً صحيحاً استَقَر حكمه بالإضراب عنه، وإن تَقَدَّمَها نفي فهي لتقرير ما قبلها على حكمه وجَعْل ضده لما بعدها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إن كانا مع الإيجاب مختلفين أو معيَّنين لم يُقبل إضرابه؛ لأنه إنكار للإقرار الأول وهو غير مسموع، فالأول ك</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له قفيز حنطة بل قفيز شعير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والثاني ك</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 هذا الدرهم بل هذا الدرهم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فيلزم القفيزان والدرهمان؛ لأن أحد المختلفين وأحد الشخصين غير داخل في الآخر؛ وإن كانا مطلقين أو أحدُهما لَزِمَه واحدٌ إن اتحد مقدار ما قبل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بعدها 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 در هم بل درهم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أو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الدرهم بل درهم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أو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درهم بل هذا الدرهم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لكن يلزمه مع تعیین أحدِهما المعيَّنُ؛ وإن اختلفا كمّيّةً ك</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قفيز بل قفيزان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القفيز بل قفيزان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أو بالعكس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لَزِمَه الأكثر، لكن إن كان المعيَّن هو الأقل تعيَّن ووجب الإكمال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هذه الدار لزيد بل لعمرو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دفعت إلى زيد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عملاً بمقتضى إقراره الأوّلِ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وغَرِم لعمرو قيمتها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لأنه قد حال بينه وبين الشيء المقرّ به بإقراره الأول، فيغرم له للحيلولة الموجبة للغُرْم، إلّا أن يُصدِّقه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أنّها لعمرو فيدفَع إلى عمرو من غير غُرم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ولو أَشهَد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شاهدي عدلٍ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بالبيع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لزيد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وقبض الثمن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ادَّعَى المواطأة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بينه وبين المقرّ له على الإشهاد من غير أن يقع بينهما قبض سمِعت دعواه؛ لجريان العادة بذلك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أحلف المقَرُّ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الإقباض أو على عدم المواطأة</w:t>
      </w:r>
      <w:r>
        <w:rPr>
          <w:rFonts w:eastAsia="Amiri" w:cs="Amiri" w:ascii="Amiri" w:hAnsi="Amiri"/>
          <w:color w:val="111111"/>
          <w:sz w:val="28"/>
          <w:szCs w:val="28"/>
          <w:rtl w:val="true"/>
          <w:lang w:bidi="ar-SA"/>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ويُحتمل عدم السماع، فلا يتوجه اليمين؛ لأنّه مُكذِّبٌ لإقراره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ويُضعف بأن ذلك واقع تَعُمّ البلوى به فعدم سماعها يُفضي إلى الضرر المنفي</w:t>
      </w:r>
      <w:r>
        <w:rPr>
          <w:rStyle w:val="FootnoteAnchor"/>
          <w:rtl w:val="true"/>
        </w:rPr>
        <w:footnoteReference w:id="5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إذا شهدت البينة على إقراره، أما لو شهدت بالقبض لم يُلتفت إليه؛ لأنّه مُكذِّب لها، طاعِنُ فيها، فلا يَتَوَجّه بدعواه يمين </w:t>
      </w:r>
      <w:r>
        <w:rPr>
          <w:rFonts w:eastAsia="Amiri" w:cs="Amiri" w:ascii="Amiri" w:hAnsi="Amiri"/>
          <w:color w:val="111111"/>
          <w:sz w:val="28"/>
          <w:szCs w:val="28"/>
          <w:rtl w:val="true"/>
          <w:lang w:bidi="ar-SA"/>
        </w:rPr>
        <w:t xml:space="preserve">. </w:t>
      </w:r>
      <w:bookmarkStart w:id="25" w:name="pg11049_88330"/>
    </w:p>
    <w:p>
      <w:pPr>
        <w:pStyle w:val="Heading3"/>
        <w:numPr>
          <w:ilvl w:val="2"/>
          <w:numId w:val="1"/>
        </w:numPr>
        <w:rPr/>
      </w:pPr>
      <w:bookmarkStart w:id="26" w:name="__RefHeading___Toc1446089_1067777946"/>
      <w:bookmarkStart w:id="27" w:name="_Toc8"/>
      <w:bookmarkEnd w:id="25"/>
      <w:bookmarkEnd w:id="26"/>
      <w:r>
        <w:rPr>
          <w:rtl w:val="true"/>
        </w:rPr>
        <w:t>الفصل الثالث في الإقرار بالنسب</w:t>
      </w:r>
      <w:bookmarkEnd w:id="2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ويُشترط فيه أهليّةُ المُقِرّ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للإقرار ببلوغه وعقله،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وإمكانُ إلحاق المقر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بالمقر شرعاً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فلو أقرَّ ببُنُوَّة المعروفِ نَسَبُه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أُخُوَتِه أو غيرهما مما يُغاير ذلك النسب الشرعي،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ببنوّة مَن هو أعلى سنّاً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المقرّ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مساءٍ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أنقصُ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بما لم تَجْرِ العادةُ بتولّده منه بَطَل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الإقرار، وكذا المنفي عنه شرعاً كولد الزنى وإنْ كان على فراشه، وولدِ اللعان وإنْ كان الابن يَرِتُه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ويُشترط التصديقُ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تصديق المقرّ به للمقرّ في دعواه النسب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فيما عدا الولد الصغير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ذكراً كان أم أنثى،</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والمجنون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والميِّتِ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كان بالغاً عاقلاً ولم يكن ولداً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الثلاثة فلا يُعتبر تصديقهم، بل يثبت نَسَبُهم بالنسبة إلى المقرّ بمجرد إقراره ؛ لأنّ التصديق إنّما يُعتبر مع إمكانه، وهو ممتنع منهما، وكذا الميت مطلقاً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وربما أشكل حكمُه كبيراً ممّا تقدم، ومن إطلاق اشتراط تصديق البالغ العاقل في لحوقه؛ ولأنّ تأخير الاستلحاق إلى الموت يُوشك أن يكون خوفاً من إنكاره، إلا أنّ فتوى الأصحاب على القبول ولا يقدح فيه التهمة باستيثاق مال الناقص وإرث الميت</w:t>
      </w:r>
      <w:r>
        <w:rPr>
          <w:rFonts w:eastAsia="Amiri" w:cs="Amiri" w:ascii="Amiri" w:hAnsi="Amiri"/>
          <w:color w:val="111111"/>
          <w:sz w:val="28"/>
          <w:szCs w:val="28"/>
          <w:rtl w:val="true"/>
          <w:lang w:bidi="ar-SA"/>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والمراد بالولد هنا الولد للصلب، فلو أقرَّ ببنوّة ولد ولده فنازلاً اعتبر التصديق كغيره من الأقارب، نَصَّ عليه المصنِّفُ </w:t>
      </w:r>
      <w:r>
        <w:rPr>
          <w:rStyle w:val="FootnoteAnchor"/>
          <w:rtl w:val="true"/>
        </w:rPr>
        <w:footnoteReference w:id="60"/>
      </w:r>
      <w:r>
        <w:rPr>
          <w:rFonts w:ascii="Amiri" w:hAnsi="Amiri" w:eastAsia="Amiri" w:cs="Amiri"/>
          <w:color w:val="111111"/>
          <w:sz w:val="28"/>
          <w:sz w:val="28"/>
          <w:szCs w:val="28"/>
          <w:rtl w:val="true"/>
          <w:lang w:bidi="ar-SA"/>
        </w:rPr>
        <w:t>وغيرُه</w:t>
      </w:r>
      <w:r>
        <w:rPr>
          <w:rStyle w:val="FootnoteAnchor"/>
          <w:rtl w:val="true"/>
        </w:rPr>
        <w:footnoteReference w:id="6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وإطلاق الولد يقتضي عدم الفرق بين دعوى </w:t>
      </w:r>
    </w:p>
    <w:p>
      <w:pPr>
        <w:pStyle w:val="BookText"/>
        <w:rPr/>
      </w:pPr>
      <w:r>
        <w:rPr>
          <w:rFonts w:ascii="Amiri" w:hAnsi="Amiri" w:eastAsia="Amiri" w:cs="Amiri"/>
          <w:color w:val="111111"/>
          <w:sz w:val="28"/>
          <w:sz w:val="28"/>
          <w:szCs w:val="28"/>
          <w:rtl w:val="true"/>
          <w:lang w:bidi="ar-SA"/>
        </w:rPr>
        <w:t>الأب والأُمّ، وهو أحد القولين في المسألة</w:t>
      </w:r>
      <w:r>
        <w:rPr>
          <w:rStyle w:val="FootnoteAnchor"/>
          <w:rtl w:val="true"/>
        </w:rPr>
        <w:footnoteReference w:id="62"/>
      </w:r>
      <w:r>
        <w:rPr>
          <w:rFonts w:ascii="Amiri" w:hAnsi="Amiri" w:eastAsia="Amiri" w:cs="Amiri"/>
          <w:color w:val="111111"/>
          <w:sz w:val="28"/>
          <w:sz w:val="28"/>
          <w:szCs w:val="28"/>
          <w:rtl w:val="true"/>
          <w:lang w:bidi="ar-SA"/>
        </w:rPr>
        <w:t xml:space="preserve">، وأصحهما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الذي اختاره المصنف في الدروس</w:t>
      </w:r>
      <w:r>
        <w:rPr>
          <w:rStyle w:val="FootnoteAnchor"/>
          <w:rtl w:val="true"/>
        </w:rPr>
        <w:footnoteReference w:id="6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الفرقُ، وأن ذلك مخصوص بدعوى الأب، أمّا الأُمّ فيعتبر التصديق لها؛ لورود النص على الرجل</w:t>
      </w:r>
      <w:r>
        <w:rPr>
          <w:rStyle w:val="FootnoteAnchor"/>
          <w:rtl w:val="true"/>
        </w:rPr>
        <w:footnoteReference w:id="64"/>
      </w:r>
      <w:r>
        <w:rPr>
          <w:rFonts w:ascii="Amiri" w:hAnsi="Amiri" w:eastAsia="Amiri" w:cs="Amiri"/>
          <w:color w:val="111111"/>
          <w:sz w:val="28"/>
          <w:sz w:val="28"/>
          <w:szCs w:val="28"/>
          <w:rtl w:val="true"/>
          <w:lang w:bidi="ar-SA"/>
        </w:rPr>
        <w:t>فلا يتناول المرأة، واتحاد طريقهما ممنوع؛ لإمكان إقامتها البينة على الولادة دونه، ولأنّ ثبوت نسبٍ غير معلوم على خلاف الأصل يقتصر فيه على موضع اليقين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يُشترط أيضاً في نفوذ الإقرار مطلقاً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عدم المنازع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 في نسب المقرّ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فلو تنازعا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اعتُبرت البيِّنةُ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وحُكم لمن شهدت له، فإن فقدت فالقرعة لأنها لكلّ أمرٍ مشكل، أو معين عند الله مبهم عندنا، وهو هنا كذلك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إذا اشتركا في الفراش على تقدير دعوى البُنُوَّة، أو انتفى عنهما كواطِني خالية عن فراش لشبهة، فلو كانت فراشاً لأحدهما حُكم له به خاصة دون الآخر وإنْ صادقه الزوجان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كانا زانتين انتفى عنهما ، أو أحدهما فعنه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عبرة في ذلك كلّه بتصديق الأُمّ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ولو تصادق اثنان فصاعداً على نسب غير التولّد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كالأُخُوَّة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تصادقهما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وتَوارَثا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لأنّ الحقُّ لهما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يَتَعَدَّهما التوارُتُ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وَرَتْتِهما؛ لأنّ حكم النسب إنما يثبت بالإقرار والتصديق، فيُقتصر فيه على المتصادِقين إلّا مع تصادقِ وَرَنتهما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ومقتضى قولهم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غير التولد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التصادق فى التولّد يَتَعَدَّى، مضافاً إلى ما سبق من الحكم بثبوت النسب في إلحاق الصغير مطلقاً، والكبير مع التصادق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والفرق بينه وبين غيره من الأنساب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اشتراكهما في اعتبار التصادق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 بَيِّن</w:t>
      </w:r>
      <w:r>
        <w:rPr>
          <w:rFonts w:eastAsia="Amiri" w:cs="Amiri" w:ascii="Amiri" w:hAnsi="Amiri"/>
          <w:color w:val="111111"/>
          <w:sz w:val="28"/>
          <w:szCs w:val="28"/>
          <w:rtl w:val="true"/>
          <w:lang w:bidi="ar-SA"/>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عبرة بإنكار الصغير بعد بلوغه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نسب المعترف به صغيراً، وكذا المجنون بعد كماله؛ لثبوت النسب قبله، فلا يزول بالإنكار اللاحق، وليس له إحلافُ المقرّ أيضاً؛ لأنّ </w:t>
      </w:r>
    </w:p>
    <w:p>
      <w:pPr>
        <w:pStyle w:val="BookText"/>
        <w:rPr/>
      </w:pPr>
      <w:r>
        <w:rPr>
          <w:rFonts w:ascii="Amiri" w:hAnsi="Amiri" w:eastAsia="Amiri" w:cs="Amiri"/>
          <w:color w:val="111111"/>
          <w:sz w:val="28"/>
          <w:sz w:val="28"/>
          <w:szCs w:val="28"/>
          <w:rtl w:val="true"/>
          <w:lang w:bidi="ar-SA"/>
        </w:rPr>
        <w:t>غايته استخراج رجوعه أو نكوله، وكلاهما الآن غير مسموع، كما لا يُسمع لو نَفَى النسب حينئذٍ صريحاً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ولو أقرَّ العم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المحكوم بكونه وارثاً ظاهراً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بأخ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للميت وارثٍ دَفَع إليه المال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لاعترافه بكونه أولى منه بالإرث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فلو أقرَّ العمُّ بعد ذلك بولد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للميت وارث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وصدقه الأخُ دَفَع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المال؛ لاعترافهما بكونه أولى منهما،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 أكذبه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أكذب الأخ العمَّ في كون المقرّ به ثانياً ولداً للميت لم يدفع إليه؛ لاستحقاقه المال باعتراف ذي اليد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العم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تُعلم أولوية الثاني؛ لأنّ العمَّ حينئذٍ خارج فلا يُقبل إقراره في حق الأخ،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غَرِم العم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لمن اعترف بكونه ولداً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دَفَع إلى الأخ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المال؛ لإتلافه له بإقراره الأول مع مباشرته لدفع المال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ونبه بقوله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غرم ما دفع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أنه لو لم يَدفَع إليه لم يغرم بمجرد إقراره بكونه أخاً؛ لأن ذلك لا يستلزم كونه وارثاً، بل هو أعم، وإنّما يَضمن لو دَفَع إليه المال؛ لمباشرته إتلافه حينئذ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معناه ما لو أقر بانحصار الإرث فيه؛ لأنه بإقراره بالولد بعد ذلك يكون رجوعاً عن إقراره الأوّل فلا يُسمَع ، ويَغرم للولد لحيلولته بينه وبين التركة بالإقرار الأول، كما لو أقر بمال لواحد ثمّ أقرَّ به لآخَرَ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فرق في الحكم بضمانه حينئذٍ بين حكم الحاكم عليه بالدفع إلى الأخ وعدمه؛ لأنه مع اعترافه بإرثه مُفَوِّت بدون الحكم نعم، لو كان دَفَعه في صورة عدم اعترافه بكونه الوارث بحكم الحاكم اتَّجه عدمُ الضمان لعدم اختياره في الدفع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وكذا الحكم في كلّ مَن أقرَّ بوارثٍ أَولى منه ثمّ أقر بأولى منهما، وتخصيص الأخ والولد مثال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كان إقرار الأول بمساءٍ للثاني كأخ آخَرَ فإن صدقه تَشَارَكا وإلّا غرم للثاني نصف التركة</w:t>
      </w:r>
    </w:p>
    <w:p>
      <w:pPr>
        <w:pStyle w:val="BookText"/>
        <w:rPr/>
      </w:pPr>
      <w:r>
        <w:rPr>
          <w:rFonts w:ascii="Amiri" w:hAnsi="Amiri" w:eastAsia="Amiri" w:cs="Amiri"/>
          <w:color w:val="111111"/>
          <w:sz w:val="28"/>
          <w:sz w:val="28"/>
          <w:szCs w:val="28"/>
          <w:rtl w:val="true"/>
          <w:lang w:bidi="ar-SA"/>
        </w:rPr>
        <w:t>على الوجه الذي قررناه</w:t>
      </w:r>
      <w:r>
        <w:rPr>
          <w:rFonts w:eastAsia="Amiri" w:cs="Amiri" w:ascii="Amiri" w:hAnsi="Amiri"/>
          <w:color w:val="111111"/>
          <w:sz w:val="28"/>
          <w:szCs w:val="28"/>
          <w:rtl w:val="true"/>
          <w:lang w:bidi="ar-SA"/>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ولو أقرت الزوجة بولد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للزوج المتوفى ووارتُه ظاهراً إخوته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فصدقها الإخوة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الولد،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الولدُ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بيد الإخوة أجمع ونصف ما في يدها؛ لاعترافهم باستحقاقه 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وإن أكذبوها دَفَعَتْ إليه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بيدها زائداً عن نصيبها على تقدير الولد </w:t>
      </w:r>
    </w:p>
    <w:p>
      <w:pPr>
        <w:pStyle w:val="BookText"/>
        <w:rPr/>
      </w:pPr>
      <w:r>
        <w:rPr>
          <w:rFonts w:ascii="Amiri" w:hAnsi="Amiri" w:eastAsia="Amiri" w:cs="Amiri"/>
          <w:color w:val="111111"/>
          <w:sz w:val="28"/>
          <w:sz w:val="28"/>
          <w:szCs w:val="28"/>
          <w:rtl w:val="true"/>
          <w:lang w:bidi="ar-SA"/>
        </w:rPr>
        <w:t xml:space="preserve">وهو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التُمْن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لأنّ بيدها رُبعاً نصيبها على تقدير عدم الولد، فتدفع إلى الولد نصفه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ويُحتمل أن تدفَع إليه سبعةَ أثمانِ ما في يدها تنزيلاً للإقرار على الإشاعة فيستحق في كلّ شيء سبعة أثمانه بمقتضى إقرارها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ولو انعكس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الفرضُ بأن اعترف الإخوة بالولد دونها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دفعوا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جميع ما بأيديهم وهو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ثلاثة الأرباع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أقرَّ الولد بآخَرَ دَفَع إليه النصف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لأنّ ذلك هو لازم إرث الولدين المتساويين ذُكوريّةً وأُنوثيّةً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 أقرا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بثالث دَفَعا إليه الثلث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دَفَع كلُّ واحدٍ منهما ثلث ما بيده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وعلى هذا لو أقرَّ الثلاثةُ برابع دَفَع إليه كلُّ منهم ربع ما بيده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ومع عَدالة اثنين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الوَرَثَةِ المُقِرِّين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يَثبُت النسب والميراثُ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لأنّ النسب ممّا يثبت بشاهدين ،عدلين والميراث لازمه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يكن فى المعترفين عدلان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فالميراث حَسْبُ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لأنه لا يتوقف على العدالة، بل الاعترافِ، كما مرّ</w:t>
      </w:r>
      <w:r>
        <w:rPr>
          <w:rStyle w:val="FootnoteAnchor"/>
          <w:rtl w:val="true"/>
        </w:rPr>
        <w:footnoteReference w:id="6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ولو أقرَّ بزوج للميّتة أعطاه النصفَ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نصف ما في يده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كان المقر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بالزوج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غير ولدِها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لأنّ نصيبَ الزوج مع عدم الولد النصفُ،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يكن كذلك بأن كان المقِرُّ ولدها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فالربعَ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لأنه نصيبُ الزوج معه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والضابط أنّ المقرَّ يَدفَع الفاضل ممّا في يده عن نصيبه، على تقدير وجود المقرّ به، فإن كان أخاً للميتة ولا ولد لها دَفَع النصف، وإن كان ولداً دَفَع الربع</w:t>
      </w:r>
      <w:r>
        <w:rPr>
          <w:rFonts w:eastAsia="Amiri" w:cs="Amiri" w:ascii="Amiri" w:hAnsi="Amiri"/>
          <w:color w:val="111111"/>
          <w:sz w:val="28"/>
          <w:szCs w:val="28"/>
          <w:rtl w:val="true"/>
          <w:lang w:bidi="ar-SA"/>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العبارة قصور عن تأدية هذا المعنى؛ لأنّ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أعطاه النصف إن كان المقِرُّ غيرَ ولدِها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يَشمل إقرار بعض الورثة المُجامِعِين للولد كالأبوين، فإنَّ أحدهما لو أقرَّ بالزوج مع وجود ولد يصدق أنّ المقرَّ غيرُ ولدها، مع أنّه لا يَدفَع النصف بل قد يدفع ما دونه، وقد لا يدفع شيئاً فإنّ الولد إن كان ذكراً والمقر أحد الأبوين لا يدفع شيئاً مطلقاً؛ لأنّ نصيبه لا يزاد على السدس على تقدير وجودِ الزوج وعدمه، وإنما حصّة الزوج مع </w:t>
      </w:r>
    </w:p>
    <w:p>
      <w:pPr>
        <w:pStyle w:val="BookText"/>
        <w:rPr/>
      </w:pPr>
      <w:r>
        <w:rPr>
          <w:rFonts w:ascii="Amiri" w:hAnsi="Amiri" w:eastAsia="Amiri" w:cs="Amiri"/>
          <w:color w:val="111111"/>
          <w:sz w:val="28"/>
          <w:sz w:val="28"/>
          <w:szCs w:val="28"/>
          <w:rtl w:val="true"/>
          <w:lang w:bidi="ar-SA"/>
        </w:rPr>
        <w:t>الابن، وإن كان أنثى والمقِرُّ الأبَ يَدفَع الفاضل ممّا في يده عن السدس وكذا إن كان الأُم وليس لها حاجب، ومع الحاجب لا تدفع شيئاً؛ لعدم زيادة ما في يدها عن نصيبها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كان المقِرُّ أحد الأبوين مع عدم وجود الولد الذي هو أحدُ ما تَنَاوَلَتْه العبارة، فقد يدفع نصف ما في يده كما لو لم يكن وارثاً غيره، أو هو الأب مطلقاً، وقد لا يدفع شيئاً كما لو كان هو الأمّ مع الحاجب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وتنزيل ذلك على الإشاعة يُصحح المسألة، لكن يُفسد ما سبق من الفروع؛ لأنّها لم تُنَزَّل عليها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ولقد قَصَّر كثيرٌ من الأصحاب في تعبير هذا الفرع، فتأمله في كلامهم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 أقرّ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ذلك المقرُّ بالزوج ولداً كان أم غيره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بآخَرَ، وأكذب نفسه 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الزوج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الأول، أُغرِم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للآخر الذي اعترف به ثانياً؛ لإتلافه نصيبه بإقراره الأول،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يُكذِب نفسه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 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في المشهور؛ لأنّ الإقرار بزوج ثانٍ إقرار بأمرٍ ممتنع شرعاً، فلا يترتب عليه أثر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والأقوى أنّه يغرم للثاني مطلقاً؛ لأصالة صحة إقرار العقلاء على أنفسهم، مع إمكان كونه هو الزوج، وأنه ظنّه الأوّلَ فأقرَّ به ثمّ تَبَيَّن خلافه، وإلغاء الإقرار في حق المقرّ مع إمكان صحته منافٍ للقواعد الشرعية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لو أظهر لكلامه تأويلاً ممكناً في حقه كتزوجه إيّاها في عدّة الأوّل، فظنّ أنّه يَرِثُها زوجان، فقد استقرب المصنف في الدروس</w:t>
      </w:r>
      <w:r>
        <w:rPr>
          <w:rStyle w:val="FootnoteAnchor"/>
          <w:rtl w:val="true"/>
        </w:rPr>
        <w:footnoteReference w:id="66"/>
      </w:r>
      <w:r>
        <w:rPr>
          <w:rFonts w:ascii="IRNazanin" w:hAnsi="IRNazanin" w:eastAsia="IRNazanin"/>
          <w:color w:val="111111"/>
          <w:sz w:val="28"/>
          <w:sz w:val="28"/>
          <w:szCs w:val="28"/>
          <w:rtl w:val="true"/>
          <w:lang w:bidi="fa-IR"/>
        </w:rPr>
        <w:t>القبول، وهو متجه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ولو أقرَّ بزوجة للميّت فالربع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 المقر غير الولد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الثُمْنَ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 المقر الولد</w:t>
      </w:r>
      <w:r>
        <w:rPr>
          <w:rFonts w:eastAsia="Amiri" w:cs="Amiri" w:ascii="Amiri" w:hAnsi="Amiri"/>
          <w:color w:val="111111"/>
          <w:sz w:val="28"/>
          <w:szCs w:val="28"/>
          <w:rtl w:val="true"/>
          <w:lang w:bidi="ar-SA"/>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هذا على تنزيله في الزوج، وعلى ما حققناه يتم في الولد خاصةً، وغيرُه يَدفَع إليها الفاضل في يده عن نصيبه على تقديرها، ولو كان بيده أكثر من نصيب الزوجة اقتصر على دفع نصيبها، فالحاصل أنّ غير الولد يَدفَع أقل الأمرين من نصيب الزوجة وما زاد </w:t>
      </w:r>
    </w:p>
    <w:p>
      <w:pPr>
        <w:pStyle w:val="BookText"/>
        <w:rPr/>
      </w:pPr>
      <w:r>
        <w:rPr>
          <w:rFonts w:ascii="Amiri" w:hAnsi="Amiri" w:eastAsia="Amiri" w:cs="Amiri"/>
          <w:color w:val="111111"/>
          <w:sz w:val="28"/>
          <w:sz w:val="28"/>
          <w:szCs w:val="28"/>
          <w:rtl w:val="true"/>
          <w:lang w:bidi="ar-SA"/>
        </w:rPr>
        <w:t xml:space="preserve">عن نصيبه على تقديرها إن كان معه زيادة؛ فأحد الأبوين مع الذكر لا يَدفَع شيئاً، ومع الأُنثى يَدفَع الأقل، والأخُ يدفع الربع، والولدُ التُمْنَ كما ذكر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فإن أقر بأخرى وصدقته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الزوجة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الأولى اقتسماه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الربع أو الثمن أو ما حصل،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أَكذَبَتْها غَرِم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لها نصيبها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نصف ما غَرَم للأولى إن كان باشَرَ تسليمها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مرّ</w:t>
      </w:r>
      <w:r>
        <w:rPr>
          <w:rStyle w:val="FootnoteAnchor"/>
          <w:rtl w:val="true"/>
        </w:rPr>
        <w:footnoteReference w:id="67"/>
      </w:r>
      <w:r>
        <w:rPr>
          <w:rFonts w:ascii="IRNazanin" w:hAnsi="IRNazanin" w:eastAsia="IRNazanin"/>
          <w:color w:val="111111"/>
          <w:sz w:val="28"/>
          <w:sz w:val="28"/>
          <w:szCs w:val="28"/>
          <w:rtl w:val="true"/>
          <w:lang w:bidi="fa-IR"/>
        </w:rPr>
        <w:t>وإلا فلا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أقرَّ بثالثة ورابعةٍ فيغرم للثالثة مع تكذيب الأُولَيَيْن تُلتَ مَا لَزِمَه دفعُه، وللرابعة مع تكذيب الثلاث رُبعه</w:t>
      </w:r>
      <w:r>
        <w:rPr>
          <w:rFonts w:eastAsia="Amiri" w:cs="Amiri" w:ascii="Amiri" w:hAnsi="Amiri"/>
          <w:color w:val="111111"/>
          <w:sz w:val="28"/>
          <w:szCs w:val="28"/>
          <w:rtl w:val="true"/>
          <w:lang w:bidi="ar-SA"/>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ولو أقر بخامسة فكالإقرار بزوج ثانٍ فيغرم لها مع إكذاب نفسه، أو مطلقاً، على ما سبق</w:t>
      </w:r>
      <w:r>
        <w:rPr>
          <w:rStyle w:val="FootnoteAnchor"/>
          <w:rtl w:val="true"/>
        </w:rPr>
        <w:footnoteReference w:id="68"/>
      </w:r>
      <w:r>
        <w:rPr>
          <w:rFonts w:ascii="Amiri" w:hAnsi="Amiri" w:eastAsia="Amiri" w:cs="Amiri"/>
          <w:color w:val="111111"/>
          <w:sz w:val="28"/>
          <w:sz w:val="28"/>
          <w:szCs w:val="28"/>
          <w:rtl w:val="true"/>
          <w:lang w:bidi="ar-SA"/>
        </w:rPr>
        <w:t>، بل هنا أولى؛ لإمكان الخامسة الوارثة في المريض إذا تزوج بعد بعد الطلاقِ وانقضاء العدة، ودَخَل ومات في سَنَتِه، كما تقدّم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ويمكن فيه استرسال الإقرار، ولا يقفُ عند حدّ إذا مات في سنته مريضاً</w:t>
      </w:r>
      <w:r>
        <w:rPr>
          <w:rFonts w:eastAsia="Amiri" w:cs="Amiri" w:ascii="Amiri" w:hAnsi="Amiri"/>
          <w:color w:val="111111"/>
          <w:sz w:val="28"/>
          <w:szCs w:val="28"/>
          <w:rtl w:val="true"/>
          <w:lang w:bidi="ar-SA"/>
        </w:rPr>
        <w:t xml:space="preserve">. </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8" w:name="pg11049_88337"/>
      <w:bookmarkStart w:id="29" w:name="pg11049_88337"/>
      <w:bookmarkEnd w:id="29"/>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30" w:name="pg11049_88337"/>
      <w:bookmarkStart w:id="31" w:name="__RefHeading___Toc1446091_1067777946"/>
      <w:bookmarkStart w:id="32" w:name="_Toc9"/>
      <w:bookmarkEnd w:id="30"/>
      <w:bookmarkEnd w:id="31"/>
      <w:r>
        <w:rPr>
          <w:rtl w:val="true"/>
        </w:rPr>
        <w:t>كتاب الغصب</w:t>
      </w:r>
      <w:bookmarkEnd w:id="32"/>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كتاب الغصب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وهو الاستقلال بإثبات اليد على مال الغير عُدواناً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والمراد بالاستقلال الإقلال، وهو الاستبداد به لا طلبه، كما هو الغالب في باب الاستفعال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وخرج به ما لا إثبات معه أصلاً؛ كمنعه من ماله حتّى تلف وما لا استقلال معه؛ كوضع يده على ثوبه الذي هو لابسه، فإنّ ذلك لا يُسمَّى غصباً، وخَرَج بالمال الاستقلال باليد على الحرّ، فإنّه لا تَتَحقَّق فيه الغصبيّةُ فلا يُضمن، وبإضافة المال إلى الغير ما لو استقل بإثبات يده على مال نفسه عدواناً؛ كالمرهون في يد المرتهن، والوارث على التركة مع الدين فليس بغاصب وإنْ أَيَّم، وضين، وبالعدوان إثبات المرتهن والولي والوكيل والمستأجر والمستعير أيديهم على مال الراهن والمُولى عليه والموكل والمؤجر</w:t>
      </w:r>
    </w:p>
    <w:p>
      <w:pPr>
        <w:pStyle w:val="BookText"/>
        <w:rPr/>
      </w:pPr>
      <w:r>
        <w:rPr>
          <w:rFonts w:ascii="Amiri" w:hAnsi="Amiri" w:eastAsia="Amiri" w:cs="Amiri"/>
          <w:color w:val="111111"/>
          <w:sz w:val="28"/>
          <w:sz w:val="28"/>
          <w:szCs w:val="28"/>
          <w:rtl w:val="true"/>
          <w:lang w:bidi="ar-SA"/>
        </w:rPr>
        <w:t>والمُعِير</w:t>
      </w:r>
      <w:r>
        <w:rPr>
          <w:rFonts w:eastAsia="Amiri" w:cs="Amiri" w:ascii="Amiri" w:hAnsi="Amiri"/>
          <w:color w:val="111111"/>
          <w:sz w:val="28"/>
          <w:szCs w:val="28"/>
          <w:rtl w:val="true"/>
          <w:lang w:bidi="ar-SA"/>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ومع ذلك فينتقض التعريف في عكسه بما لو اشترك اثنان فصاعداً في غصب بحيث لم يَستقِل كلُّ منهما باليد، فلو أبدل الاستقلال بالاستيلاء لَشَمَلَه؛ لصدق الاستيلاء مع المشاركة، وبالاستقلال بإثبات اليد على حق الغير؛ كالتحجير وحق المسجد والمدرسة والرباط، ونحوه ممّا لا يُعدّ مالاً، فإنّ الغصب متحقق، وكذا غصبُ ما لا يتموّل عرفاً كحبة الحنطة فإنّه يتحقَّق به أيضاً على ما اختاره المصنف، ويجب ردُّه على مالكه مع عدم المالية إلا أن يُراد هنا جنس المال أو يُدَّعَى إطلاق المال عليه، ويُفرَقَ بينه وبين المُتَمَوَّل، وهو بعيد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وعلى الحرّ الصغير والمجنون إذا تلف تحت يده بسبب؛ كلدْغِ الحيّة </w:t>
      </w:r>
    </w:p>
    <w:p>
      <w:pPr>
        <w:pStyle w:val="BookText"/>
        <w:rPr/>
      </w:pPr>
      <w:r>
        <w:rPr>
          <w:rFonts w:ascii="Amiri" w:hAnsi="Amiri" w:eastAsia="Amiri" w:cs="Amiri"/>
          <w:color w:val="111111"/>
          <w:sz w:val="28"/>
          <w:sz w:val="28"/>
          <w:szCs w:val="28"/>
          <w:rtl w:val="true"/>
          <w:lang w:bidi="ar-SA"/>
        </w:rPr>
        <w:t>ووقوع الحائط فإنّه يضمن عند المصنف وجماعةٍ</w:t>
      </w:r>
      <w:r>
        <w:rPr>
          <w:rStyle w:val="FootnoteAnchor"/>
          <w:rtl w:val="true"/>
        </w:rPr>
        <w:footnoteReference w:id="69"/>
      </w:r>
      <w:r>
        <w:rPr>
          <w:rFonts w:ascii="Amiri" w:hAnsi="Amiri" w:eastAsia="Amiri" w:cs="Amiri"/>
          <w:color w:val="111111"/>
          <w:sz w:val="28"/>
          <w:sz w:val="28"/>
          <w:szCs w:val="28"/>
          <w:rtl w:val="true"/>
          <w:lang w:bidi="ar-SA"/>
        </w:rPr>
        <w:t>، كما اختاره في الدروس</w:t>
      </w:r>
      <w:r>
        <w:rPr>
          <w:rStyle w:val="FootnoteAnchor"/>
          <w:rtl w:val="true"/>
        </w:rPr>
        <w:footnoteReference w:id="70"/>
      </w:r>
      <w:r>
        <w:rPr>
          <w:rFonts w:ascii="Amiri" w:hAnsi="Amiri" w:eastAsia="Amiri" w:cs="Amiri"/>
          <w:color w:val="111111"/>
          <w:sz w:val="28"/>
          <w:sz w:val="28"/>
          <w:szCs w:val="28"/>
          <w:rtl w:val="true"/>
          <w:lang w:bidi="ar-SA"/>
        </w:rPr>
        <w:t>، فلو أبدل المال بالحقِّ لَشَمَل جميع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مَن تَرتَّبَتْ يده على يد الغاصب جاهلاً به ومَن سَكَن دارَ غيره غلطاً، أو لَبِس ثوبه خطأ، فإنّهم ضامنون وإن لم يكونوا غاصبين؛ لأنّ الغصب من الأفعال المحرَّمة في الكتاب </w:t>
      </w:r>
      <w:r>
        <w:rPr>
          <w:rStyle w:val="FootnoteAnchor"/>
          <w:rtl w:val="true"/>
        </w:rPr>
        <w:footnoteReference w:id="71"/>
      </w:r>
      <w:r>
        <w:rPr>
          <w:rFonts w:ascii="Amiri" w:hAnsi="Amiri" w:eastAsia="Amiri" w:cs="Amiri"/>
          <w:color w:val="111111"/>
          <w:sz w:val="28"/>
          <w:sz w:val="28"/>
          <w:szCs w:val="28"/>
          <w:rtl w:val="true"/>
          <w:lang w:bidi="ar-SA"/>
        </w:rPr>
        <w:t xml:space="preserve">والسنة </w:t>
      </w:r>
      <w:r>
        <w:rPr>
          <w:rStyle w:val="FootnoteAnchor"/>
          <w:rtl w:val="true"/>
        </w:rPr>
        <w:footnoteReference w:id="72"/>
      </w:r>
      <w:r>
        <w:rPr>
          <w:rFonts w:ascii="Amiri" w:hAnsi="Amiri" w:eastAsia="Amiri" w:cs="Amiri"/>
          <w:color w:val="111111"/>
          <w:sz w:val="28"/>
          <w:sz w:val="28"/>
          <w:szCs w:val="28"/>
          <w:rtl w:val="true"/>
          <w:lang w:bidi="ar-SA"/>
        </w:rPr>
        <w:t>، بل بالإجماع ودليل العقل، فلا يتناول غير العالم وإنْ شارَكَه في بعض الأحكام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وإبدال العدوان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غير حق ليتناولهم من حيث إنهم ضامنون ليس بجيد؛ لما ذكرناه، وكذا الاعتذار بكونه بمعناه، أو دعوى الاستغناء عن القيد أصلاً ليشملهم، بل الأجودُ الافتقار إلى قيدِ العدوان الدال على الظلم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تلخص أن الأجود في تعريفه 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الاستيلاء على حق الغير عُدواناً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 أسبابَ الضمان غيرُ منحصرة فيه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وحيث اعتُبِر في الضمان الاستقلال أو الاستيلاء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فلو مَنَعه من سکنی داره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ولم يُثبِت المانعُ يده عليها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مَنَعه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إمساك دابته المُرسَلة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كذلك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فليس بغاصب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لهما، فلا يضمن العين لو تلفت، ولا الأجرة زمن المنع؛ لعدم إثبات اليد الذي هو جزء مفهوم الغصب</w:t>
      </w:r>
      <w:r>
        <w:rPr>
          <w:rFonts w:eastAsia="IRNazanin" w:cs="IRNazanin"/>
          <w:color w:val="111111"/>
          <w:sz w:val="28"/>
          <w:szCs w:val="28"/>
          <w:rtl w:val="true"/>
          <w:lang w:bidi="fa-IR"/>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ويُشكل بأنّه لا يَلزَم من عدم الغصب عدم الضمان؛ لعدم انحصار السبب فيه، بل ينبغي أن يَختَصّ ذلك بما لا يكون المانع سبباً في تلف العين بذلك؛ بأن اتفق تلفها مع كون السكنى غير معتبرة في حفظها، والمالكِ غير معتبر في مراعاة الدابة كما يتفق لكثير من الدور والدواب، أما لو كان حفظه متوقفاً على سكنى الدار، ومراعاة الدابة الضعفها، أو كون أرضها مَسْبَعةً مثلاً، فإنّ المتجة الضمان نظراً إلى كونه سبباً قوياً مع ضعف المباشر، ومثله ما لو منعه من الجلوس على بساطه فتَلِف أو سُرِق، أو غَصَبَ </w:t>
      </w:r>
    </w:p>
    <w:p>
      <w:pPr>
        <w:pStyle w:val="BookText"/>
        <w:rPr/>
      </w:pPr>
      <w:r>
        <w:rPr>
          <w:rFonts w:ascii="Amiri" w:hAnsi="Amiri" w:eastAsia="Amiri" w:cs="Amiri"/>
          <w:color w:val="111111"/>
          <w:sz w:val="28"/>
          <w:sz w:val="28"/>
          <w:szCs w:val="28"/>
          <w:rtl w:val="true"/>
          <w:lang w:bidi="ar-SA"/>
        </w:rPr>
        <w:t>الأم فمات ولدُها جوعاً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هو الذي اختاره المصنف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بعض فوائده، وإنْ اتَّبَع هنا وفي الدروس </w:t>
      </w:r>
      <w:r>
        <w:rPr>
          <w:rStyle w:val="FootnoteAnchor"/>
          <w:rtl w:val="true"/>
        </w:rPr>
        <w:footnoteReference w:id="73"/>
      </w:r>
      <w:r>
        <w:rPr>
          <w:rFonts w:ascii="Amiri" w:hAnsi="Amiri" w:eastAsia="Amiri" w:cs="Amiri"/>
          <w:color w:val="111111"/>
          <w:sz w:val="28"/>
          <w:sz w:val="28"/>
          <w:szCs w:val="28"/>
          <w:rtl w:val="true"/>
          <w:lang w:bidi="ar-SA"/>
        </w:rPr>
        <w:t>المشهور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لو منعه من بيع متاعه فنَقَصت قيمته السوقية مع بقاء العين وصفاتها لم يَضمَن قطعاً؛ لأن الفائت ليس مالاً بل اكتسابه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ولو سكن معه قهراً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داره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غاصب للنصف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عيناً وقيمة؛ لاستقلاله به بخلاف النصف الذي بيد المالك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إذا شاركه في سكنى البيت على الإشاعة من غير اختصاص بموضع معيّن أمّا لو اختَصَّ بمعين اختَصَّ بضمانه، كما لو اختَصّ ببيتٍ من الدار أو موضع خاص من البيت الواحد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كان قوياً مُستَولياً وصاحب الدار ضعيفاً بحيثُ اضْمَحَلَّتْ يده معه احتُمِل قويّاً ضمان الجميع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انعكس الفرضُ بأن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ضَعُف الساكنُ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الداخل على المالك عن مقاومته ولكن لم يمنعه المالك مع قدرته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الساكنُ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أُجرة ما سكن</w:t>
      </w:r>
      <w:r>
        <w:rPr>
          <w:rStyle w:val="FootnoteAnchor"/>
          <w:rtl w:val="true"/>
        </w:rPr>
        <w:footnoteReference w:id="7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لاستيفائه منفعته بغير إذن مالكه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والقائل المحقق</w:t>
      </w:r>
      <w:r>
        <w:rPr>
          <w:rStyle w:val="FootnoteAnchor"/>
          <w:rtl w:val="true"/>
        </w:rPr>
        <w:footnoteReference w:id="75"/>
      </w:r>
      <w:r>
        <w:rPr>
          <w:rFonts w:ascii="Amiri" w:hAnsi="Amiri" w:eastAsia="Amiri" w:cs="Amiri"/>
          <w:color w:val="111111"/>
          <w:sz w:val="28"/>
          <w:sz w:val="28"/>
          <w:szCs w:val="28"/>
          <w:rtl w:val="true"/>
          <w:lang w:bidi="ar-SA"/>
        </w:rPr>
        <w:t>والعلّامة</w:t>
      </w:r>
      <w:r>
        <w:rPr>
          <w:rStyle w:val="FootnoteAnchor"/>
          <w:rtl w:val="true"/>
        </w:rPr>
        <w:footnoteReference w:id="76"/>
      </w:r>
      <w:r>
        <w:rPr>
          <w:rFonts w:ascii="Amiri" w:hAnsi="Amiri" w:eastAsia="Amiri" w:cs="Amiri"/>
          <w:color w:val="111111"/>
          <w:sz w:val="28"/>
          <w:sz w:val="28"/>
          <w:szCs w:val="28"/>
          <w:rtl w:val="true"/>
          <w:lang w:bidi="ar-SA"/>
        </w:rPr>
        <w:t>، وجماعةٌ</w:t>
      </w:r>
      <w:r>
        <w:rPr>
          <w:rStyle w:val="FootnoteAnchor"/>
          <w:rtl w:val="true"/>
        </w:rPr>
        <w:footnoteReference w:id="77"/>
      </w:r>
    </w:p>
    <w:p>
      <w:p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211</w:t>
      </w:r>
      <w:r>
        <w:rPr>
          <w:rFonts w:eastAsia="IRNazanin" w:cs="IRNazanin"/>
          <w:color w:val="111111"/>
          <w:sz w:val="28"/>
          <w:szCs w:val="28"/>
          <w:rtl w:val="true"/>
          <w:lang w:bidi="fa-IR"/>
        </w:rPr>
        <w:t xml:space="preserve"> - </w:t>
      </w:r>
      <w:r>
        <w:rPr>
          <w:rFonts w:eastAsia="IRNazanin" w:cs="IRNazanin"/>
          <w:color w:val="111111"/>
          <w:sz w:val="28"/>
          <w:szCs w:val="28"/>
          <w:lang w:bidi="fa-IR"/>
        </w:rPr>
        <w:t>212</w:t>
      </w:r>
    </w:p>
    <w:p>
      <w:pPr>
        <w:pStyle w:val="BookText"/>
        <w:rPr/>
      </w:pP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ولا يَضمَن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الساكنُ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لعدم تحقق الاستقلال باليد على العين، الذي لا يتحقق الغصب بدونه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ونسبته إلى القول يُشعر بتوقفه فيه، ووجهه ظهور استيلائه على العين التي انتفع بسكناها، وقدرة المالك على دفعه لا ترفع الغصب مع تحقق العدوان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لو كان المالك القوي نائياً فلا شبهة في الضمان؛ لتحقق الاستيلاء</w:t>
      </w:r>
      <w:r>
        <w:rPr>
          <w:rFonts w:eastAsia="Amiri" w:cs="Amiri" w:ascii="Amiri" w:hAnsi="Amiri"/>
          <w:color w:val="111111"/>
          <w:sz w:val="28"/>
          <w:szCs w:val="28"/>
          <w:rtl w:val="true"/>
          <w:lang w:bidi="ar-SA"/>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ومدُّ مِقْوَد الدابّة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بكسر الميم، وهو الحبلُ الذي يُشَدّ بزمامها أو لجامِها،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غصبٌ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للدابة وما يَصحَبُها؛ للاستيلاء عليها عدواناً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 أن يكون صاحبها راكباً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قويّاً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على دفع القائد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مُستيقظاً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حالة القَوْد، غير نائم، فلا يتحقق الغصب حينئذ لعدم الاستيلاء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لو أتَّفق تلفها بذلك ضَمِنها؛ لأنّه جانٍ عليها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لم تتلف هل يَضمَن منفعتها زمن القَوْد؟ يُحتمل قوياً ذلك؛ لتفويتها بمباشرته وإن لم يكن غاصباً كالضعيف الساكن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كان الراكب ضعيفاً عن مقاومته أو نائماً فلا ريب في الضمان؛ للاستيلاء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ساقها قدامه بحيث صار مستولياً عليها لكونها تحت يده، ولا جماحَ لها فهو غاصب لتحققِ معناه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تَرَدَّتْ بالجماح حينئذٍ أو غيره فتلفت أو عابَتْ ضَمِن؛ للسببية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وغصبُ الحامل غصب للحمل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لأنه مغصوب كالحامل، والاستقلال باليد عليه حاصل بالتبعية لأُمّه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وليس كذلك حمل المبيع فاسداً حيث لا يَدخُل في البيع؛ لأنه ليس مبيعاً فيكون أمانةٌ في يد المشتري؛ لأصالة عدم الضمان، ولأن تَسَلَّمَه بإذن البائع مع إحتماله؛ لعموم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اليد ما أخذت حتى تُؤَدِّيَ</w:t>
      </w:r>
      <w:r>
        <w:rPr>
          <w:rFonts w:eastAsia="Amiri" w:cs="Amiri" w:ascii="Amiri" w:hAnsi="Amiri"/>
          <w:color w:val="111111"/>
          <w:sz w:val="28"/>
          <w:szCs w:val="28"/>
          <w:rtl w:val="true"/>
          <w:lang w:bidi="ar-SA"/>
        </w:rPr>
        <w:t>»</w:t>
      </w:r>
      <w:r>
        <w:rPr>
          <w:rStyle w:val="FootnoteAnchor"/>
          <w:rtl w:val="true"/>
        </w:rPr>
        <w:footnoteReference w:id="78"/>
      </w:r>
      <w:r>
        <w:rPr>
          <w:rFonts w:ascii="Amiri" w:hAnsi="Amiri" w:eastAsia="Amiri" w:cs="Amiri"/>
          <w:color w:val="111111"/>
          <w:sz w:val="28"/>
          <w:sz w:val="28"/>
          <w:szCs w:val="28"/>
          <w:rtl w:val="true"/>
          <w:lang w:bidi="ar-SA"/>
        </w:rPr>
        <w:t>، وبه قطع المحقق في الشرائع</w:t>
      </w:r>
      <w:r>
        <w:rPr>
          <w:rStyle w:val="FootnoteAnchor"/>
          <w:rtl w:val="true"/>
        </w:rPr>
        <w:footnoteReference w:id="7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ولو تَبِعَها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الولد حين غصبها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ففي الضمان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للولد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قولان</w:t>
      </w:r>
      <w:r>
        <w:rPr>
          <w:rFonts w:eastAsia="Amiri" w:cs="Amiri" w:ascii="Amiri" w:hAnsi="Amiri"/>
          <w:color w:val="111111"/>
          <w:sz w:val="28"/>
          <w:szCs w:val="28"/>
          <w:rtl w:val="true"/>
          <w:lang w:bidi="ar-SA"/>
        </w:rPr>
        <w:t>)</w:t>
      </w:r>
      <w:r>
        <w:rPr>
          <w:rStyle w:val="FootnoteAnchor"/>
          <w:rtl w:val="true"/>
        </w:rPr>
        <w:footnoteReference w:id="80"/>
      </w:r>
      <w:r>
        <w:rPr>
          <w:rFonts w:ascii="Amiri" w:hAnsi="Amiri" w:eastAsia="Amiri" w:cs="Amiri"/>
          <w:color w:val="111111"/>
          <w:sz w:val="28"/>
          <w:sz w:val="28"/>
          <w:szCs w:val="28"/>
          <w:rtl w:val="true"/>
          <w:lang w:bidi="ar-SA"/>
        </w:rPr>
        <w:t xml:space="preserve">مأخذهما عدمُ إثبات اليد عليه، وأنه سبب قوي، والأقوى الضمان وهو الذي قَرَّبَه في الدروس </w:t>
      </w:r>
      <w:r>
        <w:rPr>
          <w:rStyle w:val="FootnoteAnchor"/>
          <w:rtl w:val="true"/>
        </w:rPr>
        <w:footnoteReference w:id="81"/>
      </w:r>
      <w:r>
        <w:rPr>
          <w:rFonts w:eastAsia="Times New Roman" w:cs="Times New Roman" w:ascii="Times New Roman" w:hAnsi="Times New Roman"/>
          <w:color w:val="111111"/>
          <w:sz w:val="28"/>
          <w:szCs w:val="28"/>
          <w:rtl w:val="true"/>
          <w:lang w:val="en-US" w:bidi="en-US"/>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والأيدي المتعاقبةُ على المغصوب أيدي ضَمانٍ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سواءٌ عَلِموا جميعاً بالغصب أم جَهلوا أم بالتفريق لتحقق التصرف في مال الغير بغير إذنه، فيدخُل في عموم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اليد ما أخذت حتّى تؤدّي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انتفى الإثم عن الجاهل بالغصب،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فيتخيَّر المالك في تضمين مَن شاء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منهم العين والمنفعة،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تضمين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الجميع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بدلاً واحداً بالتقسيط وإن لم يكن متساوياً؛ لأنّ جواز الرجوع على كلّ واحد بالجميع يستلزم جواز الرجوع بالبعض، وكذا له تقسيط ما يرجع به على أزيد من واحد، وترك الباقين؛ لما ذُكر</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ويرجع الجاهلُ منهم بالغصب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رُجِع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مَن غَرَّه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فسلطه على العين أو المنفعة ولم يُعلمه بالحال، وهكذا الآخَرُ إلى أن يَستقِرَّ الضمانُ على الغاصبِ العالم، وإنْ لم تَتلَف العينُ في يده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إذا لم تكن يدُ مَن تَلفت في يده يد ضمان؛ كالعارية المضمونة؛ وإلا لم يَرجِع عليه</w:t>
      </w:r>
      <w:r>
        <w:rPr>
          <w:rStyle w:val="FootnoteAnchor"/>
          <w:rtl w:val="true"/>
        </w:rPr>
        <w:footnoteReference w:id="8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ولو كانت أيدي الجميع عاديةً تخيَّر المالك كذلك واستقر الضمان على من تلفت في يده، فيُرجع غيرُه عليه لو رجع عليه دونه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وكذا يَستقِرٌ ضَمان المنفعة على مَن استوفاها عالماً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والحرُّ لا يُضمن بالغصب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عيناً ومنفعةً؛ لأنه ليس مالاً، فلا يدخُل تحت اليد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إن كان كبيراً عاقلاً إجماعاً، أو صغيراً فمات من قبل الله تعالى، ولو مات بسببٍ كلَدْغِ الحية ووقوع الحائط، ففي ضمانه قولان للشيخ</w:t>
      </w:r>
      <w:r>
        <w:rPr>
          <w:rStyle w:val="FootnoteAnchor"/>
          <w:rtl w:val="true"/>
        </w:rPr>
        <w:footnoteReference w:id="83"/>
      </w:r>
      <w:r>
        <w:rPr>
          <w:rFonts w:ascii="Amiri" w:hAnsi="Amiri" w:eastAsia="Amiri" w:cs="Amiri"/>
          <w:color w:val="111111"/>
          <w:sz w:val="28"/>
          <w:sz w:val="28"/>
          <w:szCs w:val="28"/>
          <w:rtl w:val="true"/>
          <w:lang w:bidi="ar-SA"/>
        </w:rPr>
        <w:t>، واختار المصنف في الدروس الضمان</w:t>
      </w:r>
      <w:r>
        <w:rPr>
          <w:rStyle w:val="FootnoteAnchor"/>
          <w:rtl w:val="true"/>
        </w:rPr>
        <w:footnoteReference w:id="84"/>
      </w:r>
      <w:r>
        <w:rPr>
          <w:rFonts w:ascii="Amiri" w:hAnsi="Amiri" w:eastAsia="Amiri" w:cs="Amiri"/>
          <w:color w:val="111111"/>
          <w:sz w:val="28"/>
          <w:sz w:val="28"/>
          <w:szCs w:val="28"/>
          <w:rtl w:val="true"/>
          <w:lang w:bidi="ar-SA"/>
        </w:rPr>
        <w:t>لأنه سبب الإتلاف، ولأنّ الصغير لا يستطيع دَفْعَ المُهلكات عن نفسه، وعروضها أكثري، فمِن ثَمَّ رَبَّح السبب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والظاهرُ أنَّ حدَّ الصِغَرِ العجز عن دفع ذلك عن نفسه حيث يُمكن الكبير دفعُها عادةً؛ لا عدم التمييز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وألحق به المجنون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كان بالكبير خَبَلْ أو بَلَغ رتبة الصغير لكبَرٍ أو مرض، ففي إلحاقه به وجهان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ويُضمن الرقيق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بالغصب؛ لأنه مال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حَبَس الحرَّ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مدةً لها أجرة بالعادة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يَضمَن أجرتَه إِذا لم يَستعمله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لأنّ منافع الحرّ لا تدخُل تحت اليد تبعاً له، سواء كان قد استأجره لعمل فاعتقله ولم يستعمله أم 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لو كان قد استأجره مدّةً معيّنةً فمضت زمن اعتقاله وهو باذل نفسه للعمل، استَقَرّت الأجرة لذلك لا للغصب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بخلاف الرقيق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لأنه مال محض</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ومنافعه كذلك</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وخمرُ الكافر المستَتَرُ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محترم يُضمَن بالغصب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مسلماً كان الغاصب أم كافِراً؛ لأنّها مال بالإضافة إليه وقد أُقِرّ عليه، ولم تَجُز مزاحمته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عليه تأنيتُ ضمائر الخمر؛ لأنّها مؤنَّتْ سَماعي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غَصَبها من مسلم أو كافرٍ مُتَظَاهِرٍ، فلا ضمان وإن كان قد اتَّخذها للتخليل؛ إذ لا قيمة لها في شرع الإسلام، لكن هنا يأتم الغاصب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وحيث يضمن الخمر يعتبر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بقيمته عند مُسْتَحِلِّيه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بمثله، وإن كان بحسب القاعدة مثليّاً؛ لتعذَّرِ الحكم باستحقاق الخمر في شرعنا وإن كنا لا نعترضهم إذا لم يتظاهروا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فرق في ذلك بين كون المُتلف مسلماً وكافراً، على الأقوى،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يَضمَن الكافرُ المثل؛ لإمكانه في حقه من حيث إنه مثليّ مملوك له يُمكنه دفعُه سِرّاً</w:t>
      </w:r>
      <w:r>
        <w:rPr>
          <w:rStyle w:val="FootnoteAnchor"/>
          <w:rtl w:val="true"/>
        </w:rPr>
        <w:footnoteReference w:id="8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ورُدَّ بأنّ استحقاقه كذلك يؤدّي إلى إظهاره؛ لأنّ حكمَ المُستَحِق أن يَحبِس غريمه لو امتنع من أدائه، وإلزامه بحقه، وذلك ينافى الاستتار</w:t>
      </w:r>
      <w:r>
        <w:rPr>
          <w:rStyle w:val="FootnoteAnchor"/>
          <w:rtl w:val="true"/>
        </w:rPr>
        <w:footnoteReference w:id="8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وكذا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الحكم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الخنزير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أنّ ضمان قيمة الخنزير واضح؛ لأنّه قيمي حيث يُملك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ولو اجتمع المباشر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مُوجد علّة التلف كالأكل والإحراق والقتل والإتلاف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والسببُ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فاعل ملزوم ،العلة كحافر البئر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ضمن المباشر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لأنه أقوى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مع الإكراه أو الغرور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للمباشر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فيَستقِرّ الضمانُ في الغرور على الغار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الإكراه على المُكرِه؛ لضعف المباشر بهما، فكان السبب أقوى؛ كمن قدَّم طعاماً إلى المغرور فأكله، فقرارُ الضمان على الغار، فيرجع المغرورُ عليه لو ضُمِّن هذا في المال، أمّا النفس فيتعلَّق بالمباشر مطلقاً، لكن هنا يُحبَس الآمِرُ حتّى يموت</w:t>
      </w:r>
      <w:r>
        <w:rPr>
          <w:rFonts w:eastAsia="Amiri" w:cs="Amiri" w:ascii="Amiri" w:hAnsi="Amiri"/>
          <w:color w:val="111111"/>
          <w:sz w:val="28"/>
          <w:szCs w:val="28"/>
          <w:rtl w:val="true"/>
          <w:lang w:bidi="ar-SA"/>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ولو أرسل ماءً في ملكه أو أجج ناراً فسرى إلى الغير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فأفسد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 ضمان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الفاعل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لم يَزِدْ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الماء والنار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قدر الحاجة، ولم تكن الريح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صورة </w:t>
      </w:r>
    </w:p>
    <w:p>
      <w:pPr>
        <w:pStyle w:val="BookText"/>
        <w:rPr/>
      </w:pPr>
      <w:r>
        <w:rPr>
          <w:rFonts w:ascii="Amiri" w:hAnsi="Amiri" w:eastAsia="Amiri" w:cs="Amiri"/>
          <w:color w:val="111111"/>
          <w:sz w:val="28"/>
          <w:sz w:val="28"/>
          <w:szCs w:val="28"/>
          <w:rtl w:val="true"/>
          <w:lang w:bidi="ar-SA"/>
        </w:rPr>
        <w:t xml:space="preserve">الإحراق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عاصفةً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بحيث علم أو ظنَّ التعدّي الموجب للضرر؛ لأنّ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الناس مسلطون على أموالهم</w:t>
      </w:r>
      <w:r>
        <w:rPr>
          <w:rFonts w:eastAsia="Amiri" w:cs="Amiri" w:ascii="Amiri" w:hAnsi="Amiri"/>
          <w:color w:val="111111"/>
          <w:sz w:val="28"/>
          <w:szCs w:val="28"/>
          <w:rtl w:val="true"/>
          <w:lang w:bidi="ar-SA"/>
        </w:rPr>
        <w:t>»</w:t>
      </w:r>
      <w:r>
        <w:rPr>
          <w:rStyle w:val="FootnoteAnchor"/>
          <w:rtl w:val="true"/>
        </w:rPr>
        <w:footnoteReference w:id="87"/>
      </w:r>
      <w:r>
        <w:rPr>
          <w:rFonts w:ascii="Amiri" w:hAnsi="Amiri" w:eastAsia="Amiri" w:cs="Amiri"/>
          <w:color w:val="111111"/>
          <w:sz w:val="28"/>
          <w:sz w:val="28"/>
          <w:szCs w:val="28"/>
          <w:rtl w:val="true"/>
          <w:lang w:bidi="ar-SA"/>
        </w:rPr>
        <w:t>ولهم الانتفاع بها كيف شاؤوا نعم لو زاد عن قدر حاجته فالزائد مشروط بعدم الإضرار بالغير ولؤ بالظنّ؛ لأنه مناط أمثال ذلك، جمعاً بين الحقين ودفعاً للإضرار المنفي</w:t>
      </w:r>
      <w:r>
        <w:rPr>
          <w:rStyle w:val="FootnoteAnchor"/>
          <w:rtl w:val="true"/>
        </w:rPr>
        <w:footnoteReference w:id="88"/>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وإِلّا ضَمِن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وظاهرُ العبارة أنّ الزائد عن قدر الحاجة يَضمَن به وإنْ لم يَقترن بظنّ التعدّي، وكذا مع عَصْف الريح وإن اقتصر على حاجته؛ لكونه مظنّةً للتعدي، فعدم الضمان على هذا مشروط بأمرين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الزيادة عن الحاجة، وعدم ظهور سبب التعدي كالريح، فمتى انتَفَى أحدُهما ضَمِن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ومثله في الدروس</w:t>
      </w:r>
      <w:r>
        <w:rPr>
          <w:rStyle w:val="FootnoteAnchor"/>
          <w:rtl w:val="true"/>
        </w:rPr>
        <w:footnoteReference w:id="89"/>
      </w:r>
      <w:r>
        <w:rPr>
          <w:rFonts w:ascii="Amiri" w:hAnsi="Amiri" w:eastAsia="Amiri" w:cs="Amiri"/>
          <w:color w:val="111111"/>
          <w:sz w:val="28"/>
          <w:sz w:val="28"/>
          <w:szCs w:val="28"/>
          <w:rtl w:val="true"/>
          <w:lang w:bidi="ar-SA"/>
        </w:rPr>
        <w:t>إلّا أنّه اعتبر علم التعدّي، ولم يكتفِ بالظنّ، ولم يعتبر الهواء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فمتى عَلِمه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لم يكن هواءً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ضَمِن، وإنْ لم يَزِد عن حاجته فبينهما مغايرة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بعض فتاويه اعتبر في الضمان أحدَ الأُمور الثلاثة مجاوزة الحاجة، أو عَصْفِ الهواء، أو غلبة الظنّ بالتعدّي </w:t>
      </w:r>
      <w:r>
        <w:rPr>
          <w:rStyle w:val="FootnoteAnchor"/>
          <w:rtl w:val="true"/>
        </w:rPr>
        <w:footnoteReference w:id="9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واعتبر جماعة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منهم الفاضلان</w:t>
      </w:r>
      <w:r>
        <w:rPr>
          <w:rStyle w:val="FootnoteAnchor"/>
          <w:rtl w:val="true"/>
        </w:rPr>
        <w:footnoteReference w:id="91"/>
      </w:r>
    </w:p>
    <w:p>
      <w:p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166</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الضمان اجتماع الأمرين معاً وهما مجاوزة الحاجة، وظنُّ التعدّي أو العلم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فمتى انتفى أحدهما فلا ضمان، وهذا قوي وإن كان الأوّلُ أحوط</w:t>
      </w:r>
      <w:r>
        <w:rPr>
          <w:rFonts w:eastAsia="Amiri" w:cs="Amiri" w:ascii="Amiri" w:hAnsi="Amiri"/>
          <w:color w:val="111111"/>
          <w:sz w:val="28"/>
          <w:szCs w:val="28"/>
          <w:rtl w:val="true"/>
          <w:lang w:bidi="ar-SA"/>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ويجب رد المغصوب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مالكه وجوباً فورياً؛ إجماعاً؛ ولقوله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على اليد ما أخذت حتّى تؤدّي</w:t>
      </w:r>
      <w:r>
        <w:rPr>
          <w:rFonts w:eastAsia="IRNazanin" w:cs="IRNazanin"/>
          <w:color w:val="111111"/>
          <w:sz w:val="28"/>
          <w:szCs w:val="28"/>
          <w:rtl w:val="true"/>
          <w:lang w:bidi="fa-IR"/>
        </w:rPr>
        <w:t>»</w:t>
      </w:r>
      <w:r>
        <w:rPr>
          <w:rStyle w:val="FootnoteAnchor"/>
          <w:rtl w:val="true"/>
        </w:rPr>
        <w:footnoteReference w:id="9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دامت العين باقيةً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يُمكنه ردُّها، سواء كانت على هيئتها يومَ غصبها أم زائدة أم ناقصةً،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أَدَّى ردُّه إلى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عُسْرٍ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وذَهَابِ مال الغاصب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كالخشبةِ </w:t>
      </w:r>
    </w:p>
    <w:p>
      <w:pPr>
        <w:pStyle w:val="BookText"/>
        <w:rPr/>
      </w:pPr>
      <w:r>
        <w:rPr>
          <w:rFonts w:ascii="Amiri" w:hAnsi="Amiri" w:eastAsia="Amiri" w:cs="Amiri"/>
          <w:color w:val="111111"/>
          <w:sz w:val="28"/>
          <w:sz w:val="28"/>
          <w:szCs w:val="28"/>
          <w:rtl w:val="true"/>
          <w:lang w:bidi="ar-SA"/>
        </w:rPr>
        <w:t>في بنائه واللوح في سفينته؛ لأنّ البناء على المغصوب لا حرمة له، وكذا مالُ الغاصب في السفينة حيث يُخشَى تَلَفُه ، أو غَرَقُ السفينة على الأقوى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لو خِيفَ غَرَقُه أو غَرَقُ حيوان محترم أو مالٍ لغيره، لم يُنزع إلى أن تصل الساحل،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تعذَّر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ردُّ العين لتلف ونحوه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ضَمِنَه الغاصب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بالمثل إن 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المغصوبُ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مِثليّاً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المتساوي الأجزاء والمنفعة، المتقارب الصفات كالحنطة والشعير وغيرهما من الحبوب والأدهان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يكن مثليّاً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فالقيمة العليا من حين الغصب إلى حين التلف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لأنّ كلَّ حالةٍ زائدة من حالاته في ذلك الوقت مضمونة؛ كما يُرشِد إليه أنه لو تَلِف حينئذٍ ضَمِنها، فكذا إذا تلف </w:t>
      </w:r>
      <w:r>
        <w:rPr>
          <w:rStyle w:val="FootnoteAnchor"/>
          <w:rtl w:val="true"/>
        </w:rPr>
        <w:footnoteReference w:id="93"/>
      </w:r>
      <w:r>
        <w:rPr>
          <w:rFonts w:ascii="IRNazanin" w:hAnsi="IRNazanin" w:eastAsia="IRNazanin"/>
          <w:color w:val="111111"/>
          <w:sz w:val="28"/>
          <w:sz w:val="28"/>
          <w:szCs w:val="28"/>
          <w:rtl w:val="true"/>
          <w:lang w:bidi="fa-IR"/>
        </w:rPr>
        <w:t>بعدها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والقائل به المحقق فى أحد قوليه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ما نقله المصنف عنه</w:t>
      </w:r>
      <w:r>
        <w:rPr>
          <w:rStyle w:val="FootnoteAnchor"/>
          <w:rtl w:val="true"/>
        </w:rPr>
        <w:footnoteReference w:id="9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يَضمَن الأعلى من حين الغصب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حين الردّ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ردّ الواجب وهو القيمة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القولُ مبني على أنّ القيمي يُضمن بمثله كالمثلي، وإنّما يَنتقل إلى القيمة عند دفعها لتعذر المثل، فيجب أعلى القيم إلى حين دفع القيمة؛ لأن الزائد في كل آن سابق من حين الغصب مضمون تحت يده، ولهذا لو دَفَع العين حالة الزيادة كانت للمالك، فإذا تَلِفت في يده ضَمِنها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وعلى القول المشهور من ضمان القيمي بقيمته ابتداءً لا وجه لهذا القول</w:t>
      </w:r>
      <w:r>
        <w:rPr>
          <w:rFonts w:eastAsia="Amiri" w:cs="Amiri" w:ascii="Amiri" w:hAnsi="Amiri"/>
          <w:color w:val="111111"/>
          <w:sz w:val="28"/>
          <w:szCs w:val="28"/>
          <w:rtl w:val="true"/>
          <w:lang w:bidi="ar-SA"/>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والقائل به الأكثرُ</w:t>
      </w:r>
      <w:r>
        <w:rPr>
          <w:rStyle w:val="FootnoteAnchor"/>
          <w:rtl w:val="true"/>
        </w:rPr>
        <w:footnoteReference w:id="95"/>
      </w:r>
      <w:r>
        <w:rPr>
          <w:rFonts w:ascii="Amiri" w:hAnsi="Amiri" w:eastAsia="Amiri" w:cs="Amiri"/>
          <w:color w:val="111111"/>
          <w:sz w:val="28"/>
          <w:sz w:val="28"/>
          <w:szCs w:val="28"/>
          <w:rtl w:val="true"/>
          <w:lang w:bidi="ar-SA"/>
        </w:rPr>
        <w:t>على ما نَقَله المصنِّفُ في الدروس</w:t>
      </w:r>
      <w:r>
        <w:rPr>
          <w:rStyle w:val="FootnoteAnchor"/>
          <w:rtl w:val="true"/>
        </w:rPr>
        <w:footnoteReference w:id="9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يَضمَن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بالقيمة يوم التلف لا غيرُ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لأنّ الواجب زمن بقائها إنّما هو ردُّ العين، والغاصب مخاطَب بردّها حينئذٍ، زائدةً كانت أم ناقصةً من غير ضمان شيء من النقص إجماعاً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تَلِفت وَجَبت قيمةُ العين وقت التلف؛ لانتقال الحق إليها حينئذ؛ لتعذر البدل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العالم </w:t>
      </w:r>
    </w:p>
    <w:p>
      <w:pPr>
        <w:pStyle w:val="BookText"/>
        <w:rPr/>
      </w:pPr>
      <w:r>
        <w:rPr>
          <w:rFonts w:ascii="Amiri" w:hAnsi="Amiri" w:eastAsia="Amiri" w:cs="Amiri"/>
          <w:color w:val="111111"/>
          <w:sz w:val="28"/>
          <w:sz w:val="28"/>
          <w:szCs w:val="28"/>
          <w:rtl w:val="true"/>
          <w:lang w:bidi="ar-SA"/>
        </w:rPr>
        <w:t>ونَقَل المحقق في الشرائع عن الأكثر أنّ المعتبر القيمة يوم الغصب</w:t>
      </w:r>
      <w:r>
        <w:rPr>
          <w:rStyle w:val="FootnoteAnchor"/>
          <w:rtl w:val="true"/>
        </w:rPr>
        <w:footnoteReference w:id="97"/>
      </w:r>
      <w:r>
        <w:rPr>
          <w:rFonts w:ascii="Amiri" w:hAnsi="Amiri" w:eastAsia="Amiri" w:cs="Amiri"/>
          <w:color w:val="111111"/>
          <w:sz w:val="28"/>
          <w:sz w:val="28"/>
          <w:szCs w:val="28"/>
          <w:rtl w:val="true"/>
          <w:lang w:bidi="ar-SA"/>
        </w:rPr>
        <w:t>بناءً على أنه أوّلُ وقتِ ضمان العين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ويُضعف بأن ضمانها حينئذ إنما يراد به كونها لو تَلِفت لَوَجَب بدلها، لا وجوب قيمتها؛ إذ الواجب مع وجود العين منحصر في ردّها، وفي صحيح أبي ولاد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Style w:val="FootnoteAnchor"/>
          <w:rtl w:val="true"/>
        </w:rPr>
        <w:footnoteReference w:id="98"/>
      </w:r>
      <w:r>
        <w:rPr>
          <w:rFonts w:ascii="Amiri" w:hAnsi="Amiri" w:eastAsia="Amiri" w:cs="Amiri"/>
          <w:color w:val="111111"/>
          <w:sz w:val="28"/>
          <w:sz w:val="28"/>
          <w:szCs w:val="28"/>
          <w:rtl w:val="true"/>
          <w:lang w:bidi="ar-SA"/>
        </w:rPr>
        <w:t>في اكتراء البغل ومخالفة الشرط ما يدلّ على هذا القول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ويمكن أن يُستفاد منه اعتبار الأكثر منه إلى يوم التلف وهو قوي؛ عملاً بالخبر الصحيح </w:t>
      </w:r>
      <w:r>
        <w:rPr>
          <w:rStyle w:val="FootnoteAnchor"/>
          <w:rtl w:val="true"/>
        </w:rPr>
        <w:footnoteReference w:id="99"/>
      </w:r>
      <w:r>
        <w:rPr>
          <w:rFonts w:ascii="Amiri" w:hAnsi="Amiri" w:eastAsia="Amiri" w:cs="Amiri"/>
          <w:color w:val="111111"/>
          <w:sz w:val="28"/>
          <w:sz w:val="28"/>
          <w:szCs w:val="28"/>
          <w:rtl w:val="true"/>
          <w:lang w:bidi="ar-SA"/>
        </w:rPr>
        <w:t>، وإلا لكان القول بقيمته يوم التلف مطلقاً أقوى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وموضع الخلاف ما إذا كان الاختلاف بسبب اختلاف القيمة السوقية، أما لو كان لنقص العين أو لتعيُّبها فلا إشكال في ضمان ذلك النقص</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 عاب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المغصوب ولم تذهب عينه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ضَمِن أرشَه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إجماعاً؛ لأنّه عِوَض عن أجزاءٍ ناقصةٍ أو أوصافٍ، وكلاهما مضمون، سواء كان النقص من الغاصب أم من غيره ولوْ مِن قِبَل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كان العيبُ غير مستقِرّ بل يَزِيد على التدريج، فإن لم يُمكن المالك بعد قبض العين قطعه أو التصرُّفُ فيه، فعلى الغاصب ضمان ما يتجدد أيضاً، وإن أمكن ففي زوال الضمان وجهان من استناده إلى الغاصب، وتفريط المالك، واستقرب المصنِّفُ في الدروس عدم الضمان</w:t>
      </w:r>
      <w:r>
        <w:rPr>
          <w:rStyle w:val="FootnoteAnchor"/>
          <w:rtl w:val="true"/>
        </w:rPr>
        <w:footnoteReference w:id="100"/>
      </w:r>
      <w:r>
        <w:rPr>
          <w:rFonts w:eastAsia="Times New Roman" w:cs="Times New Roman" w:ascii="Times New Roman" w:hAnsi="Times New Roman"/>
          <w:color w:val="111111"/>
          <w:sz w:val="28"/>
          <w:szCs w:val="28"/>
          <w:rtl w:val="true"/>
          <w:lang w:val="en-US" w:bidi="en-US"/>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ويَضمَن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أجرته إن كان له أجرة؛ لطول المدّة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التي غَصَبه فيها، سواءٌ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استعمله أو 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لأنّ منافعه أموال تحتَ اليد فيضمن بالفواتِ والتفويت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تعدّدت المنافع فإن أمكن فعلها جملةً، أو فعل أكثر من واحدة وجب أجرةً ما أمكن، وإلا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كالخياطة والحياكة والكتابة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فأعلاها أجرةً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كانت الواحدة أعلى منفردةً عن </w:t>
      </w:r>
    </w:p>
    <w:p>
      <w:pPr>
        <w:pStyle w:val="BookText"/>
        <w:rPr/>
      </w:pPr>
      <w:r>
        <w:rPr>
          <w:rFonts w:ascii="Amiri" w:hAnsi="Amiri" w:eastAsia="Amiri" w:cs="Amiri"/>
          <w:color w:val="111111"/>
          <w:sz w:val="28"/>
          <w:sz w:val="28"/>
          <w:szCs w:val="28"/>
          <w:rtl w:val="true"/>
          <w:lang w:bidi="ar-SA"/>
        </w:rPr>
        <w:t>منافع متعدّدةٍ يمكن جمعُها ضَمِن الأعلى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فرق بين بهيمة القاضي والشوكي في ضمان الأرش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إجماعاً لعموم</w:t>
      </w:r>
      <w:r>
        <w:rPr>
          <w:rStyle w:val="FootnoteAnchor"/>
          <w:rtl w:val="true"/>
        </w:rPr>
        <w:footnoteReference w:id="101"/>
      </w:r>
      <w:r>
        <w:rPr>
          <w:rFonts w:ascii="Amiri" w:hAnsi="Amiri" w:eastAsia="Amiri" w:cs="Amiri"/>
          <w:color w:val="111111"/>
          <w:sz w:val="28"/>
          <w:sz w:val="28"/>
          <w:szCs w:val="28"/>
          <w:rtl w:val="true"/>
          <w:lang w:bidi="ar-SA"/>
        </w:rPr>
        <w:t>الأدلة</w:t>
      </w:r>
      <w:r>
        <w:rPr>
          <w:rStyle w:val="FootnoteAnchor"/>
          <w:rtl w:val="true"/>
        </w:rPr>
        <w:footnoteReference w:id="102"/>
      </w:r>
      <w:r>
        <w:rPr>
          <w:rFonts w:ascii="Amiri" w:hAnsi="Amiri" w:eastAsia="Amiri" w:cs="Amiri"/>
          <w:color w:val="111111"/>
          <w:sz w:val="28"/>
          <w:sz w:val="28"/>
          <w:szCs w:val="28"/>
          <w:rtl w:val="true"/>
          <w:lang w:bidi="ar-SA"/>
        </w:rPr>
        <w:t>، وخالَفَ في ذلك بعضُ العامة</w:t>
      </w:r>
      <w:r>
        <w:rPr>
          <w:rStyle w:val="FootnoteAnchor"/>
          <w:rtl w:val="true"/>
        </w:rPr>
        <w:footnoteReference w:id="103"/>
      </w:r>
      <w:r>
        <w:rPr>
          <w:rFonts w:ascii="Amiri" w:hAnsi="Amiri" w:eastAsia="Amiri" w:cs="Amiri"/>
          <w:color w:val="111111"/>
          <w:sz w:val="28"/>
          <w:sz w:val="28"/>
          <w:szCs w:val="28"/>
          <w:rtl w:val="true"/>
          <w:lang w:bidi="ar-SA"/>
        </w:rPr>
        <w:t>، فحكم في الجناية على بهيمة القاضي بالقيمة، ويأخذ الجاني العين؛ نظراً إلى أنّ المعيب لا يليق بمقام القاضي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ولو جَنَى على العبد المغصوب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جانٍ غيرُ الغاصب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فعلى الجاني أرشُ الجناية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المقرَّرُ في باب الديات،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وعلى الغاصب ما زاد عن أرشها من النقص إن اتَّفق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زيادة، فلو كانت الجناية ممّا له مُقدَّرٌ كقطع يده الموجب لنصف قيمته شرعاً، فنقص بسببه ثلُثا قيمته فعلى الجاني النصفُ، وعلى الغاصب السدسُ الزائد من النقص، ولو لم يحصل زيادة فلا شيء على الغاصب، بل يستقر الضمان على الجاني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والفرق أنّ ضمان الغاصب من جهة المالية، فيضمن ما فات منها مطلقاً، وضمان الجاني منصوص فيقِفُ عليه، حتّى لو كان الجاني هو الغاصب فيما له مقدَّرُ شرعي، فالواجب عليه أكثر الأمرين المقدّرِ من الشرعي والأرشِ ؛ لأنّ الأكثر إن كان هو المقدَّر فهو جانٍ، وإن كان هو الأرش فهو مال فَوْتُه تحت يده كغيره من الأموال؛ لعموم على اليد ما أَخَذَتْ حتى تؤدّي</w:t>
      </w:r>
      <w:r>
        <w:rPr>
          <w:rFonts w:eastAsia="Amiri" w:cs="Amiri" w:ascii="Amiri" w:hAnsi="Amiri"/>
          <w:color w:val="111111"/>
          <w:sz w:val="28"/>
          <w:szCs w:val="28"/>
          <w:rtl w:val="true"/>
          <w:lang w:bidi="ar-SA"/>
        </w:rPr>
        <w:t>»</w:t>
      </w:r>
      <w:r>
        <w:rPr>
          <w:rStyle w:val="FootnoteAnchor"/>
          <w:rtl w:val="true"/>
        </w:rPr>
        <w:footnoteReference w:id="104"/>
      </w:r>
      <w:r>
        <w:rPr>
          <w:rFonts w:ascii="Amiri" w:hAnsi="Amiri" w:eastAsia="Amiri" w:cs="Amiri"/>
          <w:color w:val="111111"/>
          <w:sz w:val="28"/>
          <w:sz w:val="28"/>
          <w:szCs w:val="28"/>
          <w:rtl w:val="true"/>
          <w:lang w:bidi="ar-SA"/>
        </w:rPr>
        <w:t>ولأنّ الجاني لم يُثبت يده على العبد فيتعلّق به ضمان المالية بخلاف الغاصب والأقوى عدمُ الفرق بين استغراق أرش الجناية القيمة ،وعدمه فيجتمع عليه ردُّ العين والقيمة فما زاد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ولو مَثَل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الغاصب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انعتق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لقول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 عبدٍ مُثل به فهو حرّ</w:t>
      </w:r>
      <w:r>
        <w:rPr>
          <w:rFonts w:eastAsia="Amiri" w:cs="Amiri" w:ascii="Amiri" w:hAnsi="Amiri"/>
          <w:color w:val="111111"/>
          <w:sz w:val="28"/>
          <w:szCs w:val="28"/>
          <w:rtl w:val="true"/>
          <w:lang w:bidi="ar-SA"/>
        </w:rPr>
        <w:t>»</w:t>
      </w:r>
      <w:r>
        <w:rPr>
          <w:rStyle w:val="FootnoteAnchor"/>
          <w:rtl w:val="true"/>
        </w:rPr>
        <w:footnoteReference w:id="105"/>
      </w:r>
      <w:r>
        <w:rPr>
          <w:rFonts w:eastAsia="Times New Roman" w:cs="Times New Roman" w:ascii="Times New Roman" w:hAnsi="Times New Roman"/>
          <w:color w:val="111111"/>
          <w:sz w:val="28"/>
          <w:szCs w:val="28"/>
          <w:rtl w:val="true"/>
          <w:lang w:val="en-US" w:bidi="en-US"/>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وغَرِم قيمته للمالك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يعتق بذلك</w:t>
      </w:r>
      <w:r>
        <w:rPr>
          <w:rStyle w:val="FootnoteAnchor"/>
          <w:rtl w:val="true"/>
        </w:rPr>
        <w:footnoteReference w:id="106"/>
      </w:r>
      <w:r>
        <w:rPr>
          <w:rFonts w:ascii="Amiri" w:hAnsi="Amiri" w:eastAsia="Amiri" w:cs="Amiri"/>
          <w:color w:val="111111"/>
          <w:sz w:val="28"/>
          <w:sz w:val="28"/>
          <w:szCs w:val="28"/>
          <w:rtl w:val="true"/>
          <w:lang w:bidi="ar-SA"/>
        </w:rPr>
        <w:t xml:space="preserve">اقتصاراً فيما خالَفَ الأصل على موضع </w:t>
      </w:r>
    </w:p>
    <w:p>
      <w:pPr>
        <w:pStyle w:val="BookText"/>
        <w:rPr/>
      </w:pPr>
      <w:r>
        <w:rPr>
          <w:rFonts w:ascii="Amiri" w:hAnsi="Amiri" w:eastAsia="Amiri" w:cs="Amiri"/>
          <w:color w:val="111111"/>
          <w:sz w:val="28"/>
          <w:sz w:val="28"/>
          <w:szCs w:val="28"/>
          <w:rtl w:val="true"/>
          <w:lang w:bidi="ar-SA"/>
        </w:rPr>
        <w:t xml:space="preserve">الوفاق، وهو تمثيل المولى، والرواية العامة ضعيفة السند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بناء الحكم على الحكمة في عتقه هل هي عقوبة للمولى أو جبر للمملوك فيعتق هنا على الثاني دون الأول؟ فهو ردُّ للحكم إلى حكمةٍ مجهولة لم يَرِدْ بها نص والأقوى عدم الانعتاق نعم لو أقعد أو عَمِيَ عَتَقَ وضَمِن الغاصبُ؛ لأنّ هذا السبب غير مختص بالمولى إجماعاً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ولو غصب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يَنقُصُه التفريق مثل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الخُفَّين أو المصراعين، أو الكتابِ سِفْرَين فَتَلِفَ 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قبل الردّ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ضَمِن قيمته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قيمة التالف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مجتمعاً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الآخر ونَقْصَ الآخر</w:t>
      </w:r>
      <w:r>
        <w:rPr>
          <w:rStyle w:val="FootnoteAnchor"/>
          <w:rtl w:val="true"/>
        </w:rPr>
        <w:footnoteReference w:id="107"/>
      </w:r>
      <w:r>
        <w:rPr>
          <w:rFonts w:ascii="Amiri" w:hAnsi="Amiri" w:eastAsia="Amiri" w:cs="Amiri"/>
          <w:color w:val="111111"/>
          <w:sz w:val="28"/>
          <w:sz w:val="28"/>
          <w:szCs w:val="28"/>
          <w:rtl w:val="true"/>
          <w:lang w:bidi="ar-SA"/>
        </w:rPr>
        <w:t>، فلو كان قيمة الجميع عشرة وقيمة كلّ واحد مجتمعاً خمسة ومنفرداً ثلاثة ضَمِن سبعةً؛ لأنّ النقصان الحاصل في يده مستند إلى تلف عين مضمونة عليه، وما نَقَصَ من قيمة الباقي في مقابلة الاجتماع فهو بفوات صفة الاجتماع في يده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لو لم تثبت يده على الباقي بل غَصَب أحدهما ثمّ تَلِفَ في يده أو أتلفه ابتداءً، ففي ضمانه قيمة التالف مجتمعاً أو منفرداً، أو مُنْضَمّاً إلى نقص الباقي كالأوّل أوجه، أجودُها الأخيرُ؛ لاستناد الزائد إلى فَقَدِ صفةٍ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كونه مجتمعاً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حَصَل منه</w:t>
      </w:r>
      <w:r>
        <w:rPr>
          <w:rFonts w:eastAsia="Amiri" w:cs="Amiri" w:ascii="Amiri" w:hAnsi="Amiri"/>
          <w:color w:val="111111"/>
          <w:sz w:val="28"/>
          <w:szCs w:val="28"/>
          <w:rtl w:val="true"/>
          <w:lang w:bidi="ar-SA"/>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ولو زادت قيمة المغصوب بفعل الغاصب فلا شيء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لعدم النقصان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لأنّ الزيادةَ حَصَلت في مال غيره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إلّا أن تكون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الزيادة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عيناً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مال الغاصب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كالصبغ فله قَلْعُه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ماله،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قبل الفصل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بنقص قيمة الثوب، جمعاً بين الحقين،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نقصُ الثوب يَنجير بأنّ الغاصبَ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يَضمَن أرشَ الثوب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ولا يَرِدُ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قلعه يستلزم التصرّف في مال الغير بغير إذن، وهو ممتنع، بخلاف تصرف مالك الثوب في الصبغ؛ لأنه وقع عدواناً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لأن وقوعه عدواناً لا يقتضي إسقاط ماليته، فإنّ ذلك عدوان آخَرُ، بل غايتُه أن يُنزَع ولا يُلتفت إلى نقص قيمته أو اضمحلاله؛ للعدوان بوضعه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ولو طَلَب أحدهما ما لصاحبه بالقيمة لم تجب إجابته، كما لا يجب قبول هبته، نعم، لو طلب مالك الثوب بيعهما ليأخذ كلُّ واحدٍ حقَّه لَزِم الغاصب إجابته دون العكس</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ولو بيع مصبوغاً بقيمته مغصوباً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بغير صَبْغ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 شيء للغاصب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لعدم الزيادة بسبب ماله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إذا بَقِيَت قيمة الثوب بحالها، أما لو تجدد نقصانه للسوق فالزائد للغاصب؛ لأنّ نقصان السوق مع بقاء العين غيرُ مضمون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لو زاد الباقي عن قيمة الصبغ كان الزائد بينهما على نسبة المالين كما لو زادت القيمة عن قيمتهما من غير نقصان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اختلفت قيمتهما بالزيادة والنقصان للسوق فالحكم للقيمة الآن؛ لأن النقص غيرُ مضمون في المغصوب للسوق، وفي الصبغ مطلقاً، فلو كان قيمةُ كلّ واحد خمسةٌ وبيعَ بعشرة إلّا أنّ قيمة الثوب ارتفعت إلى سبعة وقيمة الصبغ انْحَطَّتْ إلى ثلاثة، فلصاحب الثوب سبعة وللغاصب ثلاثة، وبالعكس</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ولو غصب شاةٌ فأطعمها المالك جاهلاً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بكونها شاته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ضَمِنها الغاصب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لضعف المباشر بالغرور، فيرجع على السبب، وتسليطه المالك على ماله، وصيرورته بيده على هذا الوجه لا يوجب البراءة؛ لأنّ التسليم غيرُ ،تام، فإنّ التسليم التام تسليمه على أنّه مِلكُه يَتصرّف فيه كتصرّف المُلاك، وهنا ليس كذلك، بل اعتقد أنه للغاصب، وأنّه أَباحَه إتلافه بالضيافة، وقد يتصرف بعض الناس فيها بما لا يَتصرفون في أموالهم كما لا يخفى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وكذا الحكم في غير الشاة من الأطعمة والأعيان المنتفع بها؛ كاللباس</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ولو أطعمها غير صاحبها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حالة كون الآكِلِ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جاهلاً ضَمَّن المالك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قيمتها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شاء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الآكِلِ والغاصب؛ لترتُبِ الأيدي كما سلف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والقرار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قرار الضمان على الغاصب لغروره للآكل بإباحته الطعام مجاناً، مع أنّ يده ظاهرة في الملك، وقد ظهر خلافه</w:t>
      </w:r>
      <w:r>
        <w:rPr>
          <w:rFonts w:eastAsia="Amiri" w:cs="Amiri" w:ascii="Amiri" w:hAnsi="Amiri"/>
          <w:color w:val="111111"/>
          <w:sz w:val="28"/>
          <w:szCs w:val="28"/>
          <w:rtl w:val="true"/>
          <w:lang w:bidi="ar-SA"/>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ولو مزج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الغاصب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المغصوب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بغيره أو امتزج في يده بغير اختياره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كُلْفَ قسمته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بتمييزه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أمكن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التمييز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 شَقَّ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لو خَلَط الحنطة بالشعير أو الحمراء </w:t>
      </w:r>
    </w:p>
    <w:p>
      <w:pPr>
        <w:pStyle w:val="BookText"/>
        <w:rPr/>
      </w:pPr>
      <w:r>
        <w:rPr>
          <w:rFonts w:ascii="Amiri" w:hAnsi="Amiri" w:eastAsia="Amiri" w:cs="Amiri"/>
          <w:color w:val="111111"/>
          <w:sz w:val="28"/>
          <w:sz w:val="28"/>
          <w:szCs w:val="28"/>
          <w:rtl w:val="true"/>
          <w:lang w:bidi="ar-SA"/>
        </w:rPr>
        <w:t xml:space="preserve">بالصفراء؛ لوجوب ردّ العين حيث يمكن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لم يُمكن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التمييز كما لو خَلَط الزيت بمثله أو الحنطة بمثلها وصفاً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ضَمِن المثل إن مَزَجه بالأردأ</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لتعذرِ ردّ العين كاملة؛ لأنّ المزج في حكم الاستهلاك من حيث اختلاط كلّ جزء من مال المالك بجزء من مال الغاصب وهو أدونُ من الحق فلا يجب قبوله بل ينتقل إلى المثل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مبني على الغالب من عدم رضاه بالشركة أو قول في المسألة</w:t>
      </w:r>
      <w:r>
        <w:rPr>
          <w:rStyle w:val="FootnoteAnchor"/>
          <w:rtl w:val="true"/>
        </w:rPr>
        <w:footnoteReference w:id="108"/>
      </w:r>
      <w:r>
        <w:rPr>
          <w:rFonts w:ascii="Amiri" w:hAnsi="Amiri" w:eastAsia="Amiri" w:cs="Amiri"/>
          <w:color w:val="111111"/>
          <w:sz w:val="28"/>
          <w:sz w:val="28"/>
          <w:szCs w:val="28"/>
          <w:rtl w:val="true"/>
          <w:lang w:bidi="ar-SA"/>
        </w:rPr>
        <w:t>، والأقوى تخييره بين المثل والشركةِ مع الأرش؛ لأنّ حقَّه في العين لم يَسقُط ؛ لبقائها كما لو مَزَجها بالأجود، والنقصُ بالخَلْط يُمكن جبره بالأرش</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يَمرُّجه بالأردأ بل بالمساوي أو الأجود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شريكاً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بمقدار عين ماله لا قيمته؛ لأن الزيادة الحاصلة صفةٌ حَصَلت بفعل الغاصب عدواناً فلا يسقط حق المالك مع بقاء عين ماله؛ كما لو صاغ النقرة وعَلَفَ الدابةَ فسَمِنَتْ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يَسقُط حقه من العين للاستهلاك، فيتخير الغاصب بين الدفع من العين لأنه مُتَطَوّع بالزائد، ودفع المثل</w:t>
      </w:r>
      <w:r>
        <w:rPr>
          <w:rStyle w:val="FootnoteAnchor"/>
          <w:rtl w:val="true"/>
        </w:rPr>
        <w:footnoteReference w:id="10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والأقوى الأوّل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ومؤونة القسمة على الغاصب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لوقوع الشركة بفعله تعدّياً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كله إذا مَزَجه ،بجنسه فلو مَزَجه بغيره كالزيت بالشيرج فهو إتلاف؛ لبطلان فائدته وخاصيته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تثبت الشركةُ هنا أيضاً كما لو مَزَجاه بالتراضي أو امتزجا بأنفسهما؛ لوجود العين</w:t>
      </w:r>
      <w:r>
        <w:rPr>
          <w:rStyle w:val="FootnoteAnchor"/>
          <w:rtl w:val="true"/>
        </w:rPr>
        <w:footnoteReference w:id="11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ويُشكل بأنّ جبر المالك على أخذه بالأرش أو بدونه إلزام بغير الجنس في المثلي وهو خلاف القاعدة، وجبر الغاصب إثبات لغير المثل عليه بغير ،رضاه، فالعدول إلى المثل ،أجود، ووجود العين غير متميّزة من غير جنسها كالتالفة</w:t>
      </w:r>
      <w:r>
        <w:rPr>
          <w:rFonts w:eastAsia="Amiri" w:cs="Amiri" w:ascii="Amiri" w:hAnsi="Amiri"/>
          <w:color w:val="111111"/>
          <w:sz w:val="28"/>
          <w:szCs w:val="28"/>
          <w:rtl w:val="true"/>
          <w:lang w:bidi="ar-SA"/>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ولو زَرَع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الغاصبُ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فنَبَت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أَحْضَن البَيْضَ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فأَفرَخ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فالزَرْعُ والفَرْخُ </w:t>
      </w:r>
    </w:p>
    <w:p>
      <w:pPr>
        <w:pStyle w:val="BookText"/>
        <w:rPr/>
      </w:pPr>
      <w:r>
        <w:rPr>
          <w:rFonts w:ascii="Amiri" w:hAnsi="Amiri" w:eastAsia="Amiri" w:cs="Amiri"/>
          <w:color w:val="111111"/>
          <w:sz w:val="28"/>
          <w:sz w:val="28"/>
          <w:szCs w:val="28"/>
          <w:rtl w:val="true"/>
          <w:lang w:bidi="ar-SA"/>
        </w:rPr>
        <w:t>للمالك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أصح القولين</w:t>
      </w:r>
      <w:r>
        <w:rPr>
          <w:rStyle w:val="FootnoteAnchor"/>
          <w:rtl w:val="true"/>
        </w:rPr>
        <w:footnoteReference w:id="111"/>
      </w:r>
      <w:r>
        <w:rPr>
          <w:rFonts w:ascii="Amiri" w:hAnsi="Amiri" w:eastAsia="Amiri" w:cs="Amiri"/>
          <w:color w:val="111111"/>
          <w:sz w:val="28"/>
          <w:sz w:val="28"/>
          <w:szCs w:val="28"/>
          <w:rtl w:val="true"/>
          <w:lang w:bidi="ar-SA"/>
        </w:rPr>
        <w:t>؛ لأنه عين مال المالك، وإنّما حَدَث بالتغير اختلاف الصور ونَماءُ المِلك للمالك، وإن كان بفعل الغاصب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وللشيخ قول بأنه للغاصب؛ تنزيلاً لذلك منزلة الإتلاف، ولأنّ النّماء بفعل الغاصب</w:t>
      </w:r>
      <w:r>
        <w:rPr>
          <w:rStyle w:val="FootnoteAnchor"/>
          <w:rtl w:val="true"/>
        </w:rPr>
        <w:footnoteReference w:id="112"/>
      </w:r>
      <w:r>
        <w:rPr>
          <w:rFonts w:ascii="IRNazanin" w:hAnsi="IRNazanin" w:eastAsia="IRNazanin"/>
          <w:color w:val="111111"/>
          <w:sz w:val="28"/>
          <w:sz w:val="28"/>
          <w:szCs w:val="28"/>
          <w:rtl w:val="true"/>
          <w:lang w:bidi="fa-IR"/>
        </w:rPr>
        <w:t>، وضعفهما ظاهر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ولو نقله إلى غير بلد المالك وجب عليه نقله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بلد المالك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ومؤونة نقله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استَوعَبَتْ أضعافَ قيمته؛ لأنّه عادٍ بنقله، فيجب عليه الردُّ مطلقاً ولا يجب عليه إجابةُ المالك إلى أُجرة الردّ مع إبقائه فيما انتقل إليه؛ لأن حقه الردُّ دون الأُجرة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ولو رَضِيَ المالك بذلك المكان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نَقَله 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يجب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الردُّ على الغاصب؛ لإسقاط المالكِ حقَّه منه، فلو ردَّه حينئذ كان له إلزامه بردّه إليه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ولو اختَلَفا في القيمة حَلَف الغاصبُ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لأصالة البراءة من الزائد، ولأنّه منكر ما لم يَدَّعِ ما يُعلم كذبه كالدرهم قيمةً للعبد، فيُكلف بدعوى قدر يمكن، مع احتمال تقديم قول المالك حينئذ،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يَحلف المالك</w:t>
      </w:r>
      <w:r>
        <w:rPr>
          <w:rStyle w:val="FootnoteAnchor"/>
          <w:rtl w:val="true"/>
        </w:rPr>
        <w:footnoteReference w:id="113"/>
      </w:r>
      <w:r>
        <w:rPr>
          <w:rFonts w:ascii="Amiri" w:hAnsi="Amiri" w:eastAsia="Amiri" w:cs="Amiri"/>
          <w:color w:val="111111"/>
          <w:sz w:val="28"/>
          <w:sz w:val="28"/>
          <w:szCs w:val="28"/>
          <w:rtl w:val="true"/>
          <w:lang w:bidi="ar-SA"/>
        </w:rPr>
        <w:t>، وهو ضعيف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يحلف الغاصب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ادَّعَى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المالك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إثبات صناعة يزيد بها الثمنُ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لأصالة عدمها، وكذا لو كان الاختلاف في تقدمها لتكثر الأجرة؛ لأصالة عدمه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يحلف الغاصب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ادَّعَى التلف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كان خلاف الأصل؛ لإمكان صدقه، فلو لم يُقبل قولُه لَزِم تخليده الحبس لو فُرض التلفُ، ولا يَرِدُ مثله لو أقام المالكُ بيّنةً ببقائه، مع إمكان كذب البيّنة؛ لأنّ ثبوت البقاء شرعاً مجوّز للإهانة والضرب، إلى أن يُعلم خلافه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ومتى حَلَف على التلف طُولب بالبدل وإن كانت العين باقيةً بزعم المالك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للعجز عنها بالحلف، كما يستحق البدل مع العجز عنها وإن قطع بوجودها، بل هنا أولى</w:t>
      </w:r>
      <w:r>
        <w:rPr>
          <w:rFonts w:eastAsia="Amiri" w:cs="Amiri" w:ascii="Amiri" w:hAnsi="Amiri"/>
          <w:color w:val="111111"/>
          <w:sz w:val="28"/>
          <w:szCs w:val="28"/>
          <w:rtl w:val="true"/>
          <w:lang w:bidi="ar-SA"/>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ادَّعَى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الغاصب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تملك ما على العبد من الثياب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ونحوها؛ لأنّ العبد بيده، </w:t>
      </w:r>
    </w:p>
    <w:p>
      <w:pPr>
        <w:pStyle w:val="BookText"/>
        <w:rPr/>
      </w:pPr>
      <w:r>
        <w:rPr>
          <w:rFonts w:ascii="Amiri" w:hAnsi="Amiri" w:eastAsia="Amiri" w:cs="Amiri"/>
          <w:color w:val="111111"/>
          <w:sz w:val="28"/>
          <w:sz w:val="28"/>
          <w:szCs w:val="28"/>
          <w:rtl w:val="true"/>
          <w:lang w:bidi="ar-SA"/>
        </w:rPr>
        <w:t>ولهذا يضمنه ومنافعه، فيكون ما معه في يده، فيُقدَّم قوله في ملكه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ولو اختلفا في الردّ حَلَف المالك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لأصالة عدمه، وكذا لو ادَّعَى ردَّ بدله مثلاً أو قيمةً أو تقدُّمَ ردّه على موته، وادَّعَى المالك موته قبله؛ لأصالة عدم التقدّم ولا يَلزَم هنا </w:t>
      </w:r>
      <w:r>
        <w:rPr>
          <w:rStyle w:val="FootnoteAnchor"/>
          <w:rtl w:val="true"/>
        </w:rPr>
        <w:footnoteReference w:id="114"/>
      </w:r>
      <w:r>
        <w:rPr>
          <w:rFonts w:ascii="Amiri" w:hAnsi="Amiri" w:eastAsia="Amiri" w:cs="Amiri"/>
          <w:color w:val="111111"/>
          <w:sz w:val="28"/>
          <w:sz w:val="28"/>
          <w:szCs w:val="28"/>
          <w:rtl w:val="true"/>
          <w:lang w:bidi="ar-SA"/>
        </w:rPr>
        <w:t>ما لَزِم في دعوى التلف؛ للانتقال إلى البدل حيث يتعذر تخليص العين منه</w:t>
      </w:r>
      <w:r>
        <w:rPr>
          <w:rFonts w:eastAsia="Amiri" w:cs="Amiri" w:ascii="Amiri" w:hAnsi="Amiri"/>
          <w:color w:val="111111"/>
          <w:sz w:val="28"/>
          <w:szCs w:val="28"/>
          <w:rtl w:val="true"/>
          <w:lang w:bidi="ar-SA"/>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لكن هل ينتقل إليه ابتداءً أو بعد الحبس والعذابِ إلى أن تَظهَرَ أَمارة عدم إمكان العين؟ نظر، ولعلّ الثاني أوجَهُ؛ لأنّ الانتقال إلى البدل ابتداءً يوجب الرجوع إلى قوله، وتكليفه بالعين مطلقاً قد يوجب خلود حبسه كالأوّل، فالوسط متجة، وكلامهم هنا غيرُ منفّح</w:t>
      </w:r>
      <w:r>
        <w:rPr>
          <w:rFonts w:eastAsia="Amiri" w:cs="Amiri" w:ascii="Amiri" w:hAnsi="Amiri"/>
          <w:color w:val="111111"/>
          <w:sz w:val="28"/>
          <w:szCs w:val="28"/>
          <w:rtl w:val="true"/>
          <w:lang w:bidi="ar-SA"/>
        </w:rPr>
        <w:t xml:space="preserve">. </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33" w:name="pg11049_88355"/>
      <w:bookmarkStart w:id="34" w:name="pg11049_88355"/>
      <w:bookmarkEnd w:id="34"/>
    </w:p>
    <w:p>
      <w:pPr>
        <w:pStyle w:val="Heading2"/>
        <w:numPr>
          <w:ilvl w:val="1"/>
          <w:numId w:val="1"/>
        </w:numPr>
        <w:rPr/>
      </w:pPr>
      <w:bookmarkStart w:id="35" w:name="pg11049_88355"/>
      <w:bookmarkStart w:id="36" w:name="__RefHeading___Toc1446093_1067777946"/>
      <w:bookmarkStart w:id="37" w:name="_Toc10"/>
      <w:bookmarkEnd w:id="35"/>
      <w:bookmarkEnd w:id="36"/>
      <w:r>
        <w:rPr>
          <w:rtl w:val="true"/>
        </w:rPr>
        <w:t>كتاب اللُّقَطَة</w:t>
      </w:r>
      <w:bookmarkEnd w:id="37"/>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38" w:name="__RefHeading___Toc1446095_1067777946"/>
      <w:bookmarkStart w:id="39" w:name="_Toc11"/>
      <w:bookmarkEnd w:id="38"/>
      <w:r>
        <w:rPr>
          <w:rtl w:val="true"/>
        </w:rPr>
        <w:t>اشارة</w:t>
      </w:r>
      <w:bookmarkEnd w:id="39"/>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40" w:name="pg11049_88357"/>
      <w:bookmarkStart w:id="41" w:name="pg11049_88357"/>
      <w:bookmarkEnd w:id="41"/>
    </w:p>
    <w:p>
      <w:pPr>
        <w:pStyle w:val="BookText"/>
        <w:rPr/>
      </w:pPr>
      <w:bookmarkStart w:id="42" w:name="pg11049_88357"/>
      <w:bookmarkEnd w:id="42"/>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 اللقطة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بضم اللام وفتح القاف، اسم للمال الملقوطِ أو للمُلتقط؛ كباب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كهُمَزة ولُمَزة، أو بسكون القاف اسمٌ للمال، وأطلق على ما يَشمَل الإنسان تغليباً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وفيه فصول </w:t>
      </w:r>
      <w:r>
        <w:rPr>
          <w:rFonts w:eastAsia="Amiri" w:cs="Amiri" w:ascii="Amiri" w:hAnsi="Amiri"/>
          <w:color w:val="111111"/>
          <w:sz w:val="28"/>
          <w:szCs w:val="28"/>
          <w:rtl w:val="true"/>
          <w:lang w:bidi="ar-SA"/>
        </w:rPr>
        <w:t>:)</w:t>
      </w:r>
    </w:p>
    <w:p>
      <w:pPr>
        <w:pStyle w:val="Heading3"/>
        <w:numPr>
          <w:ilvl w:val="2"/>
          <w:numId w:val="1"/>
        </w:numPr>
        <w:rPr/>
      </w:pPr>
      <w:bookmarkStart w:id="43" w:name="__RefHeading___Toc1446097_1067777946"/>
      <w:bookmarkStart w:id="44" w:name="_Toc12"/>
      <w:bookmarkEnd w:id="43"/>
      <w:r>
        <w:rPr>
          <w:rtl w:val="true"/>
        </w:rPr>
        <w:t>الفصل الأوّل في اللقيط</w:t>
      </w:r>
      <w:bookmarkEnd w:id="44"/>
    </w:p>
    <w:p>
      <w:pPr>
        <w:pStyle w:val="BookText"/>
        <w:rPr/>
      </w:pPr>
      <w:r>
        <w:rPr>
          <w:rFonts w:ascii="Amiri" w:hAnsi="Amiri" w:eastAsia="Amiri" w:cs="Amiri"/>
          <w:color w:val="111111"/>
          <w:sz w:val="28"/>
          <w:sz w:val="28"/>
          <w:szCs w:val="28"/>
          <w:rtl w:val="true"/>
          <w:lang w:bidi="ar-SA"/>
        </w:rPr>
        <w:t xml:space="preserve">وهو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مفعول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كطريح وجريح، ويُسمَّى مَنبوذاً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واختلافُ اسميه باعتبار حالتيه إذا ضاع، فإنّه يُنبَذ أولاً، أي يُرمَى ثمّ يُلقط</w:t>
      </w:r>
      <w:r>
        <w:rPr>
          <w:rFonts w:eastAsia="Amiri" w:cs="Amiri" w:ascii="Amiri" w:hAnsi="Amiri"/>
          <w:color w:val="111111"/>
          <w:sz w:val="28"/>
          <w:szCs w:val="28"/>
          <w:rtl w:val="true"/>
          <w:lang w:bidi="ar-SA"/>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وهو إنسانٌ ضائع لا كافِلَ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حالةَ الالتقاط،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يستقل بنفسه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بالسعى على ما يُصلحه، ويدفع عن نفسه المُهلِكاتِ الممكن دفعُها عادةً،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فيُلتَقَط الصبيُّ والصبيّةُ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ميَّزا على الأقوى؛ لعدم استقلالهما بأنفسهما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لم يَبلُغا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فيمتنع التقاطهما حينئذ؛ لاستقلالهما، وانتفاء الولاية عنهما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لو خاف على البالغ التلف في مَهْلَكة وَجَب إنقاذه كما يجب إنقاذ الغريق ونحوه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والمجنون بحكم الطفل، وهو داخل في إطلاق التعريف وإن لم يَخُصَّه بالتفصيل، وقد صرّح بإدخاله في تعريف الدروس</w:t>
      </w:r>
      <w:r>
        <w:rPr>
          <w:rStyle w:val="FootnoteAnchor"/>
          <w:rtl w:val="true"/>
        </w:rPr>
        <w:footnoteReference w:id="115"/>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واحترز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كافل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معلوم الولي أو الملتقط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فإذا عُلِم الأب، أو الجد</w:t>
      </w:r>
      <w:r>
        <w:rPr>
          <w:rFonts w:eastAsia="Amiri" w:cs="Amiri" w:ascii="Amiri" w:hAnsi="Amiri"/>
          <w:color w:val="111111"/>
          <w:sz w:val="28"/>
          <w:szCs w:val="28"/>
          <w:rtl w:val="true"/>
          <w:lang w:bidi="ar-SA"/>
        </w:rPr>
        <w:t>)</w:t>
      </w:r>
      <w:r>
        <w:rPr>
          <w:rStyle w:val="FootnoteAnchor"/>
          <w:rtl w:val="true"/>
        </w:rPr>
        <w:footnoteReference w:id="116"/>
      </w:r>
      <w:r>
        <w:rPr>
          <w:rFonts w:ascii="Amiri" w:hAnsi="Amiri" w:eastAsia="Amiri" w:cs="Amiri"/>
          <w:color w:val="111111"/>
          <w:sz w:val="28"/>
          <w:sz w:val="28"/>
          <w:szCs w:val="28"/>
          <w:rtl w:val="true"/>
          <w:lang w:bidi="ar-SA"/>
        </w:rPr>
        <w:t xml:space="preserve">وإنْ علا، أو الأم وإنْ صَعَدَتْ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الوصيُّ ، أو الملتقط السابق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انتفاء الأولين، لم يصح التقاطه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سُلّم إليهم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وجوباً لسبق تعلقِ الحق بهم، فيُجبرون على أخذه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ولو كان اللقيط مملوكاً حُفِظ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وجوباً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حتّى يَصِلَ إلى المالكِ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وكيله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ويُفهم من إطلاقه عدم جواز تملّكه مطلقاً، وبه صرّح في الدروس</w:t>
      </w:r>
      <w:r>
        <w:rPr>
          <w:rStyle w:val="FootnoteAnchor"/>
          <w:rtl w:val="true"/>
        </w:rPr>
        <w:footnoteReference w:id="11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واختلف كلام العلامة ففي القواعد قطع بجواز تملك الصغير بعد التعريف حولاً</w:t>
      </w:r>
      <w:r>
        <w:rPr>
          <w:rStyle w:val="FootnoteAnchor"/>
          <w:rtl w:val="true"/>
        </w:rPr>
        <w:footnoteReference w:id="118"/>
      </w:r>
      <w:r>
        <w:rPr>
          <w:rFonts w:ascii="Amiri" w:hAnsi="Amiri" w:eastAsia="Amiri" w:cs="Amiri"/>
          <w:color w:val="111111"/>
          <w:sz w:val="28"/>
          <w:sz w:val="28"/>
          <w:szCs w:val="28"/>
          <w:rtl w:val="true"/>
          <w:lang w:bidi="ar-SA"/>
        </w:rPr>
        <w:t xml:space="preserve">، وهو قول الشيخ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w:t>
      </w:r>
      <w:r>
        <w:rPr>
          <w:rStyle w:val="FootnoteAnchor"/>
          <w:rtl w:val="true"/>
        </w:rPr>
        <w:footnoteReference w:id="119"/>
      </w:r>
      <w:r>
        <w:rPr>
          <w:rFonts w:ascii="Amiri" w:hAnsi="Amiri" w:eastAsia="Amiri" w:cs="Amiri"/>
          <w:color w:val="111111"/>
          <w:sz w:val="28"/>
          <w:sz w:val="28"/>
          <w:szCs w:val="28"/>
          <w:rtl w:val="true"/>
          <w:lang w:bidi="ar-SA"/>
        </w:rPr>
        <w:t>لأنّه مال ضائع يُخشَى تلفه، وفي التحرير أطلق المنع من تملكه، محتجاً بأنّ العبد يتحفّظ بنفسه كالإبل</w:t>
      </w:r>
      <w:r>
        <w:rPr>
          <w:rStyle w:val="FootnoteAnchor"/>
          <w:rtl w:val="true"/>
        </w:rPr>
        <w:footnoteReference w:id="120"/>
      </w:r>
      <w:r>
        <w:rPr>
          <w:rFonts w:ascii="Amiri" w:hAnsi="Amiri" w:eastAsia="Amiri" w:cs="Amiri"/>
          <w:color w:val="111111"/>
          <w:sz w:val="28"/>
          <w:sz w:val="28"/>
          <w:szCs w:val="28"/>
          <w:rtl w:val="true"/>
          <w:lang w:bidi="ar-SA"/>
        </w:rPr>
        <w:t>، وهو لا يتم في الصغير، وفي قول الشيخ قوة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ويمكن العلم برقيته بأن يراه يُباع في الأسواق مراراً قبل أن يضيع، ولا يعلم مالكه، لا بالقرائن من اللون وغيره؛ لأصالة الحرية</w:t>
      </w:r>
      <w:r>
        <w:rPr>
          <w:rFonts w:eastAsia="Amiri" w:cs="Amiri" w:ascii="Amiri" w:hAnsi="Amiri"/>
          <w:color w:val="111111"/>
          <w:sz w:val="28"/>
          <w:szCs w:val="28"/>
          <w:rtl w:val="true"/>
          <w:lang w:bidi="ar-SA"/>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يُضمَن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تَلِف أو أبَق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 بالتفريط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للإذن فى قبضه شرعاً فيكون أمانة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الأقربُ المنع من أخذه أي أخذ المملوك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كان بالغاً أو مُراهِقاً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مُقارِباً للبلوغ؛ لأنّهما كالضالّةِ المُمْتَنِعَةِ بنفسها،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بخلاف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الصغير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 لا قوّة معه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دفع المهلكات عن 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ووجه الجواز مطلقاً أنه مال ضائع يُخشَى تلفه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وينبغي القطع بجواز أخذه إذا كان مَخُوف التلف ولو بالاباق؛ لأنّه معاونة على البِرّ، ودفع لضرورة المضطرّ، وأقلُّ مراتبه الجواز وبهذا يحصل الفرق بين الحر والمملوك، حيث </w:t>
      </w:r>
    </w:p>
    <w:p>
      <w:pPr>
        <w:pStyle w:val="BookText"/>
        <w:rPr/>
      </w:pPr>
      <w:r>
        <w:rPr>
          <w:rFonts w:ascii="Amiri" w:hAnsi="Amiri" w:eastAsia="Amiri" w:cs="Amiri"/>
          <w:color w:val="111111"/>
          <w:sz w:val="28"/>
          <w:sz w:val="28"/>
          <w:szCs w:val="28"/>
          <w:rtl w:val="true"/>
          <w:lang w:bidi="ar-SA"/>
        </w:rPr>
        <w:t>اشتُرِط في الحرِ الصِغَرُ دون المملوك؛ لأنه لا يخرج بالبلوغ عن المالية، والحرّ إنما يُحفظ عن التلف، والقصدُ مِن لقطته حضانته وحفظه، فيَختَصّ بالصغير، ومِن ثَمَّ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المميّز لا يجوز لقطتُه </w:t>
      </w:r>
      <w:r>
        <w:rPr>
          <w:rStyle w:val="FootnoteAnchor"/>
          <w:rtl w:val="true"/>
        </w:rPr>
        <w:footnoteReference w:id="12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ولابد من بلوغ الملتقط وعقله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يصح النقاط الصبي والمجنون، بمعنى أنّ حكم اللقيط في يدَيْهما ما كان عليه قبل اليد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ويُفهم من إطلاقه اشتراطهما دون غيرهما أنه لا يُشترط رشده فيصح من السفيه؛ لأنّ حضانة اللقيط ليست مالاً وإنّما يُحجَر على السفيه ،له ومطلقُ كونه مولى عليه غيرُ مانع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واستقرب المصنف في الدروس اشتراط ،رشده، محتجاً بأنّ الشارع لم يَأْتَمِنْه على ماله، فعلى الطفل وماله أولى بالمنع ولأن الالتقاط ائتمان شرعي، والشرعُ لم يأتمنه</w:t>
      </w:r>
      <w:r>
        <w:rPr>
          <w:rStyle w:val="FootnoteAnchor"/>
          <w:rtl w:val="true"/>
        </w:rPr>
        <w:footnoteReference w:id="12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وفيه نظر؛ لأنّ الشارع إنما لم يأتمنه على المال لا على غيره، بل جوَّزَ تصرُّفَه في غيره مطلقاً، وعلى تقدير أن يوجد معه مال يمكن الجمع بين القاعدتين الشرعيَّتين، وهما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استثمانِ المُبَذِّر على المال، وتأهيله لغيره من التصرفات التي من جملتها الالتقاط والحضانه، فيُؤخَذ المالُ منه خاصةً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صحة التقاطه يستلزم وجوب إنفاقه وهو ممتنع من المبذر؛ لاستلزامه التصرف المالي، وجعل التصرف فيه لآخر يستدعي الضرر على الطفل بتوزيع أموره، أمكن إن تحقق الضرر بذلك، وإلا فالقول بالجواز أجود</w:t>
      </w:r>
      <w:r>
        <w:rPr>
          <w:rFonts w:eastAsia="Amiri" w:cs="Amiri" w:ascii="Amiri" w:hAnsi="Amiri"/>
          <w:color w:val="111111"/>
          <w:sz w:val="28"/>
          <w:szCs w:val="28"/>
          <w:rtl w:val="true"/>
          <w:lang w:bidi="ar-SA"/>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وحرّيّتِه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عبرة بالتقاط العبد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 بإذن السيّد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لأنّ منافعه له، وحقه مُضَيَّق فلا يتفرغ للحضانة، أما لو أذن له فيه ابتداءً أو أقره عليه بعد وضع يده جاز، وكان السيّد في الحقيقة هو الملتقط والعبد ،نائبه ثم لا يجوز للسيد الرجوع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فرق بين القنّ والمكاتب والمدبَّرِ ومَن تَحرَّر بعضُه وأُم الولد؛ لعدم جواز تبرع واحدٍ منهم بماله </w:t>
      </w:r>
    </w:p>
    <w:p>
      <w:pPr>
        <w:pStyle w:val="BookText"/>
        <w:rPr/>
      </w:pPr>
      <w:r>
        <w:rPr>
          <w:rFonts w:ascii="Amiri" w:hAnsi="Amiri" w:eastAsia="Amiri" w:cs="Amiri"/>
          <w:color w:val="111111"/>
          <w:sz w:val="28"/>
          <w:sz w:val="28"/>
          <w:szCs w:val="28"/>
          <w:rtl w:val="true"/>
          <w:lang w:bidi="ar-SA"/>
        </w:rPr>
        <w:t>ولا منافعه إلا بإذن السيد، ولا يدفع ذلك مُهايَأةُ المُبَعض وإنْ وَفَى زمانه المختص بالحضانة؛ لعدم لزومها فجاز تَطَرُّقُ المانع كل وقت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لو لم يُوجَد للقيط كافل غيرُ العبد وخِيفَ عليه التلفُ بالإبقاء، فقد قال المصنف في الدروس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يجب حينئذٍ على العبد التقاطه بدون إذن المولى</w:t>
      </w:r>
      <w:r>
        <w:rPr>
          <w:rStyle w:val="FootnoteAnchor"/>
          <w:rtl w:val="true"/>
        </w:rPr>
        <w:footnoteReference w:id="12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في الحقيقة لا يُوجب إلحاق حكم اللقطة، وإنّما دَلَّت الضرورة على الوجوب من حيث إنقاذ النفس المحترمة من الهلاك، فإذا وُجِد مَن له أهليّة الالتقاط وجب عليه انتزاعه منه وسيده من الجملة؛ لانتفاء أهلية العبد 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وإسلامه إن كان اللقيط محكوماً بإسلامه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لانتفاء السبيل للكافر على المسلم، ولأنه لا يُؤمَن أن يَفْتِنَه عن دينه، فإن التقطه الكافِرُ لم يُقرّ في يده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كان اللقيط محكوماً بكفره جاز التقاطه للمسلم والكافر؛ لقوله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وَالَّذِينَ كَفَرُوا بَعْضُهُمْ أَوْلِيَاءُ بَعْضٍ</w:t>
      </w:r>
      <w:r>
        <w:rPr>
          <w:rStyle w:val="FootnoteAnchor"/>
          <w:rtl w:val="true"/>
        </w:rPr>
        <w:footnoteReference w:id="12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والقائل الشيخ</w:t>
      </w:r>
      <w:r>
        <w:rPr>
          <w:rStyle w:val="FootnoteAnchor"/>
          <w:rtl w:val="true"/>
        </w:rPr>
        <w:footnoteReference w:id="125"/>
      </w:r>
      <w:r>
        <w:rPr>
          <w:rFonts w:ascii="Amiri" w:hAnsi="Amiri" w:eastAsia="Amiri" w:cs="Amiri"/>
          <w:color w:val="111111"/>
          <w:sz w:val="28"/>
          <w:sz w:val="28"/>
          <w:szCs w:val="28"/>
          <w:rtl w:val="true"/>
          <w:lang w:bidi="ar-SA"/>
        </w:rPr>
        <w:t>والعلّامة في غير التحرير</w:t>
      </w:r>
      <w:r>
        <w:rPr>
          <w:rStyle w:val="FootnoteAnchor"/>
          <w:rtl w:val="true"/>
        </w:rPr>
        <w:footnoteReference w:id="126"/>
      </w:r>
    </w:p>
    <w:p>
      <w:pPr>
        <w:pStyle w:val="BookText"/>
        <w:rPr/>
      </w:pPr>
      <w:r>
        <w:rPr>
          <w:rFonts w:ascii="Amiri" w:hAnsi="Amiri" w:eastAsia="Amiri" w:cs="Amiri"/>
          <w:color w:val="111111"/>
          <w:sz w:val="28"/>
          <w:sz w:val="28"/>
          <w:szCs w:val="28"/>
          <w:rtl w:val="true"/>
          <w:lang w:bidi="ar-SA"/>
        </w:rPr>
        <w:t xml:space="preserve">المسألة </w:t>
      </w:r>
      <w:r>
        <w:rPr>
          <w:rFonts w:eastAsia="Amiri" w:cs="Amiri" w:ascii="Amiri" w:hAnsi="Amiri"/>
          <w:color w:val="111111"/>
          <w:sz w:val="28"/>
          <w:szCs w:val="28"/>
          <w:lang w:bidi="ar-SA"/>
        </w:rPr>
        <w:t>409</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وعدالته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لافتقار الالتقاط إلى الحضانة، وهي استئمان لا يليق بالفاسق؛ ولأنه لا يُؤمَن أَن يَستَرِقَه ويأخُذَ ماله</w:t>
      </w:r>
      <w:r>
        <w:rPr>
          <w:rFonts w:eastAsia="Amiri" w:cs="Amiri" w:ascii="Amiri" w:hAnsi="Amiri"/>
          <w:color w:val="111111"/>
          <w:sz w:val="28"/>
          <w:szCs w:val="28"/>
          <w:rtl w:val="true"/>
          <w:lang w:bidi="ar-SA"/>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والأكثر على العدم؛ للأصل، ولأنّ المسلم محلُّ الأمانة، مع أنه ليس استثماناً حقيقياً، ولا نتقاضه بالتقاط الكافر مثله؛ لجوازه بغير خلاف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هو الأقوى وإن كان اعتبارها أحوط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لو كان له مال فقد قيل باشتراطها؛ لأن الخيانة في المال أمر راجح الوقوع</w:t>
      </w:r>
      <w:r>
        <w:rPr>
          <w:rStyle w:val="FootnoteAnchor"/>
          <w:rtl w:val="true"/>
        </w:rPr>
        <w:footnoteReference w:id="127"/>
      </w:r>
      <w:r>
        <w:rPr>
          <w:rFonts w:ascii="Amiri" w:hAnsi="Amiri" w:eastAsia="Amiri" w:cs="Amiri"/>
          <w:color w:val="111111"/>
          <w:sz w:val="28"/>
          <w:sz w:val="28"/>
          <w:szCs w:val="28"/>
          <w:rtl w:val="true"/>
          <w:lang w:bidi="ar-SA"/>
        </w:rPr>
        <w:t>، ويُشكل بإمكان الجمع بانتزاع الحاكم له منه كالمبذر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وأولى بالجواز التقاط المستور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والحكم بوجوب نصب الحاكم مراقباً عليه لا يعلم به، إلى أن تحصُلَ الثقة به أو ضدُّها فيُنتزع منه</w:t>
      </w:r>
      <w:r>
        <w:rPr>
          <w:rStyle w:val="FootnoteAnchor"/>
          <w:rtl w:val="true"/>
        </w:rPr>
        <w:footnoteReference w:id="128"/>
      </w:r>
      <w:r>
        <w:rPr>
          <w:rFonts w:ascii="Amiri" w:hAnsi="Amiri" w:eastAsia="Amiri" w:cs="Amiri"/>
          <w:color w:val="111111"/>
          <w:sz w:val="28"/>
          <w:sz w:val="28"/>
          <w:szCs w:val="28"/>
          <w:rtl w:val="true"/>
          <w:lang w:bidi="ar-SA"/>
        </w:rPr>
        <w:t>، بعيد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يُعتبر أيضاً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حَضَرُه، فيُنتزَع من البَدَوِيّ ومِن مُريد السفر به</w:t>
      </w:r>
      <w:r>
        <w:rPr>
          <w:rFonts w:eastAsia="Amiri" w:cs="Amiri" w:ascii="Amiri" w:hAnsi="Amiri"/>
          <w:color w:val="111111"/>
          <w:sz w:val="28"/>
          <w:szCs w:val="28"/>
          <w:rtl w:val="true"/>
          <w:lang w:bidi="ar-SA"/>
        </w:rPr>
        <w:t>)</w:t>
      </w:r>
      <w:r>
        <w:rPr>
          <w:rStyle w:val="FootnoteAnchor"/>
          <w:rtl w:val="true"/>
        </w:rPr>
        <w:footnoteReference w:id="129"/>
      </w:r>
      <w:r>
        <w:rPr>
          <w:rFonts w:ascii="Amiri" w:hAnsi="Amiri" w:eastAsia="Amiri" w:cs="Amiri"/>
          <w:color w:val="111111"/>
          <w:sz w:val="28"/>
          <w:sz w:val="28"/>
          <w:szCs w:val="28"/>
          <w:rtl w:val="true"/>
          <w:lang w:bidi="ar-SA"/>
        </w:rPr>
        <w:t>لأداء التقاطهما له إلى ضياع نَسَبِه بانتقالهما عن محلّ ضياعه، الذي هو محلّ ضياعه، الذي هو مظنة ظهوره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ويُضعف بعدم لزوم ذلك مطلقاً، بل جاز العكس، وأصالة عدم الاشتراط تدفعه، فالقول بعدمه</w:t>
      </w:r>
      <w:r>
        <w:rPr>
          <w:rStyle w:val="FootnoteAnchor"/>
          <w:rtl w:val="true"/>
        </w:rPr>
        <w:footnoteReference w:id="130"/>
      </w:r>
      <w:r>
        <w:rPr>
          <w:rFonts w:ascii="IRNazanin" w:hAnsi="IRNazanin" w:eastAsia="IRNazanin"/>
          <w:color w:val="111111"/>
          <w:sz w:val="28"/>
          <w:sz w:val="28"/>
          <w:szCs w:val="28"/>
          <w:rtl w:val="true"/>
          <w:lang w:bidi="fa-IR"/>
        </w:rPr>
        <w:t>أوضح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وحكايته اشتراط هذين قولاً يدلّ على تمريضه، وقد حكم في الدروس بعدمه</w:t>
      </w:r>
      <w:r>
        <w:rPr>
          <w:rStyle w:val="FootnoteAnchor"/>
          <w:rtl w:val="true"/>
        </w:rPr>
        <w:footnoteReference w:id="13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لم يُوجد غيرهما لم يُنتزع قطعاً، وكذا لو وُجد مثلهما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والواجب على الملتقط حضانته بالمعروف، وهو تعهده والقيام بضرورة تربيته بنفسه أو بغيره، ولا يجب عليه الإنفاق عليه من ماله ،ابتداءً، بل من مالِ اللقيط الذي وُجِد تحت يده، أو الموقوفِ على أمثاله، أو الموصى به لهم بإذن الحاكم مع إمكانه، وإلّا أنفق بنفسه ولا ضمان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تعذُره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يُنفَق عليه من بيت المال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برفع الأمر إلى الإمام؛ لأنّه مُعَدُّ للمصالح وهو من جملتها،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الزكاة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سهم الفقراء والمساكين، أو سهم سبيل الله إن اعتبرنا البسط، وإلا فمنها مطلقاً ولا يترتب أحدهما على الآخر</w:t>
      </w:r>
      <w:r>
        <w:rPr>
          <w:rFonts w:eastAsia="Amiri" w:cs="Amiri" w:ascii="Amiri" w:hAnsi="Amiri"/>
          <w:color w:val="111111"/>
          <w:sz w:val="28"/>
          <w:szCs w:val="28"/>
          <w:rtl w:val="true"/>
          <w:lang w:bidi="ar-SA"/>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تعذَّر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ذلك كلُّه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استعان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الملتقط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بالمسلمين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ويجب عليهم مساعدته بالنفقة كفاية؛ لوجوب إعانة المحتاج كذلك مطلقاً، فإن وُجِدَ متبرع منهم وإلا كان الملتقط وغيره ممن لا يُنفِق إلا بنية الرجوع سواء في الوجوب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تعذَّرَ أَنفَق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الملتقط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ورَجَع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يساره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نواه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ولو لم ينو كان متبرعاً لا رجوع له، كما لا </w:t>
      </w:r>
    </w:p>
    <w:p>
      <w:pPr>
        <w:pStyle w:val="BookText"/>
        <w:rPr/>
      </w:pPr>
      <w:r>
        <w:rPr>
          <w:rFonts w:ascii="Amiri" w:hAnsi="Amiri" w:eastAsia="Amiri" w:cs="Amiri"/>
          <w:color w:val="111111"/>
          <w:sz w:val="28"/>
          <w:sz w:val="28"/>
          <w:szCs w:val="28"/>
          <w:rtl w:val="true"/>
          <w:lang w:bidi="ar-SA"/>
        </w:rPr>
        <w:t>رجوع له لو وَجَد المُعِينَ المتبرع فلم يَستَعِنْ به ولو أنفق غيره بنية الرجوع فله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والأقوى عدم اشتراط الإشهاد في جواز الرجوع وإن توقف ثبوته عليه بدون اليمين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كان اللقيط مملوكاً ولم يتبرع عليه متبرع بالنفقة رَفَع أمره إلى الحاكم ليُنفِقَ عليه أو يبيعه في النفقة أو يأمره به، فإن تعذر أنفق عليه بنية الرجوع ثم باعه فيها إن لم يمكن بيعه تدريجاً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وَلاءَ عليه للملتقط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لغيره من المسلمين، خلافاً للشيخ</w:t>
      </w:r>
      <w:r>
        <w:rPr>
          <w:rStyle w:val="FootnoteAnchor"/>
          <w:rtl w:val="true"/>
        </w:rPr>
        <w:footnoteReference w:id="132"/>
      </w:r>
      <w:r>
        <w:rPr>
          <w:rFonts w:ascii="Amiri" w:hAnsi="Amiri" w:eastAsia="Amiri" w:cs="Amiri"/>
          <w:color w:val="111111"/>
          <w:sz w:val="28"/>
          <w:sz w:val="28"/>
          <w:szCs w:val="28"/>
          <w:rtl w:val="true"/>
          <w:lang w:bidi="ar-SA"/>
        </w:rPr>
        <w:t>، بل هو سائبة يَتَوَلَّى مَن شاء، فإن مات ولا وارث له فميراثه للإمام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وإذا خاف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واجده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التلف وجب أخده كفايةً</w:t>
      </w:r>
      <w:r>
        <w:rPr>
          <w:rStyle w:val="FootnoteAnchor"/>
          <w:rtl w:val="true"/>
        </w:rPr>
        <w:footnoteReference w:id="13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يجب حفظ كلِّ نفسٍ محترمةٍ عنه مع الإمكان،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يَخَف عليه التلف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استُحِبّ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أخذه؛ لأصالة عدم الوجوب مع ما فيه من المعاونة على البر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يجب كفايةً مطلقاً؛ لأنّه مَعرَضُ للتلف، ولوجوب إطعام المضطر</w:t>
      </w:r>
      <w:r>
        <w:rPr>
          <w:rStyle w:val="FootnoteAnchor"/>
          <w:rtl w:val="true"/>
        </w:rPr>
        <w:footnoteReference w:id="134"/>
      </w:r>
      <w:r>
        <w:rPr>
          <w:rFonts w:ascii="Amiri" w:hAnsi="Amiri" w:eastAsia="Amiri" w:cs="Amiri"/>
          <w:color w:val="111111"/>
          <w:sz w:val="28"/>
          <w:sz w:val="28"/>
          <w:szCs w:val="28"/>
          <w:rtl w:val="true"/>
          <w:lang w:bidi="ar-SA"/>
        </w:rPr>
        <w:t>، واختاره المصنّف في الدروس</w:t>
      </w:r>
      <w:r>
        <w:rPr>
          <w:rStyle w:val="FootnoteAnchor"/>
          <w:rtl w:val="true"/>
        </w:rPr>
        <w:footnoteReference w:id="13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يُستحب مطلقاً؛ لأصالة البراءة</w:t>
      </w:r>
      <w:r>
        <w:rPr>
          <w:rStyle w:val="FootnoteAnchor"/>
          <w:rtl w:val="true"/>
        </w:rPr>
        <w:footnoteReference w:id="136"/>
      </w:r>
      <w:r>
        <w:rPr>
          <w:rFonts w:ascii="Amiri" w:hAnsi="Amiri" w:eastAsia="Amiri" w:cs="Amiri"/>
          <w:color w:val="111111"/>
          <w:sz w:val="28"/>
          <w:sz w:val="28"/>
          <w:szCs w:val="28"/>
          <w:rtl w:val="true"/>
          <w:lang w:bidi="ar-SA"/>
        </w:rPr>
        <w:t>، ولا يخفى ضعفه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وكلّ ما بيده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 التقاطه من المال والمتاع، كملبوسه والمشدود في ثوبه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تحته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كالفِراشِ والدابة المركوبة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فوقه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كاللّحافِ والخَيمة والفسطاط، التي لا مالك لها معروف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لدّلالة اليد ظاهراً على الملك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ومثله ما كان بيده قبل الالتقاط ثم زالت عنه لعارض؛ كطائرٍ أَفْلَتَ من يده ومتاعِ غُصِب منه أو سَقط، لا ما بين يديه أو إلى جانبه، أو على دكة هو عليها، على الأقوى</w:t>
      </w:r>
      <w:r>
        <w:rPr>
          <w:rFonts w:eastAsia="Amiri" w:cs="Amiri" w:ascii="Amiri" w:hAnsi="Amiri"/>
          <w:color w:val="111111"/>
          <w:sz w:val="28"/>
          <w:szCs w:val="28"/>
          <w:rtl w:val="true"/>
          <w:lang w:bidi="ar-SA"/>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يُنفق 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الملتقط ولا غيره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 بإذن الحاكم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لأنه وليه مع إمكانه أما مع تعذره فيجوز للضرورة كما سلف</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ويُستحَبّ الإشهاد على أخذه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صيانةً له ولنَسَبِه وحريته، فإنّ اللقطةَ يَشيع أمرُها بالتعريف، ولا تعريف للقيط إلا على وجه نادر، ولا يجب؛ للأصل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ويُحكَم بإسلامه إن التقط في دار الإسلام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مطلقاً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في دار الحرب وفيها مسلم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يمكن تولّده منه وإن كان تاجراً أو أسيراً،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وعاقلته الإمام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دون الملتقط إذا لم يتوال أحداً بعد بلوغه ولم يظهر له نسب، فَدِيةُ جنايته خطأ عليه وحق قصاصه نفساً له، وطرفاً للقيط بعد بلوغه قصاصاً وديةً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ويجوز تعجيله للإمام قبله كما يجوز ذلك للأب والجد على أصح القولين </w:t>
      </w:r>
      <w:r>
        <w:rPr>
          <w:rStyle w:val="FootnoteAnchor"/>
          <w:rtl w:val="true"/>
        </w:rPr>
        <w:footnoteReference w:id="13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ولو اختلفا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الملتقط واللقيط بعد البلوغ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الإنفاق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فادّعاء الملتقط وأنكره اللقيط،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اتَّفقا على أصله واختلفا في قدره، خلف الملتقط في قدر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المعروف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لدلالة الظاهر عليه وإن عارَضَه الأصل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ما زاد على المعروف فلا يلتفت إلى دعواه فيه؛ لأنه على تقدير صدقه مُفرِطٌ، ولو قدَّر عُروض حاجة إليه فالأصل عدمُها ولا ظاهر يَعضُدها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ولو تَشاحَ ملتقطان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جامعان للشرائط في أخذه، قدم السابق إلى أخذه، فإن استَوَيا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أُقرع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بينهما وحكم به لمن أخرَجَتْه القرعة، ولا يُشرك بينهما في الحضانة؛ لما فيه من الإضرار باللقيط أو بهما،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ولو تَرَك أحدهما للآخر جاز</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لحصول الغرض فيجب على الآخر الاستبداد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واحترزنا بجمعهما للشرائط عمّا لو تَشَاعٌ مسلم وكافِرُ، أو عدل وفاسق، حيث يُشترط العدالة، أو حرّ وعبد، فيُرجح الأوّلُ بغير قرعة، وإن كان الملقوط كافراً في وجه</w:t>
      </w:r>
      <w:r>
        <w:rPr>
          <w:rFonts w:eastAsia="Amiri" w:cs="Amiri" w:ascii="Amiri" w:hAnsi="Amiri"/>
          <w:color w:val="111111"/>
          <w:sz w:val="28"/>
          <w:szCs w:val="28"/>
          <w:rtl w:val="true"/>
          <w:lang w:bidi="ar-SA"/>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 ترجيح البلدي على القروي، والقروي على البدوي، والقارّ على المسافر والمُوسِر على المُعسر، والعدل على المستور، والأعدل على الأنقص قول</w:t>
      </w:r>
      <w:r>
        <w:rPr>
          <w:rStyle w:val="FootnoteAnchor"/>
          <w:rtl w:val="true"/>
        </w:rPr>
        <w:footnoteReference w:id="138"/>
      </w:r>
      <w:r>
        <w:rPr>
          <w:rFonts w:ascii="IRNazanin" w:hAnsi="IRNazanin" w:eastAsia="IRNazanin"/>
          <w:color w:val="111111"/>
          <w:sz w:val="28"/>
          <w:sz w:val="28"/>
          <w:szCs w:val="28"/>
          <w:rtl w:val="true"/>
          <w:lang w:bidi="fa-IR"/>
        </w:rPr>
        <w:t xml:space="preserve">مأخذه </w:t>
      </w:r>
    </w:p>
    <w:p>
      <w:pPr>
        <w:pStyle w:val="BookText"/>
        <w:rPr/>
      </w:pPr>
      <w:r>
        <w:rPr>
          <w:rFonts w:ascii="Amiri" w:hAnsi="Amiri" w:eastAsia="Amiri" w:cs="Amiri"/>
          <w:color w:val="111111"/>
          <w:sz w:val="28"/>
          <w:sz w:val="28"/>
          <w:szCs w:val="28"/>
          <w:rtl w:val="true"/>
          <w:lang w:bidi="ar-SA"/>
        </w:rPr>
        <w:t>النظر إلى مصلحة اللقيط في إيثار الأكمل، والأقوى اعتبار جواز الالتقاط خاصةً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ولو تَدَاعَى بُنُوتَه ،اثنان، ولا بيّنة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لأحدهما، أو كان لكلّ منهما بينة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فالقرعة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لأنّه من الأمور المشكلة، وهي لكلّ أمرٍ مشكل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ولا </w:t>
      </w:r>
      <w:r>
        <w:rPr>
          <w:rStyle w:val="FootnoteAnchor"/>
          <w:rtl w:val="true"/>
        </w:rPr>
        <w:footnoteReference w:id="139"/>
      </w:r>
      <w:r>
        <w:rPr>
          <w:rFonts w:ascii="Amiri" w:hAnsi="Amiri" w:eastAsia="Amiri" w:cs="Amiri"/>
          <w:color w:val="111111"/>
          <w:sz w:val="28"/>
          <w:sz w:val="28"/>
          <w:szCs w:val="28"/>
          <w:rtl w:val="true"/>
          <w:lang w:bidi="ar-SA"/>
        </w:rPr>
        <w:t>ترجيح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لأحدهما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بالإسلام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كان اللقيط محكوماً بإسلامه ظاهراً على قول الشيخ في الخلاف؛ لعموم الأخبار</w:t>
      </w:r>
      <w:r>
        <w:rPr>
          <w:rStyle w:val="FootnoteAnchor"/>
          <w:rtl w:val="true"/>
        </w:rPr>
        <w:footnoteReference w:id="140"/>
      </w:r>
      <w:r>
        <w:rPr>
          <w:rFonts w:ascii="Amiri" w:hAnsi="Amiri" w:eastAsia="Amiri" w:cs="Amiri"/>
          <w:color w:val="111111"/>
          <w:sz w:val="28"/>
          <w:sz w:val="28"/>
          <w:szCs w:val="28"/>
          <w:rtl w:val="true"/>
          <w:lang w:bidi="ar-SA"/>
        </w:rPr>
        <w:t>فيمن تَدَاعَوْا نسباً</w:t>
      </w:r>
      <w:r>
        <w:rPr>
          <w:rStyle w:val="FootnoteAnchor"/>
          <w:rtl w:val="true"/>
        </w:rPr>
        <w:footnoteReference w:id="141"/>
      </w:r>
      <w:r>
        <w:rPr>
          <w:rFonts w:ascii="Amiri" w:hAnsi="Amiri" w:eastAsia="Amiri" w:cs="Amiri"/>
          <w:color w:val="111111"/>
          <w:sz w:val="28"/>
          <w:sz w:val="28"/>
          <w:szCs w:val="28"/>
          <w:rtl w:val="true"/>
          <w:lang w:bidi="ar-SA"/>
        </w:rPr>
        <w:t>، ولتكافؤهما</w:t>
      </w:r>
      <w:r>
        <w:rPr>
          <w:rStyle w:val="FootnoteAnchor"/>
          <w:rtl w:val="true"/>
        </w:rPr>
        <w:footnoteReference w:id="142"/>
      </w:r>
      <w:r>
        <w:rPr>
          <w:rFonts w:ascii="Amiri" w:hAnsi="Amiri" w:eastAsia="Amiri" w:cs="Amiri"/>
          <w:color w:val="111111"/>
          <w:sz w:val="28"/>
          <w:sz w:val="28"/>
          <w:szCs w:val="28"/>
          <w:rtl w:val="true"/>
          <w:lang w:bidi="ar-SA"/>
        </w:rPr>
        <w:t>في الدعوى، ورجح في المبسوط دعوى المسلم لتأيده بالحكم بإسلام اللقيط على تقديره</w:t>
      </w:r>
      <w:r>
        <w:rPr>
          <w:rStyle w:val="FootnoteAnchor"/>
          <w:rtl w:val="true"/>
        </w:rPr>
        <w:footnoteReference w:id="143"/>
      </w:r>
      <w:r>
        <w:rPr>
          <w:rFonts w:ascii="Amiri" w:hAnsi="Amiri" w:eastAsia="Amiri" w:cs="Amiri"/>
          <w:color w:val="111111"/>
          <w:sz w:val="28"/>
          <w:sz w:val="28"/>
          <w:szCs w:val="28"/>
          <w:rtl w:val="true"/>
          <w:lang w:bidi="ar-SA"/>
        </w:rPr>
        <w:t>، ومثله تنازُعُ الحر والعبد مع الحكم بحرية اللقيط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كان محكوماً بكفره أو رقه أشكل الترجيح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وحيث يُحكم به للكافر يُحكم بكفره على الأقوى للتبعية</w:t>
      </w:r>
      <w:r>
        <w:rPr>
          <w:rFonts w:eastAsia="Amiri" w:cs="Amiri" w:ascii="Amiri" w:hAnsi="Amiri"/>
          <w:color w:val="111111"/>
          <w:sz w:val="28"/>
          <w:szCs w:val="28"/>
          <w:rtl w:val="true"/>
          <w:lang w:bidi="ar-SA"/>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كذا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ترجيح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بالالتقاط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الملتقط كغيره في دعوى نَسَبه؛ لجواز أن يكون قد سَقَط منه، أو نَبَذه ثمّ عاد إلى أخذه ولا ترجيح لليد في النسب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لو لم يُعلَم كونُه ملتقطاً، ولا صرَّح ببنوته فادّعاه غيرُه فنازَعَه، فإن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هو لقيط وهو ابني فهما سواء، وإن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هو ابني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واقتصر ، ولم يكن هناك بينةٌ على أنه التقطه، فقد قرَّب في الدروس ترجيح دعواه؛ عملاً بظاهر اليد</w:t>
      </w:r>
      <w:r>
        <w:rPr>
          <w:rStyle w:val="FootnoteAnchor"/>
          <w:rtl w:val="true"/>
        </w:rPr>
        <w:footnoteReference w:id="144"/>
      </w:r>
      <w:r>
        <w:rPr>
          <w:rFonts w:eastAsia="Times New Roman" w:cs="Times New Roman" w:ascii="Times New Roman" w:hAnsi="Times New Roman"/>
          <w:color w:val="111111"/>
          <w:sz w:val="28"/>
          <w:szCs w:val="28"/>
          <w:rtl w:val="true"/>
          <w:lang w:val="en-US" w:bidi="en-US"/>
        </w:rPr>
        <w:t xml:space="preserve">. </w:t>
      </w:r>
      <w:bookmarkStart w:id="45" w:name="pg11049_88365"/>
    </w:p>
    <w:p>
      <w:pPr>
        <w:pStyle w:val="Heading3"/>
        <w:numPr>
          <w:ilvl w:val="2"/>
          <w:numId w:val="1"/>
        </w:numPr>
        <w:rPr/>
      </w:pPr>
      <w:bookmarkStart w:id="46" w:name="__RefHeading___Toc1446099_1067777946"/>
      <w:bookmarkStart w:id="47" w:name="_Toc13"/>
      <w:bookmarkEnd w:id="45"/>
      <w:bookmarkEnd w:id="46"/>
      <w:r>
        <w:rPr>
          <w:rtl w:val="true"/>
        </w:rPr>
        <w:t>الفصل الثاني في لقطة الحَيَوان</w:t>
      </w:r>
      <w:bookmarkEnd w:id="4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وتسمى ضالة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وأخذه في صورة الجواز مكروه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للنهي عنه في أخبار كثيرة</w:t>
      </w:r>
      <w:r>
        <w:rPr>
          <w:rStyle w:val="FootnoteAnchor"/>
          <w:rtl w:val="true"/>
        </w:rPr>
        <w:footnoteReference w:id="145"/>
      </w:r>
      <w:r>
        <w:rPr>
          <w:rFonts w:ascii="Amiri" w:hAnsi="Amiri" w:eastAsia="Amiri" w:cs="Amiri"/>
          <w:color w:val="111111"/>
          <w:sz w:val="28"/>
          <w:sz w:val="28"/>
          <w:szCs w:val="28"/>
          <w:rtl w:val="true"/>
          <w:lang w:bidi="ar-SA"/>
        </w:rPr>
        <w:t xml:space="preserve">، المحمول على الكراهة </w:t>
      </w:r>
      <w:r>
        <w:rPr>
          <w:rStyle w:val="FootnoteAnchor"/>
          <w:rtl w:val="true"/>
        </w:rPr>
        <w:footnoteReference w:id="146"/>
      </w:r>
      <w:r>
        <w:rPr>
          <w:rFonts w:ascii="Amiri" w:hAnsi="Amiri" w:eastAsia="Amiri" w:cs="Amiri"/>
          <w:color w:val="111111"/>
          <w:sz w:val="28"/>
          <w:sz w:val="28"/>
          <w:szCs w:val="28"/>
          <w:rtl w:val="true"/>
          <w:lang w:bidi="ar-SA"/>
        </w:rPr>
        <w:t xml:space="preserve">جمعاً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ويُستحبّ الإشهاد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أخذ الضالة،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ولو تحقق التلفُ لم يُكرَه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بل قد يجب كفايةً إذا عرف مالكها وإلّا أبيح خاصةً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والبعير وشبهه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الدابة والبقرة ونحوهما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وُجد في كلا وماءٍ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حالة كونه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صحيحاً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غير مكسورٍ ولا مريض، أو صحيحاً وإنْ لم يكن في كلا وماء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تُرك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لامتناعه، ولا يجوز أخذه حينئذ بنية التملك مطلقاً، وفي جوازه بنية الحفظ لمالكه قولان</w:t>
      </w:r>
      <w:r>
        <w:rPr>
          <w:rStyle w:val="FootnoteAnchor"/>
          <w:rtl w:val="true"/>
        </w:rPr>
        <w:footnoteReference w:id="14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إطلاق الأخبار بالنهي</w:t>
      </w:r>
      <w:r>
        <w:rPr>
          <w:rStyle w:val="FootnoteAnchor"/>
          <w:rtl w:val="true"/>
        </w:rPr>
        <w:footnoteReference w:id="148"/>
      </w:r>
      <w:r>
        <w:rPr>
          <w:rFonts w:ascii="IRNazanin" w:hAnsi="IRNazanin" w:eastAsia="IRNazanin"/>
          <w:color w:val="111111"/>
          <w:sz w:val="28"/>
          <w:sz w:val="28"/>
          <w:szCs w:val="28"/>
          <w:rtl w:val="true"/>
          <w:lang w:bidi="fa-IR"/>
        </w:rPr>
        <w:t>، والإحسان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وعلى التقديرين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فيضمَن بالأخذ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يَصِل إلى مالكه أو إلى الحاكم مع تعذره،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يرجع أخذه بالنفقة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لا يُرجح أخذه؛ لتبرعه بها، أما مع وجوبه أو استحبابه فالأجود جوازه مع نيّته؛ لأنه محسن، ولأنّ إذنَ الشارع له في الأخذ مع عدم الإذن في النفقة ضرر وحرجٌ</w:t>
      </w:r>
      <w:r>
        <w:rPr>
          <w:rFonts w:eastAsia="Amiri" w:cs="Amiri" w:ascii="Amiri" w:hAnsi="Amiri"/>
          <w:color w:val="111111"/>
          <w:sz w:val="28"/>
          <w:szCs w:val="28"/>
          <w:rtl w:val="true"/>
          <w:lang w:bidi="ar-SA"/>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فلو</w:t>
      </w:r>
      <w:r>
        <w:rPr>
          <w:rStyle w:val="FootnoteAnchor"/>
          <w:rtl w:val="true"/>
        </w:rPr>
        <w:footnoteReference w:id="149"/>
      </w:r>
      <w:r>
        <w:rPr>
          <w:rFonts w:ascii="Amiri" w:hAnsi="Amiri" w:eastAsia="Amiri" w:cs="Amiri"/>
          <w:color w:val="111111"/>
          <w:sz w:val="28"/>
          <w:sz w:val="28"/>
          <w:szCs w:val="28"/>
          <w:rtl w:val="true"/>
          <w:lang w:bidi="ar-SA"/>
        </w:rPr>
        <w:t>تُرِكَ مِن جُهْدٍ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وعَطَبِ؛ لمرض أو كسر أو غيرهما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لا في كلا وماء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أُبيح</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أخذه، ومَلَكه الآخِذُ وإنْ وَجَد مالكه وعينه قائمة في أصح القولين</w:t>
      </w:r>
      <w:r>
        <w:rPr>
          <w:rStyle w:val="FootnoteAnchor"/>
          <w:rtl w:val="true"/>
        </w:rPr>
        <w:footnoteReference w:id="150"/>
      </w:r>
      <w:r>
        <w:rPr>
          <w:rFonts w:ascii="Amiri" w:hAnsi="Amiri" w:eastAsia="Amiri" w:cs="Amiri"/>
          <w:color w:val="111111"/>
          <w:sz w:val="28"/>
          <w:sz w:val="28"/>
          <w:szCs w:val="28"/>
          <w:rtl w:val="true"/>
          <w:lang w:bidi="ar-SA"/>
        </w:rPr>
        <w:t>لقول الصادق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صحيحة عبد الله بن سنان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أصاب مالاً أو بعيراً في فلاة من الأرض قد كَلَّت وقامت وقد سيبها صاحبها لما لم تتبعه، فأَخَذها غيرُه فأقام عليها أو أنفق نفقةً حتى أحياها من الكلال ومن الموت فهي له ولا سبيل له عليها، وإنما هي مثل الشيء المباح</w:t>
      </w:r>
      <w:r>
        <w:rPr>
          <w:rFonts w:eastAsia="Amiri" w:cs="Amiri" w:ascii="Amiri" w:hAnsi="Amiri"/>
          <w:color w:val="111111"/>
          <w:sz w:val="28"/>
          <w:szCs w:val="28"/>
          <w:rtl w:val="true"/>
          <w:lang w:bidi="ar-SA"/>
        </w:rPr>
        <w:t>»</w:t>
      </w:r>
      <w:r>
        <w:rPr>
          <w:rStyle w:val="FootnoteAnchor"/>
          <w:rtl w:val="true"/>
        </w:rPr>
        <w:footnoteReference w:id="15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وظاهره أنّ المراد بالمال ما كان من الدواب التي تحمل ونحوها، بدليل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قد كلَّت وقامت وقد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سيبها صاحبها لما لم تتبعه والظاهر أنّ الفلاة المشتملة على كلاء دون ماء أو بالعكس بحكم عادِمَتِهما؛ لعدم قوام الحيوان بدونهما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ولظاهر قول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كان تركها في غير كلأ ولا ماء فهي للذي أحياها</w:t>
      </w:r>
      <w:r>
        <w:rPr>
          <w:rFonts w:eastAsia="Amiri" w:cs="Amiri" w:ascii="Amiri" w:hAnsi="Amiri"/>
          <w:color w:val="111111"/>
          <w:sz w:val="28"/>
          <w:szCs w:val="28"/>
          <w:rtl w:val="true"/>
          <w:lang w:bidi="ar-SA"/>
        </w:rPr>
        <w:t>»</w:t>
      </w:r>
      <w:r>
        <w:rPr>
          <w:rStyle w:val="FootnoteAnchor"/>
          <w:rtl w:val="true"/>
        </w:rPr>
        <w:footnoteReference w:id="152"/>
      </w:r>
      <w:r>
        <w:rPr>
          <w:rFonts w:eastAsia="Times New Roman" w:cs="Times New Roman" w:ascii="Times New Roman" w:hAnsi="Times New Roman"/>
          <w:color w:val="111111"/>
          <w:sz w:val="28"/>
          <w:szCs w:val="28"/>
          <w:rtl w:val="true"/>
          <w:lang w:val="en-US" w:bidi="en-US"/>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والشاة في الفلاة </w:t>
      </w:r>
      <w:r>
        <w:rPr>
          <w:rStyle w:val="FootnoteAnchor"/>
          <w:rtl w:val="true"/>
        </w:rPr>
        <w:footnoteReference w:id="15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التي يُخاف عليها فيها من السباع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تُؤخَذ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جوازاً؛ لأنّها لا تمتنع من صغير السباع فهي كالتالفة، ولقوله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هي لك أو لأخيك أو للذئب</w:t>
      </w:r>
      <w:r>
        <w:rPr>
          <w:rFonts w:eastAsia="IRNazanin" w:cs="IRNazanin"/>
          <w:color w:val="111111"/>
          <w:sz w:val="28"/>
          <w:szCs w:val="28"/>
          <w:rtl w:val="true"/>
          <w:lang w:bidi="fa-IR"/>
        </w:rPr>
        <w:t>»</w:t>
      </w:r>
      <w:r>
        <w:rPr>
          <w:rStyle w:val="FootnoteAnchor"/>
          <w:rtl w:val="true"/>
        </w:rPr>
        <w:footnoteReference w:id="15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وحينئذٍ يَتَمَلَّكها إن شاء، وفي الضمان لمالكها على تقدير ظهوره أو كونه معلوماً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جَزَم به المصنِّف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الدروس</w:t>
      </w:r>
      <w:r>
        <w:rPr>
          <w:rStyle w:val="FootnoteAnchor"/>
          <w:rtl w:val="true"/>
        </w:rPr>
        <w:footnoteReference w:id="155"/>
      </w:r>
      <w:r>
        <w:rPr>
          <w:rFonts w:ascii="Amiri" w:hAnsi="Amiri" w:eastAsia="Amiri" w:cs="Amiri"/>
          <w:color w:val="111111"/>
          <w:sz w:val="28"/>
          <w:sz w:val="28"/>
          <w:szCs w:val="28"/>
          <w:rtl w:val="true"/>
          <w:lang w:bidi="ar-SA"/>
        </w:rPr>
        <w:t>العموم قول الباقر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فإذا جاءَ طالبه ردَّه إليه</w:t>
      </w:r>
      <w:r>
        <w:rPr>
          <w:rFonts w:eastAsia="Amiri" w:cs="Amiri" w:ascii="Amiri" w:hAnsi="Amiri"/>
          <w:color w:val="111111"/>
          <w:sz w:val="28"/>
          <w:szCs w:val="28"/>
          <w:rtl w:val="true"/>
          <w:lang w:bidi="ar-SA"/>
        </w:rPr>
        <w:t>»</w:t>
      </w:r>
      <w:r>
        <w:rPr>
          <w:rStyle w:val="FootnoteAnchor"/>
          <w:rtl w:val="true"/>
        </w:rPr>
        <w:footnoteReference w:id="15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ومتى ضَمِن عينَها ضَمِن قيمتها، ولا يُنا في ذلك جواز تملكها بالقيمة على تقدير ظهوره؛ لأنه ملك متزلزل، ووجه العدم عموم صحيحة ابن سنان السابقة </w:t>
      </w:r>
      <w:r>
        <w:rPr>
          <w:rStyle w:val="FootnoteAnchor"/>
          <w:rtl w:val="true"/>
        </w:rPr>
        <w:footnoteReference w:id="157"/>
      </w:r>
    </w:p>
    <w:p>
      <w:pPr>
        <w:pStyle w:val="BookText"/>
        <w:rPr/>
      </w:pPr>
      <w:r>
        <w:rPr>
          <w:rFonts w:ascii="IRNazanin" w:hAnsi="IRNazanin" w:eastAsia="IRNazanin"/>
          <w:color w:val="111111"/>
          <w:sz w:val="28"/>
          <w:sz w:val="28"/>
          <w:szCs w:val="28"/>
          <w:rtl w:val="true"/>
          <w:lang w:bidi="fa-IR"/>
        </w:rPr>
        <w:t xml:space="preserve">وقوله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هي 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آخره، فإنّ المتبادر منه عدم الضمان مطلقاً، ولا ريب أن الضمان أحوطُ</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وهل يتوقف تملُّكُها على التعريف؟ قيل نعم</w:t>
      </w:r>
      <w:r>
        <w:rPr>
          <w:rStyle w:val="FootnoteAnchor"/>
          <w:rtl w:val="true"/>
        </w:rPr>
        <w:footnoteReference w:id="158"/>
      </w:r>
      <w:r>
        <w:rPr>
          <w:rFonts w:ascii="Amiri" w:hAnsi="Amiri" w:eastAsia="Amiri" w:cs="Amiri"/>
          <w:color w:val="111111"/>
          <w:sz w:val="28"/>
          <w:sz w:val="28"/>
          <w:szCs w:val="28"/>
          <w:rtl w:val="true"/>
          <w:lang w:bidi="ar-SA"/>
        </w:rPr>
        <w:t>لأنّها مال فيدخُل في عموم الأخبار</w:t>
      </w:r>
      <w:r>
        <w:rPr>
          <w:rStyle w:val="FootnoteAnchor"/>
          <w:rtl w:val="true"/>
        </w:rPr>
        <w:footnoteReference w:id="159"/>
      </w:r>
      <w:r>
        <w:rPr>
          <w:rFonts w:ascii="Amiri" w:hAnsi="Amiri" w:eastAsia="Amiri" w:cs="Amiri"/>
          <w:color w:val="111111"/>
          <w:sz w:val="28"/>
          <w:sz w:val="28"/>
          <w:szCs w:val="28"/>
          <w:rtl w:val="true"/>
          <w:lang w:bidi="ar-SA"/>
        </w:rPr>
        <w:t>، والأقوى العدم ؛ لما تقدَّم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وعليه فهو سَنَةٌ كغيرها من الأموال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يُبقِيها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فى يده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أن يَظهَرَ مالكها، أو يُوصله إيَّاها إن كان معلوماً؛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يَدفَعُها إلى الحاكم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تعذر الوصول إلى المالك، ثمّ الحاكم يحفظها أو يبيعها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والقائل الشيخ في المبسوط</w:t>
      </w:r>
      <w:r>
        <w:rPr>
          <w:rStyle w:val="FootnoteAnchor"/>
          <w:rtl w:val="true"/>
        </w:rPr>
        <w:footnoteReference w:id="160"/>
      </w:r>
      <w:r>
        <w:rPr>
          <w:rFonts w:ascii="Amiri" w:hAnsi="Amiri" w:eastAsia="Amiri" w:cs="Amiri"/>
          <w:color w:val="111111"/>
          <w:sz w:val="28"/>
          <w:sz w:val="28"/>
          <w:szCs w:val="28"/>
          <w:rtl w:val="true"/>
          <w:lang w:bidi="ar-SA"/>
        </w:rPr>
        <w:t>والعلّامة</w:t>
      </w:r>
      <w:r>
        <w:rPr>
          <w:rStyle w:val="FootnoteAnchor"/>
          <w:rtl w:val="true"/>
        </w:rPr>
        <w:footnoteReference w:id="161"/>
      </w:r>
      <w:r>
        <w:rPr>
          <w:rFonts w:ascii="Amiri" w:hAnsi="Amiri" w:eastAsia="Amiri" w:cs="Amiri"/>
          <w:color w:val="111111"/>
          <w:sz w:val="28"/>
          <w:sz w:val="28"/>
          <w:szCs w:val="28"/>
          <w:rtl w:val="true"/>
          <w:lang w:bidi="ar-SA"/>
        </w:rPr>
        <w:t>، وجماعةٌ</w:t>
      </w:r>
      <w:r>
        <w:rPr>
          <w:rStyle w:val="FootnoteAnchor"/>
          <w:rtl w:val="true"/>
        </w:rPr>
        <w:footnoteReference w:id="162"/>
      </w:r>
    </w:p>
    <w:p>
      <w:pPr>
        <w:pStyle w:val="BookText"/>
        <w:rPr/>
      </w:pPr>
      <w:r>
        <w:rPr>
          <w:rFonts w:ascii="Amiri" w:hAnsi="Amiri" w:eastAsia="Amiri" w:cs="Amiri"/>
          <w:color w:val="111111"/>
          <w:sz w:val="28"/>
          <w:sz w:val="28"/>
          <w:szCs w:val="28"/>
          <w:rtl w:val="true"/>
          <w:lang w:bidi="ar-SA"/>
        </w:rPr>
        <w:t xml:space="preserve">وابن فهد الحلّي في المهذب البارع، ج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302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أسنده في التذكرة إلى علمائنا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مطلقاً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وكذا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حكمُ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كل ما لا يمتنع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الحيوان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صغير السباع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بعَدْوِ ولا طيران ولا قوة وإن كان من شأنه الامتناع إذا كمل؛ كصغير الإبل والبقر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ونَسَبه المصنِّفُ إلى القيل لعدم نص عليه ،بخصوصه، فإنّما وَرَد على الشاة فيَبقَى غيرُها على أصالة البقاء على ملك المالك، وحينئذٍ فيلزمها حكمُ اللقطة، فيُعَرِّفُ سَنةً ثمّ يَتَمَلَكُها إن شاء، أو يَتَصَدَّقُ بها، لكن في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هي لك أو لأخيك أو للذئب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إيماء إليه، حيث إنّها لا تمتنع من السباع ولو أمكن امتناعها بالعدو؛ كالظباء، أو الطيران، لم يَجُز أخذُها مطلقاً، إلا أن يُخاف ضياعها فالأقرب الجواز بنية الحفظ للمالك</w:t>
      </w:r>
      <w:r>
        <w:rPr>
          <w:rFonts w:eastAsia="IRNazanin" w:cs="IRNazanin"/>
          <w:color w:val="111111"/>
          <w:sz w:val="28"/>
          <w:szCs w:val="28"/>
          <w:rtl w:val="true"/>
          <w:lang w:bidi="fa-IR"/>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يجوز </w:t>
      </w:r>
      <w:r>
        <w:rPr>
          <w:rStyle w:val="FootnoteAnchor"/>
          <w:rtl w:val="true"/>
        </w:rPr>
        <w:footnoteReference w:id="163"/>
      </w:r>
      <w:r>
        <w:rPr>
          <w:rFonts w:ascii="Amiri" w:hAnsi="Amiri" w:eastAsia="Amiri" w:cs="Amiri"/>
          <w:color w:val="111111"/>
          <w:sz w:val="28"/>
          <w:sz w:val="28"/>
          <w:szCs w:val="28"/>
          <w:rtl w:val="true"/>
          <w:lang w:bidi="ar-SA"/>
        </w:rPr>
        <w:t xml:space="preserve">، أخذ الضالة مطلقاً بهذه النيّة ، وهو حسن؛ لما فيه من الإعانة </w:t>
      </w:r>
    </w:p>
    <w:p>
      <w:pPr>
        <w:pStyle w:val="BookText"/>
        <w:rPr/>
      </w:pPr>
      <w:r>
        <w:rPr>
          <w:rFonts w:ascii="Amiri" w:hAnsi="Amiri" w:eastAsia="Amiri" w:cs="Amiri"/>
          <w:color w:val="111111"/>
          <w:sz w:val="28"/>
          <w:sz w:val="28"/>
          <w:szCs w:val="28"/>
          <w:rtl w:val="true"/>
          <w:lang w:bidi="ar-SA"/>
        </w:rPr>
        <w:t>والإحسان، وتُحمّل أخبارُ النهي على الأخذ بنية التملك، والتعليل بكونها محفوظةً بنفسها غيرُ كافٍ في المنع؛ لأنّ الأثمان كذلك حيث كانت مع جواز التقاطها بنية التعريف، وإنْ فارَقَتْها بعد ذلك في الحكم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ولو وجدت الشاة في العُمْران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التي لا يُخاف عليها فيها من السباع، وهي ما قَرُبَ من المساكن</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احتَبَسها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الواجدُ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ثلاثةَ أيّام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حين الوجدان،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لم يجد صاحبَها باعها وتَصَدَّقَ بثمنها</w:t>
      </w:r>
      <w:r>
        <w:rPr>
          <w:rStyle w:val="FootnoteAnchor"/>
          <w:rtl w:val="true"/>
        </w:rPr>
        <w:footnoteReference w:id="16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وضَمِن إن لم يَرْضَ المالك على الأقوى، وله إبقاؤُها بغير بيع وإبقاء ثمنها أمانةً إلى أن يَظهَرَ المالك أو يَبْأسَ منه، ولا ضمان حينئذ إن جاز أخذها، كما يظهر من العبارة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والذي صرَّح به غيرُه</w:t>
      </w:r>
      <w:r>
        <w:rPr>
          <w:rStyle w:val="FootnoteAnchor"/>
          <w:rtl w:val="true"/>
        </w:rPr>
        <w:footnoteReference w:id="165"/>
      </w:r>
      <w:r>
        <w:rPr>
          <w:rFonts w:ascii="Amiri" w:hAnsi="Amiri" w:eastAsia="Amiri" w:cs="Amiri"/>
          <w:color w:val="111111"/>
          <w:sz w:val="28"/>
          <w:sz w:val="28"/>
          <w:szCs w:val="28"/>
          <w:rtl w:val="true"/>
          <w:lang w:bidi="ar-SA"/>
        </w:rPr>
        <w:t>عدم جواز أخذ شيء من العُمران ولكن لو فعل لَزِمه هذا الحكم في الشاة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وكيف كان فليس له تملكها مع الضمان على الأقوى للأصل وظاهر النص</w:t>
      </w:r>
      <w:r>
        <w:rPr>
          <w:rStyle w:val="FootnoteAnchor"/>
          <w:rtl w:val="true"/>
        </w:rPr>
        <w:footnoteReference w:id="166"/>
      </w:r>
      <w:r>
        <w:rPr>
          <w:rFonts w:ascii="Amiri" w:hAnsi="Amiri" w:eastAsia="Amiri" w:cs="Amiri"/>
          <w:color w:val="111111"/>
          <w:sz w:val="28"/>
          <w:sz w:val="28"/>
          <w:szCs w:val="28"/>
          <w:rtl w:val="true"/>
          <w:lang w:bidi="ar-SA"/>
        </w:rPr>
        <w:t>والفتوى عدم وجوب التعريف حينئذ، وغيرُ الشاة يجب مع أخذه تعريفه سنةً كغيره من المال، أو يحفظه لمالكه من غير تعريف، أو يدفعه إلى الحاكم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يُشترط في الآخِذ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باسم الفاعل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شيء من الشروط المعتبرة في آخذ اللقيط وغيرها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إلّا الأخُذُ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بالمصدر، بمعنى أنه يجوز التقاطها في موضع الجواز للصغير والكبير والحرّ والعبد والمسلم والكافر؛ للأصل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فتقِرُّ يدُ العبد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الضالة، مع بلوغه وعقله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الوليّ على لقطةٍ غيرِ الكامل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طفل ومجنون وسفيه كما يجب عليه حفظ ماله؛ لأنه لا يُؤمن على إتلافه فإن أَهمَل الوليُّ ضَمِن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افتقر إلى تعريفٍ تَوَلّاه الوليُّ، ثمّ يَفعَل بعده الأولى للملتقط من تملك وغيره</w:t>
      </w:r>
      <w:r>
        <w:rPr>
          <w:rFonts w:eastAsia="Amiri" w:cs="Amiri" w:ascii="Amiri" w:hAnsi="Amiri"/>
          <w:color w:val="111111"/>
          <w:sz w:val="28"/>
          <w:szCs w:val="28"/>
          <w:rtl w:val="true"/>
          <w:lang w:bidi="ar-SA"/>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والإنفاق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الضالة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الإنفاق على اللقيط من أنه مع عدم بيتِ </w:t>
      </w:r>
    </w:p>
    <w:p>
      <w:pPr>
        <w:pStyle w:val="BookText"/>
        <w:rPr/>
      </w:pPr>
      <w:r>
        <w:rPr>
          <w:rFonts w:ascii="Amiri" w:hAnsi="Amiri" w:eastAsia="Amiri" w:cs="Amiri"/>
          <w:color w:val="111111"/>
          <w:sz w:val="28"/>
          <w:sz w:val="28"/>
          <w:szCs w:val="28"/>
          <w:rtl w:val="true"/>
          <w:lang w:bidi="ar-SA"/>
        </w:rPr>
        <w:t>المال والحاكم، يُنفِق ويَرجِع مع نيته على أصح القولين</w:t>
      </w:r>
      <w:r>
        <w:rPr>
          <w:rStyle w:val="FootnoteAnchor"/>
          <w:rtl w:val="true"/>
        </w:rPr>
        <w:footnoteReference w:id="167"/>
      </w:r>
      <w:r>
        <w:rPr>
          <w:rFonts w:ascii="Amiri" w:hAnsi="Amiri" w:eastAsia="Amiri" w:cs="Amiri"/>
          <w:color w:val="111111"/>
          <w:sz w:val="28"/>
          <w:sz w:val="28"/>
          <w:szCs w:val="28"/>
          <w:rtl w:val="true"/>
          <w:lang w:bidi="ar-SA"/>
        </w:rPr>
        <w:t>لوجوب حفظها ولا يتم إلا بالإنفاق، والإيجابُ إذن من الشارع فيه فيستحقه مع نيّته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يرجع هنا</w:t>
      </w:r>
      <w:r>
        <w:rPr>
          <w:rStyle w:val="FootnoteAnchor"/>
          <w:rtl w:val="true"/>
        </w:rPr>
        <w:footnoteReference w:id="168"/>
      </w:r>
      <w:r>
        <w:rPr>
          <w:rFonts w:ascii="Amiri" w:hAnsi="Amiri" w:eastAsia="Amiri" w:cs="Amiri"/>
          <w:color w:val="111111"/>
          <w:sz w:val="28"/>
          <w:sz w:val="28"/>
          <w:szCs w:val="28"/>
          <w:rtl w:val="true"/>
          <w:lang w:bidi="ar-SA"/>
        </w:rPr>
        <w:t>لأنه إنفاق على مال الغير بغير إذنه فيكون متبرّعاً، وقد ظهر ضعفه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يُشترط الإشهاد، على الأقوى للأصل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ولو انتَفَع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الآخِذُ بالظَّهْرِ والدَرِّ والخدمةِ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المالك بالنفقة، ورَجَع ذو الفضل بفضله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يكون الانتفاع بإزاء النفقة مطلقاً</w:t>
      </w:r>
      <w:r>
        <w:rPr>
          <w:rStyle w:val="FootnoteAnchor"/>
          <w:rtl w:val="true"/>
        </w:rPr>
        <w:footnoteReference w:id="169"/>
      </w:r>
      <w:r>
        <w:rPr>
          <w:rFonts w:ascii="Amiri" w:hAnsi="Amiri" w:eastAsia="Amiri" w:cs="Amiri"/>
          <w:color w:val="111111"/>
          <w:sz w:val="28"/>
          <w:sz w:val="28"/>
          <w:szCs w:val="28"/>
          <w:rtl w:val="true"/>
          <w:lang w:bidi="ar-SA"/>
        </w:rPr>
        <w:t>، وظاهر الفتوى جواز الانتفاع لأجل الإنفاق، سواءٌ قاصَّ أم جَعَله عِوَضاً</w:t>
      </w:r>
      <w:r>
        <w:rPr>
          <w:rFonts w:eastAsia="Amiri" w:cs="Amiri" w:ascii="Amiri" w:hAnsi="Amiri"/>
          <w:color w:val="111111"/>
          <w:sz w:val="28"/>
          <w:szCs w:val="28"/>
          <w:rtl w:val="true"/>
          <w:lang w:bidi="ar-SA"/>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يَضمَن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الآخِذُ الضالةَ حيث يجوز له أخذها إلا بتفريط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والمراد به ما يَشمل التعدّي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قَصْدِ التملك في موضع جوازه وبدونه، ولو قبضها في غير موضع الجواز ضمن مطلقاً؛ للتصرف في مال الغير عدواناً</w:t>
      </w:r>
      <w:r>
        <w:rPr>
          <w:rFonts w:eastAsia="Amiri" w:cs="Amiri" w:ascii="Amiri" w:hAnsi="Amiri"/>
          <w:color w:val="111111"/>
          <w:sz w:val="28"/>
          <w:szCs w:val="28"/>
          <w:rtl w:val="true"/>
          <w:lang w:bidi="ar-SA"/>
        </w:rPr>
        <w:t xml:space="preserve">. </w:t>
      </w:r>
      <w:bookmarkStart w:id="48" w:name="pg11049_88370"/>
    </w:p>
    <w:p>
      <w:pPr>
        <w:pStyle w:val="Heading3"/>
        <w:numPr>
          <w:ilvl w:val="2"/>
          <w:numId w:val="1"/>
        </w:numPr>
        <w:rPr/>
      </w:pPr>
      <w:bookmarkStart w:id="49" w:name="__RefHeading___Toc1446101_1067777946"/>
      <w:bookmarkStart w:id="50" w:name="_Toc14"/>
      <w:bookmarkEnd w:id="48"/>
      <w:bookmarkEnd w:id="49"/>
      <w:r>
        <w:rPr>
          <w:rtl w:val="true"/>
        </w:rPr>
        <w:t>الفصل الثالث في لقطة المال غير الحيوان مطلقاً</w:t>
      </w:r>
      <w:bookmarkEnd w:id="5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الحرم حَرُم أخذُه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بنية التملك مطلقاً قليلاً كان أم كثيراً؛ لقوله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أَوَلَمْ يَرَوْاْ أَنَّا جَعَلْنَا حَرَمًا ءَامِنًا</w:t>
      </w:r>
      <w:r>
        <w:rPr>
          <w:rStyle w:val="FootnoteAnchor"/>
          <w:rtl w:val="true"/>
        </w:rPr>
        <w:footnoteReference w:id="170"/>
      </w:r>
      <w:r>
        <w:rPr>
          <w:rFonts w:ascii="Amiri" w:hAnsi="Amiri" w:eastAsia="Amiri" w:cs="Amiri"/>
          <w:color w:val="111111"/>
          <w:sz w:val="28"/>
          <w:sz w:val="28"/>
          <w:szCs w:val="28"/>
          <w:rtl w:val="true"/>
          <w:lang w:bidi="ar-SA"/>
        </w:rPr>
        <w:t xml:space="preserve">، وللأخبار الدالة على النهي عنه مطلقاً </w:t>
      </w:r>
      <w:r>
        <w:rPr>
          <w:rStyle w:val="FootnoteAnchor"/>
          <w:rtl w:val="true"/>
        </w:rPr>
        <w:footnoteReference w:id="171"/>
      </w:r>
      <w:r>
        <w:rPr>
          <w:rFonts w:ascii="Amiri" w:hAnsi="Amiri" w:eastAsia="Amiri" w:cs="Amiri"/>
          <w:color w:val="111111"/>
          <w:sz w:val="28"/>
          <w:sz w:val="28"/>
          <w:szCs w:val="28"/>
          <w:rtl w:val="true"/>
          <w:lang w:bidi="ar-SA"/>
        </w:rPr>
        <w:t>، وفي بعضها عن الكاظم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لقطة الحرم لا تُمَسُّ بيد ولا رجل، ولو أن الناس تركوها لجاء صاحبُها وأَخَذَها</w:t>
      </w:r>
      <w:r>
        <w:rPr>
          <w:rFonts w:eastAsia="Amiri" w:cs="Amiri" w:ascii="Amiri" w:hAnsi="Amiri"/>
          <w:color w:val="111111"/>
          <w:sz w:val="28"/>
          <w:szCs w:val="28"/>
          <w:rtl w:val="true"/>
          <w:lang w:bidi="ar-SA"/>
        </w:rPr>
        <w:t>»</w:t>
      </w:r>
      <w:r>
        <w:rPr>
          <w:rStyle w:val="FootnoteAnchor"/>
          <w:rtl w:val="true"/>
        </w:rPr>
        <w:footnoteReference w:id="17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وذهب بعضهم إلى الكراهة مطلقاً</w:t>
      </w:r>
      <w:r>
        <w:rPr>
          <w:rStyle w:val="FootnoteAnchor"/>
          <w:rtl w:val="true"/>
        </w:rPr>
        <w:footnoteReference w:id="173"/>
      </w:r>
      <w:r>
        <w:rPr>
          <w:rFonts w:ascii="Amiri" w:hAnsi="Amiri" w:eastAsia="Amiri" w:cs="Amiri"/>
          <w:color w:val="111111"/>
          <w:sz w:val="28"/>
          <w:sz w:val="28"/>
          <w:szCs w:val="28"/>
          <w:rtl w:val="true"/>
          <w:lang w:bidi="ar-SA"/>
        </w:rPr>
        <w:t>، استضعافاً لدليل التحريم؛ أمّا في الآية فمن حيث الدلالة، وأما في الخبر</w:t>
      </w:r>
      <w:r>
        <w:rPr>
          <w:rStyle w:val="FootnoteAnchor"/>
          <w:rtl w:val="true"/>
        </w:rPr>
        <w:footnoteReference w:id="174"/>
      </w:r>
      <w:r>
        <w:rPr>
          <w:rFonts w:ascii="Amiri" w:hAnsi="Amiri" w:eastAsia="Amiri" w:cs="Amiri"/>
          <w:color w:val="111111"/>
          <w:sz w:val="28"/>
          <w:sz w:val="28"/>
          <w:szCs w:val="28"/>
          <w:rtl w:val="true"/>
          <w:lang w:bidi="ar-SA"/>
        </w:rPr>
        <w:t>فمن جهة السند، واختاره المصنف في الدروس</w:t>
      </w:r>
      <w:r>
        <w:rPr>
          <w:rStyle w:val="FootnoteAnchor"/>
          <w:rtl w:val="true"/>
        </w:rPr>
        <w:footnoteReference w:id="175"/>
      </w:r>
      <w:r>
        <w:rPr>
          <w:rFonts w:ascii="IRNazanin" w:hAnsi="IRNazanin" w:eastAsia="IRNazanin"/>
          <w:color w:val="111111"/>
          <w:sz w:val="28"/>
          <w:sz w:val="28"/>
          <w:szCs w:val="28"/>
          <w:rtl w:val="true"/>
          <w:lang w:bidi="fa-IR"/>
        </w:rPr>
        <w:t>، وهو أقوى</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التحريم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أَخَذه حَفِظَه لربّه، وإن تَلِف بغير تفريط لم يَضمَن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لأنه يصير بعد الأخذ أمانةً شرعيّة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ويُشكل ذلك على القول بالتحريم؛ لنهي الشارع عن أخذها فكيف يصير أمانةً منه والمناسب للقول بالتحريم ثبوت الضمان مطلقاً</w:t>
      </w:r>
      <w:r>
        <w:rPr>
          <w:rFonts w:eastAsia="Amiri" w:cs="Amiri" w:ascii="Amiri" w:hAnsi="Amiri"/>
          <w:color w:val="111111"/>
          <w:sz w:val="28"/>
          <w:szCs w:val="28"/>
          <w:rtl w:val="true"/>
          <w:lang w:bidi="ar-SA"/>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وليس له تملّكه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قبل التعريف ولا بعده،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يَتَصَدَّق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التعريف حولاً عن مالكه سواءٌ قل أم كثر؛ لرواية علي بن أبي حمزة عن الكاظم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سألته عن رجل </w:t>
      </w:r>
    </w:p>
    <w:p>
      <w:pPr>
        <w:pStyle w:val="BookText"/>
        <w:rPr/>
      </w:pPr>
      <w:r>
        <w:rPr>
          <w:rFonts w:ascii="Amiri" w:hAnsi="Amiri" w:eastAsia="Amiri" w:cs="Amiri"/>
          <w:color w:val="111111"/>
          <w:sz w:val="28"/>
          <w:sz w:val="28"/>
          <w:szCs w:val="28"/>
          <w:rtl w:val="true"/>
          <w:lang w:bidi="ar-SA"/>
        </w:rPr>
        <w:t>وجد ديناراً فى الحرم فأخذه،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بِئْسَ ما صَنَع ما كان ينبغي له أن يأخُذَه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ابتلي، بذلك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يُعَرِّفه سنةً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قد عرَّفه فلم يجد له ناعتاً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يَرجع إلى بلده فيَتَصَدَّق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أهل بيت من المسلمين، فإن جاء طالبه فهو له ضامن</w:t>
      </w:r>
      <w:r>
        <w:rPr>
          <w:rFonts w:eastAsia="Amiri" w:cs="Amiri" w:ascii="Amiri" w:hAnsi="Amiri"/>
          <w:color w:val="111111"/>
          <w:sz w:val="28"/>
          <w:szCs w:val="28"/>
          <w:rtl w:val="true"/>
          <w:lang w:bidi="ar-SA"/>
        </w:rPr>
        <w:t>»</w:t>
      </w:r>
      <w:r>
        <w:rPr>
          <w:rStyle w:val="FootnoteAnchor"/>
          <w:rtl w:val="true"/>
        </w:rPr>
        <w:footnoteReference w:id="17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دلّ الحديث</w:t>
      </w:r>
      <w:r>
        <w:rPr>
          <w:rStyle w:val="FootnoteAnchor"/>
          <w:rtl w:val="true"/>
        </w:rPr>
        <w:footnoteReference w:id="177"/>
      </w:r>
      <w:r>
        <w:rPr>
          <w:rFonts w:ascii="Amiri" w:hAnsi="Amiri" w:eastAsia="Amiri" w:cs="Amiri"/>
          <w:color w:val="111111"/>
          <w:sz w:val="28"/>
          <w:sz w:val="28"/>
          <w:szCs w:val="28"/>
          <w:rtl w:val="true"/>
          <w:lang w:bidi="ar-SA"/>
        </w:rPr>
        <w:t>على تحريم الأخذ كذلك، وعلى ضمان المتصدق لو كَرِه المالك، لكن ضعفُ سندِه يَمنَع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والأقوى ما اختاره المصنف في الدروس</w:t>
      </w:r>
      <w:r>
        <w:rPr>
          <w:rStyle w:val="FootnoteAnchor"/>
          <w:rtl w:val="true"/>
        </w:rPr>
        <w:footnoteReference w:id="178"/>
      </w:r>
      <w:r>
        <w:rPr>
          <w:rFonts w:ascii="Amiri" w:hAnsi="Amiri" w:eastAsia="Amiri" w:cs="Amiri"/>
          <w:color w:val="111111"/>
          <w:sz w:val="28"/>
          <w:sz w:val="28"/>
          <w:szCs w:val="28"/>
          <w:rtl w:val="true"/>
          <w:lang w:bidi="ar-SA"/>
        </w:rPr>
        <w:t>من جواز تملك ما نَقص الدرهم، ووجوب تعريف ما زاد كغيره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وفي الضمان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 تصدَّقَ به بعد التعريف وظهر المالك فلم يَرْضَ بالصدقة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منشأه دلالة الخبر السالف على الضمان، وعموم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على اليد ما أخذت حتى تؤدّي</w:t>
      </w:r>
      <w:r>
        <w:rPr>
          <w:rFonts w:eastAsia="IRNazanin" w:cs="IRNazanin"/>
          <w:color w:val="111111"/>
          <w:sz w:val="28"/>
          <w:szCs w:val="28"/>
          <w:rtl w:val="true"/>
          <w:lang w:bidi="fa-IR"/>
        </w:rPr>
        <w:t>»</w:t>
      </w:r>
      <w:r>
        <w:rPr>
          <w:rStyle w:val="FootnoteAnchor"/>
          <w:rtl w:val="true"/>
        </w:rPr>
        <w:footnoteReference w:id="179"/>
      </w:r>
      <w:r>
        <w:rPr>
          <w:rFonts w:ascii="Amiri" w:hAnsi="Amiri" w:eastAsia="Amiri" w:cs="Amiri"/>
          <w:color w:val="111111"/>
          <w:sz w:val="28"/>
          <w:sz w:val="28"/>
          <w:szCs w:val="28"/>
          <w:rtl w:val="true"/>
          <w:lang w:bidi="ar-SA"/>
        </w:rPr>
        <w:t>، وإتلافه مال الغير بغير إذنه، ومن كونه أمانة قد دفعها بإذن الشارع فلا يَتَعَقَّبُه الضمان، ولأصالة البراءة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والقولُ بضمان ما يجب تعريفه</w:t>
      </w:r>
      <w:r>
        <w:rPr>
          <w:rStyle w:val="FootnoteAnchor"/>
          <w:rtl w:val="true"/>
        </w:rPr>
        <w:footnoteReference w:id="180"/>
      </w:r>
      <w:r>
        <w:rPr>
          <w:rFonts w:ascii="IRNazanin" w:hAnsi="IRNazanin" w:eastAsia="IRNazanin"/>
          <w:color w:val="111111"/>
          <w:sz w:val="28"/>
          <w:sz w:val="28"/>
          <w:szCs w:val="28"/>
          <w:rtl w:val="true"/>
          <w:lang w:bidi="fa-IR"/>
        </w:rPr>
        <w:t>أقوى</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ولو أخذه بنيّة الإنشاد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والتعريف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يَحرُم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كان كثيراً؛ لأنّه محسن والأخبارُ الدالّة على التحريم مطلقة، وعَمِل بها الأكثرُ مطلقاً، ولو تَمَّت لم يكن التفصيل جیداً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ويجب تعريفه حولاً على كل حال قليلاً كان أم كثيراً، أخذه بنية الإنشاد أم لا؛ لإطلاق الخبر السالف</w:t>
      </w:r>
      <w:r>
        <w:rPr>
          <w:rStyle w:val="FootnoteAnchor"/>
          <w:rtl w:val="true"/>
        </w:rPr>
        <w:footnoteReference w:id="181"/>
      </w:r>
      <w:r>
        <w:rPr>
          <w:rFonts w:ascii="Amiri" w:hAnsi="Amiri" w:eastAsia="Amiri" w:cs="Amiri"/>
          <w:color w:val="111111"/>
          <w:sz w:val="28"/>
          <w:sz w:val="28"/>
          <w:szCs w:val="28"/>
          <w:rtl w:val="true"/>
          <w:lang w:bidi="ar-SA"/>
        </w:rPr>
        <w:t>، وقد عرفت ما فيه</w:t>
      </w:r>
      <w:r>
        <w:rPr>
          <w:rFonts w:eastAsia="Amiri" w:cs="Amiri" w:ascii="Amiri" w:hAnsi="Amiri"/>
          <w:color w:val="111111"/>
          <w:sz w:val="28"/>
          <w:szCs w:val="28"/>
          <w:rtl w:val="true"/>
          <w:lang w:bidi="ar-SA"/>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وما كان في غير الحرم يَحِلّ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كان من الفضة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دون الدرهم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أو ما كانت قیمته دونه لو كان من غيرها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غير تعريف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ولكن لو ظَهَر مالكه وعينه باقية وجب </w:t>
      </w:r>
    </w:p>
    <w:p>
      <w:pPr>
        <w:pStyle w:val="BookText"/>
        <w:rPr/>
      </w:pPr>
      <w:r>
        <w:rPr>
          <w:rFonts w:ascii="Amiri" w:hAnsi="Amiri" w:eastAsia="Amiri" w:cs="Amiri"/>
          <w:color w:val="111111"/>
          <w:sz w:val="28"/>
          <w:sz w:val="28"/>
          <w:szCs w:val="28"/>
          <w:rtl w:val="true"/>
          <w:lang w:bidi="ar-SA"/>
        </w:rPr>
        <w:t>ردُّه عليه على الأشهر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وجوب عوضه مع تلفه قولان</w:t>
      </w:r>
      <w:r>
        <w:rPr>
          <w:rStyle w:val="FootnoteAnchor"/>
          <w:rtl w:val="true"/>
        </w:rPr>
        <w:footnoteReference w:id="182"/>
      </w:r>
      <w:r>
        <w:rPr>
          <w:rFonts w:ascii="Amiri" w:hAnsi="Amiri" w:eastAsia="Amiri" w:cs="Amiri"/>
          <w:color w:val="111111"/>
          <w:sz w:val="28"/>
          <w:sz w:val="28"/>
          <w:szCs w:val="28"/>
          <w:rtl w:val="true"/>
          <w:lang w:bidi="ar-SA"/>
        </w:rPr>
        <w:t>مأخذهما أنه تصرُّف شرعي فلا يتعقبه ضمان، وظهورُ الاستحقاق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عداه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ما كان بقدر الدرهم أو أزيدَ عيناً أو قيمة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يتخيَّر الواجدُ فيه بعد تعريفه حولاً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عقيب الالتقاط مع الإمكان مُتَتابعاً، بحيث يعلم السامع أنّ التالي تكرار المَتْلُوه، ولْيَكُن في موضع الالتقاط مع الإمكان إن كان بلداً، ولو كان بريَّة عَرَّف من يجده فيها ثم أكمله إذا حَضَر في بلده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أراد السفر قبل التعريف في بلد الالتقاط أو إكماله، فإن أمكنه الاستنابةُ فهي أولى وإلّا عَرَّفه في بلده بحيث يشتهر خبره، ثمّ يُكمله في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أَخَّره عن وقت الالتقاط اختياراً أَيم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واعتبر الحولُ من حين الشروع، ويترتب عليه أحكامُه مطلقاً على الأقوى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ويجوز التعريف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بنفسه وبغيره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لحصول الغرض بهما، لكن يُشترط في النائبِ العدالة أو الاطلاع على تعريفه المعتبر شرعاً؛ إذ لا يُقبل إخبار الفاسق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بين الصدقة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على مستحق الزكاة؛ لحاجته وإنْ اتَّحد وكَثُرَتْ</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والتملكِ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بنيته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ويَضمَن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ظَهَر المالكُ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الثاني مطلقاً، وفي الأوّل إذا لم يَرْضَ بالصدقة</w:t>
      </w:r>
      <w:r>
        <w:rPr>
          <w:rFonts w:eastAsia="Amiri" w:cs="Amiri" w:ascii="Amiri" w:hAnsi="Amiri"/>
          <w:color w:val="111111"/>
          <w:sz w:val="28"/>
          <w:szCs w:val="28"/>
          <w:rtl w:val="true"/>
          <w:lang w:bidi="ar-SA"/>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ولو وَجَد العينَ باقيةً ففي تعين رجوعه بها لو طَلَبها، أو تخيرِ الملتقط بين دفعها ودفع البدل مثلاً أو قيمةً قولان</w:t>
      </w:r>
      <w:r>
        <w:rPr>
          <w:rStyle w:val="FootnoteAnchor"/>
          <w:rtl w:val="true"/>
        </w:rPr>
        <w:footnoteReference w:id="183"/>
      </w:r>
      <w:r>
        <w:rPr>
          <w:rFonts w:ascii="Amiri" w:hAnsi="Amiri" w:eastAsia="Amiri" w:cs="Amiri"/>
          <w:color w:val="111111"/>
          <w:sz w:val="28"/>
          <w:sz w:val="28"/>
          <w:szCs w:val="28"/>
          <w:rtl w:val="true"/>
          <w:lang w:bidi="ar-SA"/>
        </w:rPr>
        <w:t>، ويظهر من الأخبار</w:t>
      </w:r>
      <w:r>
        <w:rPr>
          <w:rStyle w:val="FootnoteAnchor"/>
          <w:rtl w:val="true"/>
        </w:rPr>
        <w:footnoteReference w:id="184"/>
      </w:r>
      <w:r>
        <w:rPr>
          <w:rFonts w:ascii="Amiri" w:hAnsi="Amiri" w:eastAsia="Amiri" w:cs="Amiri"/>
          <w:color w:val="111111"/>
          <w:sz w:val="28"/>
          <w:sz w:val="28"/>
          <w:szCs w:val="28"/>
          <w:rtl w:val="true"/>
          <w:lang w:bidi="ar-SA"/>
        </w:rPr>
        <w:t xml:space="preserve">الأول، واستقرب المصنِّف في الدروس </w:t>
      </w:r>
      <w:r>
        <w:rPr>
          <w:rStyle w:val="FootnoteAnchor"/>
          <w:rtl w:val="true"/>
        </w:rPr>
        <w:footnoteReference w:id="185"/>
      </w: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عابت ضَمِن أرشها، ويجب قبوله معها على الأوّل، وكذا على الثاني، على الأقوى والزيادة المتصلة للمالك والمنفصلة للملتقط، أما الزوائد قبل نيّة التملك فتابعة للعين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والأقوى أنّ ضمانها لا يحصل بمجرد التملكِ أو الصدقة، بل بظهور المالك سواء طالب أم لم يُطالب، مع احتمال توقفه على مطالبته أيضاً ولا يُشكل بأنّ استحقاق المطالبة يتوقف على ثبوت الحق، فلو توقف ثبوته عليه دارَ؛ لِمَنْعِ توقفه قفه على ثبوت الحق، بل على إمكان ثبوته، وهو هنا كذلك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وتظهر الفائدة في عدم ثبوته دَيناً في ذمّته قبل ذلك، فلا يُقَشَط عليه ماله لو أَفلَس، ولا يجب الإيصاءُ به، ولا يُعد مديوناً ولا غارماً بسببه، ولا يُطالبه به في الآخرة لو لم يظهر في الدنيا إلى غير ذلك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وبين إبقائه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يده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موضوعاً في حِرْز أمثاله،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يَضمَن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لم يُفرّط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إذا كان ممّا لا يَضُرّه البقاء كالجواهر،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ولو كان ممّا لا يَبقَى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كالطعام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قَوَّمَه على 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باعه وحَفِظ ثمنه، ثمّ عَرَّفه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دَفَعه إلى الحاكم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وجده، وإلَّا تَعَيَّن عليه الأوّلُ، فإن أَخلَّ به فتَلِفَ أو عاب ضَمِن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كان ممّا يتلف على تطاول الأوقات لا عاجلاً كالثياب، تعلّق الحكم بها عند خوف التلف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ولو افتقر إبقاؤُه إلى عِلاج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كالرُطَبِ المفتقِرِ إلى التجفيف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أصلحه الحاكم ببعضه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يَجعَل بعضَه عِوَضاً عن إصلاح الباقي، أو يبيع بعضه ويُنفِقه عليه وجوباً، حذراً من تَلَفِ الجميع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ويجب على الملتقط إعلامه بحاله إن لم يَعلَم، ومع عدمه يتولاه بنفسه حذراً من الضرر بتركه </w:t>
      </w:r>
      <w:r>
        <w:rPr>
          <w:rFonts w:eastAsia="Amiri" w:cs="Amiri" w:ascii="Amiri" w:hAnsi="Amiri"/>
          <w:color w:val="111111"/>
          <w:sz w:val="28"/>
          <w:szCs w:val="28"/>
          <w:rtl w:val="true"/>
          <w:lang w:bidi="ar-SA"/>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ويُكرَه التقاط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تكثر منفعتُه وتَقِل قيمته مثل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الإدارة </w:t>
      </w:r>
      <w:r>
        <w:rPr>
          <w:rStyle w:val="FootnoteAnchor"/>
          <w:rtl w:val="true"/>
        </w:rPr>
        <w:footnoteReference w:id="18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بالكسر، وهي المطهرة به أيضاً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والنعل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 الجلد؛ لأنّ المطروح منه مجهولاً مَيْتةً، أو يُحمل على ظهور أمارات تدلّ على ذكاته، فقد يظهر من المصنف في بعض كتبه</w:t>
      </w:r>
      <w:r>
        <w:rPr>
          <w:rStyle w:val="FootnoteAnchor"/>
          <w:rtl w:val="true"/>
        </w:rPr>
        <w:footnoteReference w:id="187"/>
      </w:r>
      <w:r>
        <w:rPr>
          <w:rFonts w:ascii="Amiri" w:hAnsi="Amiri" w:eastAsia="Amiri" w:cs="Amiri"/>
          <w:color w:val="111111"/>
          <w:sz w:val="28"/>
          <w:sz w:val="28"/>
          <w:szCs w:val="28"/>
          <w:rtl w:val="true"/>
          <w:lang w:bidi="ar-SA"/>
        </w:rPr>
        <w:t>التعويل عليها، وذكره هنا مطلقاً تبعاً للرواية</w:t>
      </w:r>
      <w:r>
        <w:rPr>
          <w:rStyle w:val="FootnoteAnchor"/>
          <w:rtl w:val="true"/>
        </w:rPr>
        <w:footnoteReference w:id="18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ولعلها تدلّ على الثاني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والمِخْصَرة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بالكسر، وهي كلّ كلُّ ما </w:t>
      </w:r>
    </w:p>
    <w:p>
      <w:pPr>
        <w:pStyle w:val="BookText"/>
        <w:rPr/>
      </w:pPr>
      <w:r>
        <w:rPr>
          <w:rFonts w:ascii="Amiri" w:hAnsi="Amiri" w:eastAsia="Amiri" w:cs="Amiri"/>
          <w:color w:val="111111"/>
          <w:sz w:val="28"/>
          <w:sz w:val="28"/>
          <w:szCs w:val="28"/>
          <w:rtl w:val="true"/>
          <w:lang w:bidi="ar-SA"/>
        </w:rPr>
        <w:t>اختَصَر الإنسانُ بيده فأمسكه من عصى ونحوها، قاله الجوهري</w:t>
      </w:r>
      <w:r>
        <w:rPr>
          <w:rStyle w:val="FootnoteAnchor"/>
          <w:rtl w:val="true"/>
        </w:rPr>
        <w:footnoteReference w:id="189"/>
      </w:r>
      <w:r>
        <w:rPr>
          <w:rFonts w:ascii="Amiri" w:hAnsi="Amiri" w:eastAsia="Amiri" w:cs="Amiri"/>
          <w:color w:val="111111"/>
          <w:sz w:val="28"/>
          <w:sz w:val="28"/>
          <w:szCs w:val="28"/>
          <w:rtl w:val="true"/>
          <w:lang w:bidi="ar-SA"/>
        </w:rPr>
        <w:t xml:space="preserve">والكلام فيها إذا كانت جلداً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هو الغالب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سبق؛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والعصا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على ما ذكره الجوهري</w:t>
      </w:r>
      <w:r>
        <w:rPr>
          <w:rStyle w:val="FootnoteAnchor"/>
          <w:rtl w:val="true"/>
        </w:rPr>
        <w:footnoteReference w:id="190"/>
      </w:r>
      <w:r>
        <w:rPr>
          <w:rFonts w:ascii="Amiri" w:hAnsi="Amiri" w:eastAsia="Amiri" w:cs="Amiri"/>
          <w:color w:val="111111"/>
          <w:sz w:val="28"/>
          <w:sz w:val="28"/>
          <w:szCs w:val="28"/>
          <w:rtl w:val="true"/>
          <w:lang w:bidi="ar-SA"/>
        </w:rPr>
        <w:t xml:space="preserve">أخصُّ من المِخْصَرة، وعلى المتعارف غيرُها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والشظاظ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بالكسر ، خَشَبَةٌ مُحَدَّدَةٌ الطَّرَف تُدخل في عُروة الجُوالِقين ليُجمع بينهما عند حملهما على البعير، والجمع أَشِطَة،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والحبلِ والوَتِدِ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بكسر وسطه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والعقال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بالكسر، وهو حبل يُشَدّ به قائمة البعير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يحرُم بعضُ هذه</w:t>
      </w:r>
      <w:r>
        <w:rPr>
          <w:rStyle w:val="FootnoteAnchor"/>
          <w:rtl w:val="true"/>
        </w:rPr>
        <w:footnoteReference w:id="191"/>
      </w:r>
      <w:r>
        <w:rPr>
          <w:rFonts w:ascii="IRNazanin" w:hAnsi="IRNazanin" w:eastAsia="IRNazanin"/>
          <w:color w:val="111111"/>
          <w:sz w:val="28"/>
          <w:sz w:val="28"/>
          <w:szCs w:val="28"/>
          <w:rtl w:val="true"/>
          <w:lang w:bidi="fa-IR"/>
        </w:rPr>
        <w:t>و</w:t>
      </w:r>
      <w:r>
        <w:rPr>
          <w:rStyle w:val="FootnoteAnchor"/>
          <w:rtl w:val="true"/>
        </w:rPr>
        <w:footnoteReference w:id="192"/>
      </w:r>
      <w:r>
        <w:rPr>
          <w:rFonts w:ascii="Amiri" w:hAnsi="Amiri" w:eastAsia="Amiri" w:cs="Amiri"/>
          <w:color w:val="111111"/>
          <w:sz w:val="28"/>
          <w:sz w:val="28"/>
          <w:szCs w:val="28"/>
          <w:rtl w:val="true"/>
          <w:lang w:bidi="ar-SA"/>
        </w:rPr>
        <w:t>؛ للنهي عن مسه</w:t>
      </w:r>
      <w:r>
        <w:rPr>
          <w:rStyle w:val="FootnoteAnchor"/>
          <w:rtl w:val="true"/>
        </w:rPr>
        <w:footnoteReference w:id="19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ويُكرَه أخذُ اللقطة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مطلقاً وإنْ تَأكَّدت في السابق لما رُوي عن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إياكم واللقطة فإنّها ضالة المؤمن، وهي من حريق النار</w:t>
      </w:r>
      <w:r>
        <w:rPr>
          <w:rFonts w:eastAsia="Amiri" w:cs="Amiri" w:ascii="Amiri" w:hAnsi="Amiri"/>
          <w:color w:val="111111"/>
          <w:sz w:val="28"/>
          <w:szCs w:val="28"/>
          <w:rtl w:val="true"/>
          <w:lang w:bidi="ar-SA"/>
        </w:rPr>
        <w:t>»</w:t>
      </w:r>
      <w:r>
        <w:rPr>
          <w:rStyle w:val="FootnoteAnchor"/>
          <w:rtl w:val="true"/>
        </w:rPr>
        <w:footnoteReference w:id="194"/>
      </w:r>
      <w:r>
        <w:rPr>
          <w:rFonts w:ascii="Amiri" w:hAnsi="Amiri" w:eastAsia="Amiri" w:cs="Amiri"/>
          <w:color w:val="111111"/>
          <w:sz w:val="28"/>
          <w:sz w:val="28"/>
          <w:szCs w:val="28"/>
          <w:rtl w:val="true"/>
          <w:lang w:bidi="ar-SA"/>
        </w:rPr>
        <w:t>، وعن الصادق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لا يأخذ الضالةَ إلَّا الضالون</w:t>
      </w:r>
      <w:r>
        <w:rPr>
          <w:rFonts w:eastAsia="Amiri" w:cs="Amiri" w:ascii="Amiri" w:hAnsi="Amiri"/>
          <w:color w:val="111111"/>
          <w:sz w:val="28"/>
          <w:szCs w:val="28"/>
          <w:rtl w:val="true"/>
          <w:lang w:bidi="ar-SA"/>
        </w:rPr>
        <w:t>»</w:t>
      </w:r>
      <w:r>
        <w:rPr>
          <w:rStyle w:val="FootnoteAnchor"/>
          <w:rtl w:val="true"/>
        </w:rPr>
        <w:footnoteReference w:id="19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وحرَّمها بعضُهم </w:t>
      </w:r>
      <w:r>
        <w:rPr>
          <w:rStyle w:val="FootnoteAnchor"/>
          <w:rtl w:val="true"/>
        </w:rPr>
        <w:footnoteReference w:id="196"/>
      </w:r>
      <w:r>
        <w:rPr>
          <w:rFonts w:ascii="Amiri" w:hAnsi="Amiri" w:eastAsia="Amiri" w:cs="Amiri"/>
          <w:color w:val="111111"/>
          <w:sz w:val="28"/>
          <w:sz w:val="28"/>
          <w:szCs w:val="28"/>
          <w:rtl w:val="true"/>
          <w:lang w:bidi="ar-SA"/>
        </w:rPr>
        <w:t>لذلك، وحُمِل النهي على أخذها بنية عدم التعريف، وقد رُوي في الخبر الثاني زيادة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لم يُعرفوها</w:t>
      </w:r>
      <w:r>
        <w:rPr>
          <w:rFonts w:eastAsia="Amiri" w:cs="Amiri" w:ascii="Amiri" w:hAnsi="Amiri"/>
          <w:color w:val="111111"/>
          <w:sz w:val="28"/>
          <w:szCs w:val="28"/>
          <w:rtl w:val="true"/>
          <w:lang w:bidi="ar-SA"/>
        </w:rPr>
        <w:t>»</w:t>
      </w:r>
      <w:r>
        <w:rPr>
          <w:rStyle w:val="FootnoteAnchor"/>
          <w:rtl w:val="true"/>
        </w:rPr>
        <w:footnoteReference w:id="19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وخصوصاً من الفاسق والمُعسِر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لأنّ الأوّلَ ليس أهلاً لحفظ مال الغير بغير إذنه، والثاني يَضُرّ بحال المالك إذا ظهر وقد تَمَلَّكَ، وإنما جاز مع ذلك؛ لأنّ اللقطة في معنى الاكتساب لا استئمان محض</w:t>
      </w:r>
      <w:r>
        <w:rPr>
          <w:rFonts w:eastAsia="Amiri" w:cs="Amiri" w:ascii="Amiri" w:hAnsi="Amiri"/>
          <w:color w:val="111111"/>
          <w:sz w:val="28"/>
          <w:szCs w:val="28"/>
          <w:rtl w:val="true"/>
          <w:lang w:bidi="ar-SA"/>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هذا إذا لم يُعلَم خيانته، وإلا وجب على الحاكم انتزاعها منه، حيث لا يجوز له التملك </w:t>
      </w:r>
    </w:p>
    <w:p>
      <w:pPr>
        <w:pStyle w:val="BookText"/>
        <w:rPr/>
      </w:pPr>
      <w:r>
        <w:rPr>
          <w:rFonts w:ascii="Amiri" w:hAnsi="Amiri" w:eastAsia="Amiri" w:cs="Amiri"/>
          <w:color w:val="111111"/>
          <w:sz w:val="28"/>
          <w:sz w:val="28"/>
          <w:szCs w:val="28"/>
          <w:rtl w:val="true"/>
          <w:lang w:bidi="ar-SA"/>
        </w:rPr>
        <w:t>أو ضَمُّ مُشرِفٍ إليه من باب الحسبة، ولا يجب ذلك في غيره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ومع اجتماعهما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الفسق والإعسار، المدلول عليهما بالمشتق منهما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تَزيد الكراهة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لزيادة سببها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وليشهد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الملتقِطُ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 أخذها عدلين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مستحبّاً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تنزيهاً لنفسه عن الطمع فيها، ومنعاً لوارثه من التصرف لو مات وغرمائه لو فُلِّسَ،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ويُعَرِّف الشهودَ بعض الأوصاف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كالعدّة والوعاء، والعِفاص والوكاء، لا جميعها، حذراً من شياع خبرها فيَطَّلِعُ عليها من لا يستحقها فيَدَّعِيها ويَذكُر الوصف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والملتقِطُّ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للمال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له أهليّةُ الاكتساب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كان غير مكلف أو مملوكاً،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 يجب أن يحفظ الوليُّ ما التقطه الصبيُّ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يجب عليه حفظ مالِه، ولا يُمَكِّنه منه؛ لأنّه لا يُؤمن عليه، وكذا المجنون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فإن افتقر إلى تعريف عَرَّفه، ثمّ فَعَل لهما ما هو الأغبط لهما من التملك والصدقة والإبقاء أمانة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ويجب تعريفها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أى اللقطة البالغة درهماً فصاعداً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كاملاً، وقد تقدّم</w:t>
      </w:r>
      <w:r>
        <w:rPr>
          <w:rStyle w:val="FootnoteAnchor"/>
          <w:rtl w:val="true"/>
        </w:rPr>
        <w:footnoteReference w:id="198"/>
      </w:r>
      <w:r>
        <w:rPr>
          <w:rFonts w:ascii="Amiri" w:hAnsi="Amiri" w:eastAsia="Amiri" w:cs="Amiri"/>
          <w:color w:val="111111"/>
          <w:sz w:val="28"/>
          <w:sz w:val="28"/>
          <w:szCs w:val="28"/>
          <w:rtl w:val="true"/>
          <w:lang w:bidi="ar-SA"/>
        </w:rPr>
        <w:t xml:space="preserve">، وإنما أعاده ليُرَتِّبَ عليه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ولو متفرّقاً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بعده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ومعنى جوازه متفرّقاً أنه لا يُعتبر وقوع التعريف كلَّ يوم من أيام الحول، بل المعتبر ظهورُ أنّ التعريف التالي تكرار لما سبق لا للقطةٍ جديدةٍ، فيكفي التعريف في الابتداء كلَّ يوم مرّةً أو مرَّتين، ثمّ في كلّ أسبوع، ثمّ في كلّ شهر، مُراعياً لما ذكرناه، ولا يَختَصّ تكراره أياماً بأسبوع، وأسبوعاً ببقية الشهر وشهراً ببقية الحول وإن كان ذلك مجزئاً، بل المعتبر أن لا يُنسى كون التالى تكراراً لما مَضَى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الشارع لم يُقدِّرُه بقدر، فيُعتبر فيه ما ذكر لدلالة العرف عليه</w:t>
      </w:r>
      <w:r>
        <w:rPr>
          <w:rFonts w:eastAsia="Amiri" w:cs="Amiri" w:ascii="Amiri" w:hAnsi="Amiri"/>
          <w:color w:val="111111"/>
          <w:sz w:val="28"/>
          <w:szCs w:val="28"/>
          <w:rtl w:val="true"/>
          <w:lang w:bidi="ar-SA"/>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وليس المراد بجوازه متفرّقاً أنّ الحولَ يجوز تلفيقه لو فُرِض ترك التعريف في بعضه، بل يُعتبر اجتماعه في حولٍ واحدٍ ؛ لأنه المفهوم منه شرعاً عند الإطلاق، خلافاً لظاهر التذكرة </w:t>
      </w:r>
      <w:r>
        <w:rPr>
          <w:rStyle w:val="FootnoteAnchor"/>
          <w:rtl w:val="true"/>
        </w:rPr>
        <w:footnoteReference w:id="199"/>
      </w:r>
      <w:r>
        <w:rPr>
          <w:rFonts w:ascii="Amiri" w:hAnsi="Amiri" w:eastAsia="Amiri" w:cs="Amiri"/>
          <w:color w:val="111111"/>
          <w:sz w:val="28"/>
          <w:sz w:val="28"/>
          <w:szCs w:val="28"/>
          <w:rtl w:val="true"/>
          <w:lang w:bidi="ar-SA"/>
        </w:rPr>
        <w:t>حيث اكتفى به، وبما ذكرناه من تفسير التفرّق صَرَّح في القواعد</w:t>
      </w:r>
      <w:r>
        <w:rPr>
          <w:rStyle w:val="FootnoteAnchor"/>
          <w:rtl w:val="true"/>
        </w:rPr>
        <w:footnoteReference w:id="200"/>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ووجوب التعريف ثابت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سواءٌ نَوَى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الملتقط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التملك أو 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أصح القولين</w:t>
      </w:r>
      <w:r>
        <w:rPr>
          <w:rStyle w:val="FootnoteAnchor"/>
          <w:rtl w:val="true"/>
        </w:rPr>
        <w:footnoteReference w:id="201"/>
      </w:r>
      <w:r>
        <w:rPr>
          <w:rFonts w:ascii="Amiri" w:hAnsi="Amiri" w:eastAsia="Amiri" w:cs="Amiri"/>
          <w:color w:val="111111"/>
          <w:sz w:val="28"/>
          <w:sz w:val="28"/>
          <w:szCs w:val="28"/>
          <w:rtl w:val="true"/>
          <w:lang w:bidi="ar-SA"/>
        </w:rPr>
        <w:t>لإطلاق الأمر به الشامل للقسمين، خلافاً للشيخ</w:t>
      </w:r>
      <w:r>
        <w:rPr>
          <w:rStyle w:val="FootnoteAnchor"/>
          <w:rtl w:val="true"/>
        </w:rPr>
        <w:footnoteReference w:id="202"/>
      </w:r>
      <w:r>
        <w:rPr>
          <w:rFonts w:ascii="Amiri" w:hAnsi="Amiri" w:eastAsia="Amiri" w:cs="Amiri"/>
          <w:color w:val="111111"/>
          <w:sz w:val="28"/>
          <w:sz w:val="28"/>
          <w:szCs w:val="28"/>
          <w:rtl w:val="true"/>
          <w:lang w:bidi="ar-SA"/>
        </w:rPr>
        <w:t>حيث شَرَط في وجوبه نية التملك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فلو نَوَى الحفظ لم يجب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ويُشكل باستلزامه خَفاءَ اللقطة، وبأن التملك غير واجب فكيفَ تجب وسيلته، وكأنه أراد به الشرط</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وهي أمانةٌ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يد الملتقط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الحول وبعده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يضمنها لو تلفت بغير تفريط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لم يَنْوِ التملّكَ فيَضمَن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بالنية وإن كان قبل الحول، ثم لا تعود أمانته لو عاد إلى نينها استصحاباً لما تبت ولم تُفد النية الملك في غير وقتها، لكن لو مَضَى الحولُ مع قيامه بالتعريف وتَمَلَّكَها حينئذٍ بُنِي بقاءُ الضمان وعدمه على ما سلف، من تنجز الضمان أو توقفه على مطالبة المالك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ولو التقط العبدُ عَرَّف بنفسه أو بنائبه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كالحرّ،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فلو أتلفها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قبل التعريف أو بعده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ضَمِن بعد عِتْقِه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ويساره كما يَضمن غيرها من أموال الغير التي يتصرف فيها بغير إذنه،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يجب على المالك انتزاعها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قبل التعريف وبعده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 لم يكن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العبد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أميناً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لأصالة البراءة من وجوب حفظ مال الغير مع عدم قبضه، وخصوصاً مع وجود يد متصرفة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يضمن بتركها في يد غير الأمين لتعديه</w:t>
      </w:r>
      <w:r>
        <w:rPr>
          <w:rStyle w:val="FootnoteAnchor"/>
          <w:rtl w:val="true"/>
        </w:rPr>
        <w:footnoteReference w:id="203"/>
      </w:r>
      <w:r>
        <w:rPr>
          <w:rFonts w:ascii="IRNazanin" w:hAnsi="IRNazanin" w:eastAsia="IRNazanin"/>
          <w:color w:val="111111"/>
          <w:sz w:val="28"/>
          <w:sz w:val="28"/>
          <w:szCs w:val="28"/>
          <w:rtl w:val="true"/>
          <w:lang w:bidi="fa-IR"/>
        </w:rPr>
        <w:t>، وهو ممنوع</w:t>
      </w:r>
      <w:r>
        <w:rPr>
          <w:rFonts w:eastAsia="IRNazanin" w:cs="IRNazanin"/>
          <w:color w:val="111111"/>
          <w:sz w:val="28"/>
          <w:szCs w:val="28"/>
          <w:rtl w:val="true"/>
          <w:lang w:bidi="fa-IR"/>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نعم، لو كان العبد غير مميز فقد قال المصنف في الدروس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المتجة ضمانُ السيّد</w:t>
      </w:r>
      <w:r>
        <w:rPr>
          <w:rStyle w:val="FootnoteAnchor"/>
          <w:rtl w:val="true"/>
        </w:rPr>
        <w:footnoteReference w:id="204"/>
      </w:r>
      <w:r>
        <w:rPr>
          <w:rFonts w:ascii="Amiri" w:hAnsi="Amiri" w:eastAsia="Amiri" w:cs="Amiri"/>
          <w:color w:val="111111"/>
          <w:sz w:val="28"/>
          <w:sz w:val="28"/>
          <w:szCs w:val="28"/>
          <w:rtl w:val="true"/>
          <w:lang w:bidi="ar-SA"/>
        </w:rPr>
        <w:t>، نظراً إلى أنّ العبد حينئذٍ بمنزلة البهيمة المملوكة يضمن مالكها ما تُفسده من مال الغير مع إمكان حفظها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وفيه نظر؛ للفرق بصلاحية ذمّة العبد لتعلقِ مال الغير بها دون الدابة والأصل براءة ذمة السيد من وجوب انتزاع مال غيره وحفظه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لو أذن له في الالتقاط اتَّجَه الضمان مع عدم تمييزه أو عدم أمانته إذا قصر في الانتزاع قطعاً، ومع </w:t>
      </w:r>
    </w:p>
    <w:p>
      <w:pPr>
        <w:pStyle w:val="BookText"/>
        <w:rPr/>
      </w:pPr>
      <w:r>
        <w:rPr>
          <w:rFonts w:ascii="Amiri" w:hAnsi="Amiri" w:eastAsia="Amiri" w:cs="Amiri"/>
          <w:color w:val="111111"/>
          <w:sz w:val="28"/>
          <w:sz w:val="28"/>
          <w:szCs w:val="28"/>
          <w:rtl w:val="true"/>
          <w:lang w:bidi="ar-SA"/>
        </w:rPr>
        <w:t>عدم التقصير على احتمال من حيث إنّ يد العبد يد المولى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ويجوز للمولى التملك بتعريف العبد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علم المولى به، أو كون العبد ثِقَةٌ ليُقبل خبره، وللمولى انتزاعها منه قبل التعريف وبعده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تَمَلَّكها العبد بعد التعريف صح على القول بملكه ، وكذا يجوز لمولاه مطلقاً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 تُدفَع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اللقطة إلى مدعيها وجوباً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 بالبينة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العادلة، أو الشاهد واليمين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بالأوصاف وإنْ خَفِيَتْ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بحيث يغلب الظنُّ بصدقه؛ لعدم اطلاع غير المالك عليها غالباً؛ کوصف وزنها ونقدها ووكائها</w:t>
      </w:r>
      <w:r>
        <w:rPr>
          <w:rStyle w:val="FootnoteAnchor"/>
          <w:rtl w:val="true"/>
        </w:rPr>
        <w:footnoteReference w:id="205"/>
      </w:r>
      <w:r>
        <w:rPr>
          <w:rFonts w:ascii="Amiri" w:hAnsi="Amiri" w:eastAsia="Amiri" w:cs="Amiri"/>
          <w:color w:val="111111"/>
          <w:sz w:val="28"/>
          <w:sz w:val="28"/>
          <w:szCs w:val="28"/>
          <w:rtl w:val="true"/>
          <w:lang w:bidi="ar-SA"/>
        </w:rPr>
        <w:t xml:space="preserve">؛ لقيام الاحتمال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 يجوز الدفع</w:t>
      </w:r>
      <w:r>
        <w:rPr>
          <w:rFonts w:eastAsia="Amiri" w:cs="Amiri" w:ascii="Amiri" w:hAnsi="Amiri"/>
          <w:color w:val="111111"/>
          <w:sz w:val="28"/>
          <w:szCs w:val="28"/>
          <w:rtl w:val="true"/>
          <w:lang w:bidi="ar-SA"/>
        </w:rPr>
        <w:t>)</w:t>
      </w:r>
      <w:r>
        <w:rPr>
          <w:rStyle w:val="FootnoteAnchor"/>
          <w:rtl w:val="true"/>
        </w:rPr>
        <w:footnoteReference w:id="206"/>
      </w:r>
      <w:r>
        <w:rPr>
          <w:rFonts w:ascii="Amiri" w:hAnsi="Amiri" w:eastAsia="Amiri" w:cs="Amiri"/>
          <w:color w:val="111111"/>
          <w:sz w:val="28"/>
          <w:sz w:val="28"/>
          <w:szCs w:val="28"/>
          <w:rtl w:val="true"/>
          <w:lang w:bidi="ar-SA"/>
        </w:rPr>
        <w:t>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وظاهره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كغيره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جواز الدفع بمطلق الوصف؛ لأنّ الحكم ليس منحصراً في الأوصاف الخفية وإنّما ذُكرت مبالغةً، وفي الدروس شَرَط في جواز الدفع إليه ظنَّ صدقه لإطنابه في الوصف، أو رجحان عدالته</w:t>
      </w:r>
      <w:r>
        <w:rPr>
          <w:rStyle w:val="FootnoteAnchor"/>
          <w:rtl w:val="true"/>
        </w:rPr>
        <w:footnoteReference w:id="207"/>
      </w:r>
      <w:r>
        <w:rPr>
          <w:rFonts w:ascii="Amiri" w:hAnsi="Amiri" w:eastAsia="Amiri" w:cs="Amiri"/>
          <w:color w:val="111111"/>
          <w:sz w:val="28"/>
          <w:sz w:val="28"/>
          <w:szCs w:val="28"/>
          <w:rtl w:val="true"/>
          <w:lang w:bidi="ar-SA"/>
        </w:rPr>
        <w:t>، وهو الوجه؛ لأن مناط أكثر الشرعيّات الظن، ولتعذر إقامة البيِّنة غالباً، فلولاه لَزِم عدم وصولها إلى مالكها كذلك ، وفي بعض الأخبار</w:t>
      </w:r>
      <w:r>
        <w:rPr>
          <w:rStyle w:val="FootnoteAnchor"/>
          <w:rtl w:val="true"/>
        </w:rPr>
        <w:footnoteReference w:id="208"/>
      </w:r>
      <w:r>
        <w:rPr>
          <w:rFonts w:ascii="Amiri" w:hAnsi="Amiri" w:eastAsia="Amiri" w:cs="Amiri"/>
          <w:color w:val="111111"/>
          <w:sz w:val="28"/>
          <w:sz w:val="28"/>
          <w:szCs w:val="28"/>
          <w:rtl w:val="true"/>
          <w:lang w:bidi="ar-SA"/>
        </w:rPr>
        <w:t>إرشاد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ومنع ابنُ إدريس من دفعها بدون البينة؛ لاشتغال الذمة بحفظها، وعدم ثبوت كون الوصف حجّةٌ </w:t>
      </w:r>
      <w:r>
        <w:rPr>
          <w:rStyle w:val="FootnoteAnchor"/>
          <w:rtl w:val="true"/>
        </w:rPr>
        <w:footnoteReference w:id="209"/>
      </w:r>
      <w:r>
        <w:rPr>
          <w:rFonts w:ascii="IRNazanin" w:hAnsi="IRNazanin" w:eastAsia="IRNazanin"/>
          <w:color w:val="111111"/>
          <w:sz w:val="28"/>
          <w:sz w:val="28"/>
          <w:szCs w:val="28"/>
          <w:rtl w:val="true"/>
          <w:lang w:bidi="fa-IR"/>
        </w:rPr>
        <w:t>، والأشهر الأول</w:t>
      </w:r>
      <w:r>
        <w:rPr>
          <w:rFonts w:eastAsia="IRNazanin" w:cs="IRNazanin"/>
          <w:color w:val="111111"/>
          <w:sz w:val="28"/>
          <w:szCs w:val="28"/>
          <w:rtl w:val="true"/>
          <w:lang w:bidi="fa-IR"/>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فلو أقام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غيرُ الواصف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بها بيّنةً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دفعها 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استُعِيدَتْ منه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لأنّ البينة حجّةٌ شرعيّة بالملك، والدفع بالوصف إنّما كان رُخصةً وبناءً على الظاهر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تعذرَ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انتزاعها من الواصف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ضَمِن الدافعُ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لِذِي البينة مثلها أو قيمتها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ورَجَع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الغارمُ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القابض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بما غَرِمَه؛ لأنّ التلف في يده؛ ولأنه عاد إلّا أن يعترف الدافع له بالملك فلا يرجع عليه لو رجع عليه؛ لاعترافه بكون الأخذ منه ظلماً، وللمالك الرجوع على الواصفِ القابض ابتداءً، فلا يرجع على الملتقط سواءٌ تَلِفَت في يده أم لا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ولو كان دفعها إلى الأوّل بالبينة، ثمّ أقام آخَرُ بينةً، حُكم بأرجح البينتين عدالة أو عدداً، فإن تَساوَيا أُقرع، وكذا لو أقاماها ابتداءً، ولو خرجت القرعة للثاني انتَزَعَها من الأول، وإن تَلِفَت فبدلها مثلاً أو قيمةً، ولا شيء على الملتقط إن كان دفعُها بحكم الحاكم وإلا ضَمِن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كان الملتقط قد دَفَع بدلها لتلفها ثمّ ثبتت للثاني رجع على الملتقط؛ لأنّ المدفوع إلى الأوّل ليس عين ماله ويرجع الملتقط على الأول بما أدّاه إن لم يعترف له بالملك، لا من حيث البيّنة، أما لو اعترف لأجلها لم يَضُرّ ؛ لبنائه على الظاهر وقد تَبَيَّنَ خِلافُه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والموجود في المَفازَةِ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البريّةُ القفرُ والجمع المَفاوِز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قاله ابن الأثير في النهاية</w:t>
      </w:r>
      <w:r>
        <w:rPr>
          <w:rStyle w:val="FootnoteAnchor"/>
          <w:rtl w:val="true"/>
        </w:rPr>
        <w:footnoteReference w:id="210"/>
      </w:r>
      <w:r>
        <w:rPr>
          <w:rFonts w:ascii="Amiri" w:hAnsi="Amiri" w:eastAsia="Amiri" w:cs="Amiri"/>
          <w:color w:val="111111"/>
          <w:sz w:val="28"/>
          <w:sz w:val="28"/>
          <w:szCs w:val="28"/>
          <w:rtl w:val="true"/>
          <w:lang w:bidi="ar-SA"/>
        </w:rPr>
        <w:t>، ونقل الجوهري عن ابن الأعرابي أنّها سمّيت بذلك تفاؤلاً بالسلامة والفوز</w:t>
      </w:r>
      <w:r>
        <w:rPr>
          <w:rStyle w:val="FootnoteAnchor"/>
          <w:rtl w:val="true"/>
        </w:rPr>
        <w:footnoteReference w:id="21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والخَرِيةِ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 باد أهلها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أو مدفوناً فى أرض لا مالك 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ظاهراً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يُتَمَلَّك من غير تعريف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كَثر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لم يكن عليه أثر الإسلام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الشهادتين، أو اسم سلطانٍ من سلاطين الإسلام ونحوه، وإلّا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يكن كذلك بأن وُجد عليه أثر الإسلام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التعريفُ؛ لدَلالة الأثر على سَبْقِ يدِ المسلم فتُستصحب</w:t>
      </w:r>
      <w:r>
        <w:rPr>
          <w:rFonts w:eastAsia="Amiri" w:cs="Amiri" w:ascii="Amiri" w:hAnsi="Amiri"/>
          <w:color w:val="111111"/>
          <w:sz w:val="28"/>
          <w:szCs w:val="28"/>
          <w:rtl w:val="true"/>
          <w:lang w:bidi="ar-SA"/>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يُملك مطلقاً </w:t>
      </w:r>
      <w:r>
        <w:rPr>
          <w:rStyle w:val="FootnoteAnchor"/>
          <w:rtl w:val="true"/>
        </w:rPr>
        <w:footnoteReference w:id="212"/>
      </w:r>
      <w:r>
        <w:rPr>
          <w:rFonts w:ascii="Amiri" w:hAnsi="Amiri" w:eastAsia="Amiri" w:cs="Amiri"/>
          <w:color w:val="111111"/>
          <w:sz w:val="28"/>
          <w:sz w:val="28"/>
          <w:szCs w:val="28"/>
          <w:rtl w:val="true"/>
          <w:lang w:bidi="ar-SA"/>
        </w:rPr>
        <w:t>لعموم صحيحة محمّد بن مسلم أن للواجد ما يوجد في الخَرِبة</w:t>
      </w:r>
      <w:r>
        <w:rPr>
          <w:rStyle w:val="FootnoteAnchor"/>
          <w:rtl w:val="true"/>
        </w:rPr>
        <w:footnoteReference w:id="213"/>
      </w:r>
      <w:r>
        <w:rPr>
          <w:rFonts w:ascii="Amiri" w:hAnsi="Amiri" w:eastAsia="Amiri" w:cs="Amiri"/>
          <w:color w:val="111111"/>
          <w:sz w:val="28"/>
          <w:sz w:val="28"/>
          <w:szCs w:val="28"/>
          <w:rtl w:val="true"/>
          <w:lang w:bidi="ar-SA"/>
        </w:rPr>
        <w:t>ولأنّ أثر الإسلام قد يصدر عن غير المسلم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وحُمِلت الرواية </w:t>
      </w:r>
      <w:r>
        <w:rPr>
          <w:rStyle w:val="FootnoteAnchor"/>
          <w:rtl w:val="true"/>
        </w:rPr>
        <w:footnoteReference w:id="214"/>
      </w:r>
      <w:r>
        <w:rPr>
          <w:rFonts w:ascii="Amiri" w:hAnsi="Amiri" w:eastAsia="Amiri" w:cs="Amiri"/>
          <w:color w:val="111111"/>
          <w:sz w:val="28"/>
          <w:sz w:val="28"/>
          <w:szCs w:val="28"/>
          <w:rtl w:val="true"/>
          <w:lang w:bidi="ar-SA"/>
        </w:rPr>
        <w:t>على الاستحقاق بعد التعريف فيما عليه الأثر، وهو بعيد، إلّا أنّ الأوّلَ أشهرُ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ويستفاد من تقييد الموجود في الأرض التي لا مالك لها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المدفون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عدم اشتراطه في الأولين، بل </w:t>
      </w:r>
    </w:p>
    <w:p>
      <w:pPr>
        <w:pStyle w:val="BookText"/>
        <w:rPr/>
      </w:pPr>
      <w:r>
        <w:rPr>
          <w:rFonts w:ascii="Amiri" w:hAnsi="Amiri" w:eastAsia="Amiri" w:cs="Amiri"/>
          <w:color w:val="111111"/>
          <w:sz w:val="28"/>
          <w:sz w:val="28"/>
          <w:szCs w:val="28"/>
          <w:rtl w:val="true"/>
          <w:lang w:bidi="ar-SA"/>
        </w:rPr>
        <w:t>يُملك ما يُوجد فيهما مطلقاً؛ عملاً بإطلاق النصّ والفتوى، أما غير المدفون في الأرض المذكورة فهو لقطة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كله إذا كان في دار الإسلام، أما في دار الحرب فلواجده مطلقاً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كان للأرض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التى وُجد مدفوناً فيها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مالك عَرَّفه، فإن عَرَفه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أى ادَّعى أنه له، دفعه إليه من غير بينةٍ ولا وصفٍ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يدَّعيه فهو للواجد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انتفاء أثر الإسلام، وإلا فلقطة، كما سبق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ولو وجده في الأرض المملوكة غير مدفون، فهو لقطة إلّا أنّه يجب تقديم تعريف المالك، فإن ادّعاه فهو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كما سلف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وإلّا عرفه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وكذا لو وجده في جوف دابّة عَرَّفه مالِكَها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سبق؛ لسبق يده، وظهور كونه من مالِه دَخَل في عَلَفها؛ لبُعْدِ وجوده في الصحراء، واعتلافه، فإن عَرَفه المالك وإلا فهو للواجد؛ لصحيحة عليّ</w:t>
      </w:r>
      <w:r>
        <w:rPr>
          <w:rStyle w:val="FootnoteAnchor"/>
          <w:rtl w:val="true"/>
        </w:rPr>
        <w:footnoteReference w:id="215"/>
      </w:r>
      <w:r>
        <w:rPr>
          <w:rFonts w:ascii="Amiri" w:hAnsi="Amiri" w:eastAsia="Amiri" w:cs="Amiri"/>
          <w:color w:val="111111"/>
          <w:sz w:val="28"/>
          <w:sz w:val="28"/>
          <w:szCs w:val="28"/>
          <w:rtl w:val="true"/>
          <w:lang w:bidi="ar-SA"/>
        </w:rPr>
        <w:t>بن جعفر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كتبتُ إلى الرجل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أسأله عن رجل اشتَرَى جَزُوراً أو بقرةً للأضاحي، فلمّا ذَبَحها وَجَد في جوفها صُرَةً فيها دراهم أو دنانير أو جوهرة، لمن تكون؟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فوَقَعَ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عَرِّفها البائع فإن لم يكن يَعرِفُها فالشيءُ لك، رَزَقَك اللهُ إيَّاه</w:t>
      </w:r>
      <w:r>
        <w:rPr>
          <w:rFonts w:eastAsia="Amiri" w:cs="Amiri" w:ascii="Amiri" w:hAnsi="Amiri"/>
          <w:color w:val="111111"/>
          <w:sz w:val="28"/>
          <w:szCs w:val="28"/>
          <w:rtl w:val="true"/>
          <w:lang w:bidi="ar-SA"/>
        </w:rPr>
        <w:t>»</w:t>
      </w:r>
      <w:r>
        <w:rPr>
          <w:rStyle w:val="FootnoteAnchor"/>
          <w:rtl w:val="true"/>
        </w:rPr>
        <w:footnoteReference w:id="21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وظاهرُ الفتوى والنصّ عدمُ الفرق بين وجود أثر الإسلام عليه و عدمه، والأقوى الفرقُ واختصاص الحكم بما لا أثر عليه، وإلا فهو لقطة؛ جمعاً بين الأدلة، ولدلالة أثر الإسلام على يد المسلم سابقاً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يُوجَد في جوف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السَمَكة فللواجد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لأنّها إنّما مُلِكَت بالحيازة، والمُحِيز إنّما قصد تملَّكها خاصةً؛ لعدم علمه بما في بطنها فلم يتوجه قصده إليه؛ بِناءً على أنّ المُباحاتِ إِنّما تُملَك بالنية والحيازة معاً،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أن تكون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السمكة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محصورةً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فتكون كالدابة؛ لعين ما ذكر</w:t>
      </w:r>
      <w:r>
        <w:rPr>
          <w:rFonts w:eastAsia="Amiri" w:cs="Amiri" w:ascii="Amiri" w:hAnsi="Amiri"/>
          <w:color w:val="111111"/>
          <w:sz w:val="28"/>
          <w:szCs w:val="28"/>
          <w:rtl w:val="true"/>
          <w:lang w:bidi="ar-SA"/>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ومنه يظهر أنّ المراد بالدابَّةِ الأهلية، كما يظهر من الرواية، فلو كانت وحشيّةً لا تعتلف من مال المالك فكالسمكة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كله إذا لم يكن عليه أثر الإسلام وإلّا فلقطة </w:t>
      </w:r>
    </w:p>
    <w:p>
      <w:pPr>
        <w:pStyle w:val="BookText"/>
        <w:rPr/>
      </w:pPr>
      <w:r>
        <w:rPr>
          <w:rFonts w:ascii="Amiri" w:hAnsi="Amiri" w:eastAsia="Amiri" w:cs="Amiri"/>
          <w:color w:val="111111"/>
          <w:sz w:val="28"/>
          <w:sz w:val="28"/>
          <w:szCs w:val="28"/>
          <w:rtl w:val="true"/>
          <w:lang w:bidi="ar-SA"/>
        </w:rPr>
        <w:t xml:space="preserve">كما مرّ، مع احتمال عموم الحكم له فيهما؛ لإطلاق النص والفتوى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والموجود في صندوقه أو داره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غيرهما من أملاكه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 مشاركة الغير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 في التصرف فيها، محصوراً أو غير محصور على ما يقتضيه إطلاقهم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لقطة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أما مع عدم الحصر فظاهر؛ لأنه بمشاركة غيره لا يد له بخصوصه فيكون لقطةً، وأمّا مع انحصار المشارِك فلأنّ المفروض أنه لا يعرفه فلا يكون له بدون التعريف، ويُحتمل قوياً كونه له مع تعريف المنحصر؛ لأنّه بعدم اعتراف المشارك يصير كما لا مشارك فيه،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معها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لا مع المشاركة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للمالكِ الواجدِ؛ لأنه من توابع ملكه المحكوم له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إذا لم يقطع بانتفائه عنه، وإلّا أشكل الحكم بكونه له، بل ينبغي أن يكون لقطة، إلا أنّ كلامهم هنا مطلق، كما ذكره المصنف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فرق في وجوب تعريف المشارِك هنا بين ما نقص عن الدرهم وما زاد؛ لاشتراكهم في اليد بسبب التصرّف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يفتقر مُدَّعيه منهم إلى البينة ولا الوصف؛ لأنّه مال لا يدعيه أحدٌ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جَهلوا جميعاً أَمْرَه فلم يعترفوا به ولم يَنْفَوه، فإن كان الاشتراك في التصرف خاصة فهو للمالك منهم، وإن لم يكن فيهم مالك فهو للمالك، وإن كان الاشتراك في المِلكِ والتصرّفِ فهم فيه سواءٌ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يكفي التعريف حولاً في التملك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لما يجب تعريفه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 لابد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الحول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للتملك وإنّما يُحدِث التعريفُ حولاً تخيير الملتقط بين التملك بالنية، وبين الصدقة به، وبين إبقائه في يده أمانةً لمالكه</w:t>
      </w:r>
      <w:r>
        <w:rPr>
          <w:rFonts w:eastAsia="Amiri" w:cs="Amiri" w:ascii="Amiri" w:hAnsi="Amiri"/>
          <w:color w:val="111111"/>
          <w:sz w:val="28"/>
          <w:szCs w:val="28"/>
          <w:rtl w:val="true"/>
          <w:lang w:bidi="ar-SA"/>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هذا هو المشهور من حكم المسألة، وفيها قولان آخران على طرف النقيض، 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دخوله في الملك قهراً من غير احتياج إلى أمرٍ زائد على التعريف؛ لظاهر قول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فإن جاءَ لها طالب وإلا فهي كسبيل ماله </w:t>
      </w:r>
      <w:r>
        <w:rPr>
          <w:rFonts w:eastAsia="Amiri" w:cs="Amiri" w:ascii="Amiri" w:hAnsi="Amiri"/>
          <w:color w:val="111111"/>
          <w:sz w:val="28"/>
          <w:szCs w:val="28"/>
          <w:rtl w:val="true"/>
          <w:lang w:bidi="ar-SA"/>
        </w:rPr>
        <w:t>»</w:t>
      </w:r>
      <w:r>
        <w:rPr>
          <w:rStyle w:val="FootnoteAnchor"/>
          <w:rtl w:val="true"/>
        </w:rPr>
        <w:footnoteReference w:id="217"/>
      </w:r>
      <w:r>
        <w:rPr>
          <w:rFonts w:ascii="Amiri" w:hAnsi="Amiri" w:eastAsia="Amiri" w:cs="Amiri"/>
          <w:color w:val="111111"/>
          <w:sz w:val="28"/>
          <w:sz w:val="28"/>
          <w:szCs w:val="28"/>
          <w:rtl w:val="true"/>
          <w:lang w:bidi="ar-SA"/>
        </w:rPr>
        <w:t>والفاء للتعقيب، وهو قول ابن إدريس</w:t>
      </w:r>
      <w:r>
        <w:rPr>
          <w:rStyle w:val="FootnoteAnchor"/>
          <w:rtl w:val="true"/>
        </w:rPr>
        <w:footnoteReference w:id="21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ورُدَّ بأن كونها كسبيل ماله لا يقتضي حصول الملك حقيقةً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افتقار ملكه إلى اللفظ الدال عليه، بأن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اخترتُ ملكها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وهو قول أبي الصلاح </w:t>
      </w:r>
      <w:r>
        <w:rPr>
          <w:rStyle w:val="FootnoteAnchor"/>
          <w:rtl w:val="true"/>
        </w:rPr>
        <w:footnoteReference w:id="219"/>
      </w:r>
      <w:r>
        <w:rPr>
          <w:rFonts w:ascii="Amiri" w:hAnsi="Amiri" w:eastAsia="Amiri" w:cs="Amiri"/>
          <w:color w:val="111111"/>
          <w:sz w:val="28"/>
          <w:sz w:val="28"/>
          <w:szCs w:val="28"/>
          <w:rtl w:val="true"/>
          <w:lang w:bidi="ar-SA"/>
        </w:rPr>
        <w:t xml:space="preserve">وغيره </w:t>
      </w:r>
      <w:r>
        <w:rPr>
          <w:rStyle w:val="FootnoteAnchor"/>
          <w:rtl w:val="true"/>
        </w:rPr>
        <w:footnoteReference w:id="220"/>
      </w:r>
      <w:r>
        <w:rPr>
          <w:rFonts w:ascii="Amiri" w:hAnsi="Amiri" w:eastAsia="Amiri" w:cs="Amiri"/>
          <w:color w:val="111111"/>
          <w:sz w:val="28"/>
          <w:sz w:val="28"/>
          <w:szCs w:val="28"/>
          <w:rtl w:val="true"/>
          <w:lang w:bidi="ar-SA"/>
        </w:rPr>
        <w:t>لأنه معه مُجمَعٌ على ملكه، وغيره لا دليل عليه</w:t>
      </w:r>
      <w:r>
        <w:rPr>
          <w:rFonts w:eastAsia="Amiri" w:cs="Amiri" w:ascii="Amiri" w:hAnsi="Amiri"/>
          <w:color w:val="111111"/>
          <w:sz w:val="28"/>
          <w:szCs w:val="28"/>
          <w:rtl w:val="true"/>
          <w:lang w:bidi="ar-SA"/>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والأقوى الأول؛ لقوله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وإلّا فاجْعَلْها في عَرْضِ مالك</w:t>
      </w:r>
      <w:r>
        <w:rPr>
          <w:rFonts w:eastAsia="Amiri" w:cs="Amiri" w:ascii="Amiri" w:hAnsi="Amiri"/>
          <w:color w:val="111111"/>
          <w:sz w:val="28"/>
          <w:szCs w:val="28"/>
          <w:rtl w:val="true"/>
          <w:lang w:bidi="ar-SA"/>
        </w:rPr>
        <w:t>»</w:t>
      </w:r>
      <w:r>
        <w:rPr>
          <w:rStyle w:val="FootnoteAnchor"/>
          <w:rtl w:val="true"/>
        </w:rPr>
        <w:footnoteReference w:id="221"/>
      </w:r>
      <w:r>
        <w:rPr>
          <w:rFonts w:ascii="Amiri" w:hAnsi="Amiri" w:eastAsia="Amiri" w:cs="Amiri"/>
          <w:color w:val="111111"/>
          <w:sz w:val="28"/>
          <w:sz w:val="28"/>
          <w:szCs w:val="28"/>
          <w:rtl w:val="true"/>
          <w:lang w:bidi="ar-SA"/>
        </w:rPr>
        <w:t xml:space="preserve">، وصيغة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للأمر، ولا أقل من أن يكون للإباحة، فيستدعى أن يكون المأمور به مقدوراً بعد التعريف وعدمِ مجيء ء المالك، ولم يذكر اللفظ، فدلّ الأوّلُ على انتفاء الأول، والثاني على انتفاء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وبه يُجمع بينه وبين قوله كسبيل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ماله وإلا لكان ظاهره الملك القهري، لا كما رُدَّ سابقاً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والأقوال الثلاثة للشيخ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w:t>
      </w:r>
      <w:r>
        <w:rPr>
          <w:rStyle w:val="FootnoteAnchor"/>
          <w:rtl w:val="true"/>
        </w:rPr>
        <w:footnoteReference w:id="222"/>
      </w:r>
      <w:r>
        <w:rPr>
          <w:rFonts w:eastAsia="Times New Roman" w:cs="Times New Roman" w:ascii="Times New Roman" w:hAnsi="Times New Roman"/>
          <w:color w:val="111111"/>
          <w:sz w:val="28"/>
          <w:szCs w:val="28"/>
          <w:rtl w:val="true"/>
          <w:lang w:val="en-US" w:bidi="en-US"/>
        </w:rPr>
        <w:t xml:space="preserve">. </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51" w:name="pg11049_88383"/>
      <w:bookmarkStart w:id="52" w:name="pg11049_88383"/>
      <w:bookmarkEnd w:id="52"/>
    </w:p>
    <w:p>
      <w:pPr>
        <w:pStyle w:val="Heading2"/>
        <w:numPr>
          <w:ilvl w:val="1"/>
          <w:numId w:val="1"/>
        </w:numPr>
        <w:rPr/>
      </w:pPr>
      <w:bookmarkStart w:id="53" w:name="pg11049_88383"/>
      <w:bookmarkStart w:id="54" w:name="__RefHeading___Toc1446103_1067777946"/>
      <w:bookmarkStart w:id="55" w:name="_Toc15"/>
      <w:bookmarkEnd w:id="53"/>
      <w:bookmarkEnd w:id="54"/>
      <w:r>
        <w:rPr>
          <w:rtl w:val="true"/>
        </w:rPr>
        <w:t>كتاب إحياء الموات</w:t>
      </w:r>
      <w:bookmarkEnd w:id="55"/>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56" w:name="__RefHeading___Toc1446105_1067777946"/>
      <w:bookmarkStart w:id="57" w:name="_Toc16"/>
      <w:bookmarkEnd w:id="56"/>
      <w:r>
        <w:rPr>
          <w:rtl w:val="true"/>
        </w:rPr>
        <w:t>اشارة</w:t>
      </w:r>
      <w:bookmarkEnd w:id="57"/>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 إحياء الموات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الموات من 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لا يُنتفع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لعُطْلَتِه أو لاستئجامه أو لعدم الماء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لاستيلاء الماء عليه، ولو جَعَل هذه الأقسام أفراداً لعطلته لأنها أعم منها كان أجود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ولا فرق بين أن يكون قد سَبَق لها إحياء ثمّ ماتت وبين موتها ابتداءً على ما يقتضيه الإطلاق، وهذا يَتِمّ مع إبادة أهله بحيث لا يُعرفون ولا بعضهم، فلو عُرف المحيي لم يصح إحياؤها، على ما صرح به المصنّف في الدروس </w:t>
      </w:r>
      <w:r>
        <w:rPr>
          <w:rStyle w:val="FootnoteAnchor"/>
          <w:rtl w:val="true"/>
        </w:rPr>
        <w:footnoteReference w:id="223"/>
      </w:r>
      <w:r>
        <w:rPr>
          <w:rFonts w:ascii="Amiri" w:hAnsi="Amiri" w:eastAsia="Amiri" w:cs="Amiri"/>
          <w:color w:val="111111"/>
          <w:sz w:val="28"/>
          <w:sz w:val="28"/>
          <w:szCs w:val="28"/>
          <w:rtl w:val="true"/>
          <w:lang w:bidi="ar-SA"/>
        </w:rPr>
        <w:t>، وسيأتي</w:t>
      </w:r>
      <w:r>
        <w:rPr>
          <w:rStyle w:val="FootnoteAnchor"/>
          <w:rtl w:val="true"/>
        </w:rPr>
        <w:footnoteReference w:id="224"/>
      </w:r>
      <w:r>
        <w:rPr>
          <w:rFonts w:ascii="Amiri" w:hAnsi="Amiri" w:eastAsia="Amiri" w:cs="Amiri"/>
          <w:color w:val="111111"/>
          <w:sz w:val="28"/>
          <w:sz w:val="28"/>
          <w:szCs w:val="28"/>
          <w:rtl w:val="true"/>
          <w:lang w:bidi="ar-SA"/>
        </w:rPr>
        <w:t>إن شاء الله ما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يُعتبر في تحقق موتها العارضِ ذَهابُ رسم العمارة رأساً، بل ضابطه العطلة وإن بقيت آثار الأنهار ونحوها لصدقه عرفاً معها، خلافاً لظاهر التذكرة</w:t>
      </w:r>
      <w:r>
        <w:rPr>
          <w:rStyle w:val="FootnoteAnchor"/>
          <w:rtl w:val="true"/>
        </w:rPr>
        <w:footnoteReference w:id="22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ولا يلحق ذلك بالتحجير، حيث إنه لو وقع ابتداءً كان تحجيراً؛ لأنّ شَرْطَه بقاءُ اليد وقصد العمارة، وهما منتفيان هنا، بل التحجير مخصوص بابتداء الإحياء؛ لأنه بمعنى الشروع فيه حيث لا يبلغه، فكأنه قد حَجَر على غيره بأثره أن يتصرف فيما حَجَّره بإحياء وغيره</w:t>
      </w:r>
      <w:r>
        <w:rPr>
          <w:rFonts w:eastAsia="Amiri" w:cs="Amiri" w:ascii="Amiri" w:hAnsi="Amiri"/>
          <w:color w:val="111111"/>
          <w:sz w:val="28"/>
          <w:szCs w:val="28"/>
          <w:rtl w:val="true"/>
          <w:lang w:bidi="ar-SA"/>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وحكمُ الموات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يَتَمَلَّكه من أحياه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قصد تملكه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مع غيبة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سواء </w:t>
      </w:r>
    </w:p>
    <w:p>
      <w:pPr>
        <w:pStyle w:val="BookText"/>
        <w:rPr/>
      </w:pPr>
      <w:r>
        <w:rPr>
          <w:rFonts w:ascii="Amiri" w:hAnsi="Amiri" w:eastAsia="Amiri" w:cs="Amiri"/>
          <w:color w:val="111111"/>
          <w:sz w:val="28"/>
          <w:sz w:val="28"/>
          <w:szCs w:val="28"/>
          <w:rtl w:val="true"/>
          <w:lang w:bidi="ar-SA"/>
        </w:rPr>
        <w:t xml:space="preserve">في ذلك المسلم والكافرُ؛ لعموم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أحيا أرضاً مَيْتَةً فهي له</w:t>
      </w:r>
      <w:r>
        <w:rPr>
          <w:rFonts w:eastAsia="Amiri" w:cs="Amiri" w:ascii="Amiri" w:hAnsi="Amiri"/>
          <w:color w:val="111111"/>
          <w:sz w:val="28"/>
          <w:szCs w:val="28"/>
          <w:rtl w:val="true"/>
          <w:lang w:bidi="ar-SA"/>
        </w:rPr>
        <w:t>»</w:t>
      </w:r>
      <w:r>
        <w:rPr>
          <w:rStyle w:val="FootnoteAnchor"/>
          <w:rtl w:val="true"/>
        </w:rPr>
        <w:footnoteReference w:id="226"/>
      </w:r>
      <w:r>
        <w:rPr>
          <w:rFonts w:ascii="Amiri" w:hAnsi="Amiri" w:eastAsia="Amiri" w:cs="Amiri"/>
          <w:color w:val="111111"/>
          <w:sz w:val="28"/>
          <w:sz w:val="28"/>
          <w:szCs w:val="28"/>
          <w:rtl w:val="true"/>
          <w:lang w:bidi="ar-SA"/>
        </w:rPr>
        <w:t xml:space="preserve">، ولا يقدح في ذلك كونها للإمام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تقدير ظهوره؛ لأن ذلك لا يقصر عن حقه من غيرها؛ كالخمس والمغنوم بغير إذنه، فإنه بيد الكافر والمخالفِ على وجه الملك حالَ الغيبة ولا يجوز انتزاعه منه فهنا أولى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يكن الإمام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غائباً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افتقر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الإحياء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إذنه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إجماعاً، ثم إن كان مسلماً مَلَكَها بإذنه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ملك الكافر مع الإذن قولان</w:t>
      </w:r>
      <w:r>
        <w:rPr>
          <w:rStyle w:val="FootnoteAnchor"/>
          <w:rtl w:val="true"/>
        </w:rPr>
        <w:footnoteReference w:id="227"/>
      </w:r>
      <w:r>
        <w:rPr>
          <w:rFonts w:ascii="Amiri" w:hAnsi="Amiri" w:eastAsia="Amiri" w:cs="Amiri"/>
          <w:color w:val="111111"/>
          <w:sz w:val="28"/>
          <w:sz w:val="28"/>
          <w:szCs w:val="28"/>
          <w:rtl w:val="true"/>
          <w:lang w:bidi="ar-SA"/>
        </w:rPr>
        <w:t xml:space="preserve">، ولا إشكال فيه لو حصل، إنما الإشكال في جواز إذنه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 نظراً إلى أن الكافر هل له أهلية ذلك أم لا ؟ والنزاع قليلُ الجَدْوَى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يجوز إحياء العامرِ وتوابعه كالطريقِ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المُفضي 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والشِرْبِ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بكسر الشين، وأصله الحظ من الماء، ومنه قوله تعالى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لَّهَا شِرْبُ وَلَكُمْ شِرْبُ يَوْمٍ مَّعْلُومٍ</w:t>
      </w:r>
      <w:r>
        <w:rPr>
          <w:rStyle w:val="FootnoteAnchor"/>
          <w:rtl w:val="true"/>
        </w:rPr>
        <w:footnoteReference w:id="228"/>
      </w:r>
      <w:r>
        <w:rPr>
          <w:rFonts w:ascii="Amiri" w:hAnsi="Amiri" w:eastAsia="Amiri" w:cs="Amiri"/>
          <w:color w:val="111111"/>
          <w:sz w:val="28"/>
          <w:sz w:val="28"/>
          <w:szCs w:val="28"/>
          <w:rtl w:val="true"/>
          <w:lang w:bidi="ar-SA"/>
        </w:rPr>
        <w:t>، والمراد هنا النهرُ وشبهه المُعَدُّ لمصالح العامر، وكذا غيرهما من مَرافِقِ العامر وحريمه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إحياءُ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المفتوحةِ عَنْوَةً </w:t>
      </w:r>
      <w:r>
        <w:rPr>
          <w:rStyle w:val="FootnoteAnchor"/>
          <w:rtl w:val="true"/>
        </w:rPr>
        <w:footnoteReference w:id="22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بفتح العين أي قهراً وغلبة على أهلها، كأرض الشام والعراق وغالبِ بِلاد الإسلام؛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 عامِرُها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حالَ الفتح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للمسلمين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قاطبةً، بمعنى أنّ حاصلها يُصرَف في مصالحهم، لا تصرُّفهم فيها كيف اتفق، كما سيأتي </w:t>
      </w:r>
      <w:r>
        <w:rPr>
          <w:rStyle w:val="FootnoteAnchor"/>
          <w:rtl w:val="true"/>
        </w:rPr>
        <w:footnoteReference w:id="23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وغامِرُها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بالمُعْجَمة، وهو خلاف العامر بالمُهملة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الجوهري</w:t>
      </w:r>
      <w:r>
        <w:rPr>
          <w:rFonts w:eastAsia="Amiri" w:cs="Amiri" w:ascii="Amiri" w:hAnsi="Amiri"/>
          <w:color w:val="111111"/>
          <w:sz w:val="28"/>
          <w:szCs w:val="28"/>
          <w:rtl w:val="true"/>
          <w:lang w:bidi="ar-SA"/>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وإنّما قيل 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عامر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الماءَ يَبلُغه فيَغْمره، وهو فاعل بمعنى مفعول، كقولهم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سرُّ كاتِمٌ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ومَّاءٍ دَافِقٍ، وإنما بُنِي على فاعل ليُقابَلَ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العامر</w:t>
      </w:r>
      <w:r>
        <w:rPr>
          <w:rFonts w:eastAsia="Amiri" w:cs="Amiri" w:ascii="Amiri" w:hAnsi="Amiri"/>
          <w:color w:val="111111"/>
          <w:sz w:val="28"/>
          <w:szCs w:val="28"/>
          <w:rtl w:val="true"/>
          <w:lang w:bidi="ar-SA"/>
        </w:rPr>
        <w:t>»</w:t>
      </w:r>
      <w:r>
        <w:rPr>
          <w:rStyle w:val="FootnoteAnchor"/>
          <w:rtl w:val="true"/>
        </w:rPr>
        <w:footnoteReference w:id="231"/>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الغامر من الأرض ما لم يُزرع ممّا يحتمل الزراعة، وما لا يبلغه الماء من موات الأرض لا يقال له غامر؛ نظراً إلى الوصف المتقدّم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والمراد هنا أنّ مواتها مطلقاً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فلا يصح إحياؤُه بغير إذنه مع حضوره، أمّا غَيبته فيملكها المُحيي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ويرجع الآن في المحيا منها والميت في تلك الحال إلى القرائن، ومنها ضرب الخراج والمُقاسمة، فإن انتَفَتْ فالأصل يقتضي عدم العمارة فيُحكم لمن بيده منها شيء بالملك لو ادعاه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وكذا كلُّ 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موات من الأرض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يَجْرِ عليه ملك المسلم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للإمام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فلا يصح إحياؤه إلا بإذنه مع حضوره، ويُباح في غيبته، ومثله ما جرى عليه ملكه ثمّ باد أهله</w:t>
      </w:r>
      <w:r>
        <w:rPr>
          <w:rFonts w:eastAsia="Amiri" w:cs="Amiri" w:ascii="Amiri" w:hAnsi="Amiri"/>
          <w:color w:val="111111"/>
          <w:sz w:val="28"/>
          <w:szCs w:val="28"/>
          <w:rtl w:val="true"/>
          <w:lang w:bidi="ar-SA"/>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ولو جَرَى عليه مِلكُ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معروف فهو له ولوارثه بعده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كغيره من الأملاك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ينتقل عنه بصيرورته مواتاً مطلقاً؛ لأصالة بقاء الملك، وخروجه يحتاج إلى سبب ناقل، وهو محصور، وليس منه الخَراب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يملكها المحيي بعد صيرورتها مواتاً ويبطل حقُّ السابق</w:t>
      </w:r>
      <w:r>
        <w:rPr>
          <w:rStyle w:val="FootnoteAnchor"/>
          <w:rtl w:val="true"/>
        </w:rPr>
        <w:footnoteReference w:id="23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لعموم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أحيا أرضاً ميتةً فهي له</w:t>
      </w:r>
      <w:r>
        <w:rPr>
          <w:rFonts w:eastAsia="Amiri" w:cs="Amiri" w:ascii="Amiri" w:hAnsi="Amiri"/>
          <w:color w:val="111111"/>
          <w:sz w:val="28"/>
          <w:szCs w:val="28"/>
          <w:rtl w:val="true"/>
          <w:lang w:bidi="ar-SA"/>
        </w:rPr>
        <w:t>»</w:t>
      </w:r>
      <w:r>
        <w:rPr>
          <w:rStyle w:val="FootnoteAnchor"/>
          <w:rtl w:val="true"/>
        </w:rPr>
        <w:footnoteReference w:id="233"/>
      </w:r>
      <w:r>
        <w:rPr>
          <w:rFonts w:ascii="Amiri" w:hAnsi="Amiri" w:eastAsia="Amiri" w:cs="Amiri"/>
          <w:color w:val="111111"/>
          <w:sz w:val="28"/>
          <w:sz w:val="28"/>
          <w:szCs w:val="28"/>
          <w:rtl w:val="true"/>
          <w:lang w:bidi="ar-SA"/>
        </w:rPr>
        <w:t>ولصحيحة أبي خالد الكابلي عن الباقر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وجدنا في كتاب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الأرضَ الله يُورِتُها مَن يشاء من عباده والعاقبة للمتقين إلى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تركها أو خرَّبَها فأَخَذها رجل من المسلمين من بعده فعَمَرها وأحياها فهو أحقُّ بها من الذي تركها</w:t>
      </w:r>
      <w:r>
        <w:rPr>
          <w:rFonts w:eastAsia="Amiri" w:cs="Amiri" w:ascii="Amiri" w:hAnsi="Amiri"/>
          <w:color w:val="111111"/>
          <w:sz w:val="28"/>
          <w:szCs w:val="28"/>
          <w:rtl w:val="true"/>
          <w:lang w:bidi="ar-SA"/>
        </w:rPr>
        <w:t>»</w:t>
      </w:r>
      <w:r>
        <w:rPr>
          <w:rStyle w:val="FootnoteAnchor"/>
          <w:rtl w:val="true"/>
        </w:rPr>
        <w:footnoteReference w:id="23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وقول الصادق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أيما رجلٍ أَتَى خَرِبَةٌ هائرةٌ فاستَخرَجَها وكَرَى أَنهارَها وعمرها فإنّ عليه فيها الصدقة، فإن كانت أرضاً لرجل قبله فغاب عنها وتركها وأخربها، ثم جاء بعد يطلبها، فإنّ الأرضَ الله ولمن عَمَرها</w:t>
      </w:r>
      <w:r>
        <w:rPr>
          <w:rFonts w:eastAsia="Amiri" w:cs="Amiri" w:ascii="Amiri" w:hAnsi="Amiri"/>
          <w:color w:val="111111"/>
          <w:sz w:val="28"/>
          <w:szCs w:val="28"/>
          <w:rtl w:val="true"/>
          <w:lang w:bidi="ar-SA"/>
        </w:rPr>
        <w:t>»</w:t>
      </w:r>
      <w:r>
        <w:rPr>
          <w:rStyle w:val="FootnoteAnchor"/>
          <w:rtl w:val="true"/>
        </w:rPr>
        <w:footnoteReference w:id="23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وهذا هو الأقوى</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وموضعُ الخلاف ما إذا كان السابق قد ملكها بالإحياء، فلو كان قد ملكها بالشراء ونحوه لم يَزُلْ مِلكه عنها إجماعاً على ما نقله العلّامة في التذكرة عن جميع أهل العلم</w:t>
      </w:r>
      <w:r>
        <w:rPr>
          <w:rStyle w:val="FootnoteAnchor"/>
          <w:rtl w:val="true"/>
        </w:rPr>
        <w:footnoteReference w:id="23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وكلّ أرضِ أَسلم عليها أهلها طوعاً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كالمدينة المشرفة والبحرين وأطراف اليمن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فهي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الخصوص يتصرفون فيها كيف شاؤوا،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وليس عليهم فيها سوى الزكاة مع اجتماع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الشرائط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المعتبرة فيها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إذا قاموا بعمارتها ، أما لو تركوها فخَرِبَت فإنّها تدخُل في عموم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وكلّ أرض ترك أهلُها عمارتها فالمحيي أحقُّ 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منهم، لا بمعنى ملكه لها بالإحياء؛ لما سبق من أنّ ما جَرَى عليه مِلكُ مسلم لا ينتقل عنه بالموت، فبترك العمارة التي هي أعم من الموت أولى، بل بمعنى استحقاقه التصرف فيها ما دام قائماً بعمارتها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وعليه طَسْقُها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أُجرتها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لأربابها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الذين تركوا عمارتها، أما عدم خروجها عن ملكهم، فقد تقدّم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جواز إحيائها مع القيام بالأجرة، فلرواية سليمان بن خالد وقد سأله عن الرجل يأتي الأرضَ الخَرِبةَ فيستخرجها، ويُجري أنهارها ويعمرها ويزرعها، فماذا عليه؟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الصدقة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كان يعرف صاحبها؟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فليُؤَدِّ إليه حقَّه</w:t>
      </w:r>
      <w:r>
        <w:rPr>
          <w:rFonts w:eastAsia="Amiri" w:cs="Amiri" w:ascii="Amiri" w:hAnsi="Amiri"/>
          <w:color w:val="111111"/>
          <w:sz w:val="28"/>
          <w:szCs w:val="28"/>
          <w:rtl w:val="true"/>
          <w:lang w:bidi="ar-SA"/>
        </w:rPr>
        <w:t>»</w:t>
      </w:r>
      <w:r>
        <w:rPr>
          <w:rStyle w:val="FootnoteAnchor"/>
          <w:rtl w:val="true"/>
        </w:rPr>
        <w:footnoteReference w:id="23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دالة على عدم خروج الموات به عن الملك أيضاً؛ لأنّ نفس الأرض حقُّ صاحبها، إلّا أنّها مقطوعة السند ضعيفةً، فلا تصلح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وشَرَط في الدروس إذن المالك في الإحياء، فإن تعذر فالحاكم، فإن تعذر جاز الإحياء بغير إذن، وللمالك حينئذٍ طَسْقُها</w:t>
      </w:r>
      <w:r>
        <w:rPr>
          <w:rStyle w:val="FootnoteAnchor"/>
          <w:rtl w:val="true"/>
        </w:rPr>
        <w:footnoteReference w:id="238"/>
      </w:r>
      <w:r>
        <w:rPr>
          <w:rFonts w:ascii="Amiri" w:hAnsi="Amiri" w:eastAsia="Amiri" w:cs="Amiri"/>
          <w:color w:val="111111"/>
          <w:sz w:val="28"/>
          <w:sz w:val="28"/>
          <w:szCs w:val="28"/>
          <w:rtl w:val="true"/>
          <w:lang w:bidi="ar-SA"/>
        </w:rPr>
        <w:t>، ودليله غير واضح</w:t>
      </w:r>
      <w:r>
        <w:rPr>
          <w:rFonts w:eastAsia="Amiri" w:cs="Amiri" w:ascii="Amiri" w:hAnsi="Amiri"/>
          <w:color w:val="111111"/>
          <w:sz w:val="28"/>
          <w:szCs w:val="28"/>
          <w:rtl w:val="true"/>
          <w:lang w:bidi="ar-SA"/>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والأقوى أنها إن خرجت عن ملكه جاز إحياؤها بغير أجرة، وإلا امتنع التصرف فيها </w:t>
      </w:r>
    </w:p>
    <w:p>
      <w:pPr>
        <w:pStyle w:val="BookText"/>
        <w:rPr/>
      </w:pPr>
      <w:r>
        <w:rPr>
          <w:rFonts w:ascii="Amiri" w:hAnsi="Amiri" w:eastAsia="Amiri" w:cs="Amiri"/>
          <w:color w:val="111111"/>
          <w:sz w:val="28"/>
          <w:sz w:val="28"/>
          <w:szCs w:val="28"/>
          <w:rtl w:val="true"/>
          <w:lang w:bidi="ar-SA"/>
        </w:rPr>
        <w:t>بغير إذنه، وقد تقدَّم ما يُعلم منه خروجُها عن ملكه وعدمه</w:t>
      </w:r>
      <w:r>
        <w:rPr>
          <w:rStyle w:val="FootnoteAnchor"/>
          <w:rtl w:val="true"/>
        </w:rPr>
        <w:footnoteReference w:id="23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للإمام تقبيلُ المملوكة الممتنع أهلُها من عمارتها بما شاء؛ لأنّه أولى بالمؤمنين من أنفسهم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وأرضُ الصلح التي بأيدي أهل الذمة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صالحوا النبيَّ أو الإمام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أن الأرضَ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فهي لهم عملاً بمقتضى الشرط، وعليهم الجِزْيَةُ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داموا أهلَ ذمّةٍ، ولو أسلموا صارت كالأرض التي أسلَم أهلها عليها طوعاً، ملكاً لهم بغير عوض، ولو وقع الصلحُ ابتداءً على أنّ الأرضَ للمسلمين كأرض خيبر، فهي كالمفتوحة عنوةً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ويصرف الإمامُ حاصل الأرضِ المفتوحةِ عَنوةً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المُحياةِ حال الفتح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مصالح المسلمين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الغانمين وغيرهم كسَد الثغور ومعونة الغزاة وأرزاق الولاة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مع ،حضوره أمّا مع غَيبته، فما كان منها بيد الجائر يجوز المُضي معه في حكمه فيها، فيصح تناولُ الخراج والمقاسمة منه بهبةٍ وشراء واستقطاع وغيرها مما يقتضيه حكمه شرعاً، وما يمكن استقلال نائب الإمام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الحاكم الشرعي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فأمره إليه يصرفه في مصالح المسلمين كالأصل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کی عمری</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يجوز بيعها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بيع الأرضِ المفتوحةِ عَنوةً، المحياةِ حالَ الفتح؛ لأنّها للمسلمين قاطبةً، مَن وُجِد منهم ذلك اليوم ومَن يَتجدَّد إلى يوم القيامة، لا بمعنى ملك الرقبة، بل بالمعنى السابق، وهو صرف حاصلها في مصالحهم؛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هبتها ولا وقفها ولا نقلها</w:t>
      </w:r>
      <w:r>
        <w:rPr>
          <w:rStyle w:val="FootnoteAnchor"/>
          <w:rtl w:val="true"/>
        </w:rPr>
        <w:footnoteReference w:id="24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بوجه من الوجوه المُمَلّكة؛ لما ذكرناه من العلة</w:t>
      </w:r>
      <w:r>
        <w:rPr>
          <w:rFonts w:eastAsia="Amiri" w:cs="Amiri" w:ascii="Amiri" w:hAnsi="Amiri"/>
          <w:color w:val="111111"/>
          <w:sz w:val="28"/>
          <w:szCs w:val="28"/>
          <w:rtl w:val="true"/>
          <w:lang w:bidi="ar-SA"/>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والقائل به جماعة من المتأخرين</w:t>
      </w:r>
      <w:r>
        <w:rPr>
          <w:rStyle w:val="FootnoteAnchor"/>
          <w:rtl w:val="true"/>
        </w:rPr>
        <w:footnoteReference w:id="241"/>
      </w:r>
      <w:r>
        <w:rPr>
          <w:rFonts w:ascii="Amiri" w:hAnsi="Amiri" w:eastAsia="Amiri" w:cs="Amiri"/>
          <w:color w:val="111111"/>
          <w:sz w:val="28"/>
          <w:sz w:val="28"/>
          <w:szCs w:val="28"/>
          <w:rtl w:val="true"/>
          <w:lang w:bidi="ar-SA"/>
        </w:rPr>
        <w:t xml:space="preserve">، منهم المصنف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تقدَّم في كتاب البيع</w:t>
      </w:r>
      <w:r>
        <w:rPr>
          <w:rStyle w:val="FootnoteAnchor"/>
          <w:rtl w:val="true"/>
        </w:rPr>
        <w:footnoteReference w:id="242"/>
      </w:r>
      <w:r>
        <w:rPr>
          <w:rFonts w:ascii="Amiri" w:hAnsi="Amiri" w:eastAsia="Amiri" w:cs="Amiri"/>
          <w:color w:val="111111"/>
          <w:sz w:val="28"/>
          <w:sz w:val="28"/>
          <w:szCs w:val="28"/>
          <w:rtl w:val="true"/>
          <w:lang w:bidi="ar-SA"/>
        </w:rPr>
        <w:t xml:space="preserve">اختياره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يجوز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جميعُ ما ذكر من البيع والوقف وغيره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تبعاً لآثار المتصرّف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بِناءٍ وغَرْسٍ ويَستمر الحكم ما دام شيء من الأثر باقياً، فإذا زال </w:t>
      </w:r>
      <w:bookmarkStart w:id="58" w:name="pg11049_88390"/>
    </w:p>
    <w:p>
      <w:pPr>
        <w:pStyle w:val="BookText"/>
        <w:rPr/>
      </w:pPr>
      <w:bookmarkEnd w:id="58"/>
      <w:r>
        <w:rPr>
          <w:rFonts w:ascii="Amiri" w:hAnsi="Amiri" w:eastAsia="Amiri" w:cs="Amiri"/>
          <w:color w:val="111111"/>
          <w:sz w:val="28"/>
          <w:sz w:val="28"/>
          <w:szCs w:val="28"/>
          <w:rtl w:val="true"/>
          <w:lang w:bidi="ar-SA"/>
        </w:rPr>
        <w:t>رجعت الأرضُ إلى حكمها الأول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كانت ميتةً حالَ الفتح أو عَرَض لها المَوتانُ ثمّ أحياها مُحْيِ، أو اشتبه حالُها حالته، أو وُجدت في يد أحدٍ يَدَّعي ملكها حيث لا يُعلَم فساد دعواه، فهي كغيرها من الأَرْضِين المملوكة بالشرط السابق يتصرف فيها المالك كيف شاء بغير إشكال</w:t>
      </w:r>
      <w:r>
        <w:rPr>
          <w:rFonts w:eastAsia="Amiri" w:cs="Amiri" w:ascii="Amiri" w:hAnsi="Amiri"/>
          <w:color w:val="111111"/>
          <w:sz w:val="28"/>
          <w:szCs w:val="28"/>
          <w:rtl w:val="true"/>
          <w:lang w:bidi="ar-SA"/>
        </w:rPr>
        <w:t>.</w:t>
      </w:r>
    </w:p>
    <w:p>
      <w:pPr>
        <w:pStyle w:val="Heading3"/>
        <w:numPr>
          <w:ilvl w:val="2"/>
          <w:numId w:val="1"/>
        </w:numPr>
        <w:rPr/>
      </w:pPr>
      <w:bookmarkStart w:id="59" w:name="__RefHeading___Toc1446107_1067777946"/>
      <w:bookmarkStart w:id="60" w:name="_Toc17"/>
      <w:bookmarkEnd w:id="59"/>
      <w:r>
        <w:rPr>
          <w:rtl w:val="true"/>
        </w:rPr>
        <w:t>وشروط الإحياء المُمَلكِ</w:t>
      </w:r>
      <w:bookmarkEnd w:id="60"/>
    </w:p>
    <w:p>
      <w:pPr>
        <w:pStyle w:val="BookText"/>
        <w:rPr/>
      </w:pPr>
      <w:r>
        <w:rPr>
          <w:rFonts w:ascii="Amiri" w:hAnsi="Amiri" w:eastAsia="Amiri" w:cs="Amiri"/>
          <w:color w:val="111111"/>
          <w:sz w:val="28"/>
          <w:sz w:val="28"/>
          <w:szCs w:val="28"/>
          <w:rtl w:val="true"/>
          <w:lang w:bidi="ar-SA"/>
        </w:rPr>
        <w:t xml:space="preserve">للمحبي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ستة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انتفاء يد الغير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الأرض الميتة، فلو كان عليها يد محترمة لم يصح إحياؤُها لغيره؛ لأن اليد تدلّ على الملك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ظاهراً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لم يُعلم انتفاء سببٍ صحيح للملك أو الأولوية، وإلا لم يُلتفت إلى اليد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وانتفاءُ مِلك سابق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للأرض قبل موتها لمسلم أو مُسالم، فلو كانت مملوكة لأحدهما لم يصح إحياؤها لغيره استصحاباً للملكِ السابق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وهذان الشرطان مبنيان على ما سبق من عدم بطلان الملك بالموت مطلقاً، وقد تقدم ما فيه من التفصيل المختار</w:t>
      </w:r>
      <w:r>
        <w:rPr>
          <w:rStyle w:val="FootnoteAnchor"/>
          <w:rtl w:val="true"/>
        </w:rPr>
        <w:footnoteReference w:id="24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وانتفاء كونه حريماً لعامر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لأنّ مالك العامر استَحَق حريمه؛ لأنه من مرافقه، وممّا يتوقف كمالُ انتفاعه عليه، وسيأتي تفصيل الحريم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انتفاء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كونه مَشْعَراً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محلاً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لعبادة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كعرفة والمشعر ومنى ولؤ كان يسيراً لا يمنع المتعبدين سدّاً لباب مزاحمة الناسكين، ولتعلق حقوق الناس كافةً بها فلا يسوغ تملكها مطلقاً؛ لأدائه إلى تفويت هذا الغرض الشرعي</w:t>
      </w:r>
      <w:r>
        <w:rPr>
          <w:rFonts w:eastAsia="Amiri" w:cs="Amiri" w:ascii="Amiri" w:hAnsi="Amiri"/>
          <w:color w:val="111111"/>
          <w:sz w:val="28"/>
          <w:szCs w:val="28"/>
          <w:rtl w:val="true"/>
          <w:lang w:bidi="ar-SA"/>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وجوز المحقِّقُ اليسير منه </w:t>
      </w:r>
      <w:r>
        <w:rPr>
          <w:rStyle w:val="FootnoteAnchor"/>
          <w:rtl w:val="true"/>
        </w:rPr>
        <w:footnoteReference w:id="244"/>
      </w:r>
      <w:r>
        <w:rPr>
          <w:rFonts w:ascii="Amiri" w:hAnsi="Amiri" w:eastAsia="Amiri" w:cs="Amiri"/>
          <w:color w:val="111111"/>
          <w:sz w:val="28"/>
          <w:sz w:val="28"/>
          <w:szCs w:val="28"/>
          <w:rtl w:val="true"/>
          <w:lang w:bidi="ar-SA"/>
        </w:rPr>
        <w:t>لعدم الإضرار، مع أنه غيرُ مِلك لأحد، وهو نادر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وعليه لو عَمَد بعضُ الحاج فوَقَف به لم يَجُزْ؛ للنهي عن التصرف في ملك الغير</w:t>
      </w:r>
      <w:r>
        <w:rPr>
          <w:rStyle w:val="FootnoteAnchor"/>
          <w:rtl w:val="true"/>
        </w:rPr>
        <w:footnoteReference w:id="245"/>
      </w:r>
      <w:r>
        <w:rPr>
          <w:rFonts w:ascii="Amiri" w:hAnsi="Amiri" w:eastAsia="Amiri" w:cs="Amiri"/>
          <w:color w:val="111111"/>
          <w:sz w:val="28"/>
          <w:sz w:val="28"/>
          <w:szCs w:val="28"/>
          <w:rtl w:val="true"/>
          <w:lang w:bidi="ar-SA"/>
        </w:rPr>
        <w:t xml:space="preserve">لأنا بَنَيْنا </w:t>
      </w:r>
    </w:p>
    <w:p>
      <w:pPr>
        <w:pStyle w:val="BookText"/>
        <w:rPr/>
      </w:pPr>
      <w:r>
        <w:rPr>
          <w:rFonts w:ascii="Amiri" w:hAnsi="Amiri" w:eastAsia="Amiri" w:cs="Amiri"/>
          <w:color w:val="111111"/>
          <w:sz w:val="28"/>
          <w:sz w:val="28"/>
          <w:szCs w:val="28"/>
          <w:rtl w:val="true"/>
          <w:lang w:bidi="ar-SA"/>
        </w:rPr>
        <w:t>عليه، وهو مُفسِد للعبادة التي هي عبارة عن الكون ومن ضروراته المكان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وللمصنف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تفريعاً عليه وجه بالجواز جمعاً بين الحقين، وآخَرُ بالتفصيل بضيق المكان فيجوز وسعته فلا</w:t>
      </w:r>
      <w:r>
        <w:rPr>
          <w:rStyle w:val="FootnoteAnchor"/>
          <w:rtl w:val="true"/>
        </w:rPr>
        <w:footnoteReference w:id="246"/>
      </w:r>
      <w:r>
        <w:rPr>
          <w:rFonts w:ascii="Amiri" w:hAnsi="Amiri" w:eastAsia="Amiri" w:cs="Amiri"/>
          <w:color w:val="111111"/>
          <w:sz w:val="28"/>
          <w:sz w:val="28"/>
          <w:szCs w:val="28"/>
          <w:rtl w:val="true"/>
          <w:lang w:bidi="ar-SA"/>
        </w:rPr>
        <w:t xml:space="preserve">، وإثباتُ الملك مطلقاً يأباهما، وإنما يتوجهان لو جَعَله مشروطاً بأحد الأمرين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 مُقْطَعاً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النبي أو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الأحد المسلمين؛ لأن المُقطَعَ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يصير أولى من غيره؛ كالتحجير، فلا يصح لغيره التصرّفُ بدون إذنه وإن لم يُفد ملكاً، وقد رُوِيَ أنّ النبي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أَقطع بلال بن الحرث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العقيق</w:t>
      </w:r>
      <w:r>
        <w:rPr>
          <w:rFonts w:eastAsia="Amiri" w:cs="Amiri" w:ascii="Amiri" w:hAnsi="Amiri"/>
          <w:color w:val="111111"/>
          <w:sz w:val="28"/>
          <w:szCs w:val="28"/>
          <w:rtl w:val="true"/>
          <w:lang w:bidi="ar-SA"/>
        </w:rPr>
        <w:t>»</w:t>
      </w:r>
      <w:r>
        <w:rPr>
          <w:rStyle w:val="FootnoteAnchor"/>
          <w:rtl w:val="true"/>
        </w:rPr>
        <w:footnoteReference w:id="247"/>
      </w:r>
      <w:r>
        <w:rPr>
          <w:rFonts w:ascii="Amiri" w:hAnsi="Amiri" w:eastAsia="Amiri" w:cs="Amiri"/>
          <w:color w:val="111111"/>
          <w:sz w:val="28"/>
          <w:sz w:val="28"/>
          <w:szCs w:val="28"/>
          <w:rtl w:val="true"/>
          <w:lang w:bidi="ar-SA"/>
        </w:rPr>
        <w:t xml:space="preserve">، وهو وادٍ بظاهر المدينة، واستمر تحت يده إلى ولاية عمر، وأقطع الزبير بن العوام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حُضْرَ فرسه بالحاء المهملة المضمومة والضادِ المعجمة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عَدْوُه مقدارَ ما جَرَى، فأجْرَى فرسه حتى قام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عجز عن التقدم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فرَمَى بسوطه طلباً للزيادة على الحضر فأعطاه من حيث وقع السوط</w:t>
      </w:r>
      <w:r>
        <w:rPr>
          <w:rStyle w:val="FootnoteAnchor"/>
          <w:rtl w:val="true"/>
        </w:rPr>
        <w:footnoteReference w:id="248"/>
      </w:r>
      <w:r>
        <w:rPr>
          <w:rFonts w:ascii="Amiri" w:hAnsi="Amiri" w:eastAsia="Amiri" w:cs="Amiri"/>
          <w:color w:val="111111"/>
          <w:sz w:val="28"/>
          <w:sz w:val="28"/>
          <w:szCs w:val="28"/>
          <w:rtl w:val="true"/>
          <w:lang w:bidi="ar-SA"/>
        </w:rPr>
        <w:t>، وأقطع غيرهما مواضعَ أُخَرَ</w:t>
      </w:r>
      <w:r>
        <w:rPr>
          <w:rStyle w:val="FootnoteAnchor"/>
          <w:rtl w:val="true"/>
        </w:rPr>
        <w:footnoteReference w:id="249"/>
      </w:r>
      <w:r>
        <w:rPr>
          <w:rFonts w:ascii="IRNazanin" w:hAnsi="IRNazanin" w:eastAsia="IRNazanin"/>
          <w:color w:val="111111"/>
          <w:sz w:val="28"/>
          <w:sz w:val="28"/>
          <w:szCs w:val="28"/>
          <w:rtl w:val="true"/>
          <w:lang w:bidi="fa-IR"/>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 مُحَجَّراً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مشروعاً في إحيائه شروعاً لم يبلغ حدَّ الإحياء، فإنّه بالشروع يفيد أولويةً لا يصح لغيره التخطي إليه وإنْ لم يُقد ملكاً، فلا يصح بيعه لكن يُوَرَّث، ويصح الصلح عليه، إلّا أن يُهمل الإتمام فللحاكم حينئذٍ إلزامه به أو رفع يده عنه، فإن امتنع أذن لغيره في الإحياء، وإن اعتذر بشاغل أمهله مدةً يزول عذرُه فيها، ولا يَتَخَطَّى غيره إليها ما دام مُمْهَلاً </w:t>
      </w:r>
      <w:r>
        <w:rPr>
          <w:rFonts w:eastAsia="Amiri" w:cs="Amiri" w:ascii="Amiri" w:hAnsi="Amiri"/>
          <w:color w:val="111111"/>
          <w:sz w:val="28"/>
          <w:szCs w:val="28"/>
          <w:rtl w:val="true"/>
          <w:lang w:bidi="ar-SA"/>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الدروس جعل الشروط تسعةً، وجعل 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إذن الإمام مع حضوره، ووجود ما يُخرجها عن الموات بأن يتحقق الإحياء؛ إذ لا ملك قبل كمال العمل المعتبر فيه، وإنْ أفاد الشروع تحجيراً لا يفيد سوى الأولوية كما مرّ ؛ وقصد التملك، فلو فَعَل أسباب </w:t>
      </w:r>
    </w:p>
    <w:p>
      <w:pPr>
        <w:pStyle w:val="BookText"/>
        <w:rPr/>
      </w:pPr>
      <w:r>
        <w:rPr>
          <w:rFonts w:ascii="Amiri" w:hAnsi="Amiri" w:eastAsia="Amiri" w:cs="Amiri"/>
          <w:color w:val="111111"/>
          <w:sz w:val="28"/>
          <w:sz w:val="28"/>
          <w:szCs w:val="28"/>
          <w:rtl w:val="true"/>
          <w:lang w:bidi="ar-SA"/>
        </w:rPr>
        <w:t>الملك بقصد غيره، أو لا مع قصد لم يملك كحيازة سائر المباحات من الاصطياد والاحتطاب والاحتشاش</w:t>
      </w:r>
      <w:r>
        <w:rPr>
          <w:rStyle w:val="FootnoteAnchor"/>
          <w:rtl w:val="true"/>
        </w:rPr>
        <w:footnoteReference w:id="25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والشرط الأوّل قد ذكره هنا في أوّل الكتاب، والثاني يلزم من جعلها شروط الإحياء مضافاً إلى ما سيأتي</w:t>
      </w:r>
      <w:r>
        <w:rPr>
          <w:rStyle w:val="FootnoteAnchor"/>
          <w:rtl w:val="true"/>
        </w:rPr>
        <w:footnoteReference w:id="251"/>
      </w:r>
      <w:r>
        <w:rPr>
          <w:rFonts w:ascii="Amiri" w:hAnsi="Amiri" w:eastAsia="Amiri" w:cs="Amiri"/>
          <w:color w:val="111111"/>
          <w:sz w:val="28"/>
          <w:sz w:val="28"/>
          <w:szCs w:val="28"/>
          <w:rtl w:val="true"/>
          <w:lang w:bidi="ar-SA"/>
        </w:rPr>
        <w:t>من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والمرجع في الإحياء إلى العرف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إلخ، والثالث يُستفاد من قوله في أوّل الكتاب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يَتَملَّكُه مَن أحياه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التملك يستلزم القصد إليه، فإنّ الموجود في بعض النسخ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يتملكه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بالتاء بعد الياء، ويُوجد في بعضها يملكه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لا يفيد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ويمكن استفادته من قوله بعد حكمه برجوعه إلى العرف،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لمن أراد الزرع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ولمن أراد البيت فإنّ الإرادةَ لِما ذُكر ونحوه تكفي في قصد التملك وإن لم يقصده بخصوصه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وحيث بيَّن أنّ مِن الشرائط أن لا يكون حريماً لعامرٍ ، نبه هنا على بيان حريم بعض الأملاك بقوله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وحريم العين ألفُ ذِراع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حولها من كل جانب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الأرض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الرُّخْوَة، وخمسمائة في الصُّلْبَة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بمعنى أنه ليس للغير استنباط عين أُخرى في هذا القدر، لا المنع من مطلق الإحياء، والتحديد بذلك هو المشهور رواية </w:t>
      </w:r>
      <w:r>
        <w:rPr>
          <w:rStyle w:val="FootnoteAnchor"/>
          <w:rtl w:val="true"/>
        </w:rPr>
        <w:footnoteReference w:id="252"/>
      </w:r>
      <w:r>
        <w:rPr>
          <w:rFonts w:ascii="IRNazanin" w:hAnsi="IRNazanin" w:eastAsia="IRNazanin"/>
          <w:color w:val="111111"/>
          <w:sz w:val="28"/>
          <w:sz w:val="28"/>
          <w:szCs w:val="28"/>
          <w:rtl w:val="true"/>
          <w:lang w:bidi="fa-IR"/>
        </w:rPr>
        <w:t>وفتوى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وحَدَّه ابن الجنيد بما ينتفي معه الضرر</w:t>
      </w:r>
      <w:r>
        <w:rPr>
          <w:rStyle w:val="FootnoteAnchor"/>
          <w:rtl w:val="true"/>
        </w:rPr>
        <w:footnoteReference w:id="253"/>
      </w:r>
      <w:r>
        <w:rPr>
          <w:rFonts w:ascii="Amiri" w:hAnsi="Amiri" w:eastAsia="Amiri" w:cs="Amiri"/>
          <w:color w:val="111111"/>
          <w:sz w:val="28"/>
          <w:sz w:val="28"/>
          <w:szCs w:val="28"/>
          <w:rtl w:val="true"/>
          <w:lang w:bidi="ar-SA"/>
        </w:rPr>
        <w:t>، ومالَ إليه العلّامة في المختلف</w:t>
      </w:r>
      <w:r>
        <w:rPr>
          <w:rStyle w:val="FootnoteAnchor"/>
          <w:rtl w:val="true"/>
        </w:rPr>
        <w:footnoteReference w:id="254"/>
      </w:r>
      <w:r>
        <w:rPr>
          <w:rFonts w:ascii="Amiri" w:hAnsi="Amiri" w:eastAsia="Amiri" w:cs="Amiri"/>
          <w:color w:val="111111"/>
          <w:sz w:val="28"/>
          <w:sz w:val="28"/>
          <w:szCs w:val="28"/>
          <w:rtl w:val="true"/>
          <w:lang w:bidi="ar-SA"/>
        </w:rPr>
        <w:t>استضعافاً للمنصوص، واقتصاراً على موضع الضرر، وتمسكاً بعموم نصوص</w:t>
      </w:r>
      <w:r>
        <w:rPr>
          <w:rStyle w:val="FootnoteAnchor"/>
          <w:rtl w:val="true"/>
        </w:rPr>
        <w:footnoteReference w:id="255"/>
      </w:r>
      <w:r>
        <w:rPr>
          <w:rFonts w:ascii="Amiri" w:hAnsi="Amiri" w:eastAsia="Amiri" w:cs="Amiri"/>
          <w:color w:val="111111"/>
          <w:sz w:val="28"/>
          <w:sz w:val="28"/>
          <w:szCs w:val="28"/>
          <w:rtl w:val="true"/>
          <w:lang w:bidi="ar-SA"/>
        </w:rPr>
        <w:t>جواز الإحياء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فرق بين العين المملوكة والمشتركة بين المسلمين والمَرجِع في الرخاوة والصلابة إلى العرف</w:t>
      </w:r>
      <w:r>
        <w:rPr>
          <w:rFonts w:eastAsia="Amiri" w:cs="Amiri" w:ascii="Amiri" w:hAnsi="Amiri"/>
          <w:color w:val="111111"/>
          <w:sz w:val="28"/>
          <w:szCs w:val="28"/>
          <w:rtl w:val="true"/>
          <w:lang w:bidi="ar-SA"/>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وحريم بئر الناضح </w:t>
      </w:r>
      <w:r>
        <w:rPr>
          <w:rStyle w:val="FootnoteAnchor"/>
          <w:rtl w:val="true"/>
        </w:rPr>
        <w:footnoteReference w:id="25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البعير الذي يُستَقى عليه للزرع وغيره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ستون ذراعاً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من جميع الجوانب، فلا يجوز إحياؤُه بحفر بئر أخرى، ولا غيره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حريم بئر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المعطن</w:t>
      </w:r>
      <w:r>
        <w:rPr>
          <w:rStyle w:val="FootnoteAnchor"/>
          <w:rtl w:val="true"/>
        </w:rPr>
        <w:footnoteReference w:id="25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واحد المعاطن، وهي مبارك الإبل عند الماء لتَشرَب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قاله الجوهري</w:t>
      </w:r>
      <w:r>
        <w:rPr>
          <w:rStyle w:val="FootnoteAnchor"/>
          <w:rtl w:val="true"/>
        </w:rPr>
        <w:footnoteReference w:id="258"/>
      </w:r>
      <w:r>
        <w:rPr>
          <w:rFonts w:ascii="Amiri" w:hAnsi="Amiri" w:eastAsia="Amiri" w:cs="Amiri"/>
          <w:color w:val="111111"/>
          <w:sz w:val="28"/>
          <w:sz w:val="28"/>
          <w:szCs w:val="28"/>
          <w:rtl w:val="true"/>
          <w:lang w:bidi="ar-SA"/>
        </w:rPr>
        <w:t xml:space="preserve">، والمراد البئر التي يُستقَى منها لشرب الإبل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أربعون ذراعاً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كلّ جانب كما مرّ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وحريمُ الحائطِ مَطرَحُ آلاته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حجر وتراب وغيرهما على تقدير انهدامه لمسيس الحاجة إليه عنده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حريم الدارِ مطرح ترابها ورَمادِها وكُناستها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وثُلوجها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ومَسيل مائها حيث يحتاج إليهما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ومسلك الدخول والخروج في صَوْب الباب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أن يصل إلى الطريق و المباح ولؤ بازوِرارٍ لا يُوجب ضرراً كثيراً أو بعداً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ويُضَمّ إلى ذلك حريم حائطها بما سلف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وله منعُ من يُحفر بقرب حائطه بئراً أو نهراً، أو يغرس شجرةً تَضُرّ بحائطه أو داره، وكذا لو غَرَس في ملكه أو أرض أحياها ما تبرز أغصانُه أو عروقه إلى المباح ولو بعد حين لم يكن لغيره إحياؤُه، وللغارس منعه ابتداءً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كلُّه إذا أحيا هذه الأشياء فى الموات، أما الأملاك المتلاصقة فلا حريم لأحدها على جاره لتعارُضِها، فإنّ كلَّ واحد منها حريم بالنسبة إلى جاره ولا أولوية؛ ولأن من الممكن شروعهم في الإحياء دفعةً فلم يكن لواحدٍ على آخَرَ حريم</w:t>
      </w:r>
      <w:r>
        <w:rPr>
          <w:rFonts w:eastAsia="Amiri" w:cs="Amiri" w:ascii="Amiri" w:hAnsi="Amiri"/>
          <w:color w:val="111111"/>
          <w:sz w:val="28"/>
          <w:szCs w:val="28"/>
          <w:rtl w:val="true"/>
          <w:lang w:bidi="ar-SA"/>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والمرجع في الإحياء إلى العرف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لعدم ورود شيءٍ معيَّن فيه من الشارع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كعَضْدِ الشجر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وقطع المياه الغالبة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والتحجير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حولها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بحائط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طين أو حجر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مِرْز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بكسر الميم، وهو جمع التراب حول ما يُريد إحياءه من الأرض ليتميز عن غيره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مُسَنّاةٍ</w:t>
      </w:r>
      <w:r>
        <w:rPr>
          <w:rStyle w:val="FootnoteAnchor"/>
          <w:rtl w:val="true"/>
        </w:rPr>
        <w:footnoteReference w:id="25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بضم الميم، وهو نحو المزز وربما كان أزيد تراباً، ومثله نصب القصب والحَجَر والشوك ونحوها حولها، وسوق الماء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إليها </w:t>
      </w:r>
    </w:p>
    <w:p>
      <w:pPr>
        <w:pStyle w:val="BookText"/>
        <w:rPr/>
      </w:pPr>
      <w:r>
        <w:rPr>
          <w:rFonts w:ascii="Amiri" w:hAnsi="Amiri" w:eastAsia="Amiri" w:cs="Amiri"/>
          <w:color w:val="111111"/>
          <w:sz w:val="28"/>
          <w:sz w:val="28"/>
          <w:szCs w:val="28"/>
          <w:rtl w:val="true"/>
          <w:lang w:bidi="ar-SA"/>
        </w:rPr>
        <w:t>حيث يحتاج إلى السفي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اعتياد الغيث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لمن أراد الزرع والفرس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بإحياء الأرض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وظاهرُ هذه العبارة أنّ الأرض التي يُراد إحياؤُها للزراعة لو كانت مشتملة على شجرٍ والماءُ مُستَولٍ عليها لا يتحقق إحياؤُها إلا بعضد شجرها وقطع الماء عنها، ونصب حائط وشبهه حولها، وسوق ما يحتاج إليه من الماء إليها إن كانت مما تحتاج إلى السقي به، فلو أخلَّ بأحد هذه لا يكون إحياء بل تحجيراً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وإنّما جَمَع بين قطع الماء وسوقه إليها؛ لجواز أن يكون الماء الذي يحتاج إلى قطعه غير مناسب للسقي، بأن يكون وصوله إليها على وجه الرشح المُضِر بالأرض من غير أن يَنفَع في السقي ونحو ذلك، وإلا فلو كان كثيراً يمكن السقي به كفى قطع القدر المضر منه وإبقاء الباقي للسقي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ولو جُعِل الواو في هذه الأشياء بمعنى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كلُّ واحد منها كافياً في تحقق الإحياء، لكن لا يصح في بعضها، فإنّ من جملتها سَوْقَ الماء أو اعتياد الغيث، ومقتضاه أنّ المعتادة لسقي الغيث لا يتوقف إحياؤُها على شيء من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وعلى الأوّل لو فُرِض عدم الشجر أو عدم المياه الغالبة لم يكن مقدارُ ما يُعتبر في الإحياء مذكوراً، ويكفي كلُّ واحدٍ ممّا يَبقَى على الثاني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الدروس اقتصر على حصوله بعضدِ الأشجار، والتهيئة للانتفاع، وسوق الماء أو اعتياد الغيث، ولم يشترط الحائط والمُسَنّاةَ ، بل اشترط أن يُبيِّنَ الحدَّ بيرز وشبهه،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ويحصل الإحياء أيضاً بقطع المياه الغالبة</w:t>
      </w:r>
      <w:r>
        <w:rPr>
          <w:rStyle w:val="FootnoteAnchor"/>
          <w:rtl w:val="true"/>
        </w:rPr>
        <w:footnoteReference w:id="26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وظاهره الاكتفاء به عن الباقي أجمع، وباقي عبارات الأصحاب مختلفة في ذلك كثيراً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والأقوى الاكتفاء بكل واحد من الأُمورِ الثلاثةِ السابقة مع سوق الماء حيث يفتقر إليه، وإلّا اكتفى بأحدها خاصة</w:t>
      </w:r>
      <w:r>
        <w:rPr>
          <w:rFonts w:eastAsia="Amiri" w:cs="Amiri" w:ascii="Amiri" w:hAnsi="Amiri"/>
          <w:color w:val="111111"/>
          <w:sz w:val="28"/>
          <w:szCs w:val="28"/>
          <w:rtl w:val="true"/>
          <w:lang w:bidi="ar-SA"/>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هذا إذا لم يكن المانعان الأولان أو أحدهما موجوداً، وإلا لم يكتف بالباقي، فلو كان </w:t>
      </w:r>
    </w:p>
    <w:p>
      <w:pPr>
        <w:pStyle w:val="BookText"/>
        <w:rPr/>
      </w:pPr>
      <w:r>
        <w:rPr>
          <w:rFonts w:ascii="Amiri" w:hAnsi="Amiri" w:eastAsia="Amiri" w:cs="Amiri"/>
          <w:color w:val="111111"/>
          <w:sz w:val="28"/>
          <w:sz w:val="28"/>
          <w:szCs w:val="28"/>
          <w:rtl w:val="true"/>
          <w:lang w:bidi="ar-SA"/>
        </w:rPr>
        <w:t>الشجر مستولياً عليها والماءُ كذلك لم يَكْفِ الحائط ، وكذا أحدهما، وكذا لو كان الشجرُ لم يكف دفع الماء وبالعكس؛ لدلالة العرف على ذلك كله، أما الحرث والزرعُ فغير شرط فيه قطعاً؛ لأنه انتفاع بالمحيا كالسكنى المحيي الدار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لو كانت الأرضُ مُهَيَّأَةً للزراعة والغرس لا يتوقف إلا على الماء كَفَى سوقُ الماء إليها مع غرسها أو زرعها؛ لأنّ ذلك يكون بمنزلة تميزها بالمِرْزِ وشبهه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وكالحائط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بخَشَبٍ أو قَصَبِ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لمن أراد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بإحياء الأرض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الحَظِيرة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المُعَدَّةَ للغنم ونحوه، أو لتجفيف الثمار، أو لجمع الحَطَّبِ والخَشَبِ والحشيش وشبه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وإنما اكتفى فيها بالحائط ؛ لأنّ ذلك هو المعتبر عرفاً فيها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كالحائط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 السقف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بخُشُبٍ أو عُقَدٍ أو طرح بحسب المعتاد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أراد البيت</w:t>
      </w:r>
      <w:r>
        <w:rPr>
          <w:rFonts w:eastAsia="Amiri" w:cs="Amiri" w:ascii="Amiri" w:hAnsi="Amiri"/>
          <w:color w:val="111111"/>
          <w:sz w:val="28"/>
          <w:szCs w:val="28"/>
          <w:rtl w:val="true"/>
          <w:lang w:bidi="ar-SA"/>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واكتفى في التذكرة، في تملك قاصد السكنى بالحائط</w:t>
      </w:r>
      <w:r>
        <w:rPr>
          <w:rStyle w:val="FootnoteAnchor"/>
          <w:rtl w:val="true"/>
        </w:rPr>
        <w:footnoteReference w:id="261"/>
      </w:r>
      <w:r>
        <w:rPr>
          <w:rFonts w:ascii="Amiri" w:hAnsi="Amiri" w:eastAsia="Amiri" w:cs="Amiri"/>
          <w:color w:val="111111"/>
          <w:sz w:val="28"/>
          <w:sz w:val="28"/>
          <w:szCs w:val="28"/>
          <w:rtl w:val="true"/>
          <w:lang w:bidi="ar-SA"/>
        </w:rPr>
        <w:t>المعتبر في الحظيرة، وغيره من الأقسام التي يحصل بها الإحياء لنوع مع قصد غيره الذي لا يحصل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تعليق الباب للحظيرة والمسكن فليس بمعتبر عندنا؛ لأنه للحفظ لا لتوقف السكنى عليه</w:t>
      </w:r>
      <w:r>
        <w:rPr>
          <w:rFonts w:eastAsia="Amiri" w:cs="Amiri" w:ascii="Amiri" w:hAnsi="Amiri"/>
          <w:color w:val="111111"/>
          <w:sz w:val="28"/>
          <w:szCs w:val="28"/>
          <w:rtl w:val="true"/>
          <w:lang w:bidi="ar-SA"/>
        </w:rPr>
        <w:t xml:space="preserve">. </w:t>
      </w:r>
      <w:bookmarkStart w:id="61" w:name="pg11049_88396"/>
    </w:p>
    <w:p>
      <w:pPr>
        <w:pStyle w:val="Heading3"/>
        <w:numPr>
          <w:ilvl w:val="2"/>
          <w:numId w:val="1"/>
        </w:numPr>
        <w:rPr/>
      </w:pPr>
      <w:bookmarkStart w:id="62" w:name="__RefHeading___Toc1446109_1067777946"/>
      <w:bookmarkStart w:id="63" w:name="_Toc18"/>
      <w:bookmarkEnd w:id="61"/>
      <w:bookmarkEnd w:id="62"/>
      <w:r>
        <w:rPr>
          <w:rtl w:val="true"/>
        </w:rPr>
        <w:t>القول في المشتَرَكات بين الناس في الجملة</w:t>
      </w:r>
      <w:bookmarkEnd w:id="63"/>
    </w:p>
    <w:p>
      <w:pPr>
        <w:pStyle w:val="BookText"/>
        <w:rPr/>
      </w:pPr>
      <w:r>
        <w:rPr>
          <w:rFonts w:ascii="Amiri" w:hAnsi="Amiri" w:eastAsia="Amiri" w:cs="Amiri"/>
          <w:color w:val="111111"/>
          <w:sz w:val="28"/>
          <w:sz w:val="28"/>
          <w:szCs w:val="28"/>
          <w:rtl w:val="true"/>
          <w:lang w:bidi="ar-SA"/>
        </w:rPr>
        <w:t>وإن كان بعضها مختصاً بفريق خاص</w:t>
      </w:r>
    </w:p>
    <w:p>
      <w:pPr>
        <w:pStyle w:val="BookText"/>
        <w:rPr/>
      </w:pPr>
      <w:r>
        <w:rPr>
          <w:rFonts w:ascii="Amiri" w:hAnsi="Amiri" w:eastAsia="Amiri" w:cs="Amiri"/>
          <w:color w:val="111111"/>
          <w:sz w:val="28"/>
          <w:sz w:val="28"/>
          <w:szCs w:val="28"/>
          <w:rtl w:val="true"/>
          <w:lang w:bidi="ar-SA"/>
        </w:rPr>
        <w:t xml:space="preserve">وهي أنواع ترجع أصولها إلى ثلاثة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الماء، والمعدِنِ، والمنافع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والمنافع ستة منافع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المساجد والمشاهد والمدارس، والربط والطُرُقُ ومَقاعِدُ الأسواق، وقد أشار إليها المصنف في خمسة أقسام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المسجد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معناه المشهد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فمَن سَبَق إلى مكان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فهو أولى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مادام باقياً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فلو فارق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ولؤ لحاجة كتجديد طهارة وإزالة نَجاسة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بَطَل حقه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كان ناوياً للعود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 أن يكون رَحْلُه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شيء من أَمْنِعَتِه، ولو سُبْحَته وما يَشُدّ به وَسَطَه وخُفّه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باقياً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الموضع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ينوي العود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فلو فارَقَ لا بنيته سَقط حقه وإن كان رَحْلُه باقياً</w:t>
      </w:r>
      <w:r>
        <w:rPr>
          <w:rFonts w:eastAsia="Amiri" w:cs="Amiri" w:ascii="Amiri" w:hAnsi="Amiri"/>
          <w:color w:val="111111"/>
          <w:sz w:val="28"/>
          <w:szCs w:val="28"/>
          <w:rtl w:val="true"/>
          <w:lang w:bidi="ar-SA"/>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وهذا الشرط لم يَذكُره كثير، وهو حسن؛ لأنّ الجلوس يُفيد أولويّةٌ ، فإذا فارَقَ بنيّة رفع الأولوية سَقَط حقه منها، والرحل لا مدخل له في الاستحقاق بمجرده، مع احتماله؛ لإطلاق النصّ </w:t>
      </w:r>
      <w:r>
        <w:rPr>
          <w:rStyle w:val="FootnoteAnchor"/>
          <w:rtl w:val="true"/>
        </w:rPr>
        <w:footnoteReference w:id="262"/>
      </w:r>
      <w:r>
        <w:rPr>
          <w:rFonts w:ascii="Amiri" w:hAnsi="Amiri" w:eastAsia="Amiri" w:cs="Amiri"/>
          <w:color w:val="111111"/>
          <w:sz w:val="28"/>
          <w:sz w:val="28"/>
          <w:szCs w:val="28"/>
          <w:rtl w:val="true"/>
          <w:lang w:bidi="ar-SA"/>
        </w:rPr>
        <w:t xml:space="preserve">والفتوى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وإنّما تظهر الفائدة على الأوّل لو كان رَحله لا يَشغَل من المسجد مقدار حاجته في الجلوس والصلاة؛ لأنّ ذلك هو المستثنى، على تقدير الأولوية، فلو كان كبيراً يَسَع ذلك فالحقُ باقٍ من حيث عدم جواز رفعه بغير إذن مالكه، وكونه في موضع مشترك كالمباح مع احتمال سقوط حقه مطلقاً على ذلك التقدير فيصح رفعه لأجل غيره حذراً من تعطيل بعض المسجد ممن لا حق له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ثم على تقدير الجواز هل يضمن الرحل رافِعُه؟ يحتمله؛ لصدق التصرف، وعدم المنافاة بين جواز رفعه والضمان جمعاً بين الحقين؛ ولعموم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اليد ما أخذت حتى تؤدي</w:t>
      </w:r>
      <w:r>
        <w:rPr>
          <w:rFonts w:eastAsia="Amiri" w:cs="Amiri" w:ascii="Amiri" w:hAnsi="Amiri"/>
          <w:color w:val="111111"/>
          <w:sz w:val="28"/>
          <w:szCs w:val="28"/>
          <w:rtl w:val="true"/>
          <w:lang w:bidi="ar-SA"/>
        </w:rPr>
        <w:t>»</w:t>
      </w:r>
      <w:r>
        <w:rPr>
          <w:rStyle w:val="FootnoteAnchor"/>
          <w:rtl w:val="true"/>
        </w:rPr>
        <w:footnoteReference w:id="263"/>
      </w:r>
      <w:r>
        <w:rPr>
          <w:rFonts w:ascii="Amiri" w:hAnsi="Amiri" w:eastAsia="Amiri" w:cs="Amiri"/>
          <w:color w:val="111111"/>
          <w:sz w:val="28"/>
          <w:sz w:val="28"/>
          <w:szCs w:val="28"/>
          <w:rtl w:val="true"/>
          <w:lang w:bidi="ar-SA"/>
        </w:rPr>
        <w:t>، وعدمه؛ لأنه لا حق له، فيكون تفريغه منه بمنزلة رفعه من ملكه، ولم أجد في هذه الوجوه كلاماً يُعتد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تقدير بقاء الحق لبقائه أو بقاءِ رَحْله، فأَزْعَجَه مُزْعِجٌ فلا شبهةً في إثمه، وهل يَصير أولى منه بعد ذلك؟ يحتمله؛ لسقوط حق الأوّل بالمفارقة، وعدمه؛ للنهي فلا يترتب عليه 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والوجهان آتيان في رفع كلّ أولوية، وقد ذكر جماعة من الأصحاب</w:t>
      </w:r>
      <w:r>
        <w:rPr>
          <w:rStyle w:val="FootnoteAnchor"/>
          <w:rtl w:val="true"/>
        </w:rPr>
        <w:footnoteReference w:id="264"/>
      </w:r>
      <w:r>
        <w:rPr>
          <w:rFonts w:ascii="Amiri" w:hAnsi="Amiri" w:eastAsia="Amiri" w:cs="Amiri"/>
          <w:color w:val="111111"/>
          <w:sz w:val="28"/>
          <w:sz w:val="28"/>
          <w:szCs w:val="28"/>
          <w:rtl w:val="true"/>
          <w:lang w:bidi="ar-SA"/>
        </w:rPr>
        <w:t>أنّ حقّ أولوية التحجير لا يسقط بتَغَلُّبِ غيره، ويتفرع على ذلك صحة صلاة الثاني وعدمها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واشترط المصنِّفُ في الذكرى</w:t>
      </w:r>
      <w:r>
        <w:rPr>
          <w:rStyle w:val="FootnoteAnchor"/>
          <w:rtl w:val="true"/>
        </w:rPr>
        <w:footnoteReference w:id="265"/>
      </w:r>
      <w:r>
        <w:rPr>
          <w:rFonts w:ascii="Amiri" w:hAnsi="Amiri" w:eastAsia="Amiri" w:cs="Amiri"/>
          <w:color w:val="111111"/>
          <w:sz w:val="28"/>
          <w:sz w:val="28"/>
          <w:szCs w:val="28"/>
          <w:rtl w:val="true"/>
          <w:lang w:bidi="ar-SA"/>
        </w:rPr>
        <w:t>في بقاء حقه مع بقاء الرحل أن لا يَطُولَ المَكْتُ، وفي التذكرة</w:t>
      </w:r>
      <w:r>
        <w:rPr>
          <w:rStyle w:val="FootnoteAnchor"/>
          <w:rtl w:val="true"/>
        </w:rPr>
        <w:footnoteReference w:id="266"/>
      </w:r>
      <w:r>
        <w:rPr>
          <w:rFonts w:ascii="Amiri" w:hAnsi="Amiri" w:eastAsia="Amiri" w:cs="Amiri"/>
          <w:color w:val="111111"/>
          <w:sz w:val="28"/>
          <w:sz w:val="28"/>
          <w:szCs w:val="28"/>
          <w:rtl w:val="true"/>
          <w:lang w:bidi="ar-SA"/>
        </w:rPr>
        <w:t>؛ استقرب بقاء الحق مع المفارقة لعُذر، كإجابة داعٍ وتجديد وضوء وقضاء حاجةٍ، وإن لم يكن له رحل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ولو استبق اثنان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دفعةً إلى مكان واحد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ولم يُمكن الجمعُ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بينهما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أقرع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لانحصارِ الأولوية فيهما وعدم إمكان الجمع فهو لأحدهما؛ إذ مَنْعُهما معاً باطل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القرعة لكلّ أمرٍ مشكل</w:t>
      </w:r>
      <w:r>
        <w:rPr>
          <w:rFonts w:eastAsia="Amiri" w:cs="Amiri" w:ascii="Amiri" w:hAnsi="Amiri"/>
          <w:color w:val="111111"/>
          <w:sz w:val="28"/>
          <w:szCs w:val="28"/>
          <w:rtl w:val="true"/>
          <w:lang w:bidi="ar-SA"/>
        </w:rPr>
        <w:t>»</w:t>
      </w:r>
      <w:r>
        <w:rPr>
          <w:rStyle w:val="FootnoteAnchor"/>
          <w:rtl w:val="true"/>
        </w:rPr>
        <w:footnoteReference w:id="267"/>
      </w:r>
      <w:r>
        <w:rPr>
          <w:rFonts w:eastAsia="Times New Roman" w:cs="Times New Roman" w:ascii="Times New Roman" w:hAnsi="Times New Roman"/>
          <w:color w:val="111111"/>
          <w:sz w:val="28"/>
          <w:szCs w:val="28"/>
          <w:rtl w:val="true"/>
          <w:lang w:val="en-US" w:bidi="en-US"/>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مع احتمال العدم؛ لأنّ القرعة لتبيين المجهول عندنا المعيَّنِ في نفس الأمر، وليس كذلك هنا، وقد تقدَّمَ </w:t>
      </w:r>
      <w:r>
        <w:rPr>
          <w:rStyle w:val="FootnoteAnchor"/>
          <w:rtl w:val="true"/>
        </w:rPr>
        <w:footnoteReference w:id="268"/>
      </w:r>
      <w:r>
        <w:rPr>
          <w:rFonts w:ascii="Amiri" w:hAnsi="Amiri" w:eastAsia="Amiri" w:cs="Amiri"/>
          <w:color w:val="111111"/>
          <w:sz w:val="28"/>
          <w:sz w:val="28"/>
          <w:szCs w:val="28"/>
          <w:rtl w:val="true"/>
          <w:lang w:bidi="ar-SA"/>
        </w:rPr>
        <w:t xml:space="preserve">أنّ الحكم بالقرعة غيرُ منحصر فيما ذُكر، وعموم الخبر يَدفعه، </w:t>
      </w:r>
    </w:p>
    <w:p>
      <w:pPr>
        <w:pStyle w:val="BookText"/>
        <w:rPr/>
      </w:pPr>
      <w:r>
        <w:rPr>
          <w:rFonts w:ascii="Amiri" w:hAnsi="Amiri" w:eastAsia="Amiri" w:cs="Amiri"/>
          <w:color w:val="111111"/>
          <w:sz w:val="28"/>
          <w:sz w:val="28"/>
          <w:szCs w:val="28"/>
          <w:rtl w:val="true"/>
          <w:lang w:bidi="ar-SA"/>
        </w:rPr>
        <w:t>والرجوع إليها هنا هو الوجه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فرق في ذلك كله بين المعتاد لبقعة معينة وغيره وإنْ كان اعتياده لدرس وإمامةٍ، ولا بين المُفارِقِ في أثناء الصلاة وغيره؛ للعموم</w:t>
      </w:r>
      <w:r>
        <w:rPr>
          <w:rStyle w:val="FootnoteAnchor"/>
          <w:rtl w:val="true"/>
        </w:rPr>
        <w:footnoteReference w:id="26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واستقرب المصنِّفُ في الدروس بقاء أولويّة المُفارِق في أثنائها اضطراراً، إلا أن يَجِد مكاناً مساوياً للأوّل أو أولى منه، محتجاً بأنّها صلاةٌ واحدةٌ فلا يُمنع من إتمامها</w:t>
      </w:r>
      <w:r>
        <w:rPr>
          <w:rStyle w:val="FootnoteAnchor"/>
          <w:rtl w:val="true"/>
        </w:rPr>
        <w:footnoteReference w:id="27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يخفى ما فيه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المدرسة والرباط</w:t>
      </w:r>
      <w:r>
        <w:rPr>
          <w:rStyle w:val="FootnoteAnchor"/>
          <w:rtl w:val="true"/>
        </w:rPr>
        <w:footnoteReference w:id="271"/>
      </w:r>
      <w:r>
        <w:rPr>
          <w:rFonts w:ascii="Amiri" w:hAnsi="Amiri" w:eastAsia="Amiri" w:cs="Amiri"/>
          <w:color w:val="111111"/>
          <w:sz w:val="28"/>
          <w:sz w:val="28"/>
          <w:szCs w:val="28"/>
          <w:rtl w:val="true"/>
          <w:lang w:bidi="ar-SA"/>
        </w:rPr>
        <w:t>، فمن سَكَن بيتاً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منهما أو أقام بمكان مخصوص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ممّن له السكنى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يكون متصفاً بالوصفِ المعتبر في الاستحقاق، إما في أصله بأن يكون مشتغلاً بالعلم في المدرسة أو بحسب الشرط؛ بأن تكون موقوفةً على قبيلة مخصوصة أو نوع من العلم أو المذاهب ويتصف الساكن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فهو أحقُّ به وإِن تَطَاوَلَتْ المدّة، إلّا مع مخالفة شرط الواقف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بأن يَشرِط الواقف أمداً فينتهي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واحتَمَل المصنف في الدروس في المدرسة ونحوها الإزعاج إذا تم عرضه من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وقَوَّى الاحتمال إذا ترك التشاغل بالعلم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لم يَشْرُطه الواقف، لأنّ موضوع المدرسة ذلك </w:t>
      </w:r>
      <w:r>
        <w:rPr>
          <w:rStyle w:val="FootnoteAnchor"/>
          <w:rtl w:val="true"/>
        </w:rPr>
        <w:footnoteReference w:id="27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وله أن يَمنَع مَن يُشاركه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فيها من الضرر إذا كان المسكنُ الذي أقام به مُعَدّاً لواحد، فلو أُعِد لما فوقه لم يكن له منعُ الزائد عنه، إلى أن يزيد عن النصاب المشروط</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ولو فارَقَ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ساكنُ المدرسة والرباط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لغير عذر بَطَل حقه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سواء بَقِىَ رحله أم 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وسواءٌ طالَتْ مدّة المفارقة أم قَصُرَت لصدقها، وخُلُو المكان الموجب لاستحقاق غيره إشغاله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ومفهومه أنه لو فارَقَ لعذر لم يسقط حقه مطلقاً، ويُشكل مع طول المدة</w:t>
      </w:r>
      <w:r>
        <w:rPr>
          <w:rFonts w:eastAsia="Amiri" w:cs="Amiri" w:ascii="Amiri" w:hAnsi="Amiri"/>
          <w:color w:val="111111"/>
          <w:sz w:val="28"/>
          <w:szCs w:val="28"/>
          <w:rtl w:val="true"/>
          <w:lang w:bidi="ar-SA"/>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وأطلق الأكثر بطلان حقه بالمفارقة، وفي التذكرة أنه إذا فارَقَ أياماً قليلةً لعذر فهو </w:t>
      </w:r>
    </w:p>
    <w:p>
      <w:pPr>
        <w:pStyle w:val="BookText"/>
        <w:rPr/>
      </w:pPr>
      <w:r>
        <w:rPr>
          <w:rFonts w:ascii="Amiri" w:hAnsi="Amiri" w:eastAsia="Amiri" w:cs="Amiri"/>
          <w:color w:val="111111"/>
          <w:sz w:val="28"/>
          <w:sz w:val="28"/>
          <w:szCs w:val="28"/>
          <w:rtl w:val="true"/>
          <w:lang w:bidi="ar-SA"/>
        </w:rPr>
        <w:t xml:space="preserve">أحقُ </w:t>
      </w:r>
      <w:r>
        <w:rPr>
          <w:rStyle w:val="FootnoteAnchor"/>
          <w:rtl w:val="true"/>
        </w:rPr>
        <w:footnoteReference w:id="273"/>
      </w:r>
      <w:r>
        <w:rPr>
          <w:rFonts w:ascii="Amiri" w:hAnsi="Amiri" w:eastAsia="Amiri" w:cs="Amiri"/>
          <w:color w:val="111111"/>
          <w:sz w:val="28"/>
          <w:sz w:val="28"/>
          <w:szCs w:val="28"/>
          <w:rtl w:val="true"/>
          <w:lang w:bidi="ar-SA"/>
        </w:rPr>
        <w:t>، وشَرَط بعضُهم بقاء الرحل وعدم طول المدة</w:t>
      </w:r>
      <w:r>
        <w:rPr>
          <w:rStyle w:val="FootnoteAnchor"/>
          <w:rtl w:val="true"/>
        </w:rPr>
        <w:footnoteReference w:id="27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الدروس ذكر في المسألة أوجُها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زوال حقه كالمسجد وبقاؤه مطلقاً لأنّه باستيلائه جَرَى مجرى المالك، وبقاؤه إن قَصُرت المدّة دون ما إذا طالت؛ لئلا يُضِرّ بالمستحقين، وبقاؤه إن خرج لضرورة وإن طالت المدة، وبقاءه إن بَقِيَ رحله أو خادمه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استقرب تفويض الأمر إلى ما يراه الناظرُ صَلاحاً</w:t>
      </w:r>
      <w:r>
        <w:rPr>
          <w:rStyle w:val="FootnoteAnchor"/>
          <w:rtl w:val="true"/>
        </w:rPr>
        <w:footnoteReference w:id="27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والأقوى أنه مع بقاءِ الرّحل وقصر المدّة لا يبطل حقه، وبدون الرحل يبطل إلا أن يقصُر الزمانُ بحيث لا يَخرُج عن الإقامة عرفاً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ويُشكل الرجوع إلى رأي الناظر مع إطلاق النظر؛ إذ ليس له إخراج المستحق اقتراحاً، فرأيه حينئذ فرع الاستحقاق وعدمه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 لو فُوِّضَ إليه الأمر مطلقاً فلا إشكال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الطُّرُقُ، وفائدتها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الأصل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الاستطراق، والناسُ فيها شَرع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بالنسبة إلى المنفعة المأذون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ويُمنَع من الانتفاع بها في غير 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المذكور وهو الاستطراق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ممّا يفوت به منفعة المارة</w:t>
      </w:r>
      <w:r>
        <w:rPr>
          <w:rStyle w:val="FootnoteAnchor"/>
          <w:rtl w:val="true"/>
        </w:rPr>
        <w:footnoteReference w:id="27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مطلقاً،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 يجوز الجلوس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للبيع والشراء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وغيرهما من الأعمال والأكوان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مع السعة حيث لا ضرر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المارة لو مَرُّوا في الطريق بغير موضعه، وليس لهم حينئذٍ تخصيص المَمَرّ بموضعه إذا كان لهم عنه مندوحة؛ لثبوتِ الاشتراك على هذا الوجه وإطباق الناس على ذلك في جميع الأصقاع</w:t>
      </w:r>
      <w:r>
        <w:rPr>
          <w:rFonts w:eastAsia="Amiri" w:cs="Amiri" w:ascii="Amiri" w:hAnsi="Amiri"/>
          <w:color w:val="111111"/>
          <w:sz w:val="28"/>
          <w:szCs w:val="28"/>
          <w:rtl w:val="true"/>
          <w:lang w:bidi="ar-SA"/>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ولا فرق في ذلك بين المسلمين وغيرهم؛ لأنّ لأهل الذمة منه ما للمسلمين في الجملة</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فإذا فارَقَ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المكان الذي جلس فيه للبيع وغيره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بطل حقه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مطلقاً؛ لأنه كان متعلقاً بكونه فيه وقد زال وإن كان رحله باقياً؛ لاختصاص ذلك بالمسجد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وأطلق المصنِّفُ في الدروس</w:t>
      </w:r>
      <w:r>
        <w:rPr>
          <w:rStyle w:val="FootnoteAnchor"/>
          <w:rtl w:val="true"/>
        </w:rPr>
        <w:footnoteReference w:id="277"/>
      </w:r>
      <w:r>
        <w:rPr>
          <w:rFonts w:ascii="Amiri" w:hAnsi="Amiri" w:eastAsia="Amiri" w:cs="Amiri"/>
          <w:color w:val="111111"/>
          <w:sz w:val="28"/>
          <w:sz w:val="28"/>
          <w:szCs w:val="28"/>
          <w:rtl w:val="true"/>
          <w:lang w:bidi="ar-SA"/>
        </w:rPr>
        <w:t>، وجماعة</w:t>
      </w:r>
      <w:r>
        <w:rPr>
          <w:rStyle w:val="FootnoteAnchor"/>
          <w:rtl w:val="true"/>
        </w:rPr>
        <w:footnoteReference w:id="278"/>
      </w:r>
      <w:r>
        <w:rPr>
          <w:rFonts w:ascii="Amiri" w:hAnsi="Amiri" w:eastAsia="Amiri" w:cs="Amiri"/>
          <w:color w:val="111111"/>
          <w:sz w:val="28"/>
          <w:sz w:val="28"/>
          <w:szCs w:val="28"/>
          <w:rtl w:val="true"/>
          <w:lang w:bidi="ar-SA"/>
        </w:rPr>
        <w:t>بقاء حقه مع بقاء رحله؛ لقول 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 xml:space="preserve">سُوقُ المسلمين كمسجدهم </w:t>
      </w:r>
      <w:r>
        <w:rPr>
          <w:rFonts w:eastAsia="Amiri" w:cs="Amiri" w:ascii="Amiri" w:hAnsi="Amiri"/>
          <w:color w:val="111111"/>
          <w:sz w:val="28"/>
          <w:szCs w:val="28"/>
          <w:rtl w:val="true"/>
          <w:lang w:bidi="ar-SA"/>
        </w:rPr>
        <w:t>»</w:t>
      </w:r>
      <w:r>
        <w:rPr>
          <w:rStyle w:val="FootnoteAnchor"/>
          <w:rtl w:val="true"/>
        </w:rPr>
        <w:footnoteReference w:id="279"/>
      </w:r>
      <w:r>
        <w:rPr>
          <w:rFonts w:ascii="Amiri" w:hAnsi="Amiri" w:eastAsia="Amiri" w:cs="Amiri"/>
          <w:color w:val="111111"/>
          <w:sz w:val="28"/>
          <w:sz w:val="28"/>
          <w:szCs w:val="28"/>
          <w:rtl w:val="true"/>
          <w:lang w:bidi="ar-SA"/>
        </w:rPr>
        <w:t>والطريق على هذا الوجه بمنزلة السوق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فرق مع سقوط حقه على التقديرين بين تضرُّرِه بتفرّق معامليه وعدمه، واحتمل في الدروس بقاءه مع الضرر؛ لأنّ أظهر المقاصد أن يُعرف مكانه ليَقصِدَه المُعامِلون، إلّا مع طول زمان المفارقة</w:t>
      </w:r>
      <w:r>
        <w:rPr>
          <w:rStyle w:val="FootnoteAnchor"/>
          <w:rtl w:val="true"/>
        </w:rPr>
        <w:footnoteReference w:id="280"/>
      </w:r>
      <w:r>
        <w:rPr>
          <w:rFonts w:ascii="Amiri" w:hAnsi="Amiri" w:eastAsia="Amiri" w:cs="Amiri"/>
          <w:color w:val="111111"/>
          <w:sz w:val="28"/>
          <w:sz w:val="28"/>
          <w:szCs w:val="28"/>
          <w:rtl w:val="true"/>
          <w:lang w:bidi="ar-SA"/>
        </w:rPr>
        <w:t>لاستناد الضرر حينئذ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التذكرة قيَّد بقاء حقه مع الرحل ببقاء النهار ، فلو دخل الليلَ سَقَط حقه</w:t>
      </w:r>
      <w:r>
        <w:rPr>
          <w:rStyle w:val="FootnoteAnchor"/>
          <w:rtl w:val="true"/>
        </w:rPr>
        <w:footnoteReference w:id="281"/>
      </w:r>
      <w:r>
        <w:rPr>
          <w:rFonts w:ascii="Amiri" w:hAnsi="Amiri" w:eastAsia="Amiri" w:cs="Amiri"/>
          <w:color w:val="111111"/>
          <w:sz w:val="28"/>
          <w:sz w:val="28"/>
          <w:szCs w:val="28"/>
          <w:rtl w:val="true"/>
          <w:lang w:bidi="ar-SA"/>
        </w:rPr>
        <w:t>؛ محتجاً بالخبر السابق حيث قال فيه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فمن سبق إلى مكان فهو أحق به إلى الليل</w:t>
      </w:r>
      <w:r>
        <w:rPr>
          <w:rFonts w:eastAsia="Amiri" w:cs="Amiri" w:ascii="Amiri" w:hAnsi="Amiri"/>
          <w:color w:val="111111"/>
          <w:sz w:val="28"/>
          <w:szCs w:val="28"/>
          <w:rtl w:val="true"/>
          <w:lang w:bidi="ar-SA"/>
        </w:rPr>
        <w:t>»</w:t>
      </w:r>
      <w:r>
        <w:rPr>
          <w:rStyle w:val="FootnoteAnchor"/>
          <w:rtl w:val="true"/>
        </w:rPr>
        <w:footnoteReference w:id="28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ويُشكل بأنّ الرواية تدل بإطلاقها على بقاء الحق إلى الليل سواء كان له رحل أم 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والوجه بقاءُ حقه مع بقاء رحله ما لم يطل الزمانُ أو يُضر بالمارة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فرق بين الزائد عن مقدار الطريق شرعاً وما دونه، إلا أن يُجَوَّزَ إحياءُ الزائد فيجوز الجلوس فيه مطلقاً</w:t>
      </w:r>
      <w:r>
        <w:rPr>
          <w:rFonts w:eastAsia="Amiri" w:cs="Amiri" w:ascii="Amiri" w:hAnsi="Amiri"/>
          <w:color w:val="111111"/>
          <w:sz w:val="28"/>
          <w:szCs w:val="28"/>
          <w:rtl w:val="true"/>
          <w:lang w:bidi="ar-SA"/>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وحيث يجوز له الجلوس يجوز التظليلُ عليه بما لا يَضُرّ بالمارّة، دون التسقيف وبناء دكّةٍ وغيرها، إلا على الوجهِ المُرَخَّص فى الطريق مطلقاً، وقد تقدّم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وكذا الحكم في مقاعدِ الأسواق المُباحةِ، ولم يذكرها المصنّف هنا، وصرَّح في الدروس</w:t>
      </w:r>
      <w:r>
        <w:rPr>
          <w:rStyle w:val="FootnoteAnchor"/>
          <w:rtl w:val="true"/>
        </w:rPr>
        <w:footnoteReference w:id="283"/>
      </w:r>
      <w:r>
        <w:rPr>
          <w:rFonts w:ascii="Amiri" w:hAnsi="Amiri" w:eastAsia="Amiri" w:cs="Amiri"/>
          <w:color w:val="111111"/>
          <w:sz w:val="28"/>
          <w:sz w:val="28"/>
          <w:szCs w:val="28"/>
          <w:rtl w:val="true"/>
          <w:lang w:bidi="ar-SA"/>
        </w:rPr>
        <w:t>بإلحاقها بما ذُكر في حكم الطريق</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المياه المباحةُ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كمياء العيون في المُباح، والآبار المباحة، والغيوث والأنهار الكبارِ كالفرات ودجلة والنيل، والصغار التي لم يُجْرِها مُجْرٍ بنيّة التملك، فإنّ الناس فيها شَرع،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 سبق إلى اعتراف شيء منها فهو أولى به، ويملكه مع نيّة التملك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لأنّ المباحَ لا يُملك إلا بالإحراز والنية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ومقتضى العبارة أنّ الأولوية تحصل بدون نية التملك بخلاف الملك تنزيلاً للفعل قبل النيّة منزلة التحجير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يُشكل هنا بأنّه إن نَوَى بالإحراز الملك فقد حصل الشرط، وإلّا كان كالعابت لا يستفيد أولوية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 أَجرَى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من المياه المباحة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نهراً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بنية التملك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مَلَك الماءَ المُجْرَى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أصح القولين</w:t>
      </w:r>
      <w:r>
        <w:rPr>
          <w:rStyle w:val="FootnoteAnchor"/>
          <w:rtl w:val="true"/>
        </w:rPr>
        <w:footnoteReference w:id="28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وحُكي عن الشيخ إفادته الأولوية خاصةً</w:t>
      </w:r>
      <w:r>
        <w:rPr>
          <w:rStyle w:val="FootnoteAnchor"/>
          <w:rtl w:val="true"/>
        </w:rPr>
        <w:footnoteReference w:id="285"/>
      </w:r>
      <w:r>
        <w:rPr>
          <w:rFonts w:ascii="Amiri" w:hAnsi="Amiri" w:eastAsia="Amiri" w:cs="Amiri"/>
          <w:color w:val="111111"/>
          <w:sz w:val="28"/>
          <w:sz w:val="28"/>
          <w:szCs w:val="28"/>
          <w:rtl w:val="true"/>
          <w:lang w:bidi="ar-SA"/>
        </w:rPr>
        <w:t xml:space="preserve">؛ استناداً إلى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الناس شركاء في ثلاث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النار والماء والكَلاءِ</w:t>
      </w:r>
      <w:r>
        <w:rPr>
          <w:rFonts w:eastAsia="Amiri" w:cs="Amiri" w:ascii="Amiri" w:hAnsi="Amiri"/>
          <w:color w:val="111111"/>
          <w:sz w:val="28"/>
          <w:szCs w:val="28"/>
          <w:rtl w:val="true"/>
          <w:lang w:bidi="ar-SA"/>
        </w:rPr>
        <w:t>»</w:t>
      </w:r>
      <w:r>
        <w:rPr>
          <w:rStyle w:val="FootnoteAnchor"/>
          <w:rtl w:val="true"/>
        </w:rPr>
        <w:footnoteReference w:id="286"/>
      </w:r>
      <w:r>
        <w:rPr>
          <w:rFonts w:ascii="Amiri" w:hAnsi="Amiri" w:eastAsia="Amiri" w:cs="Amiri"/>
          <w:color w:val="111111"/>
          <w:sz w:val="28"/>
          <w:sz w:val="28"/>
          <w:szCs w:val="28"/>
          <w:rtl w:val="true"/>
          <w:lang w:bidi="ar-SA"/>
        </w:rPr>
        <w:t>، وهو محمول على المباح منه دون المملوك إجماعاً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 أجرى عيناً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أخرجها من الأرض وأجراها على وجهها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فكذلك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يملكها مع نية التملك، ولا يصح لغيره أخذ شيء من مائها إلا بإذنه، ولو كان المُجرِي جماعةً مَلكوه على نسبة عملهم، لا على نسبة خرجهم إلا أن يكون الخرج تابعاً للعمل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وجوّز في الدروس الوضوء والغسل وتطهير الثوب منه؛ عملاً بشاهد الحال إلا مع النهي</w:t>
      </w:r>
      <w:r>
        <w:rPr>
          <w:rStyle w:val="FootnoteAnchor"/>
          <w:rtl w:val="true"/>
        </w:rPr>
        <w:footnoteReference w:id="287"/>
      </w:r>
      <w:r>
        <w:rPr>
          <w:rFonts w:ascii="Amiri" w:hAnsi="Amiri" w:eastAsia="Amiri" w:cs="Amiri"/>
          <w:color w:val="111111"/>
          <w:sz w:val="28"/>
          <w:sz w:val="28"/>
          <w:szCs w:val="28"/>
          <w:rtl w:val="true"/>
          <w:lang w:bidi="ar-SA"/>
        </w:rPr>
        <w:t>، ولا يجوز ذلك من المُحْرز فى الإناء ولا ممّا يُظَنّ الكراهة فيه مطلقاً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لم يَنْتَهِ الحفرُ في النهر والعين إلى الماء بحيث يجري فيه فهو تحجيرٌ يُفيد الأولوية، كما مرّ</w:t>
      </w:r>
      <w:r>
        <w:rPr>
          <w:rFonts w:eastAsia="Amiri" w:cs="Amiri" w:ascii="Amiri" w:hAnsi="Amiri"/>
          <w:color w:val="111111"/>
          <w:sz w:val="28"/>
          <w:szCs w:val="28"/>
          <w:rtl w:val="true"/>
          <w:lang w:bidi="ar-SA"/>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يملك الماءَ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احتقن شيئاً من مياه الغيث أو السيل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لتحققِ الإحراز مع </w:t>
      </w:r>
    </w:p>
    <w:p>
      <w:pPr>
        <w:pStyle w:val="BookText"/>
        <w:rPr/>
      </w:pPr>
      <w:r>
        <w:rPr>
          <w:rFonts w:ascii="Amiri" w:hAnsi="Amiri" w:eastAsia="Amiri" w:cs="Amiri"/>
          <w:color w:val="111111"/>
          <w:sz w:val="28"/>
          <w:sz w:val="28"/>
          <w:szCs w:val="28"/>
          <w:rtl w:val="true"/>
          <w:lang w:bidi="ar-SA"/>
        </w:rPr>
        <w:t>نية التملك كإجراء النهر، ومثله ما لو أجرى ماءَ الغيث في ساقية ونحوها إلى مكان بنية التملك، سواءٌ أحرزها فيه أم لا، حتى لو أحرزها في ملك الغير وإن كان غاصباً للمُحرز فيه لا إذا أجراها ابتداءً في ملك الغير فإنّه لا يفيد ملكاً، مع احتماله كما لو أحرزها في الآنية المغصوبة بنية التملك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 حَفَر بئراً مَلَك الماءَ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يحصل فيه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بوصوله 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أي إلى الماء إذا قصد التملك،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ولو قصد الانتفاع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بالماء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والمفارقة فهو أولى به مادام نازلاً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فارَقَه بَطَل حقه، فلو عاد بعد المفارقة ساوى غيره على الأقوى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تجرَّدَ عن قصد التملكِ والانتفاع فمقتضى القواعدِ السابقة عدمُ المِلكِ والأولوية معاً كالعابت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المعادن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وهي قسمان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ظاهرةً وهي التي لا يحتاج تحصيلها إلى طلب، كالياقوت والبرام والقير والنفط والملح والكبريت وأحجار الرحى وطين الغسل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وباطنة وهي المتوقفُ ظهورُها على العمل، كالذهب والفضة والحديد والنحاس والرصاص والبلور والفَيْرُوزَج</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فالظاهرة لا تُملك بالإحياء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لأنّ إحياء المعدن إظهاره بالعمل وهو غيرُ مُتَصوَّر في المعادن الظاهرة لظهورها، بل التحجير أيضاً؛ لأنه الشروع في الإحياء، وإدارة نحو الحائط إحياء للأرض على وجه، لا مطلقاً، بل الناسُ فيها شَرع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الإمامُ وغيرُه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يجوز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يُقْطِعَها السلطانُ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العادل لأحدٍ على الأشهر؛ لاشتراك الناس فيها، وربما قيل بالجواز</w:t>
      </w:r>
      <w:r>
        <w:rPr>
          <w:rStyle w:val="FootnoteAnchor"/>
          <w:rtl w:val="true"/>
        </w:rPr>
        <w:footnoteReference w:id="288"/>
      </w:r>
      <w:r>
        <w:rPr>
          <w:rFonts w:ascii="Amiri" w:hAnsi="Amiri" w:eastAsia="Amiri" w:cs="Amiri"/>
          <w:color w:val="111111"/>
          <w:sz w:val="28"/>
          <w:sz w:val="28"/>
          <w:szCs w:val="28"/>
          <w:rtl w:val="true"/>
          <w:lang w:bidi="ar-SA"/>
        </w:rPr>
        <w:t>نظراً إلى عموم ولايته ونظره</w:t>
      </w:r>
      <w:r>
        <w:rPr>
          <w:rFonts w:eastAsia="Amiri" w:cs="Amiri" w:ascii="Amiri" w:hAnsi="Amiri"/>
          <w:color w:val="111111"/>
          <w:sz w:val="28"/>
          <w:szCs w:val="28"/>
          <w:rtl w:val="true"/>
          <w:lang w:bidi="ar-SA"/>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 سبق إليها فله أخذ حاجته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أخذ ما شاء وإن زاد عمّا يحتاج إليه؛ لثبوت الأحقية بالسبق، سواءٌ طال زمانُه أم قَصُر،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تَوَافَيا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عليها دفعةً واحدةً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وأمكن القسمةُ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بينهما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قسمة الحاصل بينهما؛ لتساويهما في سبب الاستحقاق وإمكان الجمع بينهما فيه بالقسمة وإن لم يمكن الجمع بينهما للأخذ من مكان واحد</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هذا إذا لم يَزِد المعدن عن مطلوبهما، وإلّا أشكل القول بالقسمة لعدم اختصاصهما به حينئذ</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يُمكن القسمة بينهما لقلة المطلوب أو لعدم قبوله لها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أقرع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بينهما؛ لاستوائهما في الأولوية وعدم إمكان الاشتراك، واستحالة الترجيح فأشكل المستحِقُ فعين بالقرعة؛ لأنّها لكلّ أمر مشكل فمن أَخْرَجَتْه القرعةُ أخذه أجمع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زاد عن حاجتهما ولم يمكن أخذهما دفعةً لضيق المكان فالقرعة أيضاً وإن أمكن القسمة وفائدتها تقديمُ مَن أخرجته في أخذ حاجته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ومثله ما لو ازدحم اثنان على نهر ونحوه، ولم يمكن الجمعُ، ولو تَقَلَّبَ أحدهما على الآخر أَيْمَ ومَلك هنا، بخلاف تَغَلُّبِه على أولوية التحجير والماء الذي لا يفي بغرضهما، والفرق أنّ الملك مع الزيادة لا يتحقق بخلاف ما لو لم يزد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المعادن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الباطنةُ تُملك ببلوغ نَيْلِها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وذلك هو إحياؤها وما دونه تحجير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كانت على وجه الأرض أو مستورة بتراب يسير لا يصدق معه الإحياء عرفاً لم يُملك بغير الحيازة كالظاهرة</w:t>
      </w:r>
      <w:r>
        <w:rPr>
          <w:rFonts w:eastAsia="Amiri" w:cs="Amiri" w:ascii="Amiri" w:hAnsi="Amiri"/>
          <w:color w:val="111111"/>
          <w:sz w:val="28"/>
          <w:szCs w:val="28"/>
          <w:rtl w:val="true"/>
          <w:lang w:bidi="ar-SA"/>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هذا كله إذا كان المعدِنُ في أرض مباحةٍ، فلو كان في أرض مملوكة فهو بحكمها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وكذا لو أحيا أرضاً مواتاً فظهر فيها معدن فإنّه يملكه وإن كان ظاهراً، إلا أن يكون ظهوره سابقاً على إحيائه وحيث يُملك المعدِنُ يُملك حريمه، وهو منتهى عُروقه عادةً ومَطْرَحُ ترابه وطريقه وما يتوقَّفُ عليه عمله إن عَمِلَه عنده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كان المعدِنُ في الأرضِ المختصة بالإمام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فهو له تبعاً لها، والناسُ في غيره شَرع على الأقوى، وقد تقدَّم الكلام فيه في باب الخمس</w:t>
      </w:r>
      <w:r>
        <w:rPr>
          <w:rFonts w:eastAsia="Amiri" w:cs="Amiri" w:ascii="Amiri" w:hAnsi="Amiri"/>
          <w:color w:val="111111"/>
          <w:sz w:val="28"/>
          <w:szCs w:val="28"/>
          <w:rtl w:val="true"/>
          <w:lang w:bidi="ar-SA"/>
        </w:rPr>
        <w:t xml:space="preserve">. </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64" w:name="pg11049_88405"/>
      <w:bookmarkStart w:id="65" w:name="pg11049_88405"/>
      <w:bookmarkEnd w:id="65"/>
    </w:p>
    <w:p>
      <w:pPr>
        <w:pStyle w:val="Heading2"/>
        <w:numPr>
          <w:ilvl w:val="1"/>
          <w:numId w:val="1"/>
        </w:numPr>
        <w:rPr/>
      </w:pPr>
      <w:bookmarkStart w:id="66" w:name="pg11049_88405"/>
      <w:bookmarkStart w:id="67" w:name="__RefHeading___Toc1446111_1067777946"/>
      <w:bookmarkStart w:id="68" w:name="_Toc19"/>
      <w:bookmarkEnd w:id="66"/>
      <w:bookmarkEnd w:id="67"/>
      <w:r>
        <w:rPr>
          <w:rtl w:val="true"/>
        </w:rPr>
        <w:t>کتاب الصيد والذباحة</w:t>
      </w:r>
      <w:bookmarkEnd w:id="68"/>
    </w:p>
    <w:p>
      <w:pPr>
        <w:pStyle w:val="Heading3"/>
        <w:numPr>
          <w:ilvl w:val="2"/>
          <w:numId w:val="1"/>
        </w:numPr>
        <w:rPr/>
      </w:pPr>
      <w:bookmarkStart w:id="69" w:name="__RefHeading___Toc1446113_1067777946"/>
      <w:bookmarkStart w:id="70" w:name="_Toc20"/>
      <w:bookmarkEnd w:id="69"/>
      <w:r>
        <w:rPr>
          <w:rtl w:val="true"/>
        </w:rPr>
        <w:t>اشارة</w:t>
      </w:r>
      <w:bookmarkEnd w:id="70"/>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وفيه فصول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ثلاثة</w:t>
      </w:r>
      <w:r>
        <w:rPr>
          <w:rFonts w:eastAsia="Amiri" w:cs="Amiri" w:ascii="Amiri" w:hAnsi="Amiri"/>
          <w:color w:val="111111"/>
          <w:sz w:val="28"/>
          <w:szCs w:val="28"/>
          <w:rtl w:val="true"/>
          <w:lang w:bidi="ar-SA"/>
        </w:rPr>
        <w:t xml:space="preserve">: </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1" w:name="pg11049_88407"/>
      <w:bookmarkStart w:id="72" w:name="pg11049_88407"/>
      <w:bookmarkEnd w:id="72"/>
    </w:p>
    <w:p>
      <w:pPr>
        <w:pStyle w:val="Heading3"/>
        <w:numPr>
          <w:ilvl w:val="2"/>
          <w:numId w:val="1"/>
        </w:numPr>
        <w:rPr/>
      </w:pPr>
      <w:bookmarkStart w:id="73" w:name="pg11049_88407"/>
      <w:bookmarkStart w:id="74" w:name="__RefHeading___Toc1446115_1067777946"/>
      <w:bookmarkStart w:id="75" w:name="_Toc21"/>
      <w:bookmarkEnd w:id="73"/>
      <w:bookmarkEnd w:id="74"/>
      <w:r>
        <w:rPr>
          <w:rtl w:val="true"/>
        </w:rPr>
        <w:t>الفصل الأول في آلة الصيد</w:t>
      </w:r>
      <w:bookmarkEnd w:id="7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يجوز الاصطياد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بمعنى إثباتِ الصيد وتحصيله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بجميع آلاته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التي يمكن تحصيله بها، من السيف والرمح والسهم والكلب والفهد والبازي والصفر والعقاب والباشق والشَرَك والحِبالة والشبكة والفَخّ والبندق وغيرها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يُؤْكَل 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من الحيواناتِ المَصِيدة المدلول عليها بالاصطياد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لم يُذَكَّ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بالذبح بعد إدراكه حياً، فلو أدركه بعد رميه ميّتاً أو مات قبل تذكيته لم يَحِلّ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 ما قَتَله الكلبُ المُعَلَّم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دون غيره، على أظهر الأقوال</w:t>
      </w:r>
      <w:r>
        <w:rPr>
          <w:rStyle w:val="FootnoteAnchor"/>
          <w:rtl w:val="true"/>
        </w:rPr>
        <w:footnoteReference w:id="289"/>
      </w:r>
      <w:r>
        <w:rPr>
          <w:rFonts w:ascii="IRNazanin" w:hAnsi="IRNazanin" w:eastAsia="IRNazanin"/>
          <w:color w:val="111111"/>
          <w:sz w:val="28"/>
          <w:sz w:val="28"/>
          <w:szCs w:val="28"/>
          <w:rtl w:val="true"/>
          <w:lang w:bidi="fa-IR"/>
        </w:rPr>
        <w:t>والأخبار</w:t>
      </w:r>
      <w:r>
        <w:rPr>
          <w:rStyle w:val="FootnoteAnchor"/>
          <w:rtl w:val="true"/>
        </w:rPr>
        <w:footnoteReference w:id="29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ويثبت تعليمُ الكلب بكونه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بحيث يسترسل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ينطلق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أرسل، ويَنزجِر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ويَقِفُ عن الاسترسال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إذا زُجر </w:t>
      </w:r>
      <w:r>
        <w:rPr>
          <w:rStyle w:val="FootnoteAnchor"/>
          <w:rtl w:val="true"/>
        </w:rPr>
        <w:footnoteReference w:id="291"/>
      </w:r>
      <w:r>
        <w:rPr>
          <w:rFonts w:ascii="Amiri" w:hAnsi="Amiri" w:eastAsia="Amiri" w:cs="Amiri"/>
          <w:color w:val="111111"/>
          <w:sz w:val="28"/>
          <w:sz w:val="28"/>
          <w:szCs w:val="28"/>
          <w:rtl w:val="true"/>
          <w:lang w:bidi="ar-SA"/>
        </w:rPr>
        <w:t xml:space="preserve">عنه، ولا يعتادُ أكل ما يُمْسِكُه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الصيد</w:t>
      </w:r>
      <w:r>
        <w:rPr>
          <w:rFonts w:eastAsia="Amiri" w:cs="Amiri" w:ascii="Amiri" w:hAnsi="Amiri"/>
          <w:color w:val="111111"/>
          <w:sz w:val="28"/>
          <w:szCs w:val="28"/>
          <w:rtl w:val="true"/>
          <w:lang w:bidi="ar-SA"/>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ويتحقق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الوصفُ وهو الاسترسال والانزجار وعدم الأكل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بالتكرار على هذه الصفاتِ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الثلاث مراراً يُصدق بها التعليم عرفاً، فإذا تحقق كونه مُعَلَّماً حَلَّ مقتوله، وإن خلا عن الأوصاف إلى أن يَتكرَّر فَقْدُها على وجه يصدق عليه </w:t>
      </w:r>
    </w:p>
    <w:p>
      <w:pPr>
        <w:pStyle w:val="BookText"/>
        <w:rPr/>
      </w:pPr>
      <w:r>
        <w:rPr>
          <w:rFonts w:ascii="Amiri" w:hAnsi="Amiri" w:eastAsia="Amiri" w:cs="Amiri"/>
          <w:color w:val="111111"/>
          <w:sz w:val="28"/>
          <w:sz w:val="28"/>
          <w:szCs w:val="28"/>
          <w:rtl w:val="true"/>
          <w:lang w:bidi="ar-SA"/>
        </w:rPr>
        <w:t>زوالُ التعليم عرفاً ثمّ يَحرُم مقتوله ، ولا يعود إلى أن يتكرر اتصافه بها كذلك، وهكذا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ولو أكل نادراً أو لم يسترسل نادراً لم يَقدَح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تحققِ التعليم عرفاً، ولا في زواله بعد حصوله، كما لا يقدَح حصول الأوصاف له نادراً، وكذا لا يقدح شربه الدم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ويجب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بمعنى الاشتراط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أمور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التسمية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لله تعالى من المُرسل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عند إرساله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الكلب المعلَّم، فلو تركها عمداً حَرُم، ولو كان نسياناً حَلَّ إن لم يذكر قبل الإصابة، وإلّا اشترط استدراكها عند الذكر ولوْ مقارنةً 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ولو تركها جهلاً بوجوبها، ففي إلحاقه بالعامد أو الناسي وجهان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أنه عامد، ومن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الناس في سعةٍ ممّا لم يعلموا</w:t>
      </w:r>
      <w:r>
        <w:rPr>
          <w:rFonts w:eastAsia="Amiri" w:cs="Amiri" w:ascii="Amiri" w:hAnsi="Amiri"/>
          <w:color w:val="111111"/>
          <w:sz w:val="28"/>
          <w:szCs w:val="28"/>
          <w:rtl w:val="true"/>
          <w:lang w:bidi="ar-SA"/>
        </w:rPr>
        <w:t>»</w:t>
      </w:r>
      <w:r>
        <w:rPr>
          <w:rStyle w:val="FootnoteAnchor"/>
          <w:rtl w:val="true"/>
        </w:rPr>
        <w:footnoteReference w:id="292"/>
      </w:r>
      <w:r>
        <w:rPr>
          <w:rFonts w:ascii="Amiri" w:hAnsi="Amiri" w:eastAsia="Amiri" w:cs="Amiri"/>
          <w:color w:val="111111"/>
          <w:sz w:val="28"/>
          <w:sz w:val="28"/>
          <w:szCs w:val="28"/>
          <w:rtl w:val="true"/>
          <w:lang w:bidi="ar-SA"/>
        </w:rPr>
        <w:t>، وألحقه المصنف في بعض فوائده بالناسي</w:t>
      </w:r>
      <w:r>
        <w:rPr>
          <w:rStyle w:val="FootnoteAnchor"/>
          <w:rtl w:val="true"/>
        </w:rPr>
        <w:footnoteReference w:id="293"/>
      </w:r>
      <w:r>
        <w:rPr>
          <w:rFonts w:eastAsia="Times New Roman" w:cs="Times New Roman" w:ascii="Times New Roman" w:hAnsi="Times New Roman"/>
          <w:color w:val="111111"/>
          <w:sz w:val="28"/>
          <w:szCs w:val="28"/>
          <w:rtl w:val="true"/>
          <w:lang w:val="en-US" w:bidi="en-US"/>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ولو تَعمَّد تَرْكَها عند الإرسال ثمّ استدركها قبل الإصابة، ففي الإجزاء قولان</w:t>
      </w:r>
      <w:r>
        <w:rPr>
          <w:rStyle w:val="FootnoteAnchor"/>
          <w:rtl w:val="true"/>
        </w:rPr>
        <w:footnoteReference w:id="294"/>
      </w:r>
      <w:r>
        <w:rPr>
          <w:rFonts w:ascii="Amiri" w:hAnsi="Amiri" w:eastAsia="Amiri" w:cs="Amiri"/>
          <w:color w:val="111111"/>
          <w:sz w:val="28"/>
          <w:sz w:val="28"/>
          <w:szCs w:val="28"/>
          <w:rtl w:val="true"/>
          <w:lang w:bidi="ar-SA"/>
        </w:rPr>
        <w:t>، أقربهما الإجزاء؛ لتناول الأدلة له مثل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تَأْكُلُوا مِمَّا لَمْ يُذْكَرِ أَسْمُ اللهِ عَلَيْهِ</w:t>
      </w:r>
      <w:r>
        <w:rPr>
          <w:rStyle w:val="FootnoteAnchor"/>
          <w:rtl w:val="true"/>
        </w:rPr>
        <w:footnoteReference w:id="295"/>
      </w:r>
      <w:r>
        <w:rPr>
          <w:rFonts w:ascii="Amiri" w:hAnsi="Amiri" w:eastAsia="Amiri" w:cs="Amiri"/>
          <w:color w:val="111111"/>
          <w:sz w:val="28"/>
          <w:sz w:val="28"/>
          <w:szCs w:val="28"/>
          <w:rtl w:val="true"/>
          <w:lang w:bidi="ar-SA"/>
        </w:rPr>
        <w:t>فَكُلُواْ مِمَّا أَمْسَكْنَ عَلَيْكُمْ وَاذْكُرُوا اسْمَ اللَّهِ عَلَيْهِ</w:t>
      </w:r>
      <w:r>
        <w:rPr>
          <w:rStyle w:val="FootnoteAnchor"/>
          <w:rtl w:val="true"/>
        </w:rPr>
        <w:footnoteReference w:id="296"/>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97"/>
      </w:r>
      <w:r>
        <w:rPr>
          <w:rFonts w:ascii="Amiri" w:hAnsi="Amiri" w:eastAsia="Amiri" w:cs="Amiri"/>
          <w:color w:val="111111"/>
          <w:sz w:val="28"/>
          <w:sz w:val="28"/>
          <w:szCs w:val="28"/>
          <w:rtl w:val="true"/>
          <w:lang w:bidi="ar-SA"/>
        </w:rPr>
        <w:t>، وقول الصادق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كُل ما قتله الكلبُ إذا سَمَّيْتَ</w:t>
      </w:r>
      <w:r>
        <w:rPr>
          <w:rFonts w:eastAsia="Amiri" w:cs="Amiri" w:ascii="Amiri" w:hAnsi="Amiri"/>
          <w:color w:val="111111"/>
          <w:sz w:val="28"/>
          <w:szCs w:val="28"/>
          <w:rtl w:val="true"/>
          <w:lang w:bidi="ar-SA"/>
        </w:rPr>
        <w:t>»</w:t>
      </w:r>
      <w:r>
        <w:rPr>
          <w:rStyle w:val="FootnoteAnchor"/>
          <w:rtl w:val="true"/>
        </w:rPr>
        <w:footnoteReference w:id="298"/>
      </w:r>
      <w:r>
        <w:rPr>
          <w:rFonts w:ascii="Amiri" w:hAnsi="Amiri" w:eastAsia="Amiri" w:cs="Amiri"/>
          <w:color w:val="111111"/>
          <w:sz w:val="28"/>
          <w:sz w:val="28"/>
          <w:szCs w:val="28"/>
          <w:rtl w:val="true"/>
          <w:lang w:bidi="ar-SA"/>
        </w:rPr>
        <w:t xml:space="preserve">، ولأنّه أقرب إلى الفعل المعتبر في الذكاة فكان أولى؛ </w:t>
      </w:r>
    </w:p>
    <w:p>
      <w:pPr>
        <w:pStyle w:val="BookText"/>
        <w:rPr/>
      </w:pPr>
      <w:r>
        <w:rPr>
          <w:rFonts w:ascii="Amiri" w:hAnsi="Amiri" w:eastAsia="Amiri" w:cs="Amiri"/>
          <w:color w:val="111111"/>
          <w:sz w:val="28"/>
          <w:sz w:val="28"/>
          <w:szCs w:val="28"/>
          <w:rtl w:val="true"/>
          <w:lang w:bidi="ar-SA"/>
        </w:rPr>
        <w:t>ووجه المنع دلالة بعض الأخبار على أنّ محلَّها الإرسال</w:t>
      </w:r>
      <w:r>
        <w:rPr>
          <w:rStyle w:val="FootnoteAnchor"/>
          <w:rtl w:val="true"/>
        </w:rPr>
        <w:footnoteReference w:id="299"/>
      </w:r>
      <w:r>
        <w:rPr>
          <w:rFonts w:ascii="Amiri" w:hAnsi="Amiri" w:eastAsia="Amiri" w:cs="Amiri"/>
          <w:color w:val="111111"/>
          <w:sz w:val="28"/>
          <w:sz w:val="28"/>
          <w:szCs w:val="28"/>
          <w:rtl w:val="true"/>
          <w:lang w:bidi="ar-SA"/>
        </w:rPr>
        <w:t xml:space="preserve">، ولأنه إجماعي وغيره مشكوك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عبرة بتسمية غيرِ المُرسل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اشتَرَك في قتله كلبان مُعَلَّمان اعتُبِر تسمية مُرْسِلَيْهما، فلو تركها أحدهما أو كان أحد الكلبين غير مُرسَل أو غير معلَّمٍ لم يَحِلّ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والمعتبرُ من التسمية هنا وفي إرسال السهم والذبح والنَّحْر ذكرُ اللهِ المقترِنُ بالتعظيم؛ لأنه لأنه المفهوم منه كإحدى التسبيحات الأربع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اغفر 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 ارحمني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 على محمد وآله قولان</w:t>
      </w:r>
      <w:r>
        <w:rPr>
          <w:rStyle w:val="FootnoteAnchor"/>
          <w:rtl w:val="true"/>
        </w:rPr>
        <w:footnoteReference w:id="300"/>
      </w:r>
      <w:r>
        <w:rPr>
          <w:rFonts w:ascii="Amiri" w:hAnsi="Amiri" w:eastAsia="Amiri" w:cs="Amiri"/>
          <w:color w:val="111111"/>
          <w:sz w:val="28"/>
          <w:sz w:val="28"/>
          <w:szCs w:val="28"/>
          <w:rtl w:val="true"/>
          <w:lang w:bidi="ar-SA"/>
        </w:rPr>
        <w:t>، أقربهما الإجزاء، دون ذكر الله مجرداً، مع احتماله لصدق الذكر، وبه قطع الفاضل</w:t>
      </w:r>
      <w:r>
        <w:rPr>
          <w:rStyle w:val="FootnoteAnchor"/>
          <w:rtl w:val="true"/>
        </w:rPr>
        <w:footnoteReference w:id="30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 اشتراط وقوعه بالعربية قولان</w:t>
      </w:r>
      <w:r>
        <w:rPr>
          <w:rStyle w:val="FootnoteAnchor"/>
          <w:rtl w:val="true"/>
        </w:rPr>
        <w:footnoteReference w:id="30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صدقِ الذكر، وتصريح القرآن باسم الله العربي، والأقوى الإجزاء؛ لأنّ المراد من الله تعالى في الآية الذاتُ لا الاسم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وعليه يتفرع ذكرُ الله تعالى بأسمائه المختصة به غير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فعلى الأوّل يُجزئ لصدق الذكر، دون الثاني، ولكن هذا مما لم يُنبهوا عليه</w:t>
      </w:r>
      <w:r>
        <w:rPr>
          <w:rFonts w:eastAsia="Amiri" w:cs="Amiri" w:ascii="Amiri" w:hAnsi="Amiri"/>
          <w:color w:val="111111"/>
          <w:sz w:val="28"/>
          <w:szCs w:val="28"/>
          <w:rtl w:val="true"/>
          <w:lang w:bidi="ar-SA"/>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وأن يكون المُرسِلُ مسلماً أو بحكمه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كولدِه المميّز غير البالغ ذَكَراً كان أم أُنثى، فلو أرسله الكافرُ لم يَحِلّ وإنْ سَمَّى، أو كان ذمّيّاً على الأصح</w:t>
      </w:r>
      <w:r>
        <w:rPr>
          <w:rStyle w:val="FootnoteAnchor"/>
          <w:rtl w:val="true"/>
        </w:rPr>
        <w:footnoteReference w:id="303"/>
      </w:r>
      <w:r>
        <w:rPr>
          <w:rFonts w:ascii="Amiri" w:hAnsi="Amiri" w:eastAsia="Amiri" w:cs="Amiri"/>
          <w:color w:val="111111"/>
          <w:sz w:val="28"/>
          <w:sz w:val="28"/>
          <w:szCs w:val="28"/>
          <w:rtl w:val="true"/>
          <w:lang w:bidi="ar-SA"/>
        </w:rPr>
        <w:t>، وكذا الناصب من المسلمين والمُجَسِّمُ، أما غيرُهما من المخالفين ففي حِلّ صيده الخِلافُ الآتي في الذبيحة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يَحِلّ صيد الصبي غير المميز ولا المجنون؛ لاشتراط القصد، وأما الأعمى فإن تُصُوِّر فيه قصد الصيد حَلَّ صيده وإلا فلا</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وأن يُرسله للاصطياد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فلو استرسل من نفسه أو أرسله لا للصيد فصادَفَ صيداً فقتله لم يَحِلّ وإنْ زاده إغراء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لو زَجَره فوَقَف ثمّ أَرسله حَلَّ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 لا يَغِيبَ الصيد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المُرسِل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وحياتُه مستقِرَّةٌ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يمكن أن يَعِيش ولوْ نصف يوم، فلو غاب كذلك لم يَحِلّ؛ لجواز استناد القتل إلى غير الكلب، سواءٌ وَجَد الكلب واقفاً عليه أم لا، وسواءٌ وَجَد فيه أثراً غيرَ عَضَةِ الكلب أم لا، وسواءٌ تَشاغَلَ عنه أم 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وأولى منه لو تَرَدَّى من جَبَلٍ ونحوه وإنْ لم يَغِبْ؛ فإن الشرط موته بجرح الكلب حتى لو مات بإتعابه أو غَمِّه لم يَحِلّ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لو عَلِم انتفاءَ سبب خارجي أو غاب بعد أن صارت حياته غير مستقرة وصار في حكم المذبوح أو تَرَدَّى كذلك حَلَّ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ويُشترَط مع ذلك كون الصيد ممتنعاً سواء كان وحشيّاً أم أهلياً، فلو قتل غير الممتنع من الفُرُوخ أو الأهلية لم يَحِلّ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ويُؤْكَلُ أيضاً من الصيد ما قتله السيفُ والرُّمْحُ والسَهْمُ وكلُّ ما فيه نَصْلُ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حديدٍ سواءٌ خَرَقَ أم لا، حتّى لو قطعه بنصفين، اختَلَفا أم اتَّفَقا، تَحَرَّكا أم لا حَلّا، إلا أن يكون ما فيه الرأس مستقر الحياة فيُذَكَّى ويَحرُم الآخَرُ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والمِعراضُ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ونحوه من السهام المحدَّدة التي لا نَصْل فيها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خَرَق اللحم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فلو قتل مُعتَرِضاً لم يَحِلّ، دون المُتَقَل الحَجَرِ والبُنْدُقِ فإنّه لا يَحِلَّ وإنْ خَرَق وكان البندق من حديد والظاهرُ أنّ الدبوس بحكمه، إلا أن يكون محدداً بحيث يصلح للخرق وإن لم يخرق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 ذلك مع التسمية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 الرمي أو بعده قبل الإصابة، ولو تركها عمداً أو سهواً أو جهلاً فكما سبق</w:t>
      </w:r>
      <w:r>
        <w:rPr>
          <w:rFonts w:eastAsia="Amiri" w:cs="Amiri" w:ascii="Amiri" w:hAnsi="Amiri"/>
          <w:color w:val="111111"/>
          <w:sz w:val="28"/>
          <w:szCs w:val="28"/>
          <w:rtl w:val="true"/>
          <w:lang w:bidi="ar-SA"/>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والقصد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الصيد، فلو وقع السهم من يده فقتله أو قصد الرَمْيَ لا له فقتله، أو قصد خنزيراً فأصاب ظَبْياً أو ظَنَّه خنزيراً فبان ظَبْياً لم يَحِلّ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لا يُشترط قصد عينه حتى لو قصد فأخْطَاً فقتل صيداً آخَرَ حَلَّ، ولو قصد محلَّلاً ومحرَّماً حَلّ المحلل</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والإسلام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إسلام الرامي أو حكمه، كما سلف</w:t>
      </w:r>
      <w:r>
        <w:rPr>
          <w:rStyle w:val="FootnoteAnchor"/>
          <w:rtl w:val="true"/>
        </w:rPr>
        <w:footnoteReference w:id="30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وكذا يُشترط موتُه بالجَرْح، وأن لا يغيب عنه وفيه حياةٌ مستقرّة، وامتناع المقتول كما مر</w:t>
      </w:r>
      <w:r>
        <w:rPr>
          <w:rStyle w:val="FootnoteAnchor"/>
          <w:rtl w:val="true"/>
        </w:rPr>
        <w:footnoteReference w:id="305"/>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ولو اشترك فيه آلتا مسلم وكافر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قاصدٍ وغيره، أو مُسِمٌ وغيره، وبالجملة فآلة جامع للشرائط وغيره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يَحِلّ، إلّا أنّ يُعلَم أن جَرْحَ المسلم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بحكمه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كلبه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كانت الآله كلبين فصاعداً هو القاتل خاصةً، وإن كان الآخَرُ مُعِيناً على إثباته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ويحرم الاصطياد بالآلة المغصوبة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لقُبح التصرف في مال الغير بغير إذنه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يحرم الصيد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بها ويملكه الصائد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وعليه أُجرة الآلة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سواء كانت كلباً أم سلاحاً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ويجب عليه غَسلُ موضعِ العَضَةِ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الكلب، جمعاً بين نَجاسةِ الكلب وإطلاق الأمر بالأكل</w:t>
      </w:r>
      <w:r>
        <w:rPr>
          <w:rStyle w:val="FootnoteAnchor"/>
          <w:rtl w:val="true"/>
        </w:rPr>
        <w:footnoteReference w:id="30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الشيخ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يجب</w:t>
      </w:r>
      <w:r>
        <w:rPr>
          <w:rStyle w:val="FootnoteAnchor"/>
          <w:rtl w:val="true"/>
        </w:rPr>
        <w:footnoteReference w:id="307"/>
      </w:r>
      <w:r>
        <w:rPr>
          <w:rFonts w:ascii="Amiri" w:hAnsi="Amiri" w:eastAsia="Amiri" w:cs="Amiri"/>
          <w:color w:val="111111"/>
          <w:sz w:val="28"/>
          <w:sz w:val="28"/>
          <w:szCs w:val="28"/>
          <w:rtl w:val="true"/>
          <w:lang w:bidi="ar-SA"/>
        </w:rPr>
        <w:t>لإطلاق الأمر بالأكل منه من غير أمر بالغسل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وإنما يحلّ المقتول بالآلة مطلقاً، إذا أدركه ميتاً أو في حكمه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ولو أدرك ذو السهم أو الكلب الصيد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إسراعه إليه حال الإصابة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وحياتُه مستقرّة ذكاه، وإلّا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يُسرع أو لم يُذَكِّه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حَرُم إن اتَّسع الزمانُ لذبحه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يفعل حتى مات</w:t>
      </w:r>
      <w:r>
        <w:rPr>
          <w:rFonts w:eastAsia="Amiri" w:cs="Amiri" w:ascii="Amiri" w:hAnsi="Amiri"/>
          <w:color w:val="111111"/>
          <w:sz w:val="28"/>
          <w:szCs w:val="28"/>
          <w:rtl w:val="true"/>
          <w:lang w:bidi="ar-SA"/>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ولو قصر الزمان عن ذلك فالمشهور حِلُّه وإن كانت حياته مستقرةً، ولا منافاة بين استقرار حياته وقصور الزمان عن تذكيته مع حضور آلاته؛ لأن استقرار الحياة مناطه الإمكان، وليس كلُّ ممكن بواقع ولو كان عدم إمكان ذكاته لغيبة الآلة التي تقع بها الذكاة أو فَقْدِها بحيث يفتقر إلى زمان طويل عادةً، فاتَّفق موتُه فيه لم يحلّ قطعاً</w:t>
      </w:r>
      <w:r>
        <w:rPr>
          <w:rFonts w:eastAsia="Amiri" w:cs="Amiri" w:ascii="Amiri" w:hAnsi="Amiri"/>
          <w:color w:val="111111"/>
          <w:sz w:val="28"/>
          <w:szCs w:val="28"/>
          <w:rtl w:val="true"/>
          <w:lang w:bidi="ar-SA"/>
        </w:rPr>
        <w:t xml:space="preserve">. </w:t>
      </w:r>
      <w:bookmarkStart w:id="76" w:name="pg11049_88412"/>
    </w:p>
    <w:p>
      <w:pPr>
        <w:pStyle w:val="Heading3"/>
        <w:numPr>
          <w:ilvl w:val="2"/>
          <w:numId w:val="1"/>
        </w:numPr>
        <w:rPr/>
      </w:pPr>
      <w:bookmarkStart w:id="77" w:name="__RefHeading___Toc1446117_1067777946"/>
      <w:bookmarkStart w:id="78" w:name="_Toc22"/>
      <w:bookmarkEnd w:id="76"/>
      <w:bookmarkEnd w:id="77"/>
      <w:r>
        <w:rPr>
          <w:rtl w:val="true"/>
        </w:rPr>
        <w:t>الفصل الثاني في الذباحة</w:t>
      </w:r>
      <w:bookmarkEnd w:id="78"/>
    </w:p>
    <w:p>
      <w:pPr>
        <w:pStyle w:val="BookText"/>
        <w:rPr/>
      </w:pPr>
      <w:r>
        <w:rPr>
          <w:rFonts w:ascii="Amiri" w:hAnsi="Amiri" w:eastAsia="Amiri" w:cs="Amiri"/>
          <w:color w:val="111111"/>
          <w:sz w:val="28"/>
          <w:sz w:val="28"/>
          <w:szCs w:val="28"/>
          <w:rtl w:val="true"/>
          <w:lang w:bidi="ar-SA"/>
        </w:rPr>
        <w:t xml:space="preserve">غَلَّب العنوان عليها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كونها أخصَّ ممّا يُبحث عنه في الفصل؛ فإنّ النحر خارج عنها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تجوزاً في بعض الأفراد أو أشهرها، ولو جَعَل العنوان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الذكاة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كما فَعَل في الدروس</w:t>
      </w:r>
      <w:r>
        <w:rPr>
          <w:rStyle w:val="FootnoteAnchor"/>
          <w:rtl w:val="true"/>
        </w:rPr>
        <w:footnoteReference w:id="30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أجود لشموله الجميع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ويُشترط في الذابح الإسلام أو حكمه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طفله المميز، فلا تَحِلَّ ذَبيحة الكافر مطلقاً، وَتَنِيّاً كان أم ذمّيّاً، سُمِعت تسميته أم لا، على أشهر الأقوال، وذهب جماعة </w:t>
      </w:r>
      <w:r>
        <w:rPr>
          <w:rStyle w:val="FootnoteAnchor"/>
          <w:rtl w:val="true"/>
        </w:rPr>
        <w:footnoteReference w:id="309"/>
      </w:r>
      <w:r>
        <w:rPr>
          <w:rFonts w:ascii="Amiri" w:hAnsi="Amiri" w:eastAsia="Amiri" w:cs="Amiri"/>
          <w:color w:val="111111"/>
          <w:sz w:val="28"/>
          <w:sz w:val="28"/>
          <w:szCs w:val="28"/>
          <w:rtl w:val="true"/>
          <w:lang w:bidi="ar-SA"/>
        </w:rPr>
        <w:t>إلى حل ذبيحة الذمّي إذا سُمِعت تسميته، وآخرون ذبيحة غير المجوسي مطلقاً</w:t>
      </w:r>
      <w:r>
        <w:rPr>
          <w:rStyle w:val="FootnoteAnchor"/>
          <w:rtl w:val="true"/>
        </w:rPr>
        <w:footnoteReference w:id="310"/>
      </w:r>
      <w:r>
        <w:rPr>
          <w:rFonts w:ascii="Amiri" w:hAnsi="Amiri" w:eastAsia="Amiri" w:cs="Amiri"/>
          <w:color w:val="111111"/>
          <w:sz w:val="28"/>
          <w:sz w:val="28"/>
          <w:szCs w:val="28"/>
          <w:rtl w:val="true"/>
          <w:lang w:bidi="ar-SA"/>
        </w:rPr>
        <w:t>، وبه أخبار حِلّ صحيحة</w:t>
      </w:r>
      <w:r>
        <w:rPr>
          <w:rStyle w:val="FootnoteAnchor"/>
          <w:rtl w:val="true"/>
        </w:rPr>
        <w:footnoteReference w:id="311"/>
      </w:r>
      <w:r>
        <w:rPr>
          <w:rFonts w:ascii="Amiri" w:hAnsi="Amiri" w:eastAsia="Amiri" w:cs="Amiri"/>
          <w:color w:val="111111"/>
          <w:sz w:val="28"/>
          <w:sz w:val="28"/>
          <w:szCs w:val="28"/>
          <w:rtl w:val="true"/>
          <w:lang w:bidi="ar-SA"/>
        </w:rPr>
        <w:t xml:space="preserve">، معارضة بمثلها </w:t>
      </w:r>
      <w:r>
        <w:rPr>
          <w:rStyle w:val="FootnoteAnchor"/>
          <w:rtl w:val="true"/>
        </w:rPr>
        <w:footnoteReference w:id="312"/>
      </w:r>
      <w:r>
        <w:rPr>
          <w:rFonts w:ascii="Amiri" w:hAnsi="Amiri" w:eastAsia="Amiri" w:cs="Amiri"/>
          <w:color w:val="111111"/>
          <w:sz w:val="28"/>
          <w:sz w:val="28"/>
          <w:szCs w:val="28"/>
          <w:rtl w:val="true"/>
          <w:lang w:bidi="ar-SA"/>
        </w:rPr>
        <w:t>وحُمِلت على التقيّة أو الضرورة</w:t>
      </w:r>
      <w:r>
        <w:rPr>
          <w:rStyle w:val="FootnoteAnchor"/>
          <w:rtl w:val="true"/>
        </w:rPr>
        <w:footnoteReference w:id="31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يُشترط الإيمانُ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الأصح؛ لقول 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من دانَ بكلمة الإسلام وصام وصلّى فذبيحته لكم حلال إذا ذكر اسم الله عليه</w:t>
      </w:r>
      <w:r>
        <w:rPr>
          <w:rFonts w:eastAsia="Amiri" w:cs="Amiri" w:ascii="Amiri" w:hAnsi="Amiri"/>
          <w:color w:val="111111"/>
          <w:sz w:val="28"/>
          <w:szCs w:val="28"/>
          <w:rtl w:val="true"/>
          <w:lang w:bidi="ar-SA"/>
        </w:rPr>
        <w:t>»</w:t>
      </w:r>
      <w:r>
        <w:rPr>
          <w:rStyle w:val="FootnoteAnchor"/>
          <w:rtl w:val="true"/>
        </w:rPr>
        <w:footnoteReference w:id="314"/>
      </w:r>
      <w:r>
        <w:rPr>
          <w:rFonts w:ascii="Amiri" w:hAnsi="Amiri" w:eastAsia="Amiri" w:cs="Amiri"/>
          <w:color w:val="111111"/>
          <w:sz w:val="28"/>
          <w:sz w:val="28"/>
          <w:szCs w:val="28"/>
          <w:rtl w:val="true"/>
          <w:lang w:bidi="ar-SA"/>
        </w:rPr>
        <w:t>ومفهوم الشرط أنه إذا لم يَذكُر اسم الله لم يحلّ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وهل يُشترط مع الذكر اعتقاد وجوبه؟ قولان</w:t>
      </w:r>
      <w:r>
        <w:rPr>
          <w:rStyle w:val="FootnoteAnchor"/>
          <w:rtl w:val="true"/>
        </w:rPr>
        <w:footnoteReference w:id="315"/>
      </w:r>
    </w:p>
    <w:p>
      <w:pPr>
        <w:pStyle w:val="BookText"/>
        <w:rPr/>
      </w:pPr>
      <w:r>
        <w:rPr>
          <w:rFonts w:ascii="Amiri" w:hAnsi="Amiri" w:eastAsia="Amiri" w:cs="Amiri"/>
          <w:color w:val="111111"/>
          <w:sz w:val="28"/>
          <w:sz w:val="28"/>
          <w:szCs w:val="28"/>
          <w:rtl w:val="true"/>
          <w:lang w:bidi="ar-SA"/>
        </w:rPr>
        <w:t xml:space="preserve">الشرعية، 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ضمن موسوعة الشهيد الأول، ج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صدق اسم ذكر الله عليه،</w:t>
      </w:r>
    </w:p>
    <w:p>
      <w:pPr>
        <w:pStyle w:val="BookText"/>
        <w:rPr/>
      </w:pPr>
      <w:r>
        <w:rPr>
          <w:rFonts w:ascii="Amiri" w:hAnsi="Amiri" w:eastAsia="Amiri" w:cs="Amiri"/>
          <w:color w:val="111111"/>
          <w:sz w:val="28"/>
          <w:sz w:val="28"/>
          <w:szCs w:val="28"/>
          <w:rtl w:val="true"/>
          <w:lang w:bidi="ar-SA"/>
        </w:rPr>
        <w:t>وأصالة عدم الاشتراط، ومن اشتَرَطه اعتبر إيقاعه على وجهه كغيره من العبادات الواجبة، والأوّل أقوى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وحيث لم يُعتبر الإيمان صح مع مطلق الخلاف إذا لم يكن بالغاً حدَّ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النصب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لعداوة أهل البيت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فلا تَحِلّ حينئذٍ ذبيحته؛ لرواية أبي بصير عن أبي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ذبيحة الناصب لا تحلّ</w:t>
      </w:r>
      <w:r>
        <w:rPr>
          <w:rFonts w:eastAsia="Amiri" w:cs="Amiri" w:ascii="Amiri" w:hAnsi="Amiri"/>
          <w:color w:val="111111"/>
          <w:sz w:val="28"/>
          <w:szCs w:val="28"/>
          <w:rtl w:val="true"/>
          <w:lang w:bidi="ar-SA"/>
        </w:rPr>
        <w:t>»</w:t>
      </w:r>
      <w:r>
        <w:rPr>
          <w:rStyle w:val="FootnoteAnchor"/>
          <w:rtl w:val="true"/>
        </w:rPr>
        <w:footnoteReference w:id="316"/>
      </w:r>
      <w:r>
        <w:rPr>
          <w:rFonts w:ascii="IRNazanin" w:hAnsi="IRNazanin" w:eastAsia="IRNazanin"/>
          <w:color w:val="111111"/>
          <w:sz w:val="28"/>
          <w:sz w:val="28"/>
          <w:szCs w:val="28"/>
          <w:rtl w:val="true"/>
          <w:lang w:bidi="fa-IR"/>
        </w:rPr>
        <w:t>، ولارتكاب الناصب خِلافَ ما هو المعلوم من دين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ثبوته ضرورةً فيكون كافراً فيتناوله ما دلّ على تحريم ذبيحة الكافر، ومثله الخارجى والمُجَسم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وقَصَر جماعة</w:t>
      </w:r>
      <w:r>
        <w:rPr>
          <w:rStyle w:val="FootnoteAnchor"/>
          <w:rtl w:val="true"/>
        </w:rPr>
        <w:footnoteReference w:id="317"/>
      </w:r>
      <w:r>
        <w:rPr>
          <w:rFonts w:ascii="Amiri" w:hAnsi="Amiri" w:eastAsia="Amiri" w:cs="Amiri"/>
          <w:color w:val="111111"/>
          <w:sz w:val="28"/>
          <w:sz w:val="28"/>
          <w:szCs w:val="28"/>
          <w:rtl w:val="true"/>
          <w:lang w:bidi="ar-SA"/>
        </w:rPr>
        <w:t>الحِلَّ على ما يَذبَحه المؤمنُ؛ لقول الكاظم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لزكريا بن آدم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إنّي أنهاك عن ذبيحة من كان على خلاف الذي أنت عليه وأصحابك، إلا في وقت الضرورة إليه</w:t>
      </w:r>
      <w:r>
        <w:rPr>
          <w:rFonts w:eastAsia="Amiri" w:cs="Amiri" w:ascii="Amiri" w:hAnsi="Amiri"/>
          <w:color w:val="111111"/>
          <w:sz w:val="28"/>
          <w:szCs w:val="28"/>
          <w:rtl w:val="true"/>
          <w:lang w:bidi="ar-SA"/>
        </w:rPr>
        <w:t>»</w:t>
      </w:r>
      <w:r>
        <w:rPr>
          <w:rStyle w:val="FootnoteAnchor"/>
          <w:rtl w:val="true"/>
        </w:rPr>
        <w:footnoteReference w:id="318"/>
      </w:r>
      <w:r>
        <w:rPr>
          <w:rFonts w:ascii="Amiri" w:hAnsi="Amiri" w:eastAsia="Amiri" w:cs="Amiri"/>
          <w:color w:val="111111"/>
          <w:sz w:val="28"/>
          <w:sz w:val="28"/>
          <w:szCs w:val="28"/>
          <w:rtl w:val="true"/>
          <w:lang w:bidi="ar-SA"/>
        </w:rPr>
        <w:t>ويُحمل على الكراهة بقرينة الضرورة فإنّها أعمُّ مِن وقتٍ تَحِلّ فيه المَيْتَةُ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ويمكن حملُ النهي الوارد في جميع الباب عليه عليها جمعاً، ولعله أولى من الحمل على التقيّةِ </w:t>
      </w:r>
      <w:r>
        <w:rPr>
          <w:rStyle w:val="FootnoteAnchor"/>
          <w:rtl w:val="true"/>
        </w:rPr>
        <w:footnoteReference w:id="319"/>
      </w:r>
      <w:r>
        <w:rPr>
          <w:rFonts w:ascii="Amiri" w:hAnsi="Amiri" w:eastAsia="Amiri" w:cs="Amiri"/>
          <w:color w:val="111111"/>
          <w:sz w:val="28"/>
          <w:sz w:val="28"/>
          <w:szCs w:val="28"/>
          <w:rtl w:val="true"/>
          <w:lang w:bidi="ar-SA"/>
        </w:rPr>
        <w:t>والضرورة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ويَحِلّ ما تَذبَحه المسلمةُ والخَصِيُّ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والمجبوبُ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والصبيُّ المميز</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دون المجنون ومَن لا يميّز لعدم القصد،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والجنب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مطلقاً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والحائض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والنفساء لانتفاء المانع مع وجود المقتضى للحل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والواجب في الذبيحة أُمور سبعة</w:t>
      </w:r>
      <w:r>
        <w:rPr>
          <w:rFonts w:eastAsia="Amiri" w:cs="Amiri" w:ascii="Amiri" w:hAnsi="Amiri"/>
          <w:color w:val="111111"/>
          <w:sz w:val="28"/>
          <w:szCs w:val="28"/>
          <w:rtl w:val="true"/>
          <w:lang w:bidi="ar-SA"/>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الأمر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الأول</w:t>
      </w:r>
      <w:r>
        <w:rPr>
          <w:rStyle w:val="FootnoteAnchor"/>
          <w:rtl w:val="true"/>
        </w:rPr>
        <w:footnoteReference w:id="32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فَرْيُ الأعضاء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بالحديد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القدرة عليه ؛ لقول </w:t>
      </w:r>
    </w:p>
    <w:p>
      <w:pPr>
        <w:pStyle w:val="BookText"/>
        <w:rPr/>
      </w:pPr>
      <w:r>
        <w:rPr>
          <w:rFonts w:ascii="Amiri" w:hAnsi="Amiri" w:eastAsia="Amiri" w:cs="Amiri"/>
          <w:color w:val="111111"/>
          <w:sz w:val="28"/>
          <w:sz w:val="28"/>
          <w:szCs w:val="28"/>
          <w:rtl w:val="true"/>
          <w:lang w:bidi="ar-SA"/>
        </w:rPr>
        <w:t>الباقر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ذكاة إلا بالحديد</w:t>
      </w:r>
      <w:r>
        <w:rPr>
          <w:rFonts w:eastAsia="Amiri" w:cs="Amiri" w:ascii="Amiri" w:hAnsi="Amiri"/>
          <w:color w:val="111111"/>
          <w:sz w:val="28"/>
          <w:szCs w:val="28"/>
          <w:rtl w:val="true"/>
          <w:lang w:bidi="ar-SA"/>
        </w:rPr>
        <w:t xml:space="preserve">» </w:t>
      </w:r>
      <w:r>
        <w:rPr>
          <w:rStyle w:val="FootnoteAnchor"/>
          <w:rtl w:val="true"/>
        </w:rPr>
        <w:footnoteReference w:id="32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خِيفَ فوتُ الذبيحة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بالموت وغيره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وتَعذَّر الحديد جاز بما يَفْرى الأعضاء من لَيْطَةٍ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وهى القشر الأعلى للقَصَب المتصل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مَرْوَةٍ حادةٍ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حَجَرٌ يَقدَح النار،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زُجاجِةٍ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مخير في ذلك من غير ترجيح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وكذا ما أَشبَهَها من الآلاتِ الحادّةِ غير الحديد؛ لصحيحة زيدٍ السَّحام عن الصادق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اذْبَح بالحجر وبالعظم وبالقصبة وبالعُود إذا لم تُصِب الحديد، إذا قطع الحلقوم وخرج الدم فلا بأس</w:t>
      </w:r>
      <w:r>
        <w:rPr>
          <w:rFonts w:eastAsia="Amiri" w:cs="Amiri" w:ascii="Amiri" w:hAnsi="Amiri"/>
          <w:color w:val="111111"/>
          <w:sz w:val="28"/>
          <w:szCs w:val="28"/>
          <w:rtl w:val="true"/>
          <w:lang w:bidi="ar-SA"/>
        </w:rPr>
        <w:t>»</w:t>
      </w:r>
      <w:r>
        <w:rPr>
          <w:rStyle w:val="FootnoteAnchor"/>
          <w:rtl w:val="true"/>
        </w:rPr>
        <w:footnoteReference w:id="32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حسنة عبد الرحمن عن الكاظم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المَرْوَةِ والقَصَبَةِ والعُودِ نَذبح بها إذا لم نجد سكيناً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فَرَى الأوداج فلا بأس بذلك</w:t>
      </w:r>
      <w:r>
        <w:rPr>
          <w:rFonts w:eastAsia="Amiri" w:cs="Amiri" w:ascii="Amiri" w:hAnsi="Amiri"/>
          <w:color w:val="111111"/>
          <w:sz w:val="28"/>
          <w:szCs w:val="28"/>
          <w:rtl w:val="true"/>
          <w:lang w:bidi="ar-SA"/>
        </w:rPr>
        <w:t>»</w:t>
      </w:r>
      <w:r>
        <w:rPr>
          <w:rStyle w:val="FootnoteAnchor"/>
          <w:rtl w:val="true"/>
        </w:rPr>
        <w:footnoteReference w:id="32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وفي الظُّفْر والسنّ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متصلين ومنفصلين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للضرورة قول بالجواز</w:t>
      </w:r>
      <w:r>
        <w:rPr>
          <w:rFonts w:eastAsia="Amiri" w:cs="Amiri" w:ascii="Amiri" w:hAnsi="Amiri"/>
          <w:color w:val="111111"/>
          <w:sz w:val="28"/>
          <w:szCs w:val="28"/>
          <w:rtl w:val="true"/>
          <w:lang w:bidi="ar-SA"/>
        </w:rPr>
        <w:t xml:space="preserve">) </w:t>
      </w:r>
      <w:r>
        <w:rPr>
          <w:rStyle w:val="FootnoteAnchor"/>
          <w:rtl w:val="true"/>
        </w:rPr>
        <w:footnoteReference w:id="324"/>
      </w:r>
      <w:r>
        <w:rPr>
          <w:rFonts w:ascii="Amiri" w:hAnsi="Amiri" w:eastAsia="Amiri" w:cs="Amiri"/>
          <w:color w:val="111111"/>
          <w:sz w:val="28"/>
          <w:sz w:val="28"/>
          <w:szCs w:val="28"/>
          <w:rtl w:val="true"/>
          <w:lang w:bidi="ar-SA"/>
        </w:rPr>
        <w:t>لظاهر الخبرين السالفين، حيث اعتبر فيهما قطع الحلقوم وفَرْي الأوداج ولم يُعتبر خصوصية القاطع وهو موجود فيهما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ومنعه الشيخ في الخلاف</w:t>
      </w:r>
      <w:r>
        <w:rPr>
          <w:rStyle w:val="FootnoteAnchor"/>
          <w:rtl w:val="true"/>
        </w:rPr>
        <w:footnoteReference w:id="325"/>
      </w:r>
      <w:r>
        <w:rPr>
          <w:rFonts w:ascii="IRNazanin" w:hAnsi="IRNazanin" w:eastAsia="IRNazanin"/>
          <w:color w:val="111111"/>
          <w:sz w:val="28"/>
          <w:sz w:val="28"/>
          <w:szCs w:val="28"/>
          <w:rtl w:val="true"/>
          <w:lang w:bidi="fa-IR"/>
        </w:rPr>
        <w:t>محتجاً بالإجماع، ورواية رافع بن خَدِيج أن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أَنْهار</w:t>
      </w:r>
      <w:r>
        <w:rPr>
          <w:rStyle w:val="FootnoteAnchor"/>
          <w:rtl w:val="true"/>
        </w:rPr>
        <w:footnoteReference w:id="326"/>
      </w:r>
      <w:r>
        <w:rPr>
          <w:rFonts w:ascii="Amiri" w:hAnsi="Amiri" w:eastAsia="Amiri" w:cs="Amiri"/>
          <w:color w:val="111111"/>
          <w:sz w:val="28"/>
          <w:sz w:val="28"/>
          <w:szCs w:val="28"/>
          <w:rtl w:val="true"/>
          <w:lang w:bidi="ar-SA"/>
        </w:rPr>
        <w:t>الدم وذكر اسم الله عليه فكُلُوا، إلا ما كان من سِنٌ أو ظُفُرٍ، وسأُحَدِّتُكم عن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السن فعظم من الإنسان، وأما الظفر فمُدَى الحبشة</w:t>
      </w:r>
      <w:r>
        <w:rPr>
          <w:rFonts w:eastAsia="Amiri" w:cs="Amiri" w:ascii="Amiri" w:hAnsi="Amiri"/>
          <w:color w:val="111111"/>
          <w:sz w:val="28"/>
          <w:szCs w:val="28"/>
          <w:rtl w:val="true"/>
          <w:lang w:bidi="ar-SA"/>
        </w:rPr>
        <w:t>»</w:t>
      </w:r>
      <w:r>
        <w:rPr>
          <w:rStyle w:val="FootnoteAnchor"/>
          <w:rtl w:val="true"/>
        </w:rPr>
        <w:footnoteReference w:id="32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والرواية عاميّة، والإجماع ممنوع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يمكن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اتصالهما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يخرج عن مسمّى الذبح، بل هو أشبه بالأكل والتقطيع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واستقرب المصنف في الشرح المنع منهما مطلقاً </w:t>
      </w:r>
      <w:r>
        <w:rPr>
          <w:rStyle w:val="FootnoteAnchor"/>
          <w:rtl w:val="true"/>
        </w:rPr>
        <w:footnoteReference w:id="328"/>
      </w:r>
      <w:r>
        <w:rPr>
          <w:rFonts w:eastAsia="Times New Roman" w:cs="Times New Roman" w:ascii="Times New Roman" w:hAnsi="Times New Roman"/>
          <w:color w:val="111111"/>
          <w:sz w:val="28"/>
          <w:szCs w:val="28"/>
          <w:rtl w:val="true"/>
          <w:lang w:val="en-US" w:bidi="en-US"/>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وعلى تقدير الجواز هل يُساوِيان غيرهما ممَّا يَفرِي غير الحديد، أو يترتبان على </w:t>
      </w:r>
    </w:p>
    <w:p>
      <w:pPr>
        <w:pStyle w:val="BookText"/>
        <w:rPr/>
      </w:pPr>
      <w:r>
        <w:rPr>
          <w:rFonts w:ascii="Amiri" w:hAnsi="Amiri" w:eastAsia="Amiri" w:cs="Amiri"/>
          <w:color w:val="111111"/>
          <w:sz w:val="28"/>
          <w:sz w:val="28"/>
          <w:szCs w:val="28"/>
          <w:rtl w:val="true"/>
          <w:lang w:bidi="ar-SA"/>
        </w:rPr>
        <w:t xml:space="preserve">الفصل الثاني في الذباحة ه </w:t>
      </w:r>
      <w:r>
        <w:rPr>
          <w:rFonts w:eastAsia="Amiri" w:cs="Amiri" w:ascii="Amiri" w:hAnsi="Amiri"/>
          <w:color w:val="111111"/>
          <w:sz w:val="28"/>
          <w:szCs w:val="28"/>
          <w:lang w:bidi="ar-SA"/>
        </w:rPr>
        <w:t>119</w:t>
      </w:r>
    </w:p>
    <w:p>
      <w:pPr>
        <w:pStyle w:val="BookText"/>
        <w:rPr/>
      </w:pPr>
      <w:r>
        <w:rPr>
          <w:rFonts w:ascii="Amiri" w:hAnsi="Amiri" w:eastAsia="Amiri" w:cs="Amiri"/>
          <w:color w:val="111111"/>
          <w:sz w:val="28"/>
          <w:sz w:val="28"/>
          <w:szCs w:val="28"/>
          <w:rtl w:val="true"/>
          <w:lang w:bidi="ar-SA"/>
        </w:rPr>
        <w:t>غيرهما مطلقاً؟ مقتضى استدلال المجوّز بالحديثين الأوّل، وفي الدروس استقرب الجواز بهما مطلقاً مع عدم غيرهما</w:t>
      </w:r>
      <w:r>
        <w:rPr>
          <w:rStyle w:val="FootnoteAnchor"/>
          <w:rtl w:val="true"/>
        </w:rPr>
        <w:footnoteReference w:id="329"/>
      </w:r>
      <w:r>
        <w:rPr>
          <w:rFonts w:ascii="Amiri" w:hAnsi="Amiri" w:eastAsia="Amiri" w:cs="Amiri"/>
          <w:color w:val="111111"/>
          <w:sz w:val="28"/>
          <w:sz w:val="28"/>
          <w:szCs w:val="28"/>
          <w:rtl w:val="true"/>
          <w:lang w:bidi="ar-SA"/>
        </w:rPr>
        <w:t>، وهو الظاهر من تعليقه الجواز بهما هنا على الضرورة؛ إذ لا ضرورة مع وجود غيرهما، وهذا هو الأولى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استقبال القبلة</w:t>
      </w:r>
      <w:r>
        <w:rPr>
          <w:rFonts w:eastAsia="Amiri" w:cs="Amiri" w:ascii="Amiri" w:hAnsi="Amiri"/>
          <w:color w:val="111111"/>
          <w:sz w:val="28"/>
          <w:szCs w:val="28"/>
          <w:rtl w:val="true"/>
          <w:lang w:bidi="ar-SA"/>
        </w:rPr>
        <w:t>)</w:t>
      </w:r>
      <w:r>
        <w:rPr>
          <w:rStyle w:val="FootnoteAnchor"/>
          <w:rtl w:val="true"/>
        </w:rPr>
        <w:footnoteReference w:id="330"/>
      </w:r>
      <w:r>
        <w:rPr>
          <w:rFonts w:ascii="Amiri" w:hAnsi="Amiri" w:eastAsia="Amiri" w:cs="Amiri"/>
          <w:color w:val="111111"/>
          <w:sz w:val="28"/>
          <w:sz w:val="28"/>
          <w:szCs w:val="28"/>
          <w:rtl w:val="true"/>
          <w:lang w:bidi="ar-SA"/>
        </w:rPr>
        <w:t>بالمذبوح لا استقبال الذابح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والمفهوم من استقبال المذبوح الاستقبال بمَقَادِيم بدنه ومنه مَذْبَحُه، وربما قيل بالاكتفاء باستقبال المذبح خاصةً </w:t>
      </w:r>
      <w:r>
        <w:rPr>
          <w:rStyle w:val="FootnoteAnchor"/>
          <w:rtl w:val="true"/>
        </w:rPr>
        <w:footnoteReference w:id="331"/>
      </w:r>
      <w:r>
        <w:rPr>
          <w:rFonts w:ascii="Amiri" w:hAnsi="Amiri" w:eastAsia="Amiri" w:cs="Amiri"/>
          <w:color w:val="111111"/>
          <w:sz w:val="28"/>
          <w:sz w:val="28"/>
          <w:szCs w:val="28"/>
          <w:rtl w:val="true"/>
          <w:lang w:bidi="ar-SA"/>
        </w:rPr>
        <w:t>، وصحيحة محمد بن مسلم عن أبي جعفر</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الذبيحة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اسْتَقْبِل بذبيحتك القبلة</w:t>
      </w:r>
      <w:r>
        <w:rPr>
          <w:rFonts w:eastAsia="Amiri" w:cs="Amiri" w:ascii="Amiri" w:hAnsi="Amiri"/>
          <w:color w:val="111111"/>
          <w:sz w:val="28"/>
          <w:szCs w:val="28"/>
          <w:rtl w:val="true"/>
          <w:lang w:bidi="ar-SA"/>
        </w:rPr>
        <w:t>»</w:t>
      </w:r>
      <w:r>
        <w:rPr>
          <w:rStyle w:val="FootnoteAnchor"/>
          <w:rtl w:val="true"/>
        </w:rPr>
        <w:footnoteReference w:id="332"/>
      </w:r>
      <w:r>
        <w:rPr>
          <w:rFonts w:ascii="Amiri" w:hAnsi="Amiri" w:eastAsia="Amiri" w:cs="Amiri"/>
          <w:color w:val="111111"/>
          <w:sz w:val="28"/>
          <w:sz w:val="28"/>
          <w:szCs w:val="28"/>
          <w:rtl w:val="true"/>
          <w:lang w:bidi="ar-SA"/>
        </w:rPr>
        <w:t>، الحديث، تدلّ على الأوّل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 الإمكان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ومع التعذّر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لاشتباء الجهة أو الاضطرار لتَرَدِّي الحيوان أو استعصائِه أو نحوه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يَسقُط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ولو تركها ناسياً فلا بأس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للأخبار الكثيرة</w:t>
      </w:r>
      <w:r>
        <w:rPr>
          <w:rStyle w:val="FootnoteAnchor"/>
          <w:rtl w:val="true"/>
        </w:rPr>
        <w:footnoteReference w:id="333"/>
      </w:r>
      <w:r>
        <w:rPr>
          <w:rFonts w:ascii="Amiri" w:hAnsi="Amiri" w:eastAsia="Amiri" w:cs="Amiri"/>
          <w:color w:val="111111"/>
          <w:sz w:val="28"/>
          <w:sz w:val="28"/>
          <w:szCs w:val="28"/>
          <w:rtl w:val="true"/>
          <w:lang w:bidi="ar-SA"/>
        </w:rPr>
        <w:t>وفي الجاهل وجهان، وإلحاقه بالناسي ،حسن، وفي حسنة محمّد بن مسلم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جعفر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رجل ذَبح ذبيحةً فجَهل أن يُوَجِّهها إلى القبلة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 منها</w:t>
      </w:r>
      <w:r>
        <w:rPr>
          <w:rFonts w:eastAsia="Amiri" w:cs="Amiri" w:ascii="Amiri" w:hAnsi="Amiri"/>
          <w:color w:val="111111"/>
          <w:sz w:val="28"/>
          <w:szCs w:val="28"/>
          <w:rtl w:val="true"/>
          <w:lang w:bidi="ar-SA"/>
        </w:rPr>
        <w:t>»</w:t>
      </w:r>
      <w:r>
        <w:rPr>
          <w:rStyle w:val="FootnoteAnchor"/>
          <w:rtl w:val="true"/>
        </w:rPr>
        <w:footnoteReference w:id="334"/>
      </w:r>
      <w:r>
        <w:rPr>
          <w:rFonts w:eastAsia="Times New Roman" w:cs="Times New Roman" w:ascii="Times New Roman" w:hAnsi="Times New Roman"/>
          <w:color w:val="111111"/>
          <w:sz w:val="28"/>
          <w:szCs w:val="28"/>
          <w:rtl w:val="true"/>
          <w:lang w:val="en-US" w:bidi="en-US"/>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التسمية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 الذبح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وهي أن يذكر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سبق</w:t>
      </w:r>
      <w:r>
        <w:rPr>
          <w:rStyle w:val="FootnoteAnchor"/>
          <w:rtl w:val="true"/>
        </w:rPr>
        <w:footnoteReference w:id="335"/>
      </w:r>
      <w:r>
        <w:rPr>
          <w:rFonts w:ascii="Amiri" w:hAnsi="Amiri" w:eastAsia="Amiri" w:cs="Amiri"/>
          <w:color w:val="111111"/>
          <w:sz w:val="28"/>
          <w:sz w:val="28"/>
          <w:szCs w:val="28"/>
          <w:rtl w:val="true"/>
          <w:lang w:bidi="ar-SA"/>
        </w:rPr>
        <w:t>، فلو تركها عمداً فهي مَيْتَةٌ إذا كان معتقداً لوجوبها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غير المعتقد وجهان، وظاهرُ </w:t>
      </w:r>
    </w:p>
    <w:p>
      <w:pPr>
        <w:pStyle w:val="BookText"/>
        <w:rPr/>
      </w:pPr>
      <w:r>
        <w:rPr>
          <w:rFonts w:ascii="Amiri" w:hAnsi="Amiri" w:eastAsia="Amiri" w:cs="Amiri"/>
          <w:color w:val="111111"/>
          <w:sz w:val="28"/>
          <w:sz w:val="28"/>
          <w:szCs w:val="28"/>
          <w:rtl w:val="true"/>
          <w:lang w:bidi="ar-SA"/>
        </w:rPr>
        <w:t>الأصحاب التحريم ؛ لقطعهم باشتراطها من غير تفصيل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واستشكل المصنِّفُ</w:t>
      </w:r>
      <w:r>
        <w:rPr>
          <w:rStyle w:val="FootnoteAnchor"/>
          <w:rtl w:val="true"/>
        </w:rPr>
        <w:footnoteReference w:id="336"/>
      </w:r>
      <w:r>
        <w:rPr>
          <w:rFonts w:ascii="Amiri" w:hAnsi="Amiri" w:eastAsia="Amiri" w:cs="Amiri"/>
          <w:color w:val="111111"/>
          <w:sz w:val="28"/>
          <w:sz w:val="28"/>
          <w:szCs w:val="28"/>
          <w:rtl w:val="true"/>
          <w:lang w:bidi="ar-SA"/>
        </w:rPr>
        <w:t>ذلك بحكمهم بحل ذبيحة المخالف على الإطلاق ما لم يكن ناصباً، ولا ريب أنّ بعضهم لا يعتقد وجوبها</w:t>
      </w:r>
      <w:r>
        <w:rPr>
          <w:rStyle w:val="FootnoteAnchor"/>
          <w:rtl w:val="true"/>
        </w:rPr>
        <w:footnoteReference w:id="337"/>
      </w:r>
      <w:r>
        <w:rPr>
          <w:rFonts w:ascii="Amiri" w:hAnsi="Amiri" w:eastAsia="Amiri" w:cs="Amiri"/>
          <w:color w:val="111111"/>
          <w:sz w:val="28"/>
          <w:sz w:val="28"/>
          <w:szCs w:val="28"/>
          <w:rtl w:val="true"/>
          <w:lang w:bidi="ar-SA"/>
        </w:rPr>
        <w:t>، ويمكن دفعه بأن حكمهم بحل ذبيحته من حيثُ هو مخالف، وذلك لا يُنافي تحريمها من حيث الإخلال بشرط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يمكن أن يقال بحلها منه عند اشتباه الحال؛ عملاً بأصالة الصحة وإطلاق الأدلة، و ترجيحاً للظاهر من حيثُ رُجحانها عند من لا يُوجبها، وعدم اشتراط اعتقاد الوجوب، بل المعتبرُ فعلُها كما مر</w:t>
      </w:r>
      <w:r>
        <w:rPr>
          <w:rStyle w:val="FootnoteAnchor"/>
          <w:rtl w:val="true"/>
        </w:rPr>
        <w:footnoteReference w:id="33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وإنّما يُحكم بالتحريم مع العلم بعدم تسميته، وهذا ،حسن، ومثله القول في الاستقبال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ولو تركها ناسياً حل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؛للنص</w:t>
      </w:r>
      <w:r>
        <w:rPr>
          <w:rStyle w:val="FootnoteAnchor"/>
          <w:rtl w:val="true"/>
        </w:rPr>
        <w:footnoteReference w:id="33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الجاهل الوجهان، ويمكن إلحاق المخالف الذي لا يعتقد وجوبها بالجاهل؛ لمشاركته له في المعنى، خصوصاً المقلّد منهم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اختصاص الإبل بالنحر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وذكره في باب شرائط الذبح استطراد أو تغليب لاسم الذبح على ما يشمله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عداها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الحيوان القابل للتذكية غير ما يُستثنى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بالذبح، فلو عكس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فذَبَح الإبل أو جَمَع بين الأمرين أو نَحَر ما عداها مختاراً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ومع الضرورة كالمُستَعْصِي يَحِلّ كما يحلّ طعنه كيف اتفق</w:t>
      </w:r>
      <w:r>
        <w:rPr>
          <w:rFonts w:eastAsia="Amiri" w:cs="Amiri" w:ascii="Amiri" w:hAnsi="Amiri"/>
          <w:color w:val="111111"/>
          <w:sz w:val="28"/>
          <w:szCs w:val="28"/>
          <w:rtl w:val="true"/>
          <w:lang w:bidi="ar-SA"/>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ولو استدرك الذبح بعد النحر أو بالعكس احتمل التحريم؛ لاستناد موته إليهما وإنْ كان كلُّ منهما كافياً في الإزهاق لو انفرد، وقد حكم المصنف</w:t>
      </w:r>
      <w:r>
        <w:rPr>
          <w:rStyle w:val="FootnoteAnchor"/>
          <w:rtl w:val="true"/>
        </w:rPr>
        <w:footnoteReference w:id="340"/>
      </w:r>
      <w:r>
        <w:rPr>
          <w:rFonts w:ascii="Amiri" w:hAnsi="Amiri" w:eastAsia="Amiri" w:cs="Amiri"/>
          <w:color w:val="111111"/>
          <w:sz w:val="28"/>
          <w:sz w:val="28"/>
          <w:szCs w:val="28"/>
          <w:rtl w:val="true"/>
          <w:lang w:bidi="ar-SA"/>
        </w:rPr>
        <w:t>وغيره</w:t>
      </w:r>
      <w:r>
        <w:rPr>
          <w:rStyle w:val="FootnoteAnchor"/>
          <w:rtl w:val="true"/>
        </w:rPr>
        <w:footnoteReference w:id="341"/>
      </w:r>
      <w:r>
        <w:rPr>
          <w:rFonts w:ascii="Amiri" w:hAnsi="Amiri" w:eastAsia="Amiri" w:cs="Amiri"/>
          <w:color w:val="111111"/>
          <w:sz w:val="28"/>
          <w:sz w:val="28"/>
          <w:szCs w:val="28"/>
          <w:rtl w:val="true"/>
          <w:lang w:bidi="ar-SA"/>
        </w:rPr>
        <w:t xml:space="preserve">باشتراط استناد موته إلى الذكاة خاصةً، وفرَّعوا عليه أنه لو شرع في الذبح فنَزَعَ آخَرُ حُشْوَتَه معاً فمَيْتةً، وكذا كلَّ فعل لا تَستقِرّ معه الحياة وهذا منه، والاكتفاء بالحركة بعد الفعل المعتبر </w:t>
      </w:r>
    </w:p>
    <w:p>
      <w:pPr>
        <w:pStyle w:val="BookText"/>
        <w:rPr/>
      </w:pPr>
      <w:r>
        <w:rPr>
          <w:rFonts w:ascii="Amiri" w:hAnsi="Amiri" w:eastAsia="Amiri" w:cs="Amiri"/>
          <w:color w:val="111111"/>
          <w:sz w:val="28"/>
          <w:sz w:val="28"/>
          <w:szCs w:val="28"/>
          <w:rtl w:val="true"/>
          <w:lang w:bidi="ar-SA"/>
        </w:rPr>
        <w:t>أو خروج الدم المعتدل كما سيأتي</w:t>
      </w:r>
      <w:r>
        <w:rPr>
          <w:rStyle w:val="FootnoteAnchor"/>
          <w:rtl w:val="true"/>
        </w:rPr>
        <w:footnoteReference w:id="34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قطع الأعضاء الأربعة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المذبوح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وهي المَرِيء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بفتح الميم والهمز آخِرَه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وهو مجرى الطعام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والشراب المتصل بالحلقوم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والحلقوم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بضمّ الحاء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وهو للنفس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المُعَدّ لِجَرْيِه فيه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والوَدَجَان وهما عِرْقان يَكتَنِفان الحلقوم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فلو قطع بعض هذه لم يحل وإنْ بَقِي يسير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يكفي قطع الحلقوم</w:t>
      </w:r>
      <w:r>
        <w:rPr>
          <w:rStyle w:val="FootnoteAnchor"/>
          <w:rtl w:val="true"/>
        </w:rPr>
        <w:footnoteReference w:id="343"/>
      </w:r>
      <w:r>
        <w:rPr>
          <w:rFonts w:ascii="Amiri" w:hAnsi="Amiri" w:eastAsia="Amiri" w:cs="Amiri"/>
          <w:color w:val="111111"/>
          <w:sz w:val="28"/>
          <w:sz w:val="28"/>
          <w:szCs w:val="28"/>
          <w:rtl w:val="true"/>
          <w:lang w:bidi="ar-SA"/>
        </w:rPr>
        <w:t>لصحيحة زيدٍ الشحام عن الصادق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إذا قطع الحلقوم وجرى الدم فلا بأس</w:t>
      </w:r>
      <w:r>
        <w:rPr>
          <w:rFonts w:eastAsia="Amiri" w:cs="Amiri" w:ascii="Amiri" w:hAnsi="Amiri"/>
          <w:color w:val="111111"/>
          <w:sz w:val="28"/>
          <w:szCs w:val="28"/>
          <w:rtl w:val="true"/>
          <w:lang w:bidi="ar-SA"/>
        </w:rPr>
        <w:t>»</w:t>
      </w:r>
      <w:r>
        <w:rPr>
          <w:rStyle w:val="FootnoteAnchor"/>
          <w:rtl w:val="true"/>
        </w:rPr>
        <w:footnoteReference w:id="34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وحُمِلت على الضرورة</w:t>
      </w:r>
      <w:r>
        <w:rPr>
          <w:rStyle w:val="FootnoteAnchor"/>
          <w:rtl w:val="true"/>
        </w:rPr>
        <w:footnoteReference w:id="345"/>
      </w:r>
      <w:r>
        <w:rPr>
          <w:rFonts w:ascii="Amiri" w:hAnsi="Amiri" w:eastAsia="Amiri" w:cs="Amiri"/>
          <w:color w:val="111111"/>
          <w:sz w:val="28"/>
          <w:sz w:val="28"/>
          <w:szCs w:val="28"/>
          <w:rtl w:val="true"/>
          <w:lang w:bidi="ar-SA"/>
        </w:rPr>
        <w:t>؛ لأنّها وردت في سياقها مع معارضتها بغيرها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ومحلُّ الذبح الحلق تحتَ اللَّحْيَين، ومحلُّ النحر وَهْدَةُ اللَّيَّةِ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يُعتبر فيه قطعُ الأعضاء بل يكفى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فى المنحور طعنه في وَهْدَة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اللَبّبة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تُغرة النحر بين التَرْقُوتَين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وأصلُ الوَهْدة المكان المطمئن وهو المنخفض، واللبة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بفتح اللام وتشديد الباء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المَنْحَر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حد للطعنة طولاً ولا عرضاً بل المعتبرُ موته بها خاصةً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السادس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الحركة بعد الذبح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النحر، ويكفي مسمّاها في بعض الأعضاء كالذنب والأُذُن، دون التقلص والاختلاج فإنّه قد يحصل في اللحم المسلوخ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خروج الدم المعتدل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الخارج بدفع لا المُتَناقِل، فلو انتَفَيا حَرُم؛ لصحيحة الحلبي</w:t>
      </w:r>
      <w:r>
        <w:rPr>
          <w:rStyle w:val="FootnoteAnchor"/>
          <w:rtl w:val="true"/>
        </w:rPr>
        <w:footnoteReference w:id="346"/>
      </w:r>
      <w:r>
        <w:rPr>
          <w:rFonts w:ascii="Amiri" w:hAnsi="Amiri" w:eastAsia="Amiri" w:cs="Amiri"/>
          <w:color w:val="111111"/>
          <w:sz w:val="28"/>
          <w:sz w:val="28"/>
          <w:szCs w:val="28"/>
          <w:rtl w:val="true"/>
          <w:lang w:bidi="ar-SA"/>
        </w:rPr>
        <w:t xml:space="preserve">على الأوّل، ورواية الحسين بن مسلم </w:t>
      </w:r>
      <w:r>
        <w:rPr>
          <w:rStyle w:val="FootnoteAnchor"/>
          <w:rtl w:val="true"/>
        </w:rPr>
        <w:footnoteReference w:id="347"/>
      </w:r>
      <w:r>
        <w:rPr>
          <w:rFonts w:ascii="Amiri" w:hAnsi="Amiri" w:eastAsia="Amiri" w:cs="Amiri"/>
          <w:color w:val="111111"/>
          <w:sz w:val="28"/>
          <w:sz w:val="28"/>
          <w:szCs w:val="28"/>
          <w:rtl w:val="true"/>
          <w:lang w:bidi="ar-SA"/>
        </w:rPr>
        <w:t>على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واعتبر جماعة اجتماعهما</w:t>
      </w:r>
      <w:r>
        <w:rPr>
          <w:rStyle w:val="FootnoteAnchor"/>
          <w:rtl w:val="true"/>
        </w:rPr>
        <w:footnoteReference w:id="348"/>
      </w:r>
      <w:r>
        <w:rPr>
          <w:rFonts w:ascii="Amiri" w:hAnsi="Amiri" w:eastAsia="Amiri" w:cs="Amiri"/>
          <w:color w:val="111111"/>
          <w:sz w:val="28"/>
          <w:sz w:val="28"/>
          <w:szCs w:val="28"/>
          <w:rtl w:val="true"/>
          <w:lang w:bidi="ar-SA"/>
        </w:rPr>
        <w:t>، وآخرون الحركة وحدها</w:t>
      </w:r>
      <w:r>
        <w:rPr>
          <w:rStyle w:val="FootnoteAnchor"/>
          <w:rtl w:val="true"/>
        </w:rPr>
        <w:footnoteReference w:id="349"/>
      </w:r>
    </w:p>
    <w:p>
      <w:pPr>
        <w:pStyle w:val="BookText"/>
        <w:rPr/>
      </w:pPr>
      <w:r>
        <w:rPr>
          <w:rFonts w:ascii="Amiri" w:hAnsi="Amiri" w:eastAsia="Amiri" w:cs="Amiri"/>
          <w:color w:val="111111"/>
          <w:sz w:val="28"/>
          <w:sz w:val="28"/>
          <w:szCs w:val="28"/>
          <w:rtl w:val="true"/>
          <w:lang w:bidi="ar-SA"/>
        </w:rPr>
        <w:t xml:space="preserve">إدريس في السرائر، ج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110</w:t>
      </w:r>
      <w:r>
        <w:rPr>
          <w:rFonts w:eastAsia="Amiri" w:cs="Amiri" w:ascii="Amiri" w:hAnsi="Amiri"/>
          <w:color w:val="111111"/>
          <w:sz w:val="28"/>
          <w:szCs w:val="28"/>
          <w:rtl w:val="true"/>
          <w:lang w:bidi="ar-SA"/>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لصحة روايتها وجهالة الأُخرى بالحسين، وهو</w:t>
      </w:r>
    </w:p>
    <w:p>
      <w:pPr>
        <w:pStyle w:val="BookText"/>
        <w:rPr/>
      </w:pPr>
      <w:r>
        <w:rPr>
          <w:rFonts w:ascii="Amiri" w:hAnsi="Amiri" w:eastAsia="Amiri" w:cs="Amiri"/>
          <w:color w:val="111111"/>
          <w:sz w:val="28"/>
          <w:sz w:val="28"/>
          <w:szCs w:val="28"/>
          <w:rtl w:val="true"/>
          <w:lang w:bidi="ar-SA"/>
        </w:rPr>
        <w:t>الأقوى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وصحيحةُ الحلبي وغيرها </w:t>
      </w:r>
      <w:r>
        <w:rPr>
          <w:rStyle w:val="FootnoteAnchor"/>
          <w:rtl w:val="true"/>
        </w:rPr>
        <w:footnoteReference w:id="350"/>
      </w:r>
      <w:r>
        <w:rPr>
          <w:rFonts w:ascii="Amiri" w:hAnsi="Amiri" w:eastAsia="Amiri" w:cs="Amiri"/>
          <w:color w:val="111111"/>
          <w:sz w:val="28"/>
          <w:sz w:val="28"/>
          <w:szCs w:val="28"/>
          <w:rtl w:val="true"/>
          <w:lang w:bidi="ar-SA"/>
        </w:rPr>
        <w:t>مصرحة بالاكتفاء في الحركة بطَرْفِ العين أو تحريك الذنّب أو الأُذُنِ، من غير اعتبار أمرٍ 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المصنِّفَ هنا وغيره من المتأخرين</w:t>
      </w:r>
      <w:r>
        <w:rPr>
          <w:rStyle w:val="FootnoteAnchor"/>
          <w:rtl w:val="true"/>
        </w:rPr>
        <w:footnoteReference w:id="351"/>
      </w:r>
      <w:r>
        <w:rPr>
          <w:rFonts w:ascii="Amiri" w:hAnsi="Amiri" w:eastAsia="Amiri" w:cs="Amiri"/>
          <w:color w:val="111111"/>
          <w:sz w:val="28"/>
          <w:sz w:val="28"/>
          <w:szCs w:val="28"/>
          <w:rtl w:val="true"/>
          <w:lang w:bidi="ar-SA"/>
        </w:rPr>
        <w:t xml:space="preserve">اسْتَرَطوا مع ذلك أمراً آخَرَ، كما نبه عليه بقوله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ولو علم عدم استقرار الحياة حَرُمَ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ولم نَقِفْ لهم فيه على مستند، وظاهرُ القدماء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كالأخبار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الاكتفاء بأحد الأمرين، أو بهما من غير اعتبار استقرار الحياة، وفي الآية إيماء إليه، وهي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حُرِّمَتْ عَلَيْكُمُ الْمَيْتَةُ وَالدَّمُ</w:t>
      </w:r>
      <w:r>
        <w:rPr>
          <w:rFonts w:ascii="IRNazanin" w:hAnsi="IRNazanin" w:eastAsia="IRNazanin"/>
          <w:color w:val="111111"/>
          <w:sz w:val="28"/>
          <w:sz w:val="28"/>
          <w:szCs w:val="28"/>
          <w:rtl w:val="true"/>
          <w:lang w:bidi="fa-IR"/>
        </w:rPr>
        <w:t xml:space="preserve">إلى قوله </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إِلَّا مَا ذَكَّيْتُمْ</w:t>
      </w:r>
      <w:r>
        <w:rPr>
          <w:rStyle w:val="FootnoteAnchor"/>
          <w:rtl w:val="true"/>
        </w:rPr>
        <w:footnoteReference w:id="352"/>
      </w:r>
      <w:r>
        <w:rPr>
          <w:rFonts w:ascii="Amiri" w:hAnsi="Amiri" w:eastAsia="Amiri" w:cs="Amiri"/>
          <w:color w:val="111111"/>
          <w:sz w:val="28"/>
          <w:sz w:val="28"/>
          <w:szCs w:val="28"/>
          <w:rtl w:val="true"/>
          <w:lang w:bidi="ar-SA"/>
        </w:rPr>
        <w:t>، ففي صحيحة زرارة عن الباقر ، في تفسيرها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أدركت شيئاً منها عين تَطرف، أو قائمة تَركُضُ أو ذنب يمصع فقد أدركت ذكاته فكله</w:t>
      </w:r>
      <w:r>
        <w:rPr>
          <w:rFonts w:eastAsia="Amiri" w:cs="Amiri" w:ascii="Amiri" w:hAnsi="Amiri"/>
          <w:color w:val="111111"/>
          <w:sz w:val="28"/>
          <w:szCs w:val="28"/>
          <w:rtl w:val="true"/>
          <w:lang w:bidi="ar-SA"/>
        </w:rPr>
        <w:t>»</w:t>
      </w:r>
      <w:r>
        <w:rPr>
          <w:rStyle w:val="FootnoteAnchor"/>
          <w:rtl w:val="true"/>
        </w:rPr>
        <w:footnoteReference w:id="353"/>
      </w:r>
      <w:r>
        <w:rPr>
          <w:rFonts w:ascii="Amiri" w:hAnsi="Amiri" w:eastAsia="Amiri" w:cs="Amiri"/>
          <w:color w:val="111111"/>
          <w:sz w:val="28"/>
          <w:sz w:val="28"/>
          <w:szCs w:val="28"/>
          <w:rtl w:val="true"/>
          <w:lang w:bidi="ar-SA"/>
        </w:rPr>
        <w:t>، ومثلها أخبار كثيرة</w:t>
      </w:r>
      <w:r>
        <w:rPr>
          <w:rStyle w:val="FootnoteAnchor"/>
          <w:rtl w:val="true"/>
        </w:rPr>
        <w:footnoteReference w:id="35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المصنف في الدروس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وعن يحيى أنّ اعتبار استقرار الحياة ليس من المذهب، ونعم ما قال</w:t>
      </w:r>
      <w:r>
        <w:rPr>
          <w:rStyle w:val="FootnoteAnchor"/>
          <w:rtl w:val="true"/>
        </w:rPr>
        <w:footnoteReference w:id="35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خلافُ ما حَكَم به هنا وهو الأقوى فعلى هذا يُعتبر في المُسْرِفِ على الموت وأكيل السبع وغيره الحركة بعد الذبح وإن لم يكن مستقر الحياة، ولو اعتبر معها خروج الدم المعتدل كان أولى</w:t>
      </w:r>
      <w:r>
        <w:rPr>
          <w:rFonts w:eastAsia="Amiri" w:cs="Amiri" w:ascii="Amiri" w:hAnsi="Amiri"/>
          <w:color w:val="111111"/>
          <w:sz w:val="28"/>
          <w:szCs w:val="28"/>
          <w:rtl w:val="true"/>
          <w:lang w:bidi="ar-SA"/>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السابع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متابعةُ الذَبح حتَّى يَستَوفِي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قطع الأعضاء، فلو قطع البعض وأرسله ثم تَمَّمه أو تثاقل بقطع البعض حَرُمَ إن لم يكن في الحياة استقرار؛ لعدم صدق الذبح مع التفرقة كثيراً؛ لأنّ الأوّلَ غيرُ مُحَلِّل، والثاني يجري مجرى التجهيز على الميّت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ويُشكل مع صدق اسم الذبح عرفاً، ويمكن استناد الإباحة إلى الجميع، ولولاه لورد مثله مع التوالي، واعتبار استقرار الحياة ممنوع، والحركة اليسيرة الكافية مصححة </w:t>
      </w:r>
    </w:p>
    <w:p>
      <w:pPr>
        <w:pStyle w:val="BookText"/>
        <w:rPr/>
      </w:pPr>
      <w:r>
        <w:rPr>
          <w:rFonts w:ascii="Amiri" w:hAnsi="Amiri" w:eastAsia="Amiri" w:cs="Amiri"/>
          <w:color w:val="111111"/>
          <w:sz w:val="28"/>
          <w:sz w:val="28"/>
          <w:szCs w:val="28"/>
          <w:rtl w:val="true"/>
          <w:lang w:bidi="ar-SA"/>
        </w:rPr>
        <w:t>فيهما مع أصالة الإباحة إذا صَدَق اسم الذبح، وهو الأقوى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القولين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تَضُرّ التفرقةُ اليسيرة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التي لا تخرج عن المتابعة عادةً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ويُستحَبٌ نَحْرُ الإبل قد رُبطَتْ أخفافُها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أخفاف يَدَيْها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آباطِها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يَربُطَهما معاً مجتمعين من الخُفّ إلى الآباط ورُوِيَ أنّه يَعقِل يدها اليسرى من الخُفِّ إلى الركبة ويُوقفها على اليمنى</w:t>
      </w:r>
      <w:r>
        <w:rPr>
          <w:rStyle w:val="FootnoteAnchor"/>
          <w:rtl w:val="true"/>
        </w:rPr>
        <w:footnoteReference w:id="356"/>
      </w:r>
      <w:r>
        <w:rPr>
          <w:rFonts w:ascii="Amiri" w:hAnsi="Amiri" w:eastAsia="Amiri" w:cs="Amiri"/>
          <w:color w:val="111111"/>
          <w:sz w:val="28"/>
          <w:sz w:val="28"/>
          <w:szCs w:val="28"/>
          <w:rtl w:val="true"/>
          <w:lang w:bidi="ar-SA"/>
        </w:rPr>
        <w:t>، وكلاهما 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وأُطلِقت أَرجُلُها، والبقر تُعقل يداه ورجلاه ويُطلق ذنبه، والغَنَم تُربط يداه ورجل واحدةٌ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وتُطلق الأخرى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ويُمسك صُوفَه وشَعْرُه ووَبَرُه حتّى يَبرُدَ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رواية حُمران بن أعين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كان من الغنم فأَمْسِك صوفَه أو شعره، ولا تُمْسِكَنَّ يداً ولا رجلاً</w:t>
      </w:r>
      <w:r>
        <w:rPr>
          <w:rFonts w:eastAsia="Amiri" w:cs="Amiri" w:ascii="Amiri" w:hAnsi="Amiri"/>
          <w:color w:val="111111"/>
          <w:sz w:val="28"/>
          <w:szCs w:val="28"/>
          <w:rtl w:val="true"/>
          <w:lang w:bidi="ar-SA"/>
        </w:rPr>
        <w:t>»</w:t>
      </w:r>
      <w:r>
        <w:rPr>
          <w:rStyle w:val="FootnoteAnchor"/>
          <w:rtl w:val="true"/>
        </w:rPr>
        <w:footnoteReference w:id="357"/>
      </w:r>
      <w:r>
        <w:rPr>
          <w:rFonts w:ascii="Amiri" w:hAnsi="Amiri" w:eastAsia="Amiri" w:cs="Amiri"/>
          <w:color w:val="111111"/>
          <w:sz w:val="28"/>
          <w:sz w:val="28"/>
          <w:szCs w:val="28"/>
          <w:rtl w:val="true"/>
          <w:lang w:bidi="ar-SA"/>
        </w:rPr>
        <w:t xml:space="preserve">والأشهر الأول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والطيرُ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يُذبَح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ويُرسل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يُمسك ولا يُكتف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ويُكرَهُ أن تُنخَع الذبيحة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أن يُقطع نخاعُها قبل موتها، وهو الخَيطُ الأبيض وسط الفقار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بالفتح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ممتداً من الرقبة إلى عَجب الذنب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بفتح العين وسكون الجيم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أصله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يحرم</w:t>
      </w:r>
      <w:r>
        <w:rPr>
          <w:rStyle w:val="FootnoteAnchor"/>
          <w:rtl w:val="true"/>
        </w:rPr>
        <w:footnoteReference w:id="358"/>
      </w:r>
      <w:r>
        <w:rPr>
          <w:rFonts w:ascii="Amiri" w:hAnsi="Amiri" w:eastAsia="Amiri" w:cs="Amiri"/>
          <w:color w:val="111111"/>
          <w:sz w:val="28"/>
          <w:sz w:val="28"/>
          <w:szCs w:val="28"/>
          <w:rtl w:val="true"/>
          <w:lang w:bidi="ar-SA"/>
        </w:rPr>
        <w:t xml:space="preserve">لصحيحة الحلبي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تنخَع الذبيحة حتى تموت، فإذا ماتت فانْخَعها</w:t>
      </w:r>
      <w:r>
        <w:rPr>
          <w:rFonts w:eastAsia="Amiri" w:cs="Amiri" w:ascii="Amiri" w:hAnsi="Amiri"/>
          <w:color w:val="111111"/>
          <w:sz w:val="28"/>
          <w:szCs w:val="28"/>
          <w:rtl w:val="true"/>
          <w:lang w:bidi="ar-SA"/>
        </w:rPr>
        <w:t>»</w:t>
      </w:r>
      <w:r>
        <w:rPr>
          <w:rStyle w:val="FootnoteAnchor"/>
          <w:rtl w:val="true"/>
        </w:rPr>
        <w:footnoteReference w:id="359"/>
      </w:r>
      <w:r>
        <w:rPr>
          <w:rFonts w:ascii="Amiri" w:hAnsi="Amiri" w:eastAsia="Amiri" w:cs="Amiri"/>
          <w:color w:val="111111"/>
          <w:sz w:val="28"/>
          <w:sz w:val="28"/>
          <w:szCs w:val="28"/>
          <w:rtl w:val="true"/>
          <w:lang w:bidi="ar-SA"/>
        </w:rPr>
        <w:t>، والأصل في النهي التحريم، وهو الأقوى، واختاره في الدروس</w:t>
      </w:r>
      <w:r>
        <w:rPr>
          <w:rStyle w:val="FootnoteAnchor"/>
          <w:rtl w:val="true"/>
        </w:rPr>
        <w:footnoteReference w:id="36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لا تحرم الذبيحة على القولين</w:t>
      </w:r>
      <w:r>
        <w:rPr>
          <w:rFonts w:eastAsia="Amiri" w:cs="Amiri" w:ascii="Amiri" w:hAnsi="Amiri"/>
          <w:color w:val="111111"/>
          <w:sz w:val="28"/>
          <w:szCs w:val="28"/>
          <w:rtl w:val="true"/>
          <w:lang w:bidi="ar-SA"/>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وأن يقلِبَ السكّين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يُدخِلَها تحت الحلقوم وباقي الأعضاء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فيَذبَح إلى فوق لنهي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في رواية حُمران بن أعين</w:t>
      </w:r>
      <w:r>
        <w:rPr>
          <w:rStyle w:val="FootnoteAnchor"/>
          <w:rtl w:val="true"/>
        </w:rPr>
        <w:footnoteReference w:id="361"/>
      </w:r>
      <w:r>
        <w:rPr>
          <w:rFonts w:ascii="Amiri" w:hAnsi="Amiri" w:eastAsia="Amiri" w:cs="Amiri"/>
          <w:color w:val="111111"/>
          <w:sz w:val="28"/>
          <w:sz w:val="28"/>
          <w:szCs w:val="28"/>
          <w:rtl w:val="true"/>
          <w:lang w:bidi="ar-SA"/>
        </w:rPr>
        <w:t>ومِن ثَمَّ قيل بالتحريم</w:t>
      </w:r>
      <w:r>
        <w:rPr>
          <w:rStyle w:val="FootnoteAnchor"/>
          <w:rtl w:val="true"/>
        </w:rPr>
        <w:footnoteReference w:id="362"/>
      </w:r>
      <w:r>
        <w:rPr>
          <w:rFonts w:ascii="Amiri" w:hAnsi="Amiri" w:eastAsia="Amiri" w:cs="Amiri"/>
          <w:color w:val="111111"/>
          <w:sz w:val="28"/>
          <w:sz w:val="28"/>
          <w:szCs w:val="28"/>
          <w:rtl w:val="true"/>
          <w:lang w:bidi="ar-SA"/>
        </w:rPr>
        <w:t>حملاً للنهي عليه، وفي السند من لا تثبت عدالته، فالقول بالكراهة أجود</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والسلخ قبل البزد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لمرفوعة محمّد بن يحيى عن الرضا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إذا ذُبِحَت وسُلِخَت أو سُلخ شيءٌ منها قبل أن تموت فليس يحلّ أكلها</w:t>
      </w:r>
      <w:r>
        <w:rPr>
          <w:rFonts w:eastAsia="Amiri" w:cs="Amiri" w:ascii="Amiri" w:hAnsi="Amiri"/>
          <w:color w:val="111111"/>
          <w:sz w:val="28"/>
          <w:szCs w:val="28"/>
          <w:rtl w:val="true"/>
          <w:lang w:bidi="ar-SA"/>
        </w:rPr>
        <w:t>»</w:t>
      </w:r>
      <w:r>
        <w:rPr>
          <w:rStyle w:val="FootnoteAnchor"/>
          <w:rtl w:val="true"/>
        </w:rPr>
        <w:footnoteReference w:id="363"/>
      </w:r>
      <w:r>
        <w:rPr>
          <w:rStyle w:val="FootnoteAnchor"/>
          <w:rtl w:val="true"/>
        </w:rPr>
        <w:footnoteReference w:id="364"/>
      </w:r>
      <w:r>
        <w:rPr>
          <w:rFonts w:ascii="Amiri" w:hAnsi="Amiri" w:eastAsia="Amiri" w:cs="Amiri"/>
          <w:color w:val="111111"/>
          <w:sz w:val="28"/>
          <w:sz w:val="28"/>
          <w:szCs w:val="28"/>
          <w:rtl w:val="true"/>
          <w:lang w:bidi="ar-SA"/>
        </w:rPr>
        <w:t>، وذهب جماعة</w:t>
      </w:r>
      <w:r>
        <w:rPr>
          <w:rStyle w:val="FootnoteAnchor"/>
          <w:rtl w:val="true"/>
        </w:rPr>
        <w:footnoteReference w:id="365"/>
      </w:r>
      <w:r>
        <w:rPr>
          <w:rFonts w:ascii="Amiri" w:hAnsi="Amiri" w:eastAsia="Amiri" w:cs="Amiri"/>
          <w:color w:val="111111"/>
          <w:sz w:val="28"/>
          <w:sz w:val="28"/>
          <w:szCs w:val="28"/>
          <w:rtl w:val="true"/>
          <w:lang w:bidi="ar-SA"/>
        </w:rPr>
        <w:t>، منهم المصنف في الدروس والشرح</w:t>
      </w:r>
      <w:r>
        <w:rPr>
          <w:rStyle w:val="FootnoteAnchor"/>
          <w:rtl w:val="true"/>
        </w:rPr>
        <w:footnoteReference w:id="366"/>
      </w:r>
      <w:r>
        <w:rPr>
          <w:rFonts w:ascii="Amiri" w:hAnsi="Amiri" w:eastAsia="Amiri" w:cs="Amiri"/>
          <w:color w:val="111111"/>
          <w:sz w:val="28"/>
          <w:sz w:val="28"/>
          <w:szCs w:val="28"/>
          <w:rtl w:val="true"/>
          <w:lang w:bidi="ar-SA"/>
        </w:rPr>
        <w:t>، إلى تحريم الفعل استناداً إلى تلازم تحريم الأكل و تحريم الفعل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يخفى منعه، بل عدم دلالته على التحريم والكراهة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يمكن الكراهة من حيث اشتماله على تعذيب الحيوان على تقدير شعوره، مع أنّ سَلْخَه قبل بَرده لا يستلزمه ؛ لأنّه أعمُّ مِن قَبْليّة الموت ، وظاهرُهم أنهما متلازمان، وهو ممنوع، ومِن ثُمَّ جاز تغسيل ميت الإنسان قبل برده، فالأولى تخصيص الكراهة بسلخه قبل موته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إبانة الرأس عمداً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حالة الذبح للنهي عنه في صحيحة محمد بن مسلم عن الباقر،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يَنخَع ولا يقطع الرقبة بعد ما يذبح</w:t>
      </w:r>
      <w:r>
        <w:rPr>
          <w:rFonts w:eastAsia="Amiri" w:cs="Amiri" w:ascii="Amiri" w:hAnsi="Amiri"/>
          <w:color w:val="111111"/>
          <w:sz w:val="28"/>
          <w:szCs w:val="28"/>
          <w:rtl w:val="true"/>
          <w:lang w:bidi="ar-SA"/>
        </w:rPr>
        <w:t>»</w:t>
      </w:r>
      <w:r>
        <w:rPr>
          <w:rStyle w:val="FootnoteAnchor"/>
          <w:rtl w:val="true"/>
        </w:rPr>
        <w:footnoteReference w:id="367"/>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والقائل الشيخ في النهاية </w:t>
      </w:r>
      <w:r>
        <w:rPr>
          <w:rStyle w:val="FootnoteAnchor"/>
          <w:rtl w:val="true"/>
        </w:rPr>
        <w:footnoteReference w:id="368"/>
      </w:r>
      <w:r>
        <w:rPr>
          <w:rFonts w:ascii="Amiri" w:hAnsi="Amiri" w:eastAsia="Amiri" w:cs="Amiri"/>
          <w:color w:val="111111"/>
          <w:sz w:val="28"/>
          <w:sz w:val="28"/>
          <w:szCs w:val="28"/>
          <w:rtl w:val="true"/>
          <w:lang w:bidi="ar-SA"/>
        </w:rPr>
        <w:t>وجماعة</w:t>
      </w:r>
      <w:r>
        <w:rPr>
          <w:rStyle w:val="FootnoteAnchor"/>
          <w:rtl w:val="true"/>
        </w:rPr>
        <w:footnoteReference w:id="36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بالتحريم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لاقتضاء النهي له مع صحة الخبر، وهو الأقوى</w:t>
      </w:r>
      <w:r>
        <w:rPr>
          <w:rFonts w:eastAsia="Amiri" w:cs="Amiri" w:ascii="Amiri" w:hAnsi="Amiri"/>
          <w:color w:val="111111"/>
          <w:sz w:val="28"/>
          <w:szCs w:val="28"/>
          <w:rtl w:val="true"/>
          <w:lang w:bidi="ar-SA"/>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وعليه هل تَحْرُم الذبيحةُ ؟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Style w:val="FootnoteAnchor"/>
          <w:rtl w:val="true"/>
        </w:rPr>
        <w:footnoteReference w:id="370"/>
      </w:r>
      <w:r>
        <w:rPr>
          <w:rFonts w:ascii="Amiri" w:hAnsi="Amiri" w:eastAsia="Amiri" w:cs="Amiri"/>
          <w:color w:val="111111"/>
          <w:sz w:val="28"/>
          <w:sz w:val="28"/>
          <w:szCs w:val="28"/>
          <w:rtl w:val="true"/>
          <w:lang w:bidi="ar-SA"/>
        </w:rPr>
        <w:t xml:space="preserve">لأنّ الزائد عن قطع الأعضاء يُخرجه عن كونه </w:t>
      </w:r>
    </w:p>
    <w:p>
      <w:pPr>
        <w:pStyle w:val="BookText"/>
        <w:rPr/>
      </w:pPr>
      <w:r>
        <w:rPr>
          <w:rFonts w:ascii="Amiri" w:hAnsi="Amiri" w:eastAsia="Amiri" w:cs="Amiri"/>
          <w:color w:val="111111"/>
          <w:sz w:val="28"/>
          <w:sz w:val="28"/>
          <w:szCs w:val="28"/>
          <w:rtl w:val="true"/>
          <w:lang w:bidi="ar-SA"/>
        </w:rPr>
        <w:t>ذبحاً شرعياً فلا يكون مُبيحاً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ويُضعف بأنّ المعتبر فى الذبح قد حصل فلا اعتبار بالزائد وقد رَوَى الحلبي في الصحيح عن الصادق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حيث سُئِل عن ذَبح طيرٍ قُطِع رأسه، أَيُؤْكَل منه؟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نعم، ولكن لا يتعمَّد قطع رأسه</w:t>
      </w:r>
      <w:r>
        <w:rPr>
          <w:rFonts w:eastAsia="Amiri" w:cs="Amiri" w:ascii="Amiri" w:hAnsi="Amiri"/>
          <w:color w:val="111111"/>
          <w:sz w:val="28"/>
          <w:szCs w:val="28"/>
          <w:rtl w:val="true"/>
          <w:lang w:bidi="ar-SA"/>
        </w:rPr>
        <w:t>»</w:t>
      </w:r>
      <w:r>
        <w:rPr>
          <w:rStyle w:val="FootnoteAnchor"/>
          <w:rtl w:val="true"/>
        </w:rPr>
        <w:footnoteReference w:id="37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نص؛ ولعموم قوله تعالى</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فَكُلُواْ مِمَّا ذُكِرَ اسْمُ اللَّهِ عَلَيْهِ</w:t>
      </w:r>
      <w:r>
        <w:rPr>
          <w:rStyle w:val="FootnoteAnchor"/>
          <w:rtl w:val="true"/>
        </w:rPr>
        <w:footnoteReference w:id="372"/>
      </w:r>
      <w:r>
        <w:rPr>
          <w:rFonts w:ascii="Amiri" w:hAnsi="Amiri" w:eastAsia="Amiri" w:cs="Amiri"/>
          <w:color w:val="111111"/>
          <w:sz w:val="28"/>
          <w:sz w:val="28"/>
          <w:szCs w:val="28"/>
          <w:rtl w:val="true"/>
          <w:lang w:bidi="ar-SA"/>
        </w:rPr>
        <w:t>فالمتجه تحريم الفعل دون الذبيحة فيه وفي كل ما حُرم سابقاً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ويمكن أن يكون القولُ المحكيُّ بالتحريم متعلقاً بجميع ما ذكر مكروهاً لوقوع الخلاف فيها أجمع، بل قد حرمها المصنِّفُ في الدروس</w:t>
      </w:r>
      <w:r>
        <w:rPr>
          <w:rStyle w:val="FootnoteAnchor"/>
          <w:rtl w:val="true"/>
        </w:rPr>
        <w:footnoteReference w:id="373"/>
      </w:r>
      <w:r>
        <w:rPr>
          <w:rFonts w:ascii="Amiri" w:hAnsi="Amiri" w:eastAsia="Amiri" w:cs="Amiri"/>
          <w:color w:val="111111"/>
          <w:sz w:val="28"/>
          <w:sz w:val="28"/>
          <w:szCs w:val="28"/>
          <w:rtl w:val="true"/>
          <w:lang w:bidi="ar-SA"/>
        </w:rPr>
        <w:t>إِلَّا قَلْبَ السكين فلم يَحكُم فيه بتحريم ولا غيره، بل اقتصر على نقل الخلاف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وإنّما تَقَع الذكاة على حيوان طاهر العين، غير آدمي ولا حشارٍ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ما سكن الأرض من الحيوان كالفَارِ والضَبّ وابنِ عِرْس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تقع على الكلب والخنزير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إجماعاً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على الآدمي وإن كان كافراً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إجماعاً،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ولا على الحشرات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الأظهر؛ للأصل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لم يَرِدْ بها نص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تقع</w:t>
      </w:r>
      <w:r>
        <w:rPr>
          <w:rFonts w:eastAsia="Amiri" w:cs="Amiri" w:ascii="Amiri" w:hAnsi="Amiri"/>
          <w:color w:val="111111"/>
          <w:sz w:val="28"/>
          <w:szCs w:val="28"/>
          <w:rtl w:val="true"/>
          <w:lang w:bidi="ar-SA"/>
        </w:rPr>
        <w:t>)</w:t>
      </w:r>
      <w:r>
        <w:rPr>
          <w:rStyle w:val="FootnoteAnchor"/>
          <w:rtl w:val="true"/>
        </w:rPr>
        <w:footnoteReference w:id="374"/>
      </w:r>
      <w:r>
        <w:rPr>
          <w:rFonts w:ascii="IRNazanin" w:hAnsi="IRNazanin" w:eastAsia="IRNazanin"/>
          <w:color w:val="111111"/>
          <w:sz w:val="28"/>
          <w:sz w:val="28"/>
          <w:szCs w:val="28"/>
          <w:rtl w:val="true"/>
          <w:lang w:bidi="fa-IR"/>
        </w:rPr>
        <w:t>، وهو شاذ</w:t>
      </w:r>
      <w:r>
        <w:rPr>
          <w:rFonts w:eastAsia="IRNazanin" w:cs="IRNazanin"/>
          <w:color w:val="111111"/>
          <w:sz w:val="28"/>
          <w:szCs w:val="28"/>
          <w:rtl w:val="true"/>
          <w:lang w:bidi="fa-IR"/>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والظاهرُ وقوعها على المُسُوخ والسباع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لرواية محمد بن مسلم عن أبي جعفر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سُئِل عن سباع الطَّيْرِ والوَحْشِ حتّى ذُكِر القَنَافِدُ والوَطْوَاطُ والحَمِيرُ والبغالُ والخَيلُ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ليس الحرام إلا ما حرَّمه الله في كتابه</w:t>
      </w:r>
      <w:r>
        <w:rPr>
          <w:rFonts w:eastAsia="Amiri" w:cs="Amiri" w:ascii="Amiri" w:hAnsi="Amiri"/>
          <w:color w:val="111111"/>
          <w:sz w:val="28"/>
          <w:szCs w:val="28"/>
          <w:rtl w:val="true"/>
          <w:lang w:bidi="ar-SA"/>
        </w:rPr>
        <w:t>»</w:t>
      </w:r>
      <w:r>
        <w:rPr>
          <w:rStyle w:val="FootnoteAnchor"/>
          <w:rtl w:val="true"/>
        </w:rPr>
        <w:footnoteReference w:id="37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وليس المراد نفي تحريم الأكل؛ للرواياتِ الدالة على تحريمه</w:t>
      </w:r>
      <w:r>
        <w:rPr>
          <w:rStyle w:val="FootnoteAnchor"/>
          <w:rtl w:val="true"/>
        </w:rPr>
        <w:footnoteReference w:id="376"/>
      </w:r>
      <w:r>
        <w:rPr>
          <w:rFonts w:ascii="Amiri" w:hAnsi="Amiri" w:eastAsia="Amiri" w:cs="Amiri"/>
          <w:color w:val="111111"/>
          <w:sz w:val="28"/>
          <w:sz w:val="28"/>
          <w:szCs w:val="28"/>
          <w:rtl w:val="true"/>
          <w:lang w:bidi="ar-SA"/>
        </w:rPr>
        <w:t>، فبَقِيَ عدم تحريم الذكاة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ورَوَى حَمَّادُ بنُ عثمان عن أبي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كان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عَزُوفَ النفس، وكان يَكرَه الشيءَ ولا يُحَرِّمُه، فأُتِيَ بالأَرْنَب فكَرِهَها ولم يُحَرِّمها</w:t>
      </w:r>
      <w:r>
        <w:rPr>
          <w:rFonts w:eastAsia="Amiri" w:cs="Amiri" w:ascii="Amiri" w:hAnsi="Amiri"/>
          <w:color w:val="111111"/>
          <w:sz w:val="28"/>
          <w:szCs w:val="28"/>
          <w:rtl w:val="true"/>
          <w:lang w:bidi="ar-SA"/>
        </w:rPr>
        <w:t>»</w:t>
      </w:r>
      <w:r>
        <w:rPr>
          <w:rStyle w:val="FootnoteAnchor"/>
          <w:rtl w:val="true"/>
        </w:rPr>
        <w:footnoteReference w:id="37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محمول أيضاً على عدم تحريم </w:t>
      </w:r>
    </w:p>
    <w:p>
      <w:pPr>
        <w:pStyle w:val="BookText"/>
        <w:rPr/>
      </w:pPr>
      <w:r>
        <w:rPr>
          <w:rFonts w:ascii="Amiri" w:hAnsi="Amiri" w:eastAsia="Amiri" w:cs="Amiri"/>
          <w:color w:val="111111"/>
          <w:sz w:val="28"/>
          <w:sz w:val="28"/>
          <w:szCs w:val="28"/>
          <w:rtl w:val="true"/>
          <w:lang w:bidi="ar-SA"/>
        </w:rPr>
        <w:t>ذكاتها وجلودها جمعاً بين الأخبار</w:t>
      </w:r>
      <w:r>
        <w:rPr>
          <w:rStyle w:val="FootnoteAnchor"/>
          <w:rtl w:val="true"/>
        </w:rPr>
        <w:footnoteReference w:id="378"/>
      </w:r>
      <w:r>
        <w:rPr>
          <w:rFonts w:ascii="Amiri" w:hAnsi="Amiri" w:eastAsia="Amiri" w:cs="Amiri"/>
          <w:color w:val="111111"/>
          <w:sz w:val="28"/>
          <w:sz w:val="28"/>
          <w:szCs w:val="28"/>
          <w:rtl w:val="true"/>
          <w:lang w:bidi="ar-SA"/>
        </w:rPr>
        <w:t>والأرنب من جملة المسوخ، ولا قائل بالفرق بينها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وروى سماعة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لحوم</w:t>
      </w:r>
      <w:r>
        <w:rPr>
          <w:rStyle w:val="FootnoteAnchor"/>
          <w:rtl w:val="true"/>
        </w:rPr>
        <w:footnoteReference w:id="379"/>
      </w:r>
      <w:r>
        <w:rPr>
          <w:rFonts w:ascii="Amiri" w:hAnsi="Amiri" w:eastAsia="Amiri" w:cs="Amiri"/>
          <w:color w:val="111111"/>
          <w:sz w:val="28"/>
          <w:sz w:val="28"/>
          <w:szCs w:val="28"/>
          <w:rtl w:val="true"/>
          <w:lang w:bidi="ar-SA"/>
        </w:rPr>
        <w:t>السباع وجلودها؟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أما اللحوم، فدَعْها، وأمّا الجُلُود، فازكَبوا عليها، ولا تُصَلُّوا فيها</w:t>
      </w:r>
      <w:r>
        <w:rPr>
          <w:rFonts w:eastAsia="Amiri" w:cs="Amiri" w:ascii="Amiri" w:hAnsi="Amiri"/>
          <w:color w:val="111111"/>
          <w:sz w:val="28"/>
          <w:szCs w:val="28"/>
          <w:rtl w:val="true"/>
          <w:lang w:bidi="ar-SA"/>
        </w:rPr>
        <w:t>»</w:t>
      </w:r>
      <w:r>
        <w:rPr>
          <w:rStyle w:val="FootnoteAnchor"/>
          <w:rtl w:val="true"/>
        </w:rPr>
        <w:footnoteReference w:id="38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والظاهرُ أنّ المسؤول الإمام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يخفى بُعد هذه الأدلّة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قال المصنف في الشرح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القولَ الآخَرَ في السباع لا نعرفه لأحدٍ منا</w:t>
      </w:r>
      <w:r>
        <w:rPr>
          <w:rStyle w:val="FootnoteAnchor"/>
          <w:rtl w:val="true"/>
        </w:rPr>
        <w:footnoteReference w:id="38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والقائلون بعدم وقوع الذكاة على المسوخ أكثرهم عللوه بنجاستها، وحيث ثبت طهارتها في محلّه تَوَجَّه القولُ بوقوع الذكاة عليها إن تمّ ما سَبَق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ويُستثنى من المُسوخ الخنازير لنجاستها، والضَبُ والفَارُ والوَزَعُ لأنّها من الحشار وكذا ما في معناها، ورَوَى الصدوق بإسناده إلى أبي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أنّ المسوخ من بني آدم ثلاثة عشر صنفاً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القِرَدَةُ والخنازيرُ والخُفّاش والذئب والدب والفيلُ والدُعْموص والجريث والعقرب وسهيل والزهرة والعنكبوت والقُنْفُذ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الصدوق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والزهرة وسهيل دابتان وليستا نجمين ولكن سُمِّي بهما النجمان كالحَمَل والثور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والمُسوخ جميعُها لم تَبْقَ أكثر من ثلاثة أيّام ثم ماتت وهذه الحيوانات على صُورِها، سميت مسوخاً استعارة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ورُوِيَ عن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زيادة الأرنب والفأرة والوزغ والزُنْبُور</w:t>
      </w:r>
      <w:r>
        <w:rPr>
          <w:rStyle w:val="FootnoteAnchor"/>
          <w:rtl w:val="true"/>
        </w:rPr>
        <w:footnoteReference w:id="382"/>
      </w:r>
      <w:r>
        <w:rPr>
          <w:rFonts w:ascii="Amiri" w:hAnsi="Amiri" w:eastAsia="Amiri" w:cs="Amiri"/>
          <w:color w:val="111111"/>
          <w:sz w:val="28"/>
          <w:sz w:val="28"/>
          <w:szCs w:val="28"/>
          <w:rtl w:val="true"/>
          <w:lang w:bidi="ar-SA"/>
        </w:rPr>
        <w:t xml:space="preserve">، ورُوِيَ إضافهُ الطاووس </w:t>
      </w:r>
      <w:r>
        <w:rPr>
          <w:rStyle w:val="FootnoteAnchor"/>
          <w:rtl w:val="true"/>
        </w:rPr>
        <w:footnoteReference w:id="383"/>
      </w:r>
      <w:r>
        <w:rPr>
          <w:rFonts w:eastAsia="Times New Roman" w:cs="Times New Roman" w:ascii="Times New Roman" w:hAnsi="Times New Roman"/>
          <w:color w:val="111111"/>
          <w:sz w:val="28"/>
          <w:szCs w:val="28"/>
          <w:rtl w:val="true"/>
          <w:lang w:val="en-US" w:bidi="en-US"/>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والمراد بالسباع الحيوانُ المُفْتَرِسُ كالأسد والنمر والفهد والتعْلَب والهر</w:t>
      </w:r>
      <w:r>
        <w:rPr>
          <w:rFonts w:eastAsia="Amiri" w:cs="Amiri" w:ascii="Amiri" w:hAnsi="Amiri"/>
          <w:color w:val="111111"/>
          <w:sz w:val="28"/>
          <w:szCs w:val="28"/>
          <w:rtl w:val="true"/>
          <w:lang w:bidi="ar-SA"/>
        </w:rPr>
        <w:t xml:space="preserve">. </w:t>
      </w:r>
      <w:bookmarkStart w:id="79" w:name="pg11049_88423"/>
    </w:p>
    <w:p>
      <w:pPr>
        <w:pStyle w:val="Heading3"/>
        <w:numPr>
          <w:ilvl w:val="2"/>
          <w:numId w:val="1"/>
        </w:numPr>
        <w:rPr/>
      </w:pPr>
      <w:bookmarkStart w:id="80" w:name="__RefHeading___Toc1446119_1067777946"/>
      <w:bookmarkStart w:id="81" w:name="_Toc23"/>
      <w:bookmarkEnd w:id="79"/>
      <w:bookmarkEnd w:id="80"/>
      <w:r>
        <w:rPr>
          <w:rtl w:val="true"/>
        </w:rPr>
        <w:t>الفصل الثالث في اللواحق</w:t>
      </w:r>
      <w:bookmarkEnd w:id="8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وفيه مسائل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المسألة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الأولى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ذكاةُ السَمَكِ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المأكول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إخراجه من الماء حيّاً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إثبات اليد عليه خارج الماء حيّاً وإن لم يخرجه منه، كما نبه عليه بقوله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ولو وَثَبَ فأَخْرَجه حيّاً أو صار خارج الماء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بنفسه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فأخذه حيّاً حَلَّ ، ولا يكفي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حِلّه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نظره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خرج من الماء حيّاً ثم مات على أصح القولين</w:t>
      </w:r>
      <w:r>
        <w:rPr>
          <w:rStyle w:val="FootnoteAnchor"/>
          <w:rtl w:val="true"/>
        </w:rPr>
        <w:footnoteReference w:id="384"/>
      </w:r>
      <w:r>
        <w:rPr>
          <w:rFonts w:ascii="Amiri" w:hAnsi="Amiri" w:eastAsia="Amiri" w:cs="Amiri"/>
          <w:color w:val="111111"/>
          <w:sz w:val="28"/>
          <w:sz w:val="28"/>
          <w:szCs w:val="28"/>
          <w:rtl w:val="true"/>
          <w:lang w:bidi="ar-SA"/>
        </w:rPr>
        <w:t xml:space="preserve">لقول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حسنة الحلبي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صَيد الحيتان أخُذُه</w:t>
      </w:r>
      <w:r>
        <w:rPr>
          <w:rFonts w:eastAsia="Amiri" w:cs="Amiri" w:ascii="Amiri" w:hAnsi="Amiri"/>
          <w:color w:val="111111"/>
          <w:sz w:val="28"/>
          <w:szCs w:val="28"/>
          <w:rtl w:val="true"/>
          <w:lang w:bidi="ar-SA"/>
        </w:rPr>
        <w:t>»</w:t>
      </w:r>
      <w:r>
        <w:rPr>
          <w:rStyle w:val="FootnoteAnchor"/>
          <w:rtl w:val="true"/>
        </w:rPr>
        <w:footnoteReference w:id="38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وهي للحصر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ورَوَى علي بن جعفر عن أخيه موسى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سمكة وثبت من نهر فوقعت على الجد فماتت أيصلح أكلها؟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أخذتها قبل أن تموت ثم ماتت فكلها، وإن ماتت قبل أن تأخذها فلا تأكلها</w:t>
      </w:r>
      <w:r>
        <w:rPr>
          <w:rFonts w:eastAsia="Amiri" w:cs="Amiri" w:ascii="Amiri" w:hAnsi="Amiri"/>
          <w:color w:val="111111"/>
          <w:sz w:val="28"/>
          <w:szCs w:val="28"/>
          <w:rtl w:val="true"/>
          <w:lang w:bidi="ar-SA"/>
        </w:rPr>
        <w:t>»</w:t>
      </w:r>
      <w:r>
        <w:rPr>
          <w:rStyle w:val="FootnoteAnchor"/>
          <w:rtl w:val="true"/>
        </w:rPr>
        <w:footnoteReference w:id="386"/>
      </w:r>
      <w:r>
        <w:rPr>
          <w:rFonts w:eastAsia="Times New Roman" w:cs="Times New Roman" w:ascii="Times New Roman" w:hAnsi="Times New Roman"/>
          <w:color w:val="111111"/>
          <w:sz w:val="28"/>
          <w:szCs w:val="28"/>
          <w:rtl w:val="true"/>
          <w:lang w:val="en-US" w:bidi="en-US"/>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يكفي في حلّه خروجه من الماء وموته خارجه، وإنّما يَحرُم بموته في الماء</w:t>
      </w:r>
      <w:r>
        <w:rPr>
          <w:rStyle w:val="FootnoteAnchor"/>
          <w:rtl w:val="true"/>
        </w:rPr>
        <w:footnoteReference w:id="387"/>
      </w:r>
      <w:r>
        <w:rPr>
          <w:rFonts w:ascii="Amiri" w:hAnsi="Amiri" w:eastAsia="Amiri" w:cs="Amiri"/>
          <w:color w:val="111111"/>
          <w:sz w:val="28"/>
          <w:sz w:val="28"/>
          <w:szCs w:val="28"/>
          <w:rtl w:val="true"/>
          <w:lang w:bidi="ar-SA"/>
        </w:rPr>
        <w:t xml:space="preserve">الرواية سَلَمَةَ بن أبي حَفْص عن أبي عبد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عليّاً كان يقول في الصيد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السمك إذا أدركتها وهي تضطرب وتضرب بيديها وتُحرّك ذنبها وتطرف بعينها فهي ذكاتها</w:t>
      </w:r>
      <w:r>
        <w:rPr>
          <w:rFonts w:eastAsia="Amiri" w:cs="Amiri" w:ascii="Amiri" w:hAnsi="Amiri"/>
          <w:color w:val="111111"/>
          <w:sz w:val="28"/>
          <w:szCs w:val="28"/>
          <w:rtl w:val="true"/>
          <w:lang w:bidi="ar-SA"/>
        </w:rPr>
        <w:t>»</w:t>
      </w:r>
      <w:r>
        <w:rPr>
          <w:rStyle w:val="FootnoteAnchor"/>
          <w:rtl w:val="true"/>
        </w:rPr>
        <w:footnoteReference w:id="388"/>
      </w:r>
      <w:r>
        <w:rPr>
          <w:rFonts w:ascii="Amiri" w:hAnsi="Amiri" w:eastAsia="Amiri" w:cs="Amiri"/>
          <w:color w:val="111111"/>
          <w:sz w:val="28"/>
          <w:sz w:val="28"/>
          <w:szCs w:val="28"/>
          <w:rtl w:val="true"/>
          <w:lang w:bidi="ar-SA"/>
        </w:rPr>
        <w:t>وروى زرارة قال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السمكة تَثبُ من الماء فتَقَعُ على الشط فتضطرب </w:t>
      </w:r>
    </w:p>
    <w:p>
      <w:pPr>
        <w:pStyle w:val="BookText"/>
        <w:rPr/>
      </w:pPr>
      <w:r>
        <w:rPr>
          <w:rFonts w:ascii="Amiri" w:hAnsi="Amiri" w:eastAsia="Amiri" w:cs="Amiri"/>
          <w:color w:val="111111"/>
          <w:sz w:val="28"/>
          <w:sz w:val="28"/>
          <w:szCs w:val="28"/>
          <w:rtl w:val="true"/>
          <w:lang w:bidi="ar-SA"/>
        </w:rPr>
        <w:t>حتى تموت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كُلْها</w:t>
      </w:r>
      <w:r>
        <w:rPr>
          <w:rFonts w:eastAsia="Amiri" w:cs="Amiri" w:ascii="Amiri" w:hAnsi="Amiri"/>
          <w:color w:val="111111"/>
          <w:sz w:val="28"/>
          <w:szCs w:val="28"/>
          <w:rtl w:val="true"/>
          <w:lang w:bidi="ar-SA"/>
        </w:rPr>
        <w:t>»</w:t>
      </w:r>
      <w:r>
        <w:rPr>
          <w:rStyle w:val="FootnoteAnchor"/>
          <w:rtl w:val="true"/>
        </w:rPr>
        <w:footnoteReference w:id="38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ولحِلِّه بصيد المجوسي مع مشاهدة المسلم له كذلك وصيده لا اعتبار به وإنّما الاعتبار بنظر المسلم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ويُضعف بأن سَلَمَةَ مجهول أو ضعيفٌ، ورواية زرارة مقطوعة مرسلة، والقياس على صيد المجوس فاسد؛ لجواز كون سبب الحلّ أخْذَ المسلم أو نظره، مع كونه تحت يد؛ إذ لا يدلّ الحكم على أزيد من ذلك وأصالة عدم التذكية مع ما سلف يقتضي العدم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يُشترط في مُخرِجه الإسلام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الأظهر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لكن يُشترط حضور مسلم عنده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يُشاهده قد أخرج حياً ومات خارج الماء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حِلّ أكله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للأخبار الكثيرة الدالة عليه، منها صحيحة الحلبي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صيد الحيتان وإن لم يُسمّ؟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بأس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وسألته عن صيد المجوس للسمك آكله؟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كنتُ لأكله حتّى أَنظُرَ إليه</w:t>
      </w:r>
      <w:r>
        <w:rPr>
          <w:rFonts w:eastAsia="Amiri" w:cs="Amiri" w:ascii="Amiri" w:hAnsi="Amiri"/>
          <w:color w:val="111111"/>
          <w:sz w:val="28"/>
          <w:szCs w:val="28"/>
          <w:rtl w:val="true"/>
          <w:lang w:bidi="ar-SA"/>
        </w:rPr>
        <w:t>»</w:t>
      </w:r>
      <w:r>
        <w:rPr>
          <w:rStyle w:val="FootnoteAnchor"/>
          <w:rtl w:val="true"/>
        </w:rPr>
        <w:footnoteReference w:id="39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رواية أخرى له عنه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سُئل عن صيد المجوس حين يَضربون بالشباك ويُسَمّون بالشرك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 بصيدهم إنما صيد الحيتان أخذُه</w:t>
      </w:r>
      <w:r>
        <w:rPr>
          <w:rFonts w:eastAsia="Amiri" w:cs="Amiri" w:ascii="Amiri" w:hAnsi="Amiri"/>
          <w:color w:val="111111"/>
          <w:sz w:val="28"/>
          <w:szCs w:val="28"/>
          <w:rtl w:val="true"/>
          <w:lang w:bidi="ar-SA"/>
        </w:rPr>
        <w:t>»</w:t>
      </w:r>
      <w:r>
        <w:rPr>
          <w:rStyle w:val="FootnoteAnchor"/>
          <w:rtl w:val="true"/>
        </w:rPr>
        <w:footnoteReference w:id="39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ومطلقُ الثاني محمول</w:t>
      </w:r>
      <w:r>
        <w:rPr>
          <w:rStyle w:val="FootnoteAnchor"/>
          <w:rtl w:val="true"/>
        </w:rPr>
        <w:footnoteReference w:id="392"/>
      </w:r>
      <w:r>
        <w:rPr>
          <w:rFonts w:ascii="Amiri" w:hAnsi="Amiri" w:eastAsia="Amiri" w:cs="Amiri"/>
          <w:color w:val="111111"/>
          <w:sz w:val="28"/>
          <w:sz w:val="28"/>
          <w:szCs w:val="28"/>
          <w:rtl w:val="true"/>
          <w:lang w:bidi="ar-SA"/>
        </w:rPr>
        <w:t>على مشاهدة المسلم له جمعاً</w:t>
      </w:r>
      <w:r>
        <w:rPr>
          <w:rFonts w:eastAsia="Amiri" w:cs="Amiri" w:ascii="Amiri" w:hAnsi="Amiri"/>
          <w:color w:val="111111"/>
          <w:sz w:val="28"/>
          <w:szCs w:val="28"/>
          <w:rtl w:val="true"/>
          <w:lang w:bidi="ar-SA"/>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ويظهر من الشيخ في الاستبصار المنعُ منه إلا أن يأخذه المسلم منه حيّاً</w:t>
      </w:r>
      <w:r>
        <w:rPr>
          <w:rStyle w:val="FootnoteAnchor"/>
          <w:rtl w:val="true"/>
        </w:rPr>
        <w:footnoteReference w:id="393"/>
      </w:r>
      <w:r>
        <w:rPr>
          <w:rFonts w:ascii="Amiri" w:hAnsi="Amiri" w:eastAsia="Amiri" w:cs="Amiri"/>
          <w:color w:val="111111"/>
          <w:sz w:val="28"/>
          <w:sz w:val="28"/>
          <w:szCs w:val="28"/>
          <w:rtl w:val="true"/>
          <w:lang w:bidi="ar-SA"/>
        </w:rPr>
        <w:t>، لأنه حَمَل الأخبار على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المفيد</w:t>
      </w:r>
      <w:r>
        <w:rPr>
          <w:rStyle w:val="FootnoteAnchor"/>
          <w:rtl w:val="true"/>
        </w:rPr>
        <w:footnoteReference w:id="394"/>
      </w:r>
      <w:r>
        <w:rPr>
          <w:rFonts w:ascii="Amiri" w:hAnsi="Amiri" w:eastAsia="Amiri" w:cs="Amiri"/>
          <w:color w:val="111111"/>
          <w:sz w:val="28"/>
          <w:sz w:val="28"/>
          <w:szCs w:val="28"/>
          <w:rtl w:val="true"/>
          <w:lang w:bidi="ar-SA"/>
        </w:rPr>
        <w:t>وابن زهرة</w:t>
      </w:r>
      <w:r>
        <w:rPr>
          <w:rStyle w:val="FootnoteAnchor"/>
          <w:rtl w:val="true"/>
        </w:rPr>
        <w:footnoteReference w:id="395"/>
      </w:r>
      <w:r>
        <w:rPr>
          <w:rFonts w:ascii="Amiri" w:hAnsi="Amiri" w:eastAsia="Amiri" w:cs="Amiri"/>
          <w:color w:val="111111"/>
          <w:sz w:val="28"/>
          <w:sz w:val="28"/>
          <w:szCs w:val="28"/>
          <w:rtl w:val="true"/>
          <w:lang w:bidi="ar-SA"/>
        </w:rPr>
        <w:t>المنع من صيد غير المسلم له مطلقاً؛ إما لاشتراط الإسلام في التذكية وهذا منه؛ أو لما في بعض الأخبار من اشتراط أخذ المسلم له منهم حياً</w:t>
      </w:r>
      <w:r>
        <w:rPr>
          <w:rStyle w:val="FootnoteAnchor"/>
          <w:rtl w:val="true"/>
        </w:rPr>
        <w:footnoteReference w:id="396"/>
      </w:r>
      <w:r>
        <w:rPr>
          <w:rFonts w:ascii="Amiri" w:hAnsi="Amiri" w:eastAsia="Amiri" w:cs="Amiri"/>
          <w:color w:val="111111"/>
          <w:sz w:val="28"/>
          <w:sz w:val="28"/>
          <w:szCs w:val="28"/>
          <w:rtl w:val="true"/>
          <w:lang w:bidi="ar-SA"/>
        </w:rPr>
        <w:t>، فيكون إخراجهم له بمنزلة وتُوبه من الماء بنفسه إذا أخذه المسلم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والمذهب هو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والقول في اعتبار استقرار الحياة بعد إخراجه كما سبق</w:t>
      </w:r>
      <w:r>
        <w:rPr>
          <w:rStyle w:val="FootnoteAnchor"/>
          <w:rtl w:val="true"/>
        </w:rPr>
        <w:footnoteReference w:id="397"/>
      </w:r>
      <w:r>
        <w:rPr>
          <w:rFonts w:ascii="Amiri" w:hAnsi="Amiri" w:eastAsia="Amiri" w:cs="Amiri"/>
          <w:color w:val="111111"/>
          <w:sz w:val="28"/>
          <w:sz w:val="28"/>
          <w:szCs w:val="28"/>
          <w:rtl w:val="true"/>
          <w:lang w:bidi="ar-SA"/>
        </w:rPr>
        <w:t xml:space="preserve">، والمصنف في الدروس </w:t>
      </w:r>
      <w:r>
        <w:rPr>
          <w:rStyle w:val="FootnoteAnchor"/>
          <w:rtl w:val="true"/>
        </w:rPr>
        <w:footnoteReference w:id="398"/>
      </w:r>
      <w:r>
        <w:rPr>
          <w:rFonts w:ascii="Amiri" w:hAnsi="Amiri" w:eastAsia="Amiri" w:cs="Amiri"/>
          <w:color w:val="111111"/>
          <w:sz w:val="28"/>
          <w:sz w:val="28"/>
          <w:szCs w:val="28"/>
          <w:rtl w:val="true"/>
          <w:lang w:bidi="ar-SA"/>
        </w:rPr>
        <w:t>مع ميله إلى عدم اعتباره ثُمَّ جَزَم باشتراطه هنا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ويجوز أكله حيّاً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لكونه مُذَكَّى بإخراجه من غير اعتبار موته بعد ذلك، بخلاف غيره من الحيوان فإنّ تذكيته مشروطة بموته بالذبح أو النحر أو ما في حكمهما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يُباح أكله حتى يموت كباقى ما يُذَكَّى</w:t>
      </w:r>
      <w:r>
        <w:rPr>
          <w:rStyle w:val="FootnoteAnchor"/>
          <w:rtl w:val="true"/>
        </w:rPr>
        <w:footnoteReference w:id="399"/>
      </w:r>
      <w:r>
        <w:rPr>
          <w:rFonts w:ascii="Amiri" w:hAnsi="Amiri" w:eastAsia="Amiri" w:cs="Amiri"/>
          <w:color w:val="111111"/>
          <w:sz w:val="28"/>
          <w:sz w:val="28"/>
          <w:szCs w:val="28"/>
          <w:rtl w:val="true"/>
          <w:lang w:bidi="ar-SA"/>
        </w:rPr>
        <w:t>، ومِن ثُمَّ لو رجع إلى الماء بعد إخراجه فمات فيه لم يَحِلّ، فلو كان مجرّدُ إخراجه كافياً لما حَرُمَ بعده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ويمكن خروج هذا الفرد بالنص عليه، وقد عُلِّلَ فيه بأنه مات فيما فيه حياته</w:t>
      </w:r>
      <w:r>
        <w:rPr>
          <w:rFonts w:eastAsia="Amiri" w:cs="Amiri" w:ascii="Amiri" w:hAnsi="Amiri"/>
          <w:color w:val="111111"/>
          <w:sz w:val="28"/>
          <w:szCs w:val="28"/>
          <w:rtl w:val="true"/>
          <w:lang w:bidi="ar-SA"/>
        </w:rPr>
        <w:t>»</w:t>
      </w:r>
      <w:r>
        <w:rPr>
          <w:rStyle w:val="FootnoteAnchor"/>
          <w:rtl w:val="true"/>
        </w:rPr>
        <w:footnoteReference w:id="400"/>
      </w:r>
      <w:r>
        <w:rPr>
          <w:rFonts w:ascii="Amiri" w:hAnsi="Amiri" w:eastAsia="Amiri" w:cs="Amiri"/>
          <w:color w:val="111111"/>
          <w:sz w:val="28"/>
          <w:sz w:val="28"/>
          <w:szCs w:val="28"/>
          <w:rtl w:val="true"/>
          <w:lang w:bidi="ar-SA"/>
        </w:rPr>
        <w:t>، فيبقى ما دلّ على أن ذكاته إخراجه خالياً عن المعارض</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ولو اشتَبَه الميِّتُ منه بالحي في الشبكة وغيرِها حَرُمَ الجميع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الأظهر؛ لوجوب اجتناب الميت المحصور الموقوفِ على اجتناب الجميع، ولعموم قول الصادق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مات في الماء فلا تأكله فإنه مات فيما فيه حياته</w:t>
      </w:r>
      <w:r>
        <w:rPr>
          <w:rFonts w:eastAsia="Amiri" w:cs="Amiri" w:ascii="Amiri" w:hAnsi="Amiri"/>
          <w:color w:val="111111"/>
          <w:sz w:val="28"/>
          <w:szCs w:val="28"/>
          <w:rtl w:val="true"/>
          <w:lang w:bidi="ar-SA"/>
        </w:rPr>
        <w:t xml:space="preserve">» </w:t>
      </w:r>
      <w:r>
        <w:rPr>
          <w:rStyle w:val="FootnoteAnchor"/>
          <w:rtl w:val="true"/>
        </w:rPr>
        <w:footnoteReference w:id="401"/>
      </w:r>
      <w:r>
        <w:rPr>
          <w:rFonts w:eastAsia="Times New Roman" w:cs="Times New Roman" w:ascii="Times New Roman" w:hAnsi="Times New Roman"/>
          <w:color w:val="111111"/>
          <w:sz w:val="28"/>
          <w:szCs w:val="28"/>
          <w:rtl w:val="true"/>
          <w:lang w:val="en-US" w:bidi="en-US"/>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وقيل </w:t>
      </w:r>
      <w:r>
        <w:rPr>
          <w:rFonts w:eastAsia="Amiri" w:cs="Amiri" w:ascii="Amiri" w:hAnsi="Amiri"/>
          <w:color w:val="111111"/>
          <w:sz w:val="28"/>
          <w:szCs w:val="28"/>
          <w:rtl w:val="true"/>
          <w:lang w:bidi="ar-SA"/>
        </w:rPr>
        <w:t xml:space="preserve">: </w:t>
      </w:r>
      <w:r>
        <w:rPr>
          <w:rStyle w:val="FootnoteAnchor"/>
          <w:rtl w:val="true"/>
        </w:rPr>
        <w:footnoteReference w:id="402"/>
      </w:r>
      <w:r>
        <w:rPr>
          <w:rFonts w:ascii="Amiri" w:hAnsi="Amiri" w:eastAsia="Amiri" w:cs="Amiri"/>
          <w:color w:val="111111"/>
          <w:sz w:val="28"/>
          <w:sz w:val="28"/>
          <w:szCs w:val="28"/>
          <w:rtl w:val="true"/>
          <w:lang w:bidi="ar-SA"/>
        </w:rPr>
        <w:t>يحلّ الجميع إذا كان في الشبكةِ أو الحظيرة مع عدم تميّز الميّت؛ لصحيحة الحلبي</w:t>
      </w:r>
      <w:r>
        <w:rPr>
          <w:rStyle w:val="FootnoteAnchor"/>
          <w:rtl w:val="true"/>
        </w:rPr>
        <w:footnoteReference w:id="403"/>
      </w:r>
      <w:r>
        <w:rPr>
          <w:rFonts w:ascii="Amiri" w:hAnsi="Amiri" w:eastAsia="Amiri" w:cs="Amiri"/>
          <w:color w:val="111111"/>
          <w:sz w:val="28"/>
          <w:sz w:val="28"/>
          <w:szCs w:val="28"/>
          <w:rtl w:val="true"/>
          <w:lang w:bidi="ar-SA"/>
        </w:rPr>
        <w:t>وغيرها</w:t>
      </w:r>
      <w:r>
        <w:rPr>
          <w:rStyle w:val="FootnoteAnchor"/>
          <w:rtl w:val="true"/>
        </w:rPr>
        <w:footnoteReference w:id="404"/>
      </w:r>
      <w:r>
        <w:rPr>
          <w:rFonts w:ascii="Amiri" w:hAnsi="Amiri" w:eastAsia="Amiri" w:cs="Amiri"/>
          <w:color w:val="111111"/>
          <w:sz w:val="28"/>
          <w:sz w:val="28"/>
          <w:szCs w:val="28"/>
          <w:rtl w:val="true"/>
          <w:lang w:bidi="ar-SA"/>
        </w:rPr>
        <w:t>الدالّة على حله مطلقاً، بحمله على الاشتباه جمعاً،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يحل الميِّتُ في الشبكة والحظيرة وإنْ تَميَّز </w:t>
      </w:r>
      <w:r>
        <w:rPr>
          <w:rStyle w:val="FootnoteAnchor"/>
          <w:rtl w:val="true"/>
        </w:rPr>
        <w:footnoteReference w:id="405"/>
      </w:r>
      <w:r>
        <w:rPr>
          <w:rFonts w:ascii="Amiri" w:hAnsi="Amiri" w:eastAsia="Amiri" w:cs="Amiri"/>
          <w:color w:val="111111"/>
          <w:sz w:val="28"/>
          <w:sz w:val="28"/>
          <w:szCs w:val="28"/>
          <w:rtl w:val="true"/>
          <w:lang w:bidi="ar-SA"/>
        </w:rPr>
        <w:t>للتعليل في النص</w:t>
      </w:r>
      <w:r>
        <w:rPr>
          <w:rStyle w:val="FootnoteAnchor"/>
          <w:rtl w:val="true"/>
        </w:rPr>
        <w:footnoteReference w:id="406"/>
      </w:r>
      <w:r>
        <w:rPr>
          <w:rFonts w:ascii="Amiri" w:hAnsi="Amiri" w:eastAsia="Amiri" w:cs="Amiri"/>
          <w:color w:val="111111"/>
          <w:sz w:val="28"/>
          <w:sz w:val="28"/>
          <w:szCs w:val="28"/>
          <w:rtl w:val="true"/>
          <w:lang w:bidi="ar-SA"/>
        </w:rPr>
        <w:t xml:space="preserve">بأنهما لمّا عُمِلا للاصطياد جَرَى ما فيهما مجرى المقبوض باليد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المسألة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ذكاة الجَراد أخذه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حيّاً باليد أو الآلة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ولؤ كان الآخِذُ له كافراً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شاهَدَه المسلم كالسمك، وقول ابن زهرة هنا كقوله في السمك</w:t>
      </w:r>
      <w:r>
        <w:rPr>
          <w:rStyle w:val="FootnoteAnchor"/>
          <w:rtl w:val="true"/>
        </w:rPr>
        <w:footnoteReference w:id="407"/>
      </w:r>
      <w:r>
        <w:rPr>
          <w:rFonts w:ascii="Amiri" w:hAnsi="Amiri" w:eastAsia="Amiri" w:cs="Amiri"/>
          <w:color w:val="111111"/>
          <w:sz w:val="28"/>
          <w:sz w:val="28"/>
          <w:szCs w:val="28"/>
          <w:rtl w:val="true"/>
          <w:lang w:bidi="ar-SA"/>
        </w:rPr>
        <w:t xml:space="preserve">، هذا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استَقَلَّ بالطَّيَران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وإلا لم يحلّ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وحيث اعتبر في تذكيته أخذه حياً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فلو أحرقه قبل أخذه حَرُمَ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وكذا لو مات في الصحراء أو في الماء قبل أخذه وإن أدركه بنظره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ويُباح أكله حيّاً وبما فيه كالسمك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يحلّ الدبا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بفتح الدال مقصوراً، وهو الجراد قبل أن يَطِير وإنْ ظَهَر جَناحُه، جمع دباةٍ بالفتح أيضاً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المسألة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ذكاة الجنين ذكاةً أُمه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لفظ الحديث النبوي</w:t>
      </w:r>
      <w:r>
        <w:rPr>
          <w:rStyle w:val="FootnoteAnchor"/>
          <w:rtl w:val="true"/>
        </w:rPr>
        <w:footnoteReference w:id="408"/>
      </w:r>
      <w:r>
        <w:rPr>
          <w:rFonts w:ascii="Amiri" w:hAnsi="Amiri" w:eastAsia="Amiri" w:cs="Amiri"/>
          <w:color w:val="111111"/>
          <w:sz w:val="28"/>
          <w:sz w:val="28"/>
          <w:szCs w:val="28"/>
          <w:rtl w:val="true"/>
          <w:lang w:bidi="ar-SA"/>
        </w:rPr>
        <w:t>، وعن أهل البيت مثله</w:t>
      </w:r>
      <w:r>
        <w:rPr>
          <w:rStyle w:val="FootnoteAnchor"/>
          <w:rtl w:val="true"/>
        </w:rPr>
        <w:footnoteReference w:id="40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والصحيحُ رِوايةً وفتوى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ذكاة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الثانية مرفوعة خبراً عن الأُولى، فتنحصر ذكاته في ذكاتها؛ لوجوب انحصار المبتدأ في خبره؛ فإنّه إما مساءٍ أو أعم، وكلاهما يقتضي الحصر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والمراد بالذكاة هنا السببُ المُحَدِّلُ للحيوان كذكاة السمك والجراد، وامتناعُ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ذَكَيْتُ الجنين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صح فهو محمول على المعنى الظاهر وهو فَرْيُ الأعضاء المخصوصة، أو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إضافة المصادر تُخالف إضافة الأفعال؛ للاكتفاء فيها بأدنى مُلابسةٍ، ولهذا صح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 على الناسِ حِجُّ البيت، وصوم رمضان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 يصح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حَجَّ البيت، وصام رمضان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بجعلهما فاعلين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وربما أعربها بعضُهم</w:t>
      </w:r>
      <w:r>
        <w:rPr>
          <w:rStyle w:val="FootnoteAnchor"/>
          <w:rtl w:val="true"/>
        </w:rPr>
        <w:footnoteReference w:id="410"/>
      </w:r>
      <w:r>
        <w:rPr>
          <w:rFonts w:ascii="Amiri" w:hAnsi="Amiri" w:eastAsia="Amiri" w:cs="Amiri"/>
          <w:color w:val="111111"/>
          <w:sz w:val="28"/>
          <w:sz w:val="28"/>
          <w:szCs w:val="28"/>
          <w:rtl w:val="true"/>
          <w:lang w:bidi="ar-SA"/>
        </w:rPr>
        <w:t>بالنصب على المصدر أي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ذكاته كذكاة أُمّه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فحذف الجارُ ونُصِبَ مفعولاً، وحينئذٍ فتجب تذكيته كتذكيتها</w:t>
      </w:r>
      <w:r>
        <w:rPr>
          <w:rFonts w:eastAsia="Amiri" w:cs="Amiri" w:ascii="Amiri" w:hAnsi="Amiri"/>
          <w:color w:val="111111"/>
          <w:sz w:val="28"/>
          <w:szCs w:val="28"/>
          <w:rtl w:val="true"/>
          <w:lang w:bidi="ar-SA"/>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التعسُّف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مخالفته لرواية الرفع، دون العكس؛ لإمكان كون الجار المحذوف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داخلة في ذكاة أُمّه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جمعاً بين الروايتين، مع أنه الموافق لرواية </w:t>
      </w:r>
    </w:p>
    <w:p>
      <w:pPr>
        <w:pStyle w:val="BookText"/>
        <w:rPr/>
      </w:pPr>
      <w:r>
        <w:rPr>
          <w:rFonts w:ascii="Amiri" w:hAnsi="Amiri" w:eastAsia="Amiri" w:cs="Amiri"/>
          <w:color w:val="111111"/>
          <w:sz w:val="28"/>
          <w:sz w:val="28"/>
          <w:szCs w:val="28"/>
          <w:rtl w:val="true"/>
          <w:lang w:bidi="ar-SA"/>
        </w:rPr>
        <w:t>أهل البيت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وهم أَدْرَى بما في البيت، وهو في أخبارهم كثير صريح فيه، ومنه قول الصادق</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سئل عن الحوار تُذَكَّى أُمُّه أَيُؤكل بذكاتها؟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كان تاماً ونَبَتَ عليه الشعرُ فكُلْ</w:t>
      </w:r>
      <w:r>
        <w:rPr>
          <w:rFonts w:eastAsia="Amiri" w:cs="Amiri" w:ascii="Amiri" w:hAnsi="Amiri"/>
          <w:color w:val="111111"/>
          <w:sz w:val="28"/>
          <w:szCs w:val="28"/>
          <w:rtl w:val="true"/>
          <w:lang w:bidi="ar-SA"/>
        </w:rPr>
        <w:t>»</w:t>
      </w:r>
      <w:r>
        <w:rPr>
          <w:rStyle w:val="FootnoteAnchor"/>
          <w:rtl w:val="true"/>
        </w:rPr>
        <w:footnoteReference w:id="411"/>
      </w:r>
      <w:r>
        <w:rPr>
          <w:rFonts w:ascii="Amiri" w:hAnsi="Amiri" w:eastAsia="Amiri" w:cs="Amiri"/>
          <w:color w:val="111111"/>
          <w:sz w:val="28"/>
          <w:sz w:val="28"/>
          <w:szCs w:val="28"/>
          <w:rtl w:val="true"/>
          <w:lang w:bidi="ar-SA"/>
        </w:rPr>
        <w:t>، وعن الباقر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 في الذبيحة تُذبَح وفي بطنها ولد،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كان تامّاً فكله فإنّ ذكاته ذكاةً أُمّه، وإن لم يكن تاماً فلا تأكله</w:t>
      </w:r>
      <w:r>
        <w:rPr>
          <w:rFonts w:eastAsia="Amiri" w:cs="Amiri" w:ascii="Amiri" w:hAnsi="Amiri"/>
          <w:color w:val="111111"/>
          <w:sz w:val="28"/>
          <w:szCs w:val="28"/>
          <w:rtl w:val="true"/>
          <w:lang w:bidi="ar-SA"/>
        </w:rPr>
        <w:t>»</w:t>
      </w:r>
      <w:r>
        <w:rPr>
          <w:rStyle w:val="FootnoteAnchor"/>
          <w:rtl w:val="true"/>
        </w:rPr>
        <w:footnoteReference w:id="41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وإنما يجوز أكله بذكاتها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تمّت خِلقتُه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وتَكامَلَتْ أعضاؤُه وأَشْعَرَ أو أَوْبَرَ، كما دلت عليه الأخبار</w:t>
      </w:r>
      <w:r>
        <w:rPr>
          <w:rStyle w:val="FootnoteAnchor"/>
          <w:rtl w:val="true"/>
        </w:rPr>
        <w:footnoteReference w:id="41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سواءٌ وَلَجَتْه الروحُ أو لا، وسواءٌ أُخرِج ميتاً أو أُخرِج حياً غيرَ مستقِرّ الحياة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لأنّ غير مستقرها بمنزلة الميت؛ ولإطلاق النصوص بحلّه إذا كان تاماً</w:t>
      </w:r>
      <w:r>
        <w:rPr>
          <w:rStyle w:val="FootnoteAnchor"/>
          <w:rtl w:val="true"/>
        </w:rPr>
        <w:footnoteReference w:id="41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ولو كانت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حياته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مستقرّةً ذُكِّي</w:t>
      </w:r>
      <w:r>
        <w:rPr>
          <w:rStyle w:val="FootnoteAnchor"/>
          <w:rtl w:val="true"/>
        </w:rPr>
        <w:footnoteReference w:id="41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لأنه حيوان حي فيتوقف حِلُّه على التذكية؛ عملاً بعموم النصوص الدال عليها إلا ما أخرجه الدليل الخاص، وينبغي في غير المستقر ذلك لما تقدَّم من عدم اعتبارها في حِلّ المذبوح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إذا اتَّسع الزمانُ لتذكيته، أما لو ضاق عنها ففى حلّه وجهان من إطلاق الأصحاب وجوب تذكية ما خَرَج مستقِرَّ الحياة</w:t>
      </w:r>
      <w:r>
        <w:rPr>
          <w:rStyle w:val="FootnoteAnchor"/>
          <w:rtl w:val="true"/>
        </w:rPr>
        <w:footnoteReference w:id="416"/>
      </w:r>
      <w:r>
        <w:rPr>
          <w:rFonts w:ascii="Amiri" w:hAnsi="Amiri" w:eastAsia="Amiri" w:cs="Amiri"/>
          <w:color w:val="111111"/>
          <w:sz w:val="28"/>
          <w:sz w:val="28"/>
          <w:szCs w:val="28"/>
          <w:rtl w:val="true"/>
          <w:lang w:bidi="ar-SA"/>
        </w:rPr>
        <w:t>، ومن تنزيله منزلة غير مستقرها؛ لقصور زمان حياته، ودخوله في عموم الأخبار الدالة على حله بتذكية أُمّه إن لم يدخُل مطلق الحي</w:t>
      </w:r>
      <w:r>
        <w:rPr>
          <w:rFonts w:eastAsia="Amiri" w:cs="Amiri" w:ascii="Amiri" w:hAnsi="Amiri"/>
          <w:color w:val="111111"/>
          <w:sz w:val="28"/>
          <w:szCs w:val="28"/>
          <w:rtl w:val="true"/>
          <w:lang w:bidi="ar-SA"/>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ولو لم تَتِمّ خلقتُه فهو حرام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واشتَرَط جماعةٌ</w:t>
      </w:r>
      <w:r>
        <w:rPr>
          <w:rStyle w:val="FootnoteAnchor"/>
          <w:rtl w:val="true"/>
        </w:rPr>
        <w:footnoteReference w:id="417"/>
      </w:r>
      <w:r>
        <w:rPr>
          <w:rFonts w:ascii="Amiri" w:hAnsi="Amiri" w:eastAsia="Amiri" w:cs="Amiri"/>
          <w:color w:val="111111"/>
          <w:sz w:val="28"/>
          <w:sz w:val="28"/>
          <w:szCs w:val="28"/>
          <w:rtl w:val="true"/>
          <w:lang w:bidi="ar-SA"/>
        </w:rPr>
        <w:t>مع تمام خلقته أن لا تَلِجَه الروحُ، وإلا افتقر إلى تذكيته مطلقاً، والأخبار مطلقة، والفرض بعيد؛ لأنّ الروح لا تنفكّ عن تمام الخلقة عادةً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وهل تجب المبادرة إلى إخراجه بعد موت المذبوح، أم يكفي إخراجه المعتاد بعد كَشطِ جِلده عادةً ؟ إطلاق الأخبار والفتوى يقتضي العدم، والأوّلُ أولى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المسألة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الرابعة ما يثبت في آلة الصيّاد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الصيودِ المقصودة بالصيد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يَملِكه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لتحقق الحيازة والنية، هذا إذا نصبها بقصد الصيد، كما هو الظاهر، ليتحقق قصد التملك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وحيث يملكه يَبقَى مِلكُه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ولو انْفَلَتْ بعد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لثبوت ملكه فلا يزول بتعذر قبضه؛ كاباقِ العبد وشُرودِ الدابة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كان انفلاته باختياره ناوياً قطع ملكه عنه، ففي خروجه عن ملكه قولان</w:t>
      </w:r>
      <w:r>
        <w:rPr>
          <w:rStyle w:val="FootnoteAnchor"/>
          <w:rtl w:val="true"/>
        </w:rPr>
        <w:footnoteReference w:id="41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الشك في كون ذلك مخرجاً عن الملك مع تحققه فيُستصحب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كونه بمنزلة الشيء الحقيرِ من ماله إذا رماه مُهمِلاً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ويُضعف بمنع خروج الحقير عن ملكه بذلك، وإن كان ذلك إباحةً لتناول غيره فيجوز الرجوع فيه مادام باقياً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وربما قيل بتحريم أخذ الصيدِ المذكورِ مطلقاً </w:t>
      </w:r>
      <w:r>
        <w:rPr>
          <w:rStyle w:val="FootnoteAnchor"/>
          <w:rtl w:val="true"/>
        </w:rPr>
        <w:footnoteReference w:id="419"/>
      </w:r>
      <w:r>
        <w:rPr>
          <w:rFonts w:ascii="Amiri" w:hAnsi="Amiri" w:eastAsia="Amiri" w:cs="Amiri"/>
          <w:color w:val="111111"/>
          <w:sz w:val="28"/>
          <w:sz w:val="28"/>
          <w:szCs w:val="28"/>
          <w:rtl w:val="true"/>
          <w:lang w:bidi="ar-SA"/>
        </w:rPr>
        <w:t>وإن جاز أخذ اليسير من المال لعدم الإذن شرعاً في إتلاف المال مطلقاً إلّا أن تكون قيمته يسيرةً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يملك ما عَشَّشَ في داره أو وَقَع في مُوحِلته أو وَثَب إلى سفينته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لأن ذلك لا يُعد آلة للاصطياد ولا إثباتاً لليد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يصير أولى به من غيره فلو تخطّى الغير إليه فعل حراماً</w:t>
      </w:r>
      <w:r>
        <w:rPr>
          <w:rFonts w:eastAsia="Amiri" w:cs="Amiri" w:ascii="Amiri" w:hAnsi="Amiri"/>
          <w:color w:val="111111"/>
          <w:sz w:val="28"/>
          <w:szCs w:val="28"/>
          <w:rtl w:val="true"/>
          <w:lang w:bidi="ar-SA"/>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 ملكه له بالأخذ قولان</w:t>
      </w:r>
      <w:r>
        <w:rPr>
          <w:rStyle w:val="FootnoteAnchor"/>
          <w:rtl w:val="true"/>
        </w:rPr>
        <w:footnoteReference w:id="42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 الأولوية لا تُفيد الملك، فيمكن تملكه بالاستيلاء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تحريم الفعل فلا يترتب عليه حكم الملك شرعاً، وقد تقدَّم مثله في أولوية التحجير وأنّ المتخطي لا يملك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وفيه نظر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قصد ببناء الدار احتباس الصيد </w:t>
      </w:r>
    </w:p>
    <w:p>
      <w:pPr>
        <w:pStyle w:val="BookText"/>
        <w:rPr/>
      </w:pPr>
      <w:r>
        <w:rPr>
          <w:rFonts w:ascii="Amiri" w:hAnsi="Amiri" w:eastAsia="Amiri" w:cs="Amiri"/>
          <w:color w:val="111111"/>
          <w:sz w:val="28"/>
          <w:sz w:val="28"/>
          <w:szCs w:val="28"/>
          <w:rtl w:val="true"/>
          <w:lang w:bidi="ar-SA"/>
        </w:rPr>
        <w:t>أو تعشيشه وبالسفينة وُتُوبَ السمك وبالمُوحِلة تَوَحُلَه ، ففي الملك به وجهان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انتفاء كون ذلك آلةً للإصطياد عادةً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وكونه مع القصد بمعناه، وهو الأقوى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ويملك الصيد بإثباته بحيث يسهل تناوله وإن لم يقبضه بيده أو بآلته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ولو أمكن الصيد التحامُلُ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بعد إصابته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عَدْواً أو طيراناً بحيث لا يُدركه إلا بسرعة شديدةٍ فهو باقٍ على الإباحة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لعدم تحقق إثبات اليد عليه ببقائه على الامتناع وإنْ ضَعُفَتْ قوته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وكذا لو كان له قوة على الامتناع بالطيرانِ والعَدْوِ فأبطل إحداهما خاصّةً؛ لبقاء الامتناع في الجملة المنافي لليد</w:t>
      </w:r>
      <w:r>
        <w:rPr>
          <w:rFonts w:eastAsia="Amiri" w:cs="Amiri" w:ascii="Amiri" w:hAnsi="Amiri"/>
          <w:color w:val="111111"/>
          <w:sz w:val="28"/>
          <w:szCs w:val="28"/>
          <w:rtl w:val="true"/>
          <w:lang w:bidi="ar-SA"/>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المسألة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الخامسة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يُملك الصيدُ المَقْصُوصُ أو ما عليه أَثَرُ الملك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لدلالة القص والأثر على مالك سابقٍ والأصلُ بقاؤه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ويُشكل بأنّ مطلق الأثر إنما يدلّ على المؤثر، أمّا المالك فلا؛ لجواز وقوعه من غير مالك أو ممن لا يصلح للتملك أو ممّن لا يُحترم ماله، فكيف يُحكم بمجرد الأثر بمالك محترم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أنه أعم والعام لا يدل على الخاص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وعلى المشهور يكون مع الأثر لقطة، ومع عدم الأثر فهو لصائده وإن كان أهليّاً كالحمام للأصل، إلا أن يعرف مالكه فيدفعه إليه</w:t>
      </w:r>
      <w:r>
        <w:rPr>
          <w:rFonts w:eastAsia="Amiri" w:cs="Amiri" w:ascii="Amiri" w:hAnsi="Amiri"/>
          <w:color w:val="111111"/>
          <w:sz w:val="28"/>
          <w:szCs w:val="28"/>
          <w:rtl w:val="true"/>
          <w:lang w:bidi="ar-SA"/>
        </w:rPr>
        <w:t xml:space="preserve">. </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82" w:name="pg11049_88431"/>
      <w:bookmarkStart w:id="83" w:name="pg11049_88431"/>
      <w:bookmarkEnd w:id="83"/>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84" w:name="pg11049_88431"/>
      <w:bookmarkStart w:id="85" w:name="__RefHeading___Toc1446121_1067777946"/>
      <w:bookmarkStart w:id="86" w:name="_Toc24"/>
      <w:bookmarkEnd w:id="84"/>
      <w:bookmarkEnd w:id="85"/>
      <w:r>
        <w:rPr>
          <w:rtl w:val="true"/>
        </w:rPr>
        <w:t>كتاب الأطعمة والأشربة</w:t>
      </w:r>
      <w:bookmarkEnd w:id="86"/>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 الأطعمة والأشرِبَة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يَحِلّ من حيوان البحر سمك له فَلْسٌ وإن زال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بعض الأحيان،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كالكَنْعَت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الكَنْعَد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بالدال المهملة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ضَرْبٌ من السمك له فلس ضعيف، يُحتك بالرمل فيَذهَب عنه ثمّ يعود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يحل الجري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بالجيم المكسورة فالراء المهملة المشدّدة المكسورة، ويقال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الجريث، بالضبط الأول مختوماً بالثاء المثلثة،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والمارماهي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بفتح الراء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فارسي معرَّب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وأصلها حيَّةُ السمك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والزَهْوُ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بالزاي المعجمة فالهاء الساكنة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الأكث</w:t>
      </w:r>
      <w:r>
        <w:rPr>
          <w:rStyle w:val="FootnoteAnchor"/>
          <w:rtl w:val="true"/>
        </w:rPr>
        <w:footnoteReference w:id="421"/>
      </w:r>
    </w:p>
    <w:p>
      <w:pPr>
        <w:pStyle w:val="BookText"/>
        <w:rPr/>
      </w:pPr>
      <w:r>
        <w:rPr>
          <w:rFonts w:ascii="IRNazanin" w:hAnsi="IRNazanin" w:eastAsia="IRNazanin"/>
          <w:color w:val="111111"/>
          <w:sz w:val="28"/>
          <w:sz w:val="28"/>
          <w:szCs w:val="28"/>
          <w:rtl w:val="true"/>
          <w:lang w:bidi="fa-IR"/>
        </w:rPr>
        <w:t xml:space="preserve">المبسوط، ج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471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 وبه أخبار</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لا تبلغ حد الصحة، وبحِلّها أخبار صحيحة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حُمِلت</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على التقية،ويمكن حملُ النهي على الكراهة كما فعل الشيخ في موضع من النهاية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إلّا أنّه رجع في موضع آخر وحكم بقتل مُسْتَحِلّها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وحكايته قولاً مُشعرة بتوقفه، مع أنه رجح في الدروس التحريم</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7</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وهو الأشهر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السُلَحْفَاةُ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بضم السين المهملة وفتح اللام فالحاء المهملة الساكنة فالفاء المفتوحة والهاء بعد الألف</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والضفْدِع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بكسر الضادِ والدال، مثال خِنْصِر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والصَرَطان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بفتح الصاد والراء، وغيرُها من حيوان البحر ، وإن كان جنسه في البرّ حلالاً، سوى السمك المخصوص</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الجلالُ من السَمَك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الذي اعْتَذَى العذرة محضاً حتى نَما بها كغيره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حتى يُستبراً بأن يُطعَمَ علفاً طاهراً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مطلقاً، على الأقوى،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الطاهر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يوماً وليلةً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رُوِيَ ذلك عن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بسند ضعيف</w:t>
      </w:r>
      <w:r>
        <w:rPr>
          <w:rStyle w:val="FootnoteAnchor"/>
          <w:rtl w:val="true"/>
        </w:rPr>
        <w:footnoteReference w:id="422"/>
      </w:r>
      <w:r>
        <w:rPr>
          <w:rFonts w:ascii="Amiri" w:hAnsi="Amiri" w:eastAsia="Amiri" w:cs="Amiri"/>
          <w:color w:val="111111"/>
          <w:sz w:val="28"/>
          <w:sz w:val="28"/>
          <w:szCs w:val="28"/>
          <w:rtl w:val="true"/>
          <w:lang w:bidi="ar-SA"/>
        </w:rPr>
        <w:t xml:space="preserve">، وفي الدروس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يُستبرأ يوماً إلى الليل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نَقَل الروايةَ وجَعَلَها أولى</w:t>
      </w:r>
      <w:r>
        <w:rPr>
          <w:rStyle w:val="FootnoteAnchor"/>
          <w:rtl w:val="true"/>
        </w:rPr>
        <w:footnoteReference w:id="423"/>
      </w:r>
      <w:r>
        <w:rPr>
          <w:rFonts w:ascii="Amiri" w:hAnsi="Amiri" w:eastAsia="Amiri" w:cs="Amiri"/>
          <w:color w:val="111111"/>
          <w:sz w:val="28"/>
          <w:sz w:val="28"/>
          <w:szCs w:val="28"/>
          <w:rtl w:val="true"/>
          <w:lang w:bidi="ar-SA"/>
        </w:rPr>
        <w:t>، ومستند اليوم رواية القاسم بن محمد الجوهري</w:t>
      </w:r>
      <w:r>
        <w:rPr>
          <w:rStyle w:val="FootnoteAnchor"/>
          <w:rtl w:val="true"/>
        </w:rPr>
        <w:footnoteReference w:id="424"/>
      </w:r>
      <w:r>
        <w:rPr>
          <w:rFonts w:ascii="Amiri" w:hAnsi="Amiri" w:eastAsia="Amiri" w:cs="Amiri"/>
          <w:color w:val="111111"/>
          <w:sz w:val="28"/>
          <w:sz w:val="28"/>
          <w:szCs w:val="28"/>
          <w:rtl w:val="true"/>
          <w:lang w:bidi="ar-SA"/>
        </w:rPr>
        <w:t>، وهو ضعيف أيضاً، إلّا أنّ الأشهر الأول، وهو مناسب ليقين البراءة واستصحاب حكم التحريم إلى أن يُعلَم المزيل، ولولا الإجماع على عدم اعتبار أمرٍ آخَرَ في تحليله لما كان ذلك قاطعاً للتحريم؛ لضعفه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والبَيْضُ تابع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للسَمَك في الحِل والحرمة ، ولو اشتَبَه بَيضُ المحلل بالمحرَّم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أُكِل الخَشِنُ دون الأمْلَس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وأَطلَق كثير </w:t>
      </w:r>
      <w:r>
        <w:rPr>
          <w:rStyle w:val="FootnoteAnchor"/>
          <w:rtl w:val="true"/>
        </w:rPr>
        <w:footnoteReference w:id="425"/>
      </w:r>
      <w:r>
        <w:rPr>
          <w:rFonts w:ascii="Amiri" w:hAnsi="Amiri" w:eastAsia="Amiri" w:cs="Amiri"/>
          <w:color w:val="111111"/>
          <w:sz w:val="28"/>
          <w:sz w:val="28"/>
          <w:szCs w:val="28"/>
          <w:rtl w:val="true"/>
          <w:lang w:bidi="ar-SA"/>
        </w:rPr>
        <w:t>ذلك من غير اعتبار التبعية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ويُؤكَل من حيوان البرِّ الأنعام الثلاثة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الإبل والبقر والغنم، ومَن نَسَب إلينا تحريم الابل فقد بَهَتَ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هو مذهب الخطابية لعنهم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وبقرُ الوحش وحماره وكَبْشُ الجبل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ذو القَرْن الطويل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والظَّبْيُ واليَحْمُور</w:t>
      </w:r>
      <w:r>
        <w:rPr>
          <w:rFonts w:eastAsia="Amiri" w:cs="Amiri" w:ascii="Amiri" w:hAnsi="Amiri"/>
          <w:color w:val="111111"/>
          <w:sz w:val="28"/>
          <w:szCs w:val="28"/>
          <w:rtl w:val="true"/>
          <w:lang w:bidi="ar-SA"/>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ويُكرَه الخيلُ والبِغالُ والحَمِيرُ الأهلية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الأشهر،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وآكَدُها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كراهة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البغلُ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لتركبه من الفرس والحمار، وهما مكروهان، فجمع الكراهتين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الحمار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والقائل القاضي </w:t>
      </w:r>
      <w:r>
        <w:rPr>
          <w:rStyle w:val="FootnoteAnchor"/>
          <w:rtl w:val="true"/>
        </w:rPr>
        <w:footnoteReference w:id="42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بالعكس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آكدُها كَراهةً الحمارُ ثم البغلُ؛ لأن المتولد من قوي </w:t>
      </w:r>
    </w:p>
    <w:p>
      <w:pPr>
        <w:pStyle w:val="BookText"/>
        <w:rPr/>
      </w:pPr>
      <w:r>
        <w:rPr>
          <w:rFonts w:ascii="Amiri" w:hAnsi="Amiri" w:eastAsia="Amiri" w:cs="Amiri"/>
          <w:color w:val="111111"/>
          <w:sz w:val="28"/>
          <w:sz w:val="28"/>
          <w:szCs w:val="28"/>
          <w:rtl w:val="true"/>
          <w:lang w:bidi="ar-SA"/>
        </w:rPr>
        <w:t>الكراهة وضعيفها أختُ كراهةً من المتولد من قوتها خاصة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وقيل </w:t>
      </w:r>
      <w:r>
        <w:rPr>
          <w:rStyle w:val="FootnoteAnchor"/>
          <w:rtl w:val="true"/>
        </w:rPr>
        <w:footnoteReference w:id="427"/>
      </w:r>
      <w:r>
        <w:rPr>
          <w:rFonts w:ascii="Amiri" w:hAnsi="Amiri" w:eastAsia="Amiri" w:cs="Amiri"/>
          <w:color w:val="111111"/>
          <w:sz w:val="28"/>
          <w:sz w:val="28"/>
          <w:szCs w:val="28"/>
          <w:rtl w:val="true"/>
          <w:lang w:bidi="ar-SA"/>
        </w:rPr>
        <w:t>بتحريم البغل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صحيحة ابن مُسكان النهي عن الثلاثة إلا لضرورة</w:t>
      </w:r>
      <w:r>
        <w:rPr>
          <w:rStyle w:val="FootnoteAnchor"/>
          <w:rtl w:val="true"/>
        </w:rPr>
        <w:footnoteReference w:id="428"/>
      </w:r>
      <w:r>
        <w:rPr>
          <w:rFonts w:ascii="Amiri" w:hAnsi="Amiri" w:eastAsia="Amiri" w:cs="Amiri"/>
          <w:color w:val="111111"/>
          <w:sz w:val="28"/>
          <w:sz w:val="28"/>
          <w:szCs w:val="28"/>
          <w:rtl w:val="true"/>
          <w:lang w:bidi="ar-SA"/>
        </w:rPr>
        <w:t>، وحُمِلت على الكراهة جمعاً</w:t>
      </w:r>
      <w:r>
        <w:rPr>
          <w:rStyle w:val="FootnoteAnchor"/>
          <w:rtl w:val="true"/>
        </w:rPr>
        <w:footnoteReference w:id="42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ويحرم الكلب والخنزير والسنَّوْر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بكسر السين وفتح النون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 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السنور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وحشيّاً، والأسد والنمر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بفتح النون وكسر الميم،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والفَهْدُ والثعلب والأرنب والضبع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بفتح الضاد فضم الباء،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وابن آوى والضَبُّ، والحشراتُ كلُّها كالحيّة والفَأْرةِ والعقرب، والخَنَافِسِ والصَرَاصِرِ وبناتِ وَرْدان</w:t>
      </w:r>
      <w:r>
        <w:rPr>
          <w:rStyle w:val="FootnoteAnchor"/>
          <w:rtl w:val="true"/>
        </w:rPr>
        <w:footnoteReference w:id="43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بفتح الواو مبنياً على الفتح،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والبَراغِيثِ والقَمْلِ واليَربُوعِ والقُنْفُدِ والوَبْر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بسكون الباء، جمع وَبرَة بالسكون، قال الجوهري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هي دُوَيْبَةٌ أصغرُ من السنور طحلاءُ اللون لا ذنب لها، تَرجُن في البيوت </w:t>
      </w:r>
      <w:r>
        <w:rPr>
          <w:rStyle w:val="FootnoteAnchor"/>
          <w:rtl w:val="true"/>
        </w:rPr>
        <w:footnoteReference w:id="43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والخَزّ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تقدّم في باب الصلاة </w:t>
      </w:r>
      <w:r>
        <w:rPr>
          <w:rStyle w:val="FootnoteAnchor"/>
          <w:rtl w:val="true"/>
        </w:rPr>
        <w:footnoteReference w:id="432"/>
      </w:r>
      <w:r>
        <w:rPr>
          <w:rFonts w:ascii="Amiri" w:hAnsi="Amiri" w:eastAsia="Amiri" w:cs="Amiri"/>
          <w:color w:val="111111"/>
          <w:sz w:val="28"/>
          <w:sz w:val="28"/>
          <w:szCs w:val="28"/>
          <w:rtl w:val="true"/>
          <w:lang w:bidi="ar-SA"/>
        </w:rPr>
        <w:t xml:space="preserve">أنه دُوَيْبَةً بحريَّةٌ ذاتُ أربع تُشبه الثعلب، وكأنّها اليوم مجهولة أو مُغَيَّرَةُ الاسم أو موهومته، وقد كانت في مبدأ الإسلام إلى وسطه كثيرة جداً؛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والفنك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بفتح الفاء والنون، دابةٌ يُتَّخَذُ منها الفَرْوُ،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والسَمُّور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بفتح السين وضم الميم المشددة،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والسنجاب، والعظاءة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بالظاء المُشَالة، ممدودة مهموزة، وقد تقلب الهمزة ياءً قال في الصحاح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دُوَيبَة أكبرُ من الوَزَعَة</w:t>
      </w:r>
      <w:r>
        <w:rPr>
          <w:rStyle w:val="FootnoteAnchor"/>
          <w:rtl w:val="true"/>
        </w:rPr>
        <w:footnoteReference w:id="433"/>
      </w:r>
      <w:r>
        <w:rPr>
          <w:rFonts w:ascii="Amiri" w:hAnsi="Amiri" w:eastAsia="Amiri" w:cs="Amiri"/>
          <w:color w:val="111111"/>
          <w:sz w:val="28"/>
          <w:sz w:val="28"/>
          <w:szCs w:val="28"/>
          <w:rtl w:val="true"/>
          <w:lang w:bidi="ar-SA"/>
        </w:rPr>
        <w:t>والجمع العظاء، ممدودةً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واللحَكَةُ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بضم اللام فتح الحاء، نقل الجوهري عن ابن السكيت أنّها دُوَيْبةً شبيهة بالعظاءة، تبرُقُ زرقاءُ، وليس لها ذنب طويل مثل ذنب العظاءة، وقوائمها خفيّة</w:t>
      </w:r>
      <w:r>
        <w:rPr>
          <w:rStyle w:val="FootnoteAnchor"/>
          <w:rtl w:val="true"/>
        </w:rPr>
        <w:footnoteReference w:id="434"/>
      </w:r>
      <w:r>
        <w:rPr>
          <w:rFonts w:eastAsia="Times New Roman" w:cs="Times New Roman" w:ascii="Times New Roman" w:hAnsi="Times New Roman"/>
          <w:color w:val="111111"/>
          <w:sz w:val="28"/>
          <w:szCs w:val="28"/>
          <w:rtl w:val="true"/>
          <w:lang w:val="en-US" w:bidi="en-US"/>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يَحرُم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الطير ما له مِخْلابٌ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بكسر الميم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كالبازي والعُقابُ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بضم العين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والصَقْرُ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بالصاد وتُقلب سيناً، قاعدة فى كلمة فيها قاف أو طاء أو راء أو غين أو خاء، كالبصاق والصراط والصدغ والصماخ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والشاهينُ والنَسْرُ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بفتح أوله،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والرَخَمُ والبَغاتُ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بفتح الموحدة وبالمعجمة والمثلثة، جمع بغاثةٍ كذلك، طائرٌ أبيضُ بَطِيءُ الطيران، أصغرُ من الحِدأة، بكسر الحاء والهمز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الدروس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 البَغاثَ ما عَظُم من الطير وليس له مخلابٌ مُعَقَّفٌ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وربما جُعِل النسر من البغاث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مثلث الباء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الفراء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بغاتُ الطير شرارها وما لا يصيد منها </w:t>
      </w:r>
      <w:r>
        <w:rPr>
          <w:rStyle w:val="FootnoteAnchor"/>
          <w:rtl w:val="true"/>
        </w:rPr>
        <w:footnoteReference w:id="43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والغُرابُ الكبيرُ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الأسودُ الذي يَسكُن الجبال والخربان ويأكل الجِيف،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والأبقعُ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المشتمِلُ على بياض وسَوادٍ مثلُ الأبلق في الحيوان والمشهور أنه صنف واحد، وهو المعروف بالعَقْعَق بفتح عينيه، وفي المهذب جَعَلَه صنفين </w:t>
      </w:r>
      <w:r>
        <w:rPr>
          <w:rStyle w:val="FootnoteAnchor"/>
          <w:rtl w:val="true"/>
        </w:rPr>
        <w:footnoteReference w:id="436"/>
      </w: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المشهور والآخر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أكبرُ منه حجماً وأصغرُ ذَنَباً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ومستند التحريم فيهما صحيحة عليّ بن جعفر عن أخيه موسى بتحريم الغُراب مطلقاً </w:t>
      </w:r>
      <w:r>
        <w:rPr>
          <w:rStyle w:val="FootnoteAnchor"/>
          <w:rtl w:val="true"/>
        </w:rPr>
        <w:footnoteReference w:id="437"/>
      </w:r>
      <w:r>
        <w:rPr>
          <w:rFonts w:ascii="Amiri" w:hAnsi="Amiri" w:eastAsia="Amiri" w:cs="Amiri"/>
          <w:color w:val="111111"/>
          <w:sz w:val="28"/>
          <w:sz w:val="28"/>
          <w:szCs w:val="28"/>
          <w:rtl w:val="true"/>
          <w:lang w:bidi="ar-SA"/>
        </w:rPr>
        <w:t>، ورواية أبي يحيى الواسطي أنه سأل الرضا عن الغراب الأبقع،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يؤكل، ومَن أَحَلَّ لك الأسود</w:t>
      </w:r>
      <w:r>
        <w:rPr>
          <w:rFonts w:eastAsia="Amiri" w:cs="Amiri" w:ascii="Amiri" w:hAnsi="Amiri"/>
          <w:color w:val="111111"/>
          <w:sz w:val="28"/>
          <w:szCs w:val="28"/>
          <w:rtl w:val="true"/>
          <w:lang w:bidi="ar-SA"/>
        </w:rPr>
        <w:t>»</w:t>
      </w:r>
      <w:r>
        <w:rPr>
          <w:rStyle w:val="FootnoteAnchor"/>
          <w:rtl w:val="true"/>
        </w:rPr>
        <w:footnoteReference w:id="438"/>
      </w:r>
      <w:r>
        <w:rPr>
          <w:rFonts w:ascii="IRNazanin" w:hAnsi="IRNazanin" w:eastAsia="IRNazanin"/>
          <w:color w:val="111111"/>
          <w:sz w:val="28"/>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ويَحِلّ غُرابُ الزرع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المعروف بالزاغ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المشهور 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كذا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الغُداف، وهو أصغر منه إلى الغُبرة ما هُوَ </w:t>
      </w:r>
      <w:r>
        <w:rPr>
          <w:rFonts w:eastAsia="Amiri" w:cs="Amiri" w:ascii="Amiri" w:hAnsi="Amiri"/>
          <w:color w:val="111111"/>
          <w:sz w:val="28"/>
          <w:szCs w:val="28"/>
          <w:rtl w:val="true"/>
          <w:lang w:bidi="ar-SA"/>
        </w:rPr>
        <w:t>)</w:t>
      </w:r>
      <w:r>
        <w:rPr>
          <w:rStyle w:val="FootnoteAnchor"/>
          <w:rtl w:val="true"/>
        </w:rPr>
        <w:footnoteReference w:id="439"/>
      </w:r>
    </w:p>
    <w:p>
      <w:pPr>
        <w:pStyle w:val="BookText"/>
        <w:rPr/>
      </w:pP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يميل إلى غبرة 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بادغام التنوين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دخلت لام الجنس على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الغبرة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فامتنع التنوين فانفصلت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فى التلفظ عمّا قبلها ثم حذفت لفظة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يميل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وأخرت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فصارت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الغبرة ما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فيكون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مبتدأ مؤخراً خبره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يميل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المحذوف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الغبرة متعلّق بالخبر المحذوف ولفظة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نكرة للتقليل فأصل العبارة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يميل إلى غير ما</w:t>
      </w:r>
      <w:r>
        <w:rPr>
          <w:rFonts w:eastAsia="Amiri" w:cs="Amiri" w:ascii="Amiri" w:hAnsi="Amiri"/>
          <w:color w:val="111111"/>
          <w:sz w:val="28"/>
          <w:szCs w:val="28"/>
          <w:rtl w:val="true"/>
          <w:lang w:bidi="ar-SA"/>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أي يميل إليها يسيراً، ويُعرف بالرمادي لذلك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ونَسَب القول بحلّ الأوّل إلى الشهرة؛ لعدم دليل صريح يُخصصه، بل الأخبارُ منها مطلق في تحريم</w:t>
      </w:r>
    </w:p>
    <w:p>
      <w:pPr>
        <w:pStyle w:val="BookText"/>
        <w:rPr/>
      </w:pPr>
      <w:r>
        <w:rPr>
          <w:rFonts w:ascii="Amiri" w:hAnsi="Amiri" w:eastAsia="Amiri" w:cs="Amiri"/>
          <w:color w:val="111111"/>
          <w:sz w:val="28"/>
          <w:sz w:val="28"/>
          <w:szCs w:val="28"/>
          <w:rtl w:val="true"/>
          <w:lang w:bidi="ar-SA"/>
        </w:rPr>
        <w:t>الغراب بجميع أصنافه، كصحيحة علي بن جعفر عن أخيه موسى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لا يحلّ شيء من الغربان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زاغ ولا غيره</w:t>
      </w:r>
      <w:r>
        <w:rPr>
          <w:rFonts w:eastAsia="Amiri" w:cs="Amiri" w:ascii="Amiri" w:hAnsi="Amiri"/>
          <w:color w:val="111111"/>
          <w:sz w:val="28"/>
          <w:szCs w:val="28"/>
          <w:rtl w:val="true"/>
          <w:lang w:bidi="ar-SA"/>
        </w:rPr>
        <w:t>»</w:t>
      </w:r>
      <w:r>
        <w:rPr>
          <w:rStyle w:val="FootnoteAnchor"/>
          <w:rtl w:val="true"/>
        </w:rPr>
        <w:footnoteReference w:id="44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نص أو مطلق في الإباحة، كرواية زرارة عن أحدهما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 الغراب ليس بحرام إنّما الحرام ما حرَّم الله في كتابه</w:t>
      </w:r>
      <w:r>
        <w:rPr>
          <w:rFonts w:eastAsia="Amiri" w:cs="Amiri" w:ascii="Amiri" w:hAnsi="Amiri"/>
          <w:color w:val="111111"/>
          <w:sz w:val="28"/>
          <w:szCs w:val="28"/>
          <w:rtl w:val="true"/>
          <w:lang w:bidi="ar-SA"/>
        </w:rPr>
        <w:t>»</w:t>
      </w:r>
      <w:r>
        <w:rPr>
          <w:rStyle w:val="FootnoteAnchor"/>
          <w:rtl w:val="true"/>
        </w:rPr>
        <w:footnoteReference w:id="44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 ليس في الباب حديث صحيح غير ما دلّ على التحريم، فالقول به متعيّن، ولعلّ المخصص استند إلى مفهوم حديث أبي يحيى، لكنه ضعيف </w:t>
      </w:r>
      <w:r>
        <w:rPr>
          <w:rStyle w:val="FootnoteAnchor"/>
          <w:rtl w:val="true"/>
        </w:rPr>
        <w:footnoteReference w:id="44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ويُفهم من المصنف القطع بحِلّ الغُداف الأغبر؛ لأنّه أخره عن حكاية المشهور، و مستنده غيرُ واضح مع الاتفاق على أنه من أقسام الغراب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ويحرم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الطير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كان صَفِيفُه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حالَ طَيْرانِه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أن يطير مبسوط الجناحين من غير أن يُحرِّكَهما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أكثرَ من دَفِيفه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يُحرِّكَهما حالته دون ما انعكس، أو تَسَاوَيا فيه أي في الصفيف والدفيف والمنصوص </w:t>
      </w:r>
      <w:r>
        <w:rPr>
          <w:rStyle w:val="FootnoteAnchor"/>
          <w:rtl w:val="true"/>
        </w:rPr>
        <w:footnoteReference w:id="443"/>
      </w:r>
      <w:r>
        <w:rPr>
          <w:rFonts w:ascii="Amiri" w:hAnsi="Amiri" w:eastAsia="Amiri" w:cs="Amiri"/>
          <w:color w:val="111111"/>
          <w:sz w:val="28"/>
          <w:sz w:val="28"/>
          <w:szCs w:val="28"/>
          <w:rtl w:val="true"/>
          <w:lang w:bidi="ar-SA"/>
        </w:rPr>
        <w:t>تحريماً وتحليلاً داخل فيه، إلا الخُطَّاف فقد قيل</w:t>
      </w:r>
      <w:r>
        <w:rPr>
          <w:rStyle w:val="FootnoteAnchor"/>
          <w:rtl w:val="true"/>
        </w:rPr>
        <w:footnoteReference w:id="444"/>
      </w:r>
    </w:p>
    <w:p>
      <w:p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104</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بتحريمه مع أنّه يَدفُ، فلذلك ضُعف القولُ بتحريمه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كذا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يَحرُم ما ليس له قانصةٌ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وهي للطير بمنزلة المَصارِينِ لغيرها،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حَوْصَلَّةٌ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بالتشديد والتخفيف، وهي ما يجتمع فيها الحبُّ وغيره من المأكول عند الحلق،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صِيصِيَةٌ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بكسر أوّله وثالثه مخفّفاً، وهي الشوكةُ التي في رِجْله مَوضِعَ العَقِبِ، وأصلُها شوكة الحائك التي يُسَوِّي بها السَداةَ واللُّحْمةَ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والظاهرُ أنّ العلاماتِ متلازمة فيُكتَفَى بظهور أحدها</w:t>
      </w:r>
      <w:r>
        <w:rPr>
          <w:rFonts w:eastAsia="Amiri" w:cs="Amiri" w:ascii="Amiri" w:hAnsi="Amiri"/>
          <w:color w:val="111111"/>
          <w:sz w:val="28"/>
          <w:szCs w:val="28"/>
          <w:rtl w:val="true"/>
          <w:lang w:bidi="ar-SA"/>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 صحيحة عبد الله بن سنان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 أبي أبا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وأنا أسمع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تقول </w:t>
      </w:r>
    </w:p>
    <w:p>
      <w:pPr>
        <w:pStyle w:val="BookText"/>
        <w:rPr/>
      </w:pPr>
      <w:r>
        <w:rPr>
          <w:rFonts w:ascii="Amiri" w:hAnsi="Amiri" w:eastAsia="Amiri" w:cs="Amiri"/>
          <w:color w:val="111111"/>
          <w:sz w:val="28"/>
          <w:sz w:val="28"/>
          <w:szCs w:val="28"/>
          <w:rtl w:val="true"/>
          <w:lang w:bidi="ar-SA"/>
        </w:rPr>
        <w:t>في الحُبَارَى؟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كانت له قانصة فكل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وسألته عن طير الماء؟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مثل ذلك</w:t>
      </w:r>
      <w:r>
        <w:rPr>
          <w:rFonts w:eastAsia="Amiri" w:cs="Amiri" w:ascii="Amiri" w:hAnsi="Amiri"/>
          <w:color w:val="111111"/>
          <w:sz w:val="28"/>
          <w:szCs w:val="28"/>
          <w:rtl w:val="true"/>
          <w:lang w:bidi="ar-SA"/>
        </w:rPr>
        <w:t>»</w:t>
      </w:r>
      <w:r>
        <w:rPr>
          <w:rStyle w:val="FootnoteAnchor"/>
          <w:rtl w:val="true"/>
        </w:rPr>
        <w:footnoteReference w:id="44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رواية زرارة عن أبي جعفر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 ما دَفَّ، ولا تأكل ما صَفّ</w:t>
      </w:r>
      <w:r>
        <w:rPr>
          <w:rFonts w:eastAsia="Amiri" w:cs="Amiri" w:ascii="Amiri" w:hAnsi="Amiri"/>
          <w:color w:val="111111"/>
          <w:sz w:val="28"/>
          <w:szCs w:val="28"/>
          <w:rtl w:val="true"/>
          <w:lang w:bidi="ar-SA"/>
        </w:rPr>
        <w:t>»</w:t>
      </w:r>
      <w:r>
        <w:rPr>
          <w:rStyle w:val="FootnoteAnchor"/>
          <w:rtl w:val="true"/>
        </w:rPr>
        <w:footnoteReference w:id="44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يعتبر أحدهما الجميع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رواية سماعة عن الرضا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كُلّ من طير البرِّ ما كان له حَوْصَلَةٌ، ومن طير الماء ما كانت له قانصةٌ كقانصة الحَمَام لا مَعدة كمعدة الإنسان، وكُلُّ ما صَفَّ فهو ذو مخلب وهو حرام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وكلُّ ما دَفَّ فهو حلال، والقانصة والحوصلة يمتحن بها من الطير ما لا يُعرَف طَيَرانُه وكلُّ طيرٍ مجهول</w:t>
      </w:r>
      <w:r>
        <w:rPr>
          <w:rFonts w:eastAsia="Amiri" w:cs="Amiri" w:ascii="Amiri" w:hAnsi="Amiri"/>
          <w:color w:val="111111"/>
          <w:sz w:val="28"/>
          <w:szCs w:val="28"/>
          <w:rtl w:val="true"/>
          <w:lang w:bidi="ar-SA"/>
        </w:rPr>
        <w:t>»</w:t>
      </w:r>
      <w:r>
        <w:rPr>
          <w:rStyle w:val="FootnoteAnchor"/>
          <w:rtl w:val="true"/>
        </w:rPr>
        <w:footnoteReference w:id="44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هذه الرواية أيضاً دلالة على عدم اعتبار الجميع، وعلى أنّ العلامة لغير المنصوص على تحريمه وتحليله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والخُشّافُ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الخُفّاش والوطواط، والطاوس</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ويُكرَه الهدهد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لقول الرضا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نَهَى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قتل الهدهد والصرد والصُوّام والنحلة </w:t>
      </w:r>
      <w:r>
        <w:rPr>
          <w:rFonts w:eastAsia="IRNazanin" w:cs="IRNazanin"/>
          <w:color w:val="111111"/>
          <w:sz w:val="28"/>
          <w:szCs w:val="28"/>
          <w:rtl w:val="true"/>
          <w:lang w:bidi="fa-IR"/>
        </w:rPr>
        <w:t>»</w:t>
      </w:r>
      <w:r>
        <w:rPr>
          <w:rStyle w:val="FootnoteAnchor"/>
          <w:rtl w:val="true"/>
        </w:rPr>
        <w:footnoteReference w:id="448"/>
      </w:r>
      <w:r>
        <w:rPr>
          <w:rFonts w:ascii="Amiri" w:hAnsi="Amiri" w:eastAsia="Amiri" w:cs="Amiri"/>
          <w:color w:val="111111"/>
          <w:sz w:val="28"/>
          <w:sz w:val="28"/>
          <w:szCs w:val="28"/>
          <w:rtl w:val="true"/>
          <w:lang w:bidi="ar-SA"/>
        </w:rPr>
        <w:t>ورَوَى علي بن جعفر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أخي موسى</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الهدهد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لا يُؤذَى ولا يُذبح فنعم الطير هو </w:t>
      </w:r>
      <w:r>
        <w:rPr>
          <w:rFonts w:eastAsia="Amiri" w:cs="Amiri" w:ascii="Amiri" w:hAnsi="Amiri"/>
          <w:color w:val="111111"/>
          <w:sz w:val="28"/>
          <w:szCs w:val="28"/>
          <w:rtl w:val="true"/>
          <w:lang w:bidi="ar-SA"/>
        </w:rPr>
        <w:t>!»</w:t>
      </w:r>
      <w:r>
        <w:rPr>
          <w:rStyle w:val="FootnoteAnchor"/>
          <w:rtl w:val="true"/>
        </w:rPr>
        <w:footnoteReference w:id="449"/>
      </w:r>
      <w:r>
        <w:rPr>
          <w:rFonts w:ascii="Amiri" w:hAnsi="Amiri" w:eastAsia="Amiri" w:cs="Amiri"/>
          <w:color w:val="111111"/>
          <w:sz w:val="28"/>
          <w:sz w:val="28"/>
          <w:szCs w:val="28"/>
          <w:rtl w:val="true"/>
          <w:lang w:bidi="ar-SA"/>
        </w:rPr>
        <w:t>، وعن الرضا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في كل جناح هدهد مكتوبٌ بالسريانية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آل محمد خير البرية</w:t>
      </w:r>
      <w:r>
        <w:rPr>
          <w:rFonts w:eastAsia="Amiri" w:cs="Amiri" w:ascii="Amiri" w:hAnsi="Amiri"/>
          <w:color w:val="111111"/>
          <w:sz w:val="28"/>
          <w:szCs w:val="28"/>
          <w:rtl w:val="true"/>
          <w:lang w:bidi="ar-SA"/>
        </w:rPr>
        <w:t>»</w:t>
      </w:r>
      <w:r>
        <w:rPr>
          <w:rStyle w:val="FootnoteAnchor"/>
          <w:rtl w:val="true"/>
        </w:rPr>
        <w:footnoteReference w:id="450"/>
      </w:r>
      <w:r>
        <w:rPr>
          <w:rFonts w:eastAsia="Times New Roman" w:cs="Times New Roman" w:ascii="Times New Roman" w:hAnsi="Times New Roman"/>
          <w:color w:val="111111"/>
          <w:sz w:val="28"/>
          <w:szCs w:val="28"/>
          <w:rtl w:val="true"/>
          <w:lang w:val="en-US" w:bidi="en-US"/>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والخُطَّاف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بضم الخاء وتشديد الطاء، وهو الصُنُونُو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أشدُّ كَراهيةً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الهدهد؛ لما رُوِيَ عن النبي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وآله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استوصوا بالصنينات خيراً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الخُطَّاف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فإنّهنّ آنسُ طيرٍ بالناس</w:t>
      </w:r>
      <w:r>
        <w:rPr>
          <w:rFonts w:eastAsia="Amiri" w:cs="Amiri" w:ascii="Amiri" w:hAnsi="Amiri"/>
          <w:color w:val="111111"/>
          <w:sz w:val="28"/>
          <w:szCs w:val="28"/>
          <w:rtl w:val="true"/>
          <w:lang w:bidi="ar-SA"/>
        </w:rPr>
        <w:t>»</w:t>
      </w:r>
      <w:r>
        <w:rPr>
          <w:rStyle w:val="FootnoteAnchor"/>
          <w:rtl w:val="true"/>
        </w:rPr>
        <w:footnoteReference w:id="45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قيل بتحريمه</w:t>
      </w:r>
      <w:r>
        <w:rPr>
          <w:rStyle w:val="FootnoteAnchor"/>
          <w:rtl w:val="true"/>
        </w:rPr>
        <w:footnoteReference w:id="452"/>
      </w:r>
      <w:r>
        <w:rPr>
          <w:rFonts w:ascii="Amiri" w:hAnsi="Amiri" w:eastAsia="Amiri" w:cs="Amiri"/>
          <w:color w:val="111111"/>
          <w:sz w:val="28"/>
          <w:sz w:val="28"/>
          <w:szCs w:val="28"/>
          <w:rtl w:val="true"/>
          <w:lang w:bidi="ar-SA"/>
        </w:rPr>
        <w:t>لرواية داودَ الرقي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بينا نحن قعود عند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إذ مرَّ رجل بيده خُطَّافٌ مذبوح فوتب إليه أبو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حتى أخذه من يده ثم دَحَا به الأرض، ثم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أعالمكم أمركم بهذا أم فقيهكم؟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أَخْبَرَني أبي عن جدّي أنّ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نهى عن قتل الستة منها الخُطَّاف</w:t>
      </w:r>
      <w:r>
        <w:rPr>
          <w:rFonts w:eastAsia="IRNazanin" w:cs="IRNazanin"/>
          <w:color w:val="111111"/>
          <w:sz w:val="28"/>
          <w:szCs w:val="28"/>
          <w:rtl w:val="true"/>
          <w:lang w:bidi="fa-IR"/>
        </w:rPr>
        <w:t>»</w:t>
      </w:r>
      <w:r>
        <w:rPr>
          <w:rStyle w:val="FootnoteAnchor"/>
          <w:rtl w:val="true"/>
        </w:rPr>
        <w:footnoteReference w:id="45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 تسبيحه قراءة الحمد الله ربّ العالمين، ألا تَرَونَه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الضالين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والخبر مع سلامة سنده لا يدلّ على تحريم لحمه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ووجه الحكم بحله حينئذٍ أنه يدق فيدخُل في العموم، وقد رُوِيَ حِلُّه أيضاً بطريق ضعيف</w:t>
      </w:r>
      <w:r>
        <w:rPr>
          <w:rStyle w:val="FootnoteAnchor"/>
          <w:rtl w:val="true"/>
        </w:rPr>
        <w:footnoteReference w:id="45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ويُكرَه الفاخِتَةُ والقُبَّرَةُ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بضم القاف وتشديد الباء مفتوحةً من غير نون بينهما فإنّه لَحْن من كلام العامة، ويقال القنبراء بالنون لكن مع الألف بعد الراء ممدودةً، وهي في بعض نسخ الكتاب وكراهةُ القُبَّرة مُنضَمّةٌ إلى بركة بخلاف الفاختة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سليمان الجعفري عن الرضا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تأكلوا القبرة ولا تَسُبُّوها ولا تُعطوها الصبيان يلعبون بها فإنها كثيرة التسبيح، وتسبيحُها لَعَنَ اللهُ مُبغِضِي آلِ 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وآله وسلم</w:t>
      </w:r>
      <w:r>
        <w:rPr>
          <w:rFonts w:eastAsia="Amiri" w:cs="Amiri" w:ascii="Amiri" w:hAnsi="Amiri"/>
          <w:color w:val="111111"/>
          <w:sz w:val="28"/>
          <w:szCs w:val="28"/>
          <w:rtl w:val="true"/>
          <w:lang w:bidi="ar-SA"/>
        </w:rPr>
        <w:t>)»</w:t>
      </w:r>
      <w:r>
        <w:rPr>
          <w:rStyle w:val="FootnoteAnchor"/>
          <w:rtl w:val="true"/>
        </w:rPr>
        <w:footnoteReference w:id="45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القُنْرُعةَ التي على رأس القبرة من مَسْحَةِ سليمان بن داود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خبر طويل</w:t>
      </w:r>
      <w:r>
        <w:rPr>
          <w:rStyle w:val="FootnoteAnchor"/>
          <w:rtl w:val="true"/>
        </w:rPr>
        <w:footnoteReference w:id="45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ورَوَى أبو بصير أنّ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لابنه إسماعيل وقد رأى في بيته فاختةً في قفص تصيح</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بُنَيَّ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يدعوك إلى إمساك هذه الفاختة، أما عَلِمْتَ أنّها مَشُومةٌ؟ وما تدري ما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تدعو على أربابها فتقول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فَقَدْتُكُم فَقَدْتُكُم</w:t>
      </w:r>
      <w:r>
        <w:rPr>
          <w:rFonts w:eastAsia="Amiri" w:cs="Amiri" w:ascii="Amiri" w:hAnsi="Amiri"/>
          <w:color w:val="111111"/>
          <w:sz w:val="28"/>
          <w:szCs w:val="28"/>
          <w:rtl w:val="true"/>
          <w:lang w:bidi="ar-SA"/>
        </w:rPr>
        <w:t>»</w:t>
      </w:r>
      <w:r>
        <w:rPr>
          <w:rStyle w:val="FootnoteAnchor"/>
          <w:rtl w:val="true"/>
        </w:rPr>
        <w:footnoteReference w:id="457"/>
      </w:r>
      <w:r>
        <w:rPr>
          <w:rFonts w:eastAsia="Times New Roman" w:cs="Times New Roman" w:ascii="Times New Roman" w:hAnsi="Times New Roman"/>
          <w:color w:val="111111"/>
          <w:sz w:val="28"/>
          <w:szCs w:val="28"/>
          <w:rtl w:val="true"/>
          <w:lang w:val="en-US" w:bidi="en-US"/>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والحُبارَى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بضم الحاء وفتح الراء وهو اسم يقع على الذكر والأنثى واحدها وجمعها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أشدُّ كَراهيةً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ووجه الأشدّيّة غير واضح، والمشهور في عبارة المصنفِ </w:t>
      </w:r>
    </w:p>
    <w:p>
      <w:pPr>
        <w:pStyle w:val="BookText"/>
        <w:rPr/>
      </w:pPr>
      <w:r>
        <w:rPr>
          <w:rFonts w:ascii="Amiri" w:hAnsi="Amiri" w:eastAsia="Amiri" w:cs="Amiri"/>
          <w:color w:val="111111"/>
          <w:sz w:val="28"/>
          <w:sz w:val="28"/>
          <w:szCs w:val="28"/>
          <w:rtl w:val="true"/>
          <w:lang w:bidi="ar-SA"/>
        </w:rPr>
        <w:t xml:space="preserve">وغيره </w:t>
      </w:r>
      <w:r>
        <w:rPr>
          <w:rStyle w:val="FootnoteAnchor"/>
          <w:rtl w:val="true"/>
        </w:rPr>
        <w:footnoteReference w:id="458"/>
      </w:r>
      <w:r>
        <w:rPr>
          <w:rFonts w:ascii="Amiri" w:hAnsi="Amiri" w:eastAsia="Amiri" w:cs="Amiri"/>
          <w:color w:val="111111"/>
          <w:sz w:val="28"/>
          <w:sz w:val="28"/>
          <w:szCs w:val="28"/>
          <w:rtl w:val="true"/>
          <w:lang w:bidi="ar-SA"/>
        </w:rPr>
        <w:t>أصل الاشتراك فيها، وقد رَوَى المَسمَعي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الحُبارَى،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فودِدتُ أنّ عندي منه فآكل حتَّى أَتَمَلاً</w:t>
      </w:r>
      <w:r>
        <w:rPr>
          <w:rFonts w:eastAsia="Amiri" w:cs="Amiri" w:ascii="Amiri" w:hAnsi="Amiri"/>
          <w:color w:val="111111"/>
          <w:sz w:val="28"/>
          <w:szCs w:val="28"/>
          <w:rtl w:val="true"/>
          <w:lang w:bidi="ar-SA"/>
        </w:rPr>
        <w:t>»</w:t>
      </w:r>
      <w:r>
        <w:rPr>
          <w:rStyle w:val="FootnoteAnchor"/>
          <w:rtl w:val="true"/>
        </w:rPr>
        <w:footnoteReference w:id="45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يُكرَه أيضاً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بضم الصاد وفتح الراء،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والصوام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بضم الصاد وتشديد الواو، قال في التحرير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طائر أغبرُ اللون طويل الرقبة أكثر ما يبيت في النخل</w:t>
      </w:r>
      <w:r>
        <w:rPr>
          <w:rStyle w:val="FootnoteAnchor"/>
          <w:rtl w:val="true"/>
        </w:rPr>
        <w:footnoteReference w:id="460"/>
      </w:r>
      <w:r>
        <w:rPr>
          <w:rFonts w:ascii="Amiri" w:hAnsi="Amiri" w:eastAsia="Amiri" w:cs="Amiri"/>
          <w:color w:val="111111"/>
          <w:sz w:val="28"/>
          <w:sz w:val="28"/>
          <w:szCs w:val="28"/>
          <w:rtl w:val="true"/>
          <w:lang w:bidi="ar-SA"/>
        </w:rPr>
        <w:t>، وفي الأخبار النهي عن قتلهما في جملة ستةٍ</w:t>
      </w:r>
      <w:r>
        <w:rPr>
          <w:rStyle w:val="FootnoteAnchor"/>
          <w:rtl w:val="true"/>
        </w:rPr>
        <w:footnoteReference w:id="461"/>
      </w:r>
      <w:r>
        <w:rPr>
          <w:rFonts w:ascii="Amiri" w:hAnsi="Amiri" w:eastAsia="Amiri" w:cs="Amiri"/>
          <w:color w:val="111111"/>
          <w:sz w:val="28"/>
          <w:sz w:val="28"/>
          <w:szCs w:val="28"/>
          <w:rtl w:val="true"/>
          <w:lang w:bidi="ar-SA"/>
        </w:rPr>
        <w:t>، وقد تقدَّم بعضها</w:t>
      </w:r>
      <w:r>
        <w:rPr>
          <w:rStyle w:val="FootnoteAnchor"/>
          <w:rtl w:val="true"/>
        </w:rPr>
        <w:footnoteReference w:id="46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والشقراق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بفتح الشين وكسر القاف وتشديد الراء، وبكسر الشين أيضاً، ويقال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الشقراق كقِرْطاس، والشرقراق بالفتح والكسر، والسَّرَقْرَق كسَفَرْجَل طائرٌ مُرَقَطُ بخُضْرةٍ وحمرةٍ وبياض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 ذلك كلَّه في القاموس</w:t>
      </w:r>
      <w:r>
        <w:rPr>
          <w:rStyle w:val="FootnoteAnchor"/>
          <w:rtl w:val="true"/>
        </w:rPr>
        <w:footnoteReference w:id="46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وعن أبي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تعليل گراهته بقتله الحيات،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وكان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يوماً يمشي فإذا شَقِرَاقٌ قد انقض فاستخرج من خُفِّه حيّةً</w:t>
      </w:r>
      <w:r>
        <w:rPr>
          <w:rFonts w:eastAsia="IRNazanin" w:cs="IRNazanin"/>
          <w:color w:val="111111"/>
          <w:sz w:val="28"/>
          <w:szCs w:val="28"/>
          <w:rtl w:val="true"/>
          <w:lang w:bidi="fa-IR"/>
        </w:rPr>
        <w:t>».</w:t>
      </w:r>
      <w:r>
        <w:rPr>
          <w:rStyle w:val="FootnoteAnchor"/>
          <w:rtl w:val="true"/>
        </w:rPr>
        <w:footnoteReference w:id="464"/>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يَحِلُّ الحَمَامُ كله كالقماري</w:t>
      </w:r>
      <w:r>
        <w:rPr>
          <w:rStyle w:val="FootnoteAnchor"/>
          <w:rtl w:val="true"/>
        </w:rPr>
        <w:footnoteReference w:id="46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بفتح القاف، وهو الحَمامُ الأَزرقُ جمعُ قُمري بضمّه، منسوب إلى طَيْرِ قُمْر؛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والدباسي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بضم الدال جمعُ دُبْسِي بالضم منسوب إلى طيرِ دُبْسِ بضمها،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دِبْسِ الرُّطَب بكسرها </w:t>
      </w:r>
      <w:r>
        <w:rPr>
          <w:rStyle w:val="FootnoteAnchor"/>
          <w:rtl w:val="true"/>
        </w:rPr>
        <w:footnoteReference w:id="466"/>
      </w:r>
      <w:r>
        <w:rPr>
          <w:rFonts w:ascii="Amiri" w:hAnsi="Amiri" w:eastAsia="Amiri" w:cs="Amiri"/>
          <w:color w:val="111111"/>
          <w:sz w:val="28"/>
          <w:sz w:val="28"/>
          <w:szCs w:val="28"/>
          <w:rtl w:val="true"/>
          <w:lang w:bidi="ar-SA"/>
        </w:rPr>
        <w:t xml:space="preserve">وإنّما ضُمَّت الدال مع كسرها في المنسوب إليه في الثاني؛ لأنّهم يُغيّرون في النسب، كالدهري بالضم، مع نسبته إلى الدهر بالفتح، وعن المصنّف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الحمام الأحمرُ؛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والوَرَشان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بفتح الواو </w:t>
      </w:r>
    </w:p>
    <w:p>
      <w:pPr>
        <w:pStyle w:val="BookText"/>
        <w:rPr/>
      </w:pPr>
      <w:r>
        <w:rPr>
          <w:rFonts w:ascii="Amiri" w:hAnsi="Amiri" w:eastAsia="Amiri" w:cs="Amiri"/>
          <w:color w:val="111111"/>
          <w:sz w:val="28"/>
          <w:sz w:val="28"/>
          <w:szCs w:val="28"/>
          <w:rtl w:val="true"/>
          <w:lang w:bidi="ar-SA"/>
        </w:rPr>
        <w:t>والراء، وعن المصنف أنّه الحَمامُ الأبيض</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ويحلّ الحَجَلُ والدُرّاج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بضم الدال وتشديد الراء،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والقطا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بالقصر جمع قطاة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والطَّيْهوج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طائر طويلُ الرِجلين والرقبة من طيور الماء،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والدجاج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مثلتُ الدال والفتح أشهر،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والكَرَوَانُ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بفتح حروفه الأول،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والكُرْكي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بضم الكاف، واحد الكَراكِي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والصَعْوُ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بفتح الصاد وسكون العين جمعُ صَعْوَةٍ بهما،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والعُصفورُ الأهلي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يَسكُن الدور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ويُعتبر في طير الماء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الذي يَبيضُ ويُفرخ فيه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يُعتبر في البري من الصفيفِ والدفيفِ والقانصة والحَوْصَلّةِ والصِيصِية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تقدّم ما يدلّ عليه</w:t>
      </w:r>
      <w:r>
        <w:rPr>
          <w:rStyle w:val="FootnoteAnchor"/>
          <w:rtl w:val="true"/>
        </w:rPr>
        <w:footnoteReference w:id="46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والبيض</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للطير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الحِلّ والحُرمةِ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فكلُّ طائرٍ يحل أكله يؤكل بَيضُه وما لا فلا فإن اسْتَبَه أَكِل ما اختَلَف طَرَفاه واجتُنِبَ ما اتَّفَقَ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وتحرم الزنيبير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جمع زُنبور بضم الزاي، بنوعيه الأحمر والأصفر،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والبَقُ والذُبَاب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بضمّ الذال ، واحدهُ ذُبابة بالضم أيضاً، والكثير ذبانُ بكسر الذال والنون أخيراً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والمُجَثَّمَةُ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بتشديد المثلثة مكسورةً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وهي التي تُجعَل غَرَضاً للرمي وتُرمَى بالنشاب حتّى تموت والمصبورة وهي التي تُجرح وتُحبَس حتى تموت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صبراً، وتحريمُهما واضح لعدم التذكية مع إمكانها، وكلاهما فعل الجاهلية، وقد ورد النهي عن الفعلين مع تحريم اللحم</w:t>
      </w:r>
      <w:r>
        <w:rPr>
          <w:rStyle w:val="FootnoteAnchor"/>
          <w:rtl w:val="true"/>
        </w:rPr>
        <w:footnoteReference w:id="468"/>
      </w:r>
      <w:r>
        <w:rPr>
          <w:rFonts w:eastAsia="Times New Roman" w:cs="Times New Roman" w:ascii="Times New Roman" w:hAnsi="Times New Roman"/>
          <w:color w:val="111111"/>
          <w:sz w:val="28"/>
          <w:szCs w:val="28"/>
          <w:rtl w:val="true"/>
          <w:lang w:val="en-US" w:bidi="en-US"/>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والجلال، وهو الذي يَتَغَذَّى</w:t>
      </w:r>
      <w:r>
        <w:rPr>
          <w:rStyle w:val="FootnoteAnchor"/>
          <w:rtl w:val="true"/>
        </w:rPr>
        <w:footnoteReference w:id="469"/>
      </w:r>
      <w:r>
        <w:rPr>
          <w:rFonts w:ascii="Amiri" w:hAnsi="Amiri" w:eastAsia="Amiri" w:cs="Amiri"/>
          <w:color w:val="111111"/>
          <w:sz w:val="28"/>
          <w:sz w:val="28"/>
          <w:szCs w:val="28"/>
          <w:rtl w:val="true"/>
          <w:lang w:bidi="ar-SA"/>
        </w:rPr>
        <w:t>عَذِرَة الإنسان محضاً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يخلط غيرها إلى أن ينبت عليها لحمُه ويَسْتَدّ عَظْمُه عرفاً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حرام حتَّى يُستبراً</w:t>
      </w:r>
      <w:r>
        <w:rPr>
          <w:rStyle w:val="FootnoteAnchor"/>
          <w:rtl w:val="true"/>
        </w:rPr>
        <w:footnoteReference w:id="470"/>
      </w:r>
      <w:r>
        <w:rPr>
          <w:rFonts w:ascii="Amiri" w:hAnsi="Amiri" w:eastAsia="Amiri" w:cs="Amiri"/>
          <w:color w:val="111111"/>
          <w:sz w:val="28"/>
          <w:sz w:val="28"/>
          <w:szCs w:val="28"/>
          <w:rtl w:val="true"/>
          <w:lang w:bidi="ar-SA"/>
        </w:rPr>
        <w:t>، على الأقوى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لحسنة هشام بن سالم عن أبي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لا تأكلوا لحوم الجلالة، وهي التي تأكل </w:t>
      </w:r>
    </w:p>
    <w:p>
      <w:pPr>
        <w:pStyle w:val="BookText"/>
        <w:rPr/>
      </w:pPr>
      <w:r>
        <w:rPr>
          <w:rFonts w:ascii="Amiri" w:hAnsi="Amiri" w:eastAsia="Amiri" w:cs="Amiri"/>
          <w:color w:val="111111"/>
          <w:sz w:val="28"/>
          <w:sz w:val="28"/>
          <w:szCs w:val="28"/>
          <w:rtl w:val="true"/>
          <w:lang w:bidi="ar-SA"/>
        </w:rPr>
        <w:t>العَذِرة، فإن أصابك من عَرَقها فاغْسِلُه</w:t>
      </w:r>
      <w:r>
        <w:rPr>
          <w:rFonts w:eastAsia="Amiri" w:cs="Amiri" w:ascii="Amiri" w:hAnsi="Amiri"/>
          <w:color w:val="111111"/>
          <w:sz w:val="28"/>
          <w:szCs w:val="28"/>
          <w:rtl w:val="true"/>
          <w:lang w:bidi="ar-SA"/>
        </w:rPr>
        <w:t>»</w:t>
      </w:r>
      <w:r>
        <w:rPr>
          <w:rStyle w:val="FootnoteAnchor"/>
          <w:rtl w:val="true"/>
        </w:rPr>
        <w:footnoteReference w:id="47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وقريب منها حسنة حفص</w:t>
      </w:r>
      <w:r>
        <w:rPr>
          <w:rStyle w:val="FootnoteAnchor"/>
          <w:rtl w:val="true"/>
        </w:rPr>
        <w:footnoteReference w:id="472"/>
      </w:r>
      <w:r>
        <w:rPr>
          <w:rFonts w:ascii="Amiri" w:hAnsi="Amiri" w:eastAsia="Amiri" w:cs="Amiri"/>
          <w:color w:val="111111"/>
          <w:sz w:val="28"/>
          <w:sz w:val="28"/>
          <w:szCs w:val="28"/>
          <w:rtl w:val="true"/>
          <w:lang w:bidi="ar-SA"/>
        </w:rPr>
        <w:t xml:space="preserve">، وفي معناهما رواياتٌ أُخَرُ ضعيفة </w:t>
      </w:r>
      <w:r>
        <w:rPr>
          <w:rStyle w:val="FootnoteAnchor"/>
          <w:rtl w:val="true"/>
        </w:rPr>
        <w:footnoteReference w:id="473"/>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والقائل ابن الجنيد</w:t>
      </w:r>
      <w:r>
        <w:rPr>
          <w:rStyle w:val="FootnoteAnchor"/>
          <w:rtl w:val="true"/>
        </w:rPr>
        <w:footnoteReference w:id="474"/>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يُكرَه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لحمُها وأَلبانُها خاصةً؛ استضعافاً للمستند أو حملاً لها على الكراهة؛ جمعاً بينها وبين ما ظاهِرُه الحِلُّ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وعلى القولين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فتُستبرَأُ الناقةُ بأربعين يوماً، والبقرة بعشرين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وقيل كالناقة</w:t>
      </w:r>
      <w:r>
        <w:rPr>
          <w:rStyle w:val="FootnoteAnchor"/>
          <w:rtl w:val="true"/>
        </w:rPr>
        <w:footnoteReference w:id="47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والشاةُ بعشرة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وقيل بسبعة</w:t>
      </w:r>
      <w:r>
        <w:rPr>
          <w:rStyle w:val="FootnoteAnchor"/>
          <w:rtl w:val="true"/>
        </w:rPr>
        <w:footnoteReference w:id="476"/>
      </w:r>
      <w:r>
        <w:rPr>
          <w:rFonts w:ascii="Amiri" w:hAnsi="Amiri" w:eastAsia="Amiri" w:cs="Amiri"/>
          <w:color w:val="111111"/>
          <w:sz w:val="28"/>
          <w:sz w:val="28"/>
          <w:szCs w:val="28"/>
          <w:rtl w:val="true"/>
          <w:lang w:bidi="ar-SA"/>
        </w:rPr>
        <w:t>، ومستند هذه التقديرات كلها ضعيف</w:t>
      </w:r>
      <w:r>
        <w:rPr>
          <w:rStyle w:val="FootnoteAnchor"/>
          <w:rtl w:val="true"/>
        </w:rPr>
        <w:footnoteReference w:id="477"/>
      </w:r>
      <w:r>
        <w:rPr>
          <w:rFonts w:ascii="Amiri" w:hAnsi="Amiri" w:eastAsia="Amiri" w:cs="Amiri"/>
          <w:color w:val="111111"/>
          <w:sz w:val="28"/>
          <w:sz w:val="28"/>
          <w:szCs w:val="28"/>
          <w:rtl w:val="true"/>
          <w:lang w:bidi="ar-SA"/>
        </w:rPr>
        <w:t>، والمشهور منها ما ذكره المصنف، وينبغي القول بوجوب الأكثر؛ للإجماع على عدم اعتبار أزيد منه فلا تجب الزيادة، والشكٍّ فيما دونه فلا يُتَيقَّن زوالُ التحريم مع أصالة بقائه حيث ضعف المستند فيكون ما ذكرناه طريقاً للحكم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وكَيفية الاستبراء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يُربط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الحيوان والمراد أن يُضبَط على وجهِ يُوْمَن أكله النجس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ويُطعم علفاً طاهراً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النجاسة الأصليّة والعَرَضيّة طول المدة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وتُستبرَأُ البَطَهُ ونحوُها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طيور الماء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بخمسة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والدجاجة وشبهها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ممّا في حجمها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بثلاثة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والمستند ضعيف كما تقدم، ومع ذلك فهو خالٍ عن ذكر الشبيه لهما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عدا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الحيوان الجلال</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يُستبرَأُ بما يَغلِب على الظنِّ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زوالَ الجلل به عرفاً؛ لعدم ورودِ مقدَّرٍ له شرعاً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طرحنا تلك التقديرات لضعف مستندها كان حكم الجميع كذلك</w:t>
      </w:r>
      <w:r>
        <w:rPr>
          <w:rFonts w:eastAsia="Amiri" w:cs="Amiri" w:ascii="Amiri" w:hAnsi="Amiri"/>
          <w:color w:val="111111"/>
          <w:sz w:val="28"/>
          <w:szCs w:val="28"/>
          <w:rtl w:val="true"/>
          <w:lang w:bidi="ar-SA"/>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ولو شَرِب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الحيوانُ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المحلَّلُ</w:t>
      </w:r>
      <w:r>
        <w:rPr>
          <w:rStyle w:val="FootnoteAnchor"/>
          <w:rtl w:val="true"/>
        </w:rPr>
        <w:footnoteReference w:id="478"/>
      </w:r>
      <w:r>
        <w:rPr>
          <w:rFonts w:ascii="Amiri" w:hAnsi="Amiri" w:eastAsia="Amiri" w:cs="Amiri"/>
          <w:color w:val="111111"/>
          <w:sz w:val="28"/>
          <w:sz w:val="28"/>
          <w:szCs w:val="28"/>
          <w:rtl w:val="true"/>
          <w:lang w:bidi="ar-SA"/>
        </w:rPr>
        <w:t>لبن خنزيرة واشتدّ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زادت قوتُه وقَوِيَ عظمُه ونَبَت لحمه بسببه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حَرُم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لحمه ولحمُ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نسله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ذَكَراً كان أم أنثى،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لم يَشتَدّكره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هذا هو المشهور لا نعلم فيه مخالفاً، والمستند أخبار كثيرة </w:t>
      </w:r>
      <w:r>
        <w:rPr>
          <w:rStyle w:val="FootnoteAnchor"/>
          <w:rtl w:val="true"/>
        </w:rPr>
        <w:footnoteReference w:id="479"/>
      </w:r>
      <w:r>
        <w:rPr>
          <w:rFonts w:ascii="IRNazanin" w:hAnsi="IRNazanin" w:eastAsia="IRNazanin"/>
          <w:color w:val="111111"/>
          <w:sz w:val="28"/>
          <w:sz w:val="28"/>
          <w:szCs w:val="28"/>
          <w:rtl w:val="true"/>
          <w:lang w:bidi="fa-IR"/>
        </w:rPr>
        <w:t>لا تخلو من ضعف</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ولا يَتَعَدَّى الحكم إلى غير الخنزير، عملاً بالأصل، وإن ساواه في الحكم كالكلب مع احتماله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ورُوِيَ أنّه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شرب لبن آدمية حتى اشتدّ كره لحمه</w:t>
      </w:r>
      <w:r>
        <w:rPr>
          <w:rFonts w:eastAsia="Amiri" w:cs="Amiri" w:ascii="Amiri" w:hAnsi="Amiri"/>
          <w:color w:val="111111"/>
          <w:sz w:val="28"/>
          <w:szCs w:val="28"/>
          <w:rtl w:val="true"/>
          <w:lang w:bidi="ar-SA"/>
        </w:rPr>
        <w:t>»</w:t>
      </w:r>
      <w:r>
        <w:rPr>
          <w:rStyle w:val="FootnoteAnchor"/>
          <w:rtl w:val="true"/>
        </w:rPr>
        <w:footnoteReference w:id="480"/>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ويُستحبّ استبراؤُه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على تقدير كراهته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بسبعة أيام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إمّا بعلف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كان يأكله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بشرب لبن طاهرٍ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ويَحرُم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الحيوانِ ذوات الأربع وغيرها على الأقوى الذكور والإناتِ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موطوء الإنسان</w:t>
      </w:r>
      <w:r>
        <w:rPr>
          <w:rStyle w:val="FootnoteAnchor"/>
          <w:rtl w:val="true"/>
        </w:rPr>
        <w:footnoteReference w:id="481"/>
      </w:r>
      <w:r>
        <w:rPr>
          <w:rFonts w:ascii="Amiri" w:hAnsi="Amiri" w:eastAsia="Amiri" w:cs="Amiri"/>
          <w:color w:val="111111"/>
          <w:sz w:val="28"/>
          <w:sz w:val="28"/>
          <w:szCs w:val="28"/>
          <w:rtl w:val="true"/>
          <w:lang w:bidi="ar-SA"/>
        </w:rPr>
        <w:t>، ونسله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المتجدّد بعد الوطء؛ لقول الصادق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إنّ 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سئل عن البهيمة التي تُنكَح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حرام لحمها ولبنُها</w:t>
      </w:r>
      <w:r>
        <w:rPr>
          <w:rFonts w:eastAsia="Amiri" w:cs="Amiri" w:ascii="Amiri" w:hAnsi="Amiri"/>
          <w:color w:val="111111"/>
          <w:sz w:val="28"/>
          <w:szCs w:val="28"/>
          <w:rtl w:val="true"/>
          <w:lang w:bidi="ar-SA"/>
        </w:rPr>
        <w:t>»</w:t>
      </w:r>
      <w:r>
        <w:rPr>
          <w:rStyle w:val="FootnoteAnchor"/>
          <w:rtl w:val="true"/>
        </w:rPr>
        <w:footnoteReference w:id="48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وخصه العلّامة بذوات الأربع</w:t>
      </w:r>
      <w:r>
        <w:rPr>
          <w:rStyle w:val="FootnoteAnchor"/>
          <w:rtl w:val="true"/>
        </w:rPr>
        <w:footnoteReference w:id="483"/>
      </w:r>
      <w:r>
        <w:rPr>
          <w:rFonts w:ascii="Amiri" w:hAnsi="Amiri" w:eastAsia="Amiri" w:cs="Amiri"/>
          <w:color w:val="111111"/>
          <w:sz w:val="28"/>
          <w:sz w:val="28"/>
          <w:szCs w:val="28"/>
          <w:rtl w:val="true"/>
          <w:lang w:bidi="ar-SA"/>
        </w:rPr>
        <w:t>اقتصاراً فيما خالَفَ الأصل على المتيقن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ويجب ذَبحه وإحراقه بالنار إن لم يكن المقصود منه ظَهْرَه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وشَمَل إطلاق الإنسان الكبير والصغير والعاقل والمجنون، وإطلاق النصّ </w:t>
      </w:r>
      <w:r>
        <w:rPr>
          <w:rStyle w:val="FootnoteAnchor"/>
          <w:rtl w:val="true"/>
        </w:rPr>
        <w:footnoteReference w:id="484"/>
      </w:r>
      <w:r>
        <w:rPr>
          <w:rFonts w:ascii="Amiri" w:hAnsi="Amiri" w:eastAsia="Amiri" w:cs="Amiri"/>
          <w:color w:val="111111"/>
          <w:sz w:val="28"/>
          <w:sz w:val="28"/>
          <w:szCs w:val="28"/>
          <w:rtl w:val="true"/>
          <w:lang w:bidi="ar-SA"/>
        </w:rPr>
        <w:t xml:space="preserve">يتناوله أيضاً، أمّا بقيّةُ الأحكام غيرُ التحريم فيختص البالغ العاقل كما سيأتي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شاء الله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بقية الأحكام في الحدود</w:t>
      </w:r>
      <w:r>
        <w:rPr>
          <w:rStyle w:val="FootnoteAnchor"/>
          <w:rtl w:val="true"/>
        </w:rPr>
        <w:footnoteReference w:id="48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ويستثنى من الإنسان الخنثى فلا يُحَرِّم وطؤه؛ لاحتمال الزيادة</w:t>
      </w:r>
      <w:r>
        <w:rPr>
          <w:rFonts w:eastAsia="Amiri" w:cs="Amiri" w:ascii="Amiri" w:hAnsi="Amiri"/>
          <w:color w:val="111111"/>
          <w:sz w:val="28"/>
          <w:szCs w:val="28"/>
          <w:rtl w:val="true"/>
          <w:lang w:bidi="ar-SA"/>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ولو اشتبه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بمحصور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قسم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نصفين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وأُقرع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بينهما؛ بأن تُكتب رُقْعَتان في كلِّ واحدةٍ اسمُ نصفٍ منهما ثمّ يُخرج على ما فيه المحرَّم، فإذا خرج في أحد النصفين قُسِم كذلك وأقرع، وهكذا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حتى تَبقَى واحدةٌ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فيُعمَل بها ما عُمِل بالمعلومة ابتداءً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والرواية </w:t>
      </w:r>
    </w:p>
    <w:p>
      <w:pPr>
        <w:pStyle w:val="BookText"/>
        <w:rPr/>
      </w:pPr>
      <w:r>
        <w:rPr>
          <w:rFonts w:ascii="Amiri" w:hAnsi="Amiri" w:eastAsia="Amiri" w:cs="Amiri"/>
          <w:color w:val="111111"/>
          <w:sz w:val="28"/>
          <w:sz w:val="28"/>
          <w:szCs w:val="28"/>
          <w:rtl w:val="true"/>
          <w:lang w:bidi="ar-SA"/>
        </w:rPr>
        <w:t>تَضَمَّنَتْ قسمتها نصفين أبداً</w:t>
      </w:r>
      <w:r>
        <w:rPr>
          <w:rStyle w:val="FootnoteAnchor"/>
          <w:rtl w:val="true"/>
        </w:rPr>
        <w:footnoteReference w:id="486"/>
      </w:r>
      <w:r>
        <w:rPr>
          <w:rFonts w:ascii="Amiri" w:hAnsi="Amiri" w:eastAsia="Amiri" w:cs="Amiri"/>
          <w:color w:val="111111"/>
          <w:sz w:val="28"/>
          <w:sz w:val="28"/>
          <w:szCs w:val="28"/>
          <w:rtl w:val="true"/>
          <w:lang w:bidi="ar-SA"/>
        </w:rPr>
        <w:t>، كما ذكرنا، وأكثرُ العبارات خالية منه حتّى عبارةِ المصنف هنا وفي الدروس</w:t>
      </w:r>
      <w:r>
        <w:rPr>
          <w:rStyle w:val="FootnoteAnchor"/>
          <w:rtl w:val="true"/>
        </w:rPr>
        <w:footnoteReference w:id="487"/>
      </w:r>
      <w:r>
        <w:rPr>
          <w:rFonts w:ascii="Amiri" w:hAnsi="Amiri" w:eastAsia="Amiri" w:cs="Amiri"/>
          <w:color w:val="111111"/>
          <w:sz w:val="28"/>
          <w:sz w:val="28"/>
          <w:szCs w:val="28"/>
          <w:rtl w:val="true"/>
          <w:lang w:bidi="ar-SA"/>
        </w:rPr>
        <w:t xml:space="preserve">، وفي القواعد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قسم قسمين</w:t>
      </w:r>
      <w:r>
        <w:rPr>
          <w:rStyle w:val="FootnoteAnchor"/>
          <w:rtl w:val="true"/>
        </w:rPr>
        <w:footnoteReference w:id="488"/>
      </w:r>
      <w:r>
        <w:rPr>
          <w:rFonts w:ascii="Amiri" w:hAnsi="Amiri" w:eastAsia="Amiri" w:cs="Amiri"/>
          <w:color w:val="111111"/>
          <w:sz w:val="28"/>
          <w:sz w:val="28"/>
          <w:szCs w:val="28"/>
          <w:rtl w:val="true"/>
          <w:lang w:bidi="ar-SA"/>
        </w:rPr>
        <w:t>،وهو مع الإطلاق أعم من التنصيف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ويُشكل التنصيفُ أيضاً لو كان العدد فرداً، وعلى الرواية يجب التنصيف ما أمكن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والمعتبرُ منه العدد لا القيمة، فإذا كان فرداً جُعِلت الزائدة مع أحد القسمين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ولو شَرِب المحلَّلُ خمراً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ذُبِحَ عقيبه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يُؤكل ما في جوفه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الأمعاء والقلب والكبد،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ويجب غسلُ باقيه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اللحم، على المشهور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والمستند ضعيف </w:t>
      </w:r>
      <w:r>
        <w:rPr>
          <w:rStyle w:val="FootnoteAnchor"/>
          <w:rtl w:val="true"/>
        </w:rPr>
        <w:footnoteReference w:id="489"/>
      </w:r>
      <w:r>
        <w:rPr>
          <w:rFonts w:ascii="Amiri" w:hAnsi="Amiri" w:eastAsia="Amiri" w:cs="Amiri"/>
          <w:color w:val="111111"/>
          <w:sz w:val="28"/>
          <w:sz w:val="28"/>
          <w:szCs w:val="28"/>
          <w:rtl w:val="true"/>
          <w:lang w:bidi="ar-SA"/>
        </w:rPr>
        <w:t>ومِن ثَمَّ كَرَّهَه ابنُ إدريس</w:t>
      </w:r>
      <w:r>
        <w:rPr>
          <w:rStyle w:val="FootnoteAnchor"/>
          <w:rtl w:val="true"/>
        </w:rPr>
        <w:footnoteReference w:id="490"/>
      </w:r>
      <w:r>
        <w:rPr>
          <w:rFonts w:ascii="Amiri" w:hAnsi="Amiri" w:eastAsia="Amiri" w:cs="Amiri"/>
          <w:color w:val="111111"/>
          <w:sz w:val="28"/>
          <w:sz w:val="28"/>
          <w:szCs w:val="28"/>
          <w:rtl w:val="true"/>
          <w:lang w:bidi="ar-SA"/>
        </w:rPr>
        <w:t>خاصةً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وقيَّدنا ذَبحه بكونه عقيب الشُرب تبعاً للرواية</w:t>
      </w:r>
      <w:r>
        <w:rPr>
          <w:rStyle w:val="FootnoteAnchor"/>
          <w:rtl w:val="true"/>
        </w:rPr>
        <w:footnoteReference w:id="49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وعبارات الأصحاب</w:t>
      </w:r>
      <w:r>
        <w:rPr>
          <w:rStyle w:val="FootnoteAnchor"/>
          <w:rtl w:val="true"/>
        </w:rPr>
        <w:footnoteReference w:id="492"/>
      </w:r>
      <w:r>
        <w:rPr>
          <w:rFonts w:ascii="Amiri" w:hAnsi="Amiri" w:eastAsia="Amiri" w:cs="Amiri"/>
          <w:color w:val="111111"/>
          <w:sz w:val="28"/>
          <w:sz w:val="28"/>
          <w:szCs w:val="28"/>
          <w:rtl w:val="true"/>
          <w:lang w:bidi="ar-SA"/>
        </w:rPr>
        <w:t>مطلقة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ولو شرب بولاً غُسِلَ ما في بطنه وأُكل</w:t>
      </w:r>
      <w:r>
        <w:rPr>
          <w:rStyle w:val="FootnoteAnchor"/>
          <w:rtl w:val="true"/>
        </w:rPr>
        <w:footnoteReference w:id="49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غير تحريم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والمستند مرسل </w:t>
      </w:r>
      <w:r>
        <w:rPr>
          <w:rStyle w:val="FootnoteAnchor"/>
          <w:rtl w:val="true"/>
        </w:rPr>
        <w:footnoteReference w:id="494"/>
      </w:r>
      <w:r>
        <w:rPr>
          <w:rFonts w:ascii="Amiri" w:hAnsi="Amiri" w:eastAsia="Amiri" w:cs="Amiri"/>
          <w:color w:val="111111"/>
          <w:sz w:val="28"/>
          <w:sz w:val="28"/>
          <w:szCs w:val="28"/>
          <w:rtl w:val="true"/>
          <w:lang w:bidi="ar-SA"/>
        </w:rPr>
        <w:t>ولكن لا راد له، وإلا لأمكن القول بالطهارة فيهما نظراً إلى الانتقال كغيرهما من النجاسات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وفُرق</w:t>
      </w:r>
      <w:r>
        <w:rPr>
          <w:rStyle w:val="FootnoteAnchor"/>
          <w:rtl w:val="true"/>
        </w:rPr>
        <w:footnoteReference w:id="49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النص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بين الخمر والبول بأن الخمر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لطيفٌ تَشرَبه الأمعاء فلا يُطَهَّر بالغسل وتُحَرَّم، بخلاف البول فإنّه لا يصلح للغذاء ولا تقبله الطبيعة</w:t>
      </w:r>
      <w:r>
        <w:rPr>
          <w:rFonts w:eastAsia="Amiri" w:cs="Amiri" w:ascii="Amiri" w:hAnsi="Amiri"/>
          <w:color w:val="111111"/>
          <w:sz w:val="28"/>
          <w:szCs w:val="28"/>
          <w:rtl w:val="true"/>
          <w:lang w:bidi="ar-SA"/>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غَسْلَ اللحم إن كان لنفوذ الخمر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هو الظاهر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يتم الفرقُ </w:t>
      </w:r>
    </w:p>
    <w:p>
      <w:pPr>
        <w:pStyle w:val="BookText"/>
        <w:rPr/>
      </w:pPr>
      <w:r>
        <w:rPr>
          <w:rFonts w:ascii="Amiri" w:hAnsi="Amiri" w:eastAsia="Amiri" w:cs="Amiri"/>
          <w:color w:val="111111"/>
          <w:sz w:val="28"/>
          <w:sz w:val="28"/>
          <w:szCs w:val="28"/>
          <w:rtl w:val="true"/>
          <w:lang w:bidi="ar-SA"/>
        </w:rPr>
        <w:t>بينه وبين ما في الجوف، وإن لم تَصِلْ إليه لم يجب تطهيره، مع أنّ ظاهر الحكم غَسلُ ظاهرِ اللحمالمُلاصِي للجلد، وباطنه المجاور للأمعاء، والرواية خالية عن غسل اللحم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وهنا مسائلُ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المسألة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الأولى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تَحرُم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المَيْتَةُ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أكلاً واستعمالاً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إجماعاً، وتَحِلّ منها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عشرة أشياءَ مُتَفَق عليها، وحادي عشر مختلف فيه، وهي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الصُوفُ والشَعْرُ والوَبَرُ والرِيشُ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فإن جُز فهو طاهر،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قلع غُسل أصله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المتصل بالميتة؛ لاتصاله برطوبتها،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والقَرْنُ والظلفُ والسن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والعظم ولم يذكره المصنف ولابد منه، ولو أبدله بالسنّ كان أولى؛ لأنّه أعم منه إن لم يُجمع بينهما كغيره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وهذه مستثناة من جهة الاستعمال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الأكلُ فالظاهر جواز ما لا يَضُرّ منها بالبدن؛ للأصل، ويمكن دَلالة إطلاق العبارة عليه، وبقرينة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والبيض إذا اكتَسَى القشرالأعلى </w:t>
      </w:r>
      <w:r>
        <w:rPr>
          <w:rStyle w:val="FootnoteAnchor"/>
          <w:rtl w:val="true"/>
        </w:rPr>
        <w:footnoteReference w:id="49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الصلب وإلّا كان بحكمها،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والإنْفَحَة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بكسر الهمزة وفتح الفاء والحاء المهملة، وقد تكسر الفاء، قال</w:t>
      </w:r>
    </w:p>
    <w:p>
      <w:pPr>
        <w:pStyle w:val="BookText"/>
        <w:rPr/>
      </w:pPr>
      <w:r>
        <w:rPr>
          <w:rFonts w:ascii="IRNazanin" w:hAnsi="IRNazanin" w:eastAsia="IRNazanin"/>
          <w:color w:val="111111"/>
          <w:sz w:val="28"/>
          <w:sz w:val="28"/>
          <w:szCs w:val="28"/>
          <w:rtl w:val="true"/>
          <w:lang w:bidi="fa-IR"/>
        </w:rPr>
        <w:t xml:space="preserve">فى القاموس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هي شيءٌ يُستخرج من بطن الجدي الرضيع أصفر، فيُعصَر في صوفةٍ فيَغلُظ كالجُبْن، فإذا أكل الجدي فهو كَرِش </w:t>
      </w:r>
      <w:r>
        <w:rPr>
          <w:rStyle w:val="FootnoteAnchor"/>
          <w:rtl w:val="true"/>
        </w:rPr>
        <w:footnoteReference w:id="497"/>
      </w:r>
      <w:r>
        <w:rPr>
          <w:rFonts w:eastAsia="Times New Roman" w:cs="Times New Roman" w:ascii="Times New Roman" w:hAnsi="Times New Roman"/>
          <w:color w:val="111111"/>
          <w:sz w:val="28"/>
          <w:szCs w:val="28"/>
          <w:rtl w:val="true"/>
          <w:lang w:val="en-US" w:bidi="en-US"/>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وظاهر أوّل التفسير يقتضي كونَ الإِنْفَحة هي اللبن المستحيل في جوف السخلة، فتكون من جملة ما لا تَحُلُّه الحياة، وفي الصحاح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الإنفحة كرْسُ الحَمَلِ أو الجَدْيِ ما لم يَأْكُل، فإذا أَكل فهي كَرِش</w:t>
      </w:r>
      <w:r>
        <w:rPr>
          <w:rStyle w:val="FootnoteAnchor"/>
          <w:rtl w:val="true"/>
        </w:rPr>
        <w:footnoteReference w:id="498"/>
      </w:r>
      <w:r>
        <w:rPr>
          <w:rFonts w:ascii="Amiri" w:hAnsi="Amiri" w:eastAsia="Amiri" w:cs="Amiri"/>
          <w:color w:val="111111"/>
          <w:sz w:val="28"/>
          <w:sz w:val="28"/>
          <w:szCs w:val="28"/>
          <w:rtl w:val="true"/>
          <w:lang w:bidi="ar-SA"/>
        </w:rPr>
        <w:t xml:space="preserve">وقريب منه في الجمهرة </w:t>
      </w:r>
      <w:r>
        <w:rPr>
          <w:rStyle w:val="FootnoteAnchor"/>
          <w:rtl w:val="true"/>
        </w:rPr>
        <w:footnoteReference w:id="499"/>
      </w:r>
      <w:r>
        <w:rPr>
          <w:rFonts w:ascii="Amiri" w:hAnsi="Amiri" w:eastAsia="Amiri" w:cs="Amiri"/>
          <w:color w:val="111111"/>
          <w:sz w:val="28"/>
          <w:sz w:val="28"/>
          <w:szCs w:val="28"/>
          <w:rtl w:val="true"/>
          <w:lang w:bidi="ar-SA"/>
        </w:rPr>
        <w:t xml:space="preserve">، وعلى هذا فهي مستثناة ممّا </w:t>
      </w:r>
    </w:p>
    <w:p>
      <w:pPr>
        <w:pStyle w:val="BookText"/>
        <w:rPr/>
      </w:pPr>
      <w:r>
        <w:rPr>
          <w:rFonts w:ascii="Amiri" w:hAnsi="Amiri" w:eastAsia="Amiri" w:cs="Amiri"/>
          <w:color w:val="111111"/>
          <w:sz w:val="28"/>
          <w:sz w:val="28"/>
          <w:szCs w:val="28"/>
          <w:rtl w:val="true"/>
          <w:lang w:bidi="ar-SA"/>
        </w:rPr>
        <w:t>تَحُلُّه الحياة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وعلى الأوّل فهو طاهر وإنْ لاصَقَ الجلد الميت؛ للنص</w:t>
      </w:r>
      <w:r>
        <w:rPr>
          <w:rStyle w:val="FootnoteAnchor"/>
          <w:rtl w:val="true"/>
        </w:rPr>
        <w:footnoteReference w:id="500"/>
      </w:r>
      <w:r>
        <w:rPr>
          <w:rFonts w:ascii="Amiri" w:hAnsi="Amiri" w:eastAsia="Amiri" w:cs="Amiri"/>
          <w:color w:val="111111"/>
          <w:sz w:val="28"/>
          <w:sz w:val="28"/>
          <w:szCs w:val="28"/>
          <w:rtl w:val="true"/>
          <w:lang w:bidi="ar-SA"/>
        </w:rPr>
        <w:t>، وعلى الثاني، فما في داخله طاهر قطعاً، وكذا ظاهره بالأصالة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وهل ينجس بالعرض بملاصقة الميت ؟ وجه ، و في الذكرى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الأولى تطهير ظاهرها</w:t>
      </w:r>
      <w:r>
        <w:rPr>
          <w:rStyle w:val="FootnoteAnchor"/>
          <w:rtl w:val="true"/>
        </w:rPr>
        <w:footnoteReference w:id="50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وإطلاق النص</w:t>
      </w:r>
      <w:r>
        <w:rPr>
          <w:rStyle w:val="FootnoteAnchor"/>
          <w:rtl w:val="true"/>
        </w:rPr>
        <w:footnoteReference w:id="502"/>
      </w:r>
      <w:r>
        <w:rPr>
          <w:rFonts w:ascii="Amiri" w:hAnsi="Amiri" w:eastAsia="Amiri" w:cs="Amiri"/>
          <w:color w:val="111111"/>
          <w:sz w:val="28"/>
          <w:sz w:val="28"/>
          <w:szCs w:val="28"/>
          <w:rtl w:val="true"/>
          <w:lang w:bidi="ar-SA"/>
        </w:rPr>
        <w:t>يقتضي الطهارة مطلقاً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يبقَى الشكُ في كون الإنفحة المستثناة هل هي اللبن المستحيلُ أم الكرْش بسبب اختلاف أهل اللغة، والمتيقن منه ما في داخله؛ لأنه متفق عليه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واللبنُ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ضَرع الميتة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قول مشهورٍ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 الأصحاب</w:t>
      </w:r>
      <w:r>
        <w:rPr>
          <w:rStyle w:val="FootnoteAnchor"/>
          <w:rtl w:val="true"/>
        </w:rPr>
        <w:footnoteReference w:id="503"/>
      </w:r>
      <w:r>
        <w:rPr>
          <w:rFonts w:ascii="Amiri" w:hAnsi="Amiri" w:eastAsia="Amiri" w:cs="Amiri"/>
          <w:color w:val="111111"/>
          <w:sz w:val="28"/>
          <w:sz w:val="28"/>
          <w:szCs w:val="28"/>
          <w:rtl w:val="true"/>
          <w:lang w:bidi="ar-SA"/>
        </w:rPr>
        <w:t>، ومستنده روايات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صحيحة زرارة عن أبي عبد الله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الإنفحة تُخرج من الجَدْيِ الميت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بأس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اللبن يكون في ضرع الشاة وقد ماتت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بأس</w:t>
      </w:r>
      <w:r>
        <w:rPr>
          <w:rFonts w:eastAsia="Amiri" w:cs="Amiri" w:ascii="Amiri" w:hAnsi="Amiri"/>
          <w:color w:val="111111"/>
          <w:sz w:val="28"/>
          <w:szCs w:val="28"/>
          <w:rtl w:val="true"/>
          <w:lang w:bidi="ar-SA"/>
        </w:rPr>
        <w:t>»</w:t>
      </w:r>
      <w:r>
        <w:rPr>
          <w:rStyle w:val="FootnoteAnchor"/>
          <w:rtl w:val="true"/>
        </w:rPr>
        <w:footnoteReference w:id="50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رُوِيَ نَجاستُه صريحاً في خبر آخَرَ</w:t>
      </w:r>
      <w:r>
        <w:rPr>
          <w:rStyle w:val="FootnoteAnchor"/>
          <w:rtl w:val="true"/>
        </w:rPr>
        <w:footnoteReference w:id="505"/>
      </w:r>
      <w:r>
        <w:rPr>
          <w:rFonts w:ascii="Amiri" w:hAnsi="Amiri" w:eastAsia="Amiri" w:cs="Amiri"/>
          <w:color w:val="111111"/>
          <w:sz w:val="28"/>
          <w:sz w:val="28"/>
          <w:szCs w:val="28"/>
          <w:rtl w:val="true"/>
          <w:lang w:bidi="ar-SA"/>
        </w:rPr>
        <w:t>لكنّه ضعيف السند، إلا أنه موافق للأصل من نَجاسة المائع بملاقاة النّجاسة وكلُّ نجس حرام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ونسبة القول بالحِل إلى الشهرة تُشعر بتوقفه فيه، وفي الدروس جَعَله أصح، وضعف رواية التحريم وجَعَل القائل بها نادراً</w:t>
      </w:r>
      <w:r>
        <w:rPr>
          <w:rStyle w:val="FootnoteAnchor"/>
          <w:rtl w:val="true"/>
        </w:rPr>
        <w:footnoteReference w:id="506"/>
      </w:r>
      <w:r>
        <w:rPr>
          <w:rFonts w:ascii="Amiri" w:hAnsi="Amiri" w:eastAsia="Amiri" w:cs="Amiri"/>
          <w:color w:val="111111"/>
          <w:sz w:val="28"/>
          <w:sz w:val="28"/>
          <w:szCs w:val="28"/>
          <w:rtl w:val="true"/>
          <w:lang w:bidi="ar-SA"/>
        </w:rPr>
        <w:t>وحَمَلها على التقيّة</w:t>
      </w:r>
      <w:r>
        <w:rPr>
          <w:rStyle w:val="FootnoteAnchor"/>
          <w:rtl w:val="true"/>
        </w:rPr>
        <w:footnoteReference w:id="50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ولو اختلط الذكي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اللحم وشبهه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بالميت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سبيل إلى تمييزه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اجتنب الجميع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لوجوب اجتناب الميت ولا يتم إلا به فيجب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جواز بيعه على مستحِلّ الميتة قول</w:t>
      </w:r>
      <w:r>
        <w:rPr>
          <w:rStyle w:val="FootnoteAnchor"/>
          <w:rtl w:val="true"/>
        </w:rPr>
        <w:footnoteReference w:id="508"/>
      </w:r>
    </w:p>
    <w:p>
      <w:pPr>
        <w:pStyle w:val="BookText"/>
        <w:rPr/>
      </w:pP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337</w:t>
      </w:r>
      <w:r>
        <w:rPr>
          <w:rFonts w:ascii="Amiri" w:hAnsi="Amiri" w:eastAsia="Amiri" w:cs="Amiri"/>
          <w:color w:val="111111"/>
          <w:sz w:val="28"/>
          <w:sz w:val="28"/>
          <w:szCs w:val="28"/>
          <w:rtl w:val="true"/>
          <w:lang w:bidi="ar-SA"/>
        </w:rPr>
        <w:t xml:space="preserve">، المسألة </w:t>
      </w:r>
      <w:r>
        <w:rPr>
          <w:rFonts w:eastAsia="Amiri" w:cs="Amiri" w:ascii="Amiri" w:hAnsi="Amiri"/>
          <w:color w:val="111111"/>
          <w:sz w:val="28"/>
          <w:szCs w:val="28"/>
          <w:lang w:bidi="ar-SA"/>
        </w:rPr>
        <w:t>39</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مستنده صحيحة الحلبي</w:t>
      </w:r>
      <w:r>
        <w:rPr>
          <w:rStyle w:val="FootnoteAnchor"/>
          <w:rtl w:val="true"/>
        </w:rPr>
        <w:footnoteReference w:id="509"/>
      </w:r>
      <w:r>
        <w:rPr>
          <w:rFonts w:ascii="IRNazanin" w:hAnsi="IRNazanin" w:eastAsia="IRNazanin"/>
          <w:color w:val="111111"/>
          <w:sz w:val="28"/>
          <w:sz w:val="28"/>
          <w:szCs w:val="28"/>
          <w:rtl w:val="true"/>
          <w:lang w:bidi="fa-IR"/>
        </w:rPr>
        <w:t>وحسنته</w:t>
      </w:r>
      <w:r>
        <w:rPr>
          <w:rStyle w:val="FootnoteAnchor"/>
          <w:rtl w:val="true"/>
        </w:rPr>
        <w:footnoteReference w:id="510"/>
      </w:r>
      <w:r>
        <w:rPr>
          <w:rFonts w:ascii="Amiri" w:hAnsi="Amiri" w:eastAsia="Amiri" w:cs="Amiri"/>
          <w:color w:val="111111"/>
          <w:sz w:val="28"/>
          <w:sz w:val="28"/>
          <w:szCs w:val="28"/>
          <w:rtl w:val="true"/>
          <w:lang w:bidi="ar-SA"/>
        </w:rPr>
        <w:t xml:space="preserve">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ورَدَّه قوم</w:t>
      </w:r>
      <w:r>
        <w:rPr>
          <w:rStyle w:val="FootnoteAnchor"/>
          <w:rtl w:val="true"/>
        </w:rPr>
        <w:footnoteReference w:id="511"/>
      </w:r>
      <w:r>
        <w:rPr>
          <w:rFonts w:ascii="Amiri" w:hAnsi="Amiri" w:eastAsia="Amiri" w:cs="Amiri"/>
          <w:color w:val="111111"/>
          <w:sz w:val="28"/>
          <w:sz w:val="28"/>
          <w:szCs w:val="28"/>
          <w:rtl w:val="true"/>
          <w:lang w:bidi="ar-SA"/>
        </w:rPr>
        <w:t>نظراً إلى إطلاق النصوص بتحريم بيع الميتة وتحريم ثمنها</w:t>
      </w:r>
      <w:r>
        <w:rPr>
          <w:rStyle w:val="FootnoteAnchor"/>
          <w:rtl w:val="true"/>
        </w:rPr>
        <w:footnoteReference w:id="512"/>
      </w:r>
      <w:r>
        <w:rPr>
          <w:rFonts w:ascii="Amiri" w:hAnsi="Amiri" w:eastAsia="Amiri" w:cs="Amiri"/>
          <w:color w:val="111111"/>
          <w:sz w:val="28"/>
          <w:sz w:val="28"/>
          <w:szCs w:val="28"/>
          <w:rtl w:val="true"/>
          <w:lang w:bidi="ar-SA"/>
        </w:rPr>
        <w:t>واعتذر العلامة عنه بأنه ليس ببيع في الحقيقة وإنّما هو استنقاذ مالِ الكافِر برضاه</w:t>
      </w:r>
      <w:r>
        <w:rPr>
          <w:rStyle w:val="FootnoteAnchor"/>
          <w:rtl w:val="true"/>
        </w:rPr>
        <w:footnoteReference w:id="513"/>
      </w:r>
      <w:r>
        <w:rPr>
          <w:rFonts w:ascii="Amiri" w:hAnsi="Amiri" w:eastAsia="Amiri" w:cs="Amiri"/>
          <w:color w:val="111111"/>
          <w:sz w:val="28"/>
          <w:sz w:val="28"/>
          <w:szCs w:val="28"/>
          <w:rtl w:val="true"/>
          <w:lang w:bidi="ar-SA"/>
        </w:rPr>
        <w:t>، ويُشكل بأنّ مِن مستحِله من الكفّار من لا يَحِلّ ماله كالذمي؛ وحَسَّنَه المحقق مع قصدِ بيع الذكي حَسْبُ</w:t>
      </w:r>
      <w:r>
        <w:rPr>
          <w:rStyle w:val="FootnoteAnchor"/>
          <w:rtl w:val="true"/>
        </w:rPr>
        <w:footnoteReference w:id="514"/>
      </w:r>
      <w:r>
        <w:rPr>
          <w:rFonts w:ascii="Amiri" w:hAnsi="Amiri" w:eastAsia="Amiri" w:cs="Amiri"/>
          <w:color w:val="111111"/>
          <w:sz w:val="28"/>
          <w:sz w:val="28"/>
          <w:szCs w:val="28"/>
          <w:rtl w:val="true"/>
          <w:lang w:bidi="ar-SA"/>
        </w:rPr>
        <w:t>، وتبعه العلامة أيضاً</w:t>
      </w:r>
      <w:r>
        <w:rPr>
          <w:rStyle w:val="FootnoteAnchor"/>
          <w:rtl w:val="true"/>
        </w:rPr>
        <w:footnoteReference w:id="515"/>
      </w:r>
      <w:r>
        <w:rPr>
          <w:rFonts w:ascii="Amiri" w:hAnsi="Amiri" w:eastAsia="Amiri" w:cs="Amiri"/>
          <w:color w:val="111111"/>
          <w:sz w:val="28"/>
          <w:sz w:val="28"/>
          <w:szCs w:val="28"/>
          <w:rtl w:val="true"/>
          <w:lang w:bidi="ar-SA"/>
        </w:rPr>
        <w:t>، ويُشكل بجهالته وعدم إمكان تسليمه متميّزاً؛ فإما أن يُعمَل بالرواية</w:t>
      </w:r>
      <w:r>
        <w:rPr>
          <w:rStyle w:val="FootnoteAnchor"/>
          <w:rtl w:val="true"/>
        </w:rPr>
        <w:footnoteReference w:id="516"/>
      </w:r>
      <w:r>
        <w:rPr>
          <w:rFonts w:ascii="Amiri" w:hAnsi="Amiri" w:eastAsia="Amiri" w:cs="Amiri"/>
          <w:color w:val="111111"/>
          <w:sz w:val="28"/>
          <w:sz w:val="28"/>
          <w:szCs w:val="28"/>
          <w:rtl w:val="true"/>
          <w:lang w:bidi="ar-SA"/>
        </w:rPr>
        <w:t>لصحتها من غير تعليل أو يُحكم بالبطلان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أبين من حي يحرم أكله واستعماله كألياتِ الغَنَم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لأنها بحكم الميتة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يجوز الاستصباح بها تحت السماء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لتحريم الانتفاع بالميتة مطلقاً، وإنما يجوز الاستصباحُ بما عَرَض له النجاسة من الأدهان لا بما نجاسته ذاتية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المسألة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تحرُم من الذبيحة خمسةَ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شيئاً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الدمُ والطِحَال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بكسر الطاء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والقضيب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الذكر</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والأُنْثيان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وهما البَيْضَتان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والفَرْثُ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الرَّوْثُ في جوفها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والمَثَانةُ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بفتح الميم، وهو مجمع البول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والمرارة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بفتح الميم، التي تجمع المِرَّةَ الصفراء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بكسرها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معلقةً مع الكبد كالكيس،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والمَشِيمةُ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بفتح الميم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بيت الولد </w:t>
      </w:r>
    </w:p>
    <w:p>
      <w:pPr>
        <w:pStyle w:val="BookText"/>
        <w:rPr/>
      </w:pPr>
      <w:r>
        <w:rPr>
          <w:rFonts w:ascii="Amiri" w:hAnsi="Amiri" w:eastAsia="Amiri" w:cs="Amiri"/>
          <w:color w:val="111111"/>
          <w:sz w:val="28"/>
          <w:sz w:val="28"/>
          <w:szCs w:val="28"/>
          <w:rtl w:val="true"/>
          <w:lang w:bidi="ar-SA"/>
        </w:rPr>
        <w:t xml:space="preserve">وتُسمَّى الغِرْسَ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بكسر الغين المعجمة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وأصلُها مَفْعِلة فسكنت الياءُ،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والفرجُ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الحياءُ، ظاهرُه وباطنه،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والعِلْباء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بالمهملة المكسورة فاللام الساكنة فالباء الموحدة فالألف ممدودةً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عَصَبَتان عريضتان ممدودتان من الرقبة إلى عَجْبِ الذَنَب،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والنُّخاع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مثلتُ النون الخيط الأبيض في وسط الظهْر يَنْظِم خَرَزَ السلسلة في وسطها، وهو الوتين الذي لا قوامَ للحيوان بدونه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والغُدَدُ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بضم الغين المعجمة، التي في اللحم وتكثر في الشحم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وذاتُ الأشاجع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أصول الأصابع التي تتصل بعصب ظاهر الكفّ، وفي الصحاح جَعَلها الأشاجع</w:t>
      </w:r>
      <w:r>
        <w:rPr>
          <w:rStyle w:val="FootnoteAnchor"/>
          <w:rtl w:val="true"/>
        </w:rPr>
        <w:footnoteReference w:id="517"/>
      </w:r>
      <w:r>
        <w:rPr>
          <w:rFonts w:ascii="Amiri" w:hAnsi="Amiri" w:eastAsia="Amiri" w:cs="Amiri"/>
          <w:color w:val="111111"/>
          <w:sz w:val="28"/>
          <w:sz w:val="28"/>
          <w:szCs w:val="28"/>
          <w:rtl w:val="true"/>
          <w:lang w:bidi="ar-SA"/>
        </w:rPr>
        <w:t xml:space="preserve">بغير مضاف، والواحد أشجع،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وخَرْزَةُ الدِماغ</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بكسر الدال، وهي المُخُ الكائنُ في وسط الدماغ شبه الدودة، بقدر الحِيَّصة تقريباً يخالِفُ لونُها لونه وهي تَمِيل إلى الغُبْرة،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والحَدَقُ </w:t>
      </w:r>
      <w:r>
        <w:rPr>
          <w:rStyle w:val="FootnoteAnchor"/>
          <w:rtl w:val="true"/>
        </w:rPr>
        <w:footnoteReference w:id="51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حبّةَ الحَدَقة وهو الناظر من العين، لا جسم العين كله</w:t>
      </w:r>
      <w:r>
        <w:rPr>
          <w:rFonts w:eastAsia="Amiri" w:cs="Amiri" w:ascii="Amiri" w:hAnsi="Amiri"/>
          <w:color w:val="111111"/>
          <w:sz w:val="28"/>
          <w:szCs w:val="28"/>
          <w:rtl w:val="true"/>
          <w:lang w:bidi="ar-SA"/>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وتحريمُ هذه الأشياء أجمعَ ذَكَره الشيخ غير المثانة</w:t>
      </w:r>
      <w:r>
        <w:rPr>
          <w:rStyle w:val="FootnoteAnchor"/>
          <w:rtl w:val="true"/>
        </w:rPr>
        <w:footnoteReference w:id="519"/>
      </w:r>
      <w:r>
        <w:rPr>
          <w:rFonts w:ascii="Amiri" w:hAnsi="Amiri" w:eastAsia="Amiri" w:cs="Amiri"/>
          <w:color w:val="111111"/>
          <w:sz w:val="28"/>
          <w:sz w:val="28"/>
          <w:szCs w:val="28"/>
          <w:rtl w:val="true"/>
          <w:lang w:bidi="ar-SA"/>
        </w:rPr>
        <w:t>، فزادها ابن إدريس</w:t>
      </w:r>
      <w:r>
        <w:rPr>
          <w:rStyle w:val="FootnoteAnchor"/>
          <w:rtl w:val="true"/>
        </w:rPr>
        <w:footnoteReference w:id="520"/>
      </w:r>
      <w:r>
        <w:rPr>
          <w:rFonts w:ascii="Amiri" w:hAnsi="Amiri" w:eastAsia="Amiri" w:cs="Amiri"/>
          <w:color w:val="111111"/>
          <w:sz w:val="28"/>
          <w:sz w:val="28"/>
          <w:szCs w:val="28"/>
          <w:rtl w:val="true"/>
          <w:lang w:bidi="ar-SA"/>
        </w:rPr>
        <w:t>، وتَبِعه جماعةٌ</w:t>
      </w:r>
      <w:r>
        <w:rPr>
          <w:rStyle w:val="FootnoteAnchor"/>
          <w:rtl w:val="true"/>
        </w:rPr>
        <w:footnoteReference w:id="521"/>
      </w:r>
      <w:r>
        <w:rPr>
          <w:rFonts w:ascii="Amiri" w:hAnsi="Amiri" w:eastAsia="Amiri" w:cs="Amiri"/>
          <w:color w:val="111111"/>
          <w:sz w:val="28"/>
          <w:sz w:val="28"/>
          <w:szCs w:val="28"/>
          <w:rtl w:val="true"/>
          <w:lang w:bidi="ar-SA"/>
        </w:rPr>
        <w:t>، منهم المصنّفُ</w:t>
      </w:r>
      <w:r>
        <w:rPr>
          <w:rStyle w:val="FootnoteAnchor"/>
          <w:rtl w:val="true"/>
        </w:rPr>
        <w:footnoteReference w:id="52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ومستند الجميع غير واضح؛ لأنّه رِوايات</w:t>
      </w:r>
      <w:r>
        <w:rPr>
          <w:rStyle w:val="FootnoteAnchor"/>
          <w:rtl w:val="true"/>
        </w:rPr>
        <w:footnoteReference w:id="523"/>
      </w:r>
      <w:r>
        <w:rPr>
          <w:rFonts w:ascii="Amiri" w:hAnsi="Amiri" w:eastAsia="Amiri" w:cs="Amiri"/>
          <w:color w:val="111111"/>
          <w:sz w:val="28"/>
          <w:sz w:val="28"/>
          <w:szCs w:val="28"/>
          <w:rtl w:val="true"/>
          <w:lang w:bidi="ar-SA"/>
        </w:rPr>
        <w:t>يَتَلَقَّقُ من جميعها ذلك بعض رجالها ضعيفٌ وبعضُها مجهول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والمتيقن منها تحريم ما دلّ عليه دليل خارج كالدم، وفي معناه الطحال وتحريمُهما ظاهر من الآية</w:t>
      </w:r>
      <w:r>
        <w:rPr>
          <w:rStyle w:val="FootnoteAnchor"/>
          <w:rtl w:val="true"/>
        </w:rPr>
        <w:footnoteReference w:id="524"/>
      </w:r>
      <w:r>
        <w:rPr>
          <w:rFonts w:ascii="Amiri" w:hAnsi="Amiri" w:eastAsia="Amiri" w:cs="Amiri"/>
          <w:color w:val="111111"/>
          <w:sz w:val="28"/>
          <w:sz w:val="28"/>
          <w:szCs w:val="28"/>
          <w:rtl w:val="true"/>
          <w:lang w:bidi="ar-SA"/>
        </w:rPr>
        <w:t xml:space="preserve">، وكذا ما استُخْبِتَ منها كالفَرْتُ والفَرْج والقضيب والأُنثيين والمثانة والمرارة والمشيمة، وتحريم الباقي يحتاج إلى دليل والأصلُ يقتضي عدمه، والروايات يمكن الاستدلال بها على الكراهة لسهولة </w:t>
      </w:r>
    </w:p>
    <w:p>
      <w:pPr>
        <w:pStyle w:val="BookText"/>
        <w:rPr/>
      </w:pPr>
      <w:r>
        <w:rPr>
          <w:rFonts w:ascii="Amiri" w:hAnsi="Amiri" w:eastAsia="Amiri" w:cs="Amiri"/>
          <w:color w:val="111111"/>
          <w:sz w:val="28"/>
          <w:sz w:val="28"/>
          <w:szCs w:val="28"/>
          <w:rtl w:val="true"/>
          <w:lang w:bidi="ar-SA"/>
        </w:rPr>
        <w:t>خَطْبِها، إلا أن يُدَّعَى</w:t>
      </w:r>
      <w:r>
        <w:rPr>
          <w:rStyle w:val="FootnoteAnchor"/>
          <w:rtl w:val="true"/>
        </w:rPr>
        <w:footnoteReference w:id="525"/>
      </w:r>
      <w:r>
        <w:rPr>
          <w:rFonts w:ascii="Amiri" w:hAnsi="Amiri" w:eastAsia="Amiri" w:cs="Amiri"/>
          <w:color w:val="111111"/>
          <w:sz w:val="28"/>
          <w:sz w:val="28"/>
          <w:szCs w:val="28"/>
          <w:rtl w:val="true"/>
          <w:lang w:bidi="ar-SA"/>
        </w:rPr>
        <w:t>استخباتُ الجميع، وهذا مختار العلّامة في المختلف</w:t>
      </w:r>
      <w:r>
        <w:rPr>
          <w:rStyle w:val="FootnoteAnchor"/>
          <w:rtl w:val="true"/>
        </w:rPr>
        <w:footnoteReference w:id="52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وابن الجنيد</w:t>
      </w:r>
      <w:r>
        <w:rPr>
          <w:rStyle w:val="FootnoteAnchor"/>
          <w:rtl w:val="true"/>
        </w:rPr>
        <w:footnoteReference w:id="527"/>
      </w:r>
      <w:r>
        <w:rPr>
          <w:rFonts w:ascii="Amiri" w:hAnsi="Amiri" w:eastAsia="Amiri" w:cs="Amiri"/>
          <w:color w:val="111111"/>
          <w:sz w:val="28"/>
          <w:sz w:val="28"/>
          <w:szCs w:val="28"/>
          <w:rtl w:val="true"/>
          <w:lang w:bidi="ar-SA"/>
        </w:rPr>
        <w:t xml:space="preserve">أطلق كَراهة بعض هذه المذكورات ولم ينص على تحريم شيء، نظراً إلى ما ذكرناه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واحترز بقوله من الذبيحة عن نحو السمك والجراد فلا يحرم شيء من المذكورات للأصل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وشَمَل ذلك كبير الحيوان المذبوح كالجزور، وصغيره كالعصفور ويُشكل الحكم بتحريم جميع ما ذكر مع عدم تميّزه؛ لاستلزامه تحريم جميعه أو أكثره للاشتباه والأجودُ اختصاص الحكم بالنعم ونحوها من الحَيَوانِ الوحشي، دون العصفور وما أشبهه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ويُكرَه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أكلُ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الكُلى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بضم الكاف وقصر الألف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جمعُ كُلْيَةٍ وكُلْوَةٍ بالضم فيهما ،والكسرُ لَحْنُ، عن ابن السكيت </w:t>
      </w:r>
      <w:r>
        <w:rPr>
          <w:rStyle w:val="FootnoteAnchor"/>
          <w:rtl w:val="true"/>
        </w:rPr>
        <w:footnoteReference w:id="528"/>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وأُذُنا القلب والعروق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ولو ثُقِبَ الطِحَالُ مع اللحم وشُوِيَ حَرمَ ما تحته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لحم وغيره دون ما فوقه أو مساويه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ولو لم يكن مثقوباً لم يحرم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معه مطلقاً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هو المشهور، ومستنده رواية عمّار الساباطي عن أبي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Style w:val="FootnoteAnchor"/>
          <w:rtl w:val="true"/>
        </w:rPr>
        <w:footnoteReference w:id="529"/>
      </w:r>
      <w:r>
        <w:rPr>
          <w:rFonts w:ascii="Amiri" w:hAnsi="Amiri" w:eastAsia="Amiri" w:cs="Amiri"/>
          <w:color w:val="111111"/>
          <w:sz w:val="28"/>
          <w:sz w:val="28"/>
          <w:szCs w:val="28"/>
          <w:rtl w:val="true"/>
          <w:lang w:bidi="ar-SA"/>
        </w:rPr>
        <w:t>، وعُلِّلَ فيها بأنه مع الثقب يَسيل الدم من الطحال إلى ما تحته فيُحرَّم، بخلاف غير المثقوب؛ لأنه في حجابِ لا يَسيل منه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المسألة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يحرُم تناول الأعيانِ النَجِسةِ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بالأصالة كالنجاسات، وأمّا بالعرض، فإنّه وإنْ كان كذلك إلا أنه يأتي</w:t>
      </w:r>
      <w:r>
        <w:rPr>
          <w:rFonts w:eastAsia="Amiri" w:cs="Amiri" w:ascii="Amiri" w:hAnsi="Amiri"/>
          <w:color w:val="111111"/>
          <w:sz w:val="28"/>
          <w:szCs w:val="28"/>
          <w:rtl w:val="true"/>
          <w:lang w:bidi="ar-SA"/>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كذا يحرُم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مائعاً كان أم جامداً وإن اختَصَّت النّجاسة بالمائع بالأصالة، ويمكن أن يريد هنا بالمسكر المائع بقرينة الأَمْئِلةِ، والتعرّض في هذه </w:t>
      </w:r>
    </w:p>
    <w:p>
      <w:pPr>
        <w:pStyle w:val="BookText"/>
        <w:rPr/>
      </w:pPr>
      <w:r>
        <w:rPr>
          <w:rFonts w:ascii="Amiri" w:hAnsi="Amiri" w:eastAsia="Amiri" w:cs="Amiri"/>
          <w:color w:val="111111"/>
          <w:sz w:val="28"/>
          <w:sz w:val="28"/>
          <w:szCs w:val="28"/>
          <w:rtl w:val="true"/>
          <w:lang w:bidi="ar-SA"/>
        </w:rPr>
        <w:t xml:space="preserve">المسألة للنجاسات وذكرُه تخصيص بعد تعميم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كالخمر</w:t>
      </w:r>
      <w:r>
        <w:rPr>
          <w:rStyle w:val="FootnoteAnchor"/>
          <w:rtl w:val="true"/>
        </w:rPr>
        <w:footnoteReference w:id="53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المُتَّخَذِ من العِنَب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والنبيذ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المسكر من التمر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والبِثْع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بكسر الباء وسكون التاء المثناة أو فتحها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نبيذ العسل،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والفَضيخ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بالمعجمتين من التمر والبشر،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والنقيع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الزبيب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والمِزْرِ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بكسر الميم فالزاء المعجمة الساكنة فالمهملة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نبيذُ الذرّة،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والجعة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بكسر الجيم وفتح العين المهملة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نبيذ الشعير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يختص التحريم في هذه بما أسكر بل يحرُم وإنّ قَلَّ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كذا يحرُم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العصير العنبي إذا غلا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بالنار وغيرها بأن صار أعلاه أسفله ويستمر تحريمُه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حتى يذهبَ ثُلثاه أو ينقلِبَ خَلّاً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خلاف في تحريمه، والنصوص متظافرة به</w:t>
      </w:r>
      <w:r>
        <w:rPr>
          <w:rStyle w:val="FootnoteAnchor"/>
          <w:rtl w:val="true"/>
        </w:rPr>
        <w:footnoteReference w:id="531"/>
      </w:r>
      <w:r>
        <w:rPr>
          <w:rFonts w:ascii="Amiri" w:hAnsi="Amiri" w:eastAsia="Amiri" w:cs="Amiri"/>
          <w:color w:val="111111"/>
          <w:sz w:val="28"/>
          <w:sz w:val="28"/>
          <w:szCs w:val="28"/>
          <w:rtl w:val="true"/>
          <w:lang w:bidi="ar-SA"/>
        </w:rPr>
        <w:t>، وإنّما الكلام في نجاسته فإنّ النصوص خالية منها، لكنّها مشهورة بين المتأخرين</w:t>
      </w:r>
      <w:r>
        <w:rPr>
          <w:rStyle w:val="FootnoteAnchor"/>
          <w:rtl w:val="true"/>
        </w:rPr>
        <w:footnoteReference w:id="53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يحرم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العصير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الزبيب وإن غلا، على الأقوى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لخروجه عن مسمّى العنب، وأصالة الحلّ واستصحابه، خَرَج منه عصير العنب إذا غلا بالنص فيبقى غيرُه على الأصل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وذهب بعض الأصحاب إلى تحريمه</w:t>
      </w:r>
      <w:r>
        <w:rPr>
          <w:rStyle w:val="FootnoteAnchor"/>
          <w:rtl w:val="true"/>
        </w:rPr>
        <w:footnoteReference w:id="533"/>
      </w:r>
      <w:r>
        <w:rPr>
          <w:rFonts w:ascii="IRNazanin" w:hAnsi="IRNazanin" w:eastAsia="IRNazanin"/>
          <w:color w:val="111111"/>
          <w:sz w:val="28"/>
          <w:sz w:val="28"/>
          <w:szCs w:val="28"/>
          <w:rtl w:val="true"/>
          <w:lang w:bidi="fa-IR"/>
        </w:rPr>
        <w:t>؛ لمفهوم رواية علي بن جعفر عن أخيه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حيث سأله عن الزبيب يؤخذ ماؤه فيُطبَخ حتى يَذهَبَ تُلناه؟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بأس</w:t>
      </w:r>
      <w:r>
        <w:rPr>
          <w:rFonts w:eastAsia="IRNazanin" w:cs="IRNazanin"/>
          <w:color w:val="111111"/>
          <w:sz w:val="28"/>
          <w:szCs w:val="28"/>
          <w:rtl w:val="true"/>
          <w:lang w:bidi="fa-IR"/>
        </w:rPr>
        <w:t>»</w:t>
      </w:r>
      <w:r>
        <w:rPr>
          <w:rStyle w:val="FootnoteAnchor"/>
          <w:rtl w:val="true"/>
        </w:rPr>
        <w:footnoteReference w:id="534"/>
      </w:r>
      <w:r>
        <w:rPr>
          <w:rFonts w:ascii="Amiri" w:hAnsi="Amiri" w:eastAsia="Amiri" w:cs="Amiri"/>
          <w:color w:val="111111"/>
          <w:sz w:val="28"/>
          <w:sz w:val="28"/>
          <w:szCs w:val="28"/>
          <w:rtl w:val="true"/>
          <w:lang w:bidi="ar-SA"/>
        </w:rPr>
        <w:t>، فإنّ مفهومه التحريم قبل ذهاب الثلثين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وسند الرواية والمفهوم ضعيفان فالقول بالتحريم ،أضعف أمّا النجاسة فلا شبهة في نفيها</w:t>
      </w:r>
      <w:r>
        <w:rPr>
          <w:rFonts w:eastAsia="Amiri" w:cs="Amiri" w:ascii="Amiri" w:hAnsi="Amiri"/>
          <w:color w:val="111111"/>
          <w:sz w:val="28"/>
          <w:szCs w:val="28"/>
          <w:rtl w:val="true"/>
          <w:lang w:bidi="ar-SA"/>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ويحرُم الفقاع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ما اتَّخِذ من الزبيب أو الشعير حتى وجد فيه النشيش والحركة، أو أطلق عليه عرفاً، ما لم يُعلم انتفاء خاصيته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وُجد في الأسواق ما </w:t>
      </w:r>
    </w:p>
    <w:p>
      <w:pPr>
        <w:pStyle w:val="BookText"/>
        <w:rPr/>
      </w:pPr>
      <w:r>
        <w:rPr>
          <w:rFonts w:ascii="Amiri" w:hAnsi="Amiri" w:eastAsia="Amiri" w:cs="Amiri"/>
          <w:color w:val="111111"/>
          <w:sz w:val="28"/>
          <w:sz w:val="28"/>
          <w:szCs w:val="28"/>
          <w:rtl w:val="true"/>
          <w:lang w:bidi="ar-SA"/>
        </w:rPr>
        <w:t>يُسمّى فقاعاً حكم بتحريمه وإنْ جُهل أصله نظراً إلى الاسم، وقد رَوَى علي بن يَقْطين في الصحيح عن الكاظم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سألته عن شُرب الفقاع الذي يُعمَل في السوق ويُباع ولا أدري كيف عُمِل ولا مَتَى عُمِل أَ يَحِلُّ أن أشرِبَه ؟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أُحبّه</w:t>
      </w:r>
      <w:r>
        <w:rPr>
          <w:rFonts w:eastAsia="Amiri" w:cs="Amiri" w:ascii="Amiri" w:hAnsi="Amiri"/>
          <w:color w:val="111111"/>
          <w:sz w:val="28"/>
          <w:szCs w:val="28"/>
          <w:rtl w:val="true"/>
          <w:lang w:bidi="ar-SA"/>
        </w:rPr>
        <w:t>»</w:t>
      </w:r>
      <w:r>
        <w:rPr>
          <w:rStyle w:val="FootnoteAnchor"/>
          <w:rtl w:val="true"/>
        </w:rPr>
        <w:footnoteReference w:id="53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ما وَرَد في الفقاع بقولٍ مطلقٍ وأنّه بمنزلة الخمر، فكثير</w:t>
      </w:r>
      <w:r>
        <w:rPr>
          <w:rStyle w:val="FootnoteAnchor"/>
          <w:rtl w:val="true"/>
        </w:rPr>
        <w:footnoteReference w:id="536"/>
      </w:r>
      <w:r>
        <w:rPr>
          <w:rFonts w:ascii="Amiri" w:hAnsi="Amiri" w:eastAsia="Amiri" w:cs="Amiri"/>
          <w:color w:val="111111"/>
          <w:sz w:val="28"/>
          <w:sz w:val="28"/>
          <w:szCs w:val="28"/>
          <w:rtl w:val="true"/>
          <w:lang w:bidi="ar-SA"/>
        </w:rPr>
        <w:t>لا يُحْصى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والعَذِراتُ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بفتح المهملة فكسر المعجمة،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والأبوالُ النجسة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صفةٌ للعَذرات والأبوال، ولا شبهة في تحريمها نجسةً كمطلق النجس لكن مفهوم العبارة عدم تحريم الطاهر منها كعَذِرةٍ وبولِ ما يُؤْكل لحمه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نقل في الدروس تحليل بول المحلَّل عن ابن الجنيد وظاهر ابن إدريس، ثمّ قوى التحريم للاستخباث </w:t>
      </w:r>
      <w:r>
        <w:rPr>
          <w:rStyle w:val="FootnoteAnchor"/>
          <w:rtl w:val="true"/>
        </w:rPr>
        <w:footnoteReference w:id="537"/>
      </w:r>
    </w:p>
    <w:p>
      <w:pPr>
        <w:pStyle w:val="BookText"/>
        <w:rPr/>
      </w:pPr>
      <w:r>
        <w:rPr>
          <w:rFonts w:ascii="Amiri" w:hAnsi="Amiri" w:eastAsia="Amiri" w:cs="Amiri"/>
          <w:color w:val="111111"/>
          <w:sz w:val="28"/>
          <w:sz w:val="28"/>
          <w:szCs w:val="28"/>
          <w:rtl w:val="true"/>
          <w:lang w:bidi="ar-SA"/>
        </w:rPr>
        <w:t xml:space="preserve">مختلف الشيعة، ج </w:t>
      </w:r>
      <w:r>
        <w:rPr>
          <w:rFonts w:eastAsia="Amiri" w:cs="Amiri" w:ascii="Amiri" w:hAnsi="Amiri"/>
          <w:color w:val="111111"/>
          <w:sz w:val="28"/>
          <w:szCs w:val="28"/>
          <w:lang w:bidi="ar-SA"/>
        </w:rPr>
        <w:t>8</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353</w:t>
      </w:r>
      <w:r>
        <w:rPr>
          <w:rFonts w:ascii="Amiri" w:hAnsi="Amiri" w:eastAsia="Amiri" w:cs="Amiri"/>
          <w:color w:val="111111"/>
          <w:sz w:val="28"/>
          <w:sz w:val="28"/>
          <w:szCs w:val="28"/>
          <w:rtl w:val="true"/>
          <w:lang w:bidi="ar-SA"/>
        </w:rPr>
        <w:t xml:space="preserve">، المسألة </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السرائر، ج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125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والأقوى جواز ما تدعو الحاجة إليه منه إن فُرِضَ له نفع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وربما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تحليل بول الإبل للاستشفاء إجماعي</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وقد تقدم حكمه بتحريم الفرث من المحلَّل</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والنقل عن ابن الجنيد؛ لكراهته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كغيره من المذكورات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ويمكن أن تكون النجسة صفةً للأبوال خاصةً، حملاً للعذرة المطلقة على المعروف منها لغةً وعرفاً، وهي عذرة الإنسان فيزول الإشكال عنها ويبقى الكلام في البول</w:t>
      </w:r>
      <w:r>
        <w:rPr>
          <w:rFonts w:eastAsia="Amiri" w:cs="Amiri" w:ascii="Amiri" w:hAnsi="Amiri"/>
          <w:color w:val="111111"/>
          <w:sz w:val="28"/>
          <w:szCs w:val="28"/>
          <w:rtl w:val="true"/>
          <w:lang w:bidi="ar-SA"/>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يحرُم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يقع فيه هذه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النجاسات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المائعات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لنجاستها بقليلها وإنْ كَثُرَتْ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أو الجامداتِ إلّا بعد الطهارة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استثناء من الجامدات نظراً إلى أن المائعاتِ لا تقبل التطهير كما سيأتي</w:t>
      </w:r>
      <w:r>
        <w:rPr>
          <w:rStyle w:val="FootnoteAnchor"/>
          <w:rtl w:val="true"/>
        </w:rPr>
        <w:footnoteReference w:id="538"/>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يحرُم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باشَرَه الكفّارُ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المائعات أو الجامدات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برطوبة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كانوا ذمةً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المسألة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الرابعة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يحرم الطين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بجميع أصنافه، فعن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أكل الطين فمات فقد أعان على نفسه</w:t>
      </w:r>
      <w:r>
        <w:rPr>
          <w:rStyle w:val="FootnoteAnchor"/>
          <w:rtl w:val="true"/>
        </w:rPr>
        <w:footnoteReference w:id="53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الكاظم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أكلُ الطين حرام مثل الميتة والدم ولحم الخنزير، إلا طين قبر الحسين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فيه شفاء من كل داء وأَمْناً من كلّ خوف</w:t>
      </w:r>
      <w:r>
        <w:rPr>
          <w:rFonts w:eastAsia="Amiri" w:cs="Amiri" w:ascii="Amiri" w:hAnsi="Amiri"/>
          <w:color w:val="111111"/>
          <w:sz w:val="28"/>
          <w:szCs w:val="28"/>
          <w:rtl w:val="true"/>
          <w:lang w:bidi="ar-SA"/>
        </w:rPr>
        <w:t>»</w:t>
      </w:r>
      <w:r>
        <w:rPr>
          <w:rStyle w:val="FootnoteAnchor"/>
          <w:rtl w:val="true"/>
        </w:rPr>
        <w:footnoteReference w:id="54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فلذا قال المصنف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إلّا طين قبر الحسين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فيجوز الاستشفاء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منه لدفع الأمراض الحاصلة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بقدر الحِمِّصَةِ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المعهودة المتوسطة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فما دون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يُشترط في جواز تناولها أخذها بالدعاء وتناولها به؛ لإطلاق النصوص</w:t>
      </w:r>
      <w:r>
        <w:rPr>
          <w:rStyle w:val="FootnoteAnchor"/>
          <w:rtl w:val="true"/>
        </w:rPr>
        <w:footnoteReference w:id="541"/>
      </w:r>
      <w:r>
        <w:rPr>
          <w:rFonts w:ascii="Amiri" w:hAnsi="Amiri" w:eastAsia="Amiri" w:cs="Amiri"/>
          <w:color w:val="111111"/>
          <w:sz w:val="28"/>
          <w:sz w:val="28"/>
          <w:szCs w:val="28"/>
          <w:rtl w:val="true"/>
          <w:lang w:bidi="ar-SA"/>
        </w:rPr>
        <w:t>، وإن كان أفضل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والمراد بطين القبر الشريف تربةُ ما جاوزه من الأرض عرفاً، ورُوي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أربعة فراسخ</w:t>
      </w:r>
      <w:r>
        <w:rPr>
          <w:rFonts w:eastAsia="Amiri" w:cs="Amiri" w:ascii="Amiri" w:hAnsi="Amiri"/>
          <w:color w:val="111111"/>
          <w:sz w:val="28"/>
          <w:szCs w:val="28"/>
          <w:rtl w:val="true"/>
          <w:lang w:bidi="ar-SA"/>
        </w:rPr>
        <w:t>»</w:t>
      </w:r>
      <w:r>
        <w:rPr>
          <w:rStyle w:val="FootnoteAnchor"/>
          <w:rtl w:val="true"/>
        </w:rPr>
        <w:footnoteReference w:id="542"/>
      </w:r>
      <w:r>
        <w:rPr>
          <w:rFonts w:ascii="Amiri" w:hAnsi="Amiri" w:eastAsia="Amiri" w:cs="Amiri"/>
          <w:color w:val="111111"/>
          <w:sz w:val="28"/>
          <w:sz w:val="28"/>
          <w:szCs w:val="28"/>
          <w:rtl w:val="true"/>
          <w:lang w:bidi="ar-SA"/>
        </w:rPr>
        <w:t xml:space="preserve">، ورُوِيَ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ثمانية</w:t>
      </w:r>
      <w:r>
        <w:rPr>
          <w:rFonts w:eastAsia="Amiri" w:cs="Amiri" w:ascii="Amiri" w:hAnsi="Amiri"/>
          <w:color w:val="111111"/>
          <w:sz w:val="28"/>
          <w:szCs w:val="28"/>
          <w:rtl w:val="true"/>
          <w:lang w:bidi="ar-SA"/>
        </w:rPr>
        <w:t>»</w:t>
      </w:r>
      <w:r>
        <w:rPr>
          <w:rStyle w:val="FootnoteAnchor"/>
          <w:rtl w:val="true"/>
        </w:rPr>
        <w:footnoteReference w:id="543"/>
      </w:r>
      <w:r>
        <w:rPr>
          <w:rFonts w:ascii="Amiri" w:hAnsi="Amiri" w:eastAsia="Amiri" w:cs="Amiri"/>
          <w:color w:val="111111"/>
          <w:sz w:val="28"/>
          <w:sz w:val="28"/>
          <w:szCs w:val="28"/>
          <w:rtl w:val="true"/>
          <w:lang w:bidi="ar-SA"/>
        </w:rPr>
        <w:t>، وكلَّما قَرُبَ منه كان أفضل وليس كذلك التربة المحترمة منها فإنّها مشروطة بأخذها من الضريح المقدس أو خارجه، كما مرّ، مع وضعها عليه أو أخذها بالدعاء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وُجِد تربةٌ منسوبة 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حكم باحترامها حملاً على المعهود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يجوز تناولُ الطين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الأرمني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لدفع الأمراض، المقرَّرِ عند الأطباء نفعُه منها مقتصراً منه على ما تدعو الحاجة إليه بِحَسَب قولهم المفيد للظنّ؛ لما فيه من دفع الضرر المظنون، وبه رواية حسنة</w:t>
      </w:r>
      <w:r>
        <w:rPr>
          <w:rStyle w:val="FootnoteAnchor"/>
          <w:rtl w:val="true"/>
        </w:rPr>
        <w:footnoteReference w:id="544"/>
      </w:r>
      <w:r>
        <w:rPr>
          <w:rFonts w:eastAsia="Times New Roman" w:cs="Times New Roman" w:ascii="Times New Roman" w:hAnsi="Times New Roman"/>
          <w:color w:val="111111"/>
          <w:sz w:val="28"/>
          <w:szCs w:val="28"/>
          <w:rtl w:val="true"/>
          <w:lang w:val="en-US" w:bidi="en-US"/>
        </w:rPr>
        <w:t>.</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والأرمني طين معروف يُجلب من إرمينيّة يَضرِب لونه إلى الصفرة، يَنسَحِقُ بسهولة يحبس الطبع والدم وينفع البُنُورَ والطَواعِينَ شُرباً وطلاء، وينفع في الوباء إذا بُلَّ بالخَلّ </w:t>
      </w:r>
    </w:p>
    <w:p>
      <w:pPr>
        <w:pStyle w:val="BookText"/>
        <w:rPr/>
      </w:pPr>
      <w:r>
        <w:rPr>
          <w:rFonts w:ascii="Amiri" w:hAnsi="Amiri" w:eastAsia="Amiri" w:cs="Amiri"/>
          <w:color w:val="111111"/>
          <w:sz w:val="28"/>
          <w:sz w:val="28"/>
          <w:szCs w:val="28"/>
          <w:rtl w:val="true"/>
          <w:lang w:bidi="ar-SA"/>
        </w:rPr>
        <w:t>واستُنشِقَ رائحته، وغير ذلك من منافعه المعروفة في كتب الطب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المسألة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الخامسة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يحرم السم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بضم السين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بجميع أصنافه جامداً كان أم مائعاً، إن كان يَقتُل قليله وكثيره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ولو كان كثيرُه يَقتُل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دون قليله؛ كالأفيون والسَقْمُونيا،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الكثيرُ القاتلُ أو الضار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دون القليل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إذا أُخِذ منفرداً، أما لو أُضيف إلى غيره فقد لا يَضُرّ منه الكثير، كما هو معروف عند الأطباء، وضابط المحرَّم ما يحصل به الضرر على البدن وإفساد المزاج</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المسألة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السادسة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يحرم الدم المسفوح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المُنْصَبُّ من عِرْقٍ بكثرةٍ، مِن سَفَحْتُ الماء إذا هَرَقْتَه،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وغيرُه كدم القُراد وإنْ لم يكن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نجساً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لعموم حُرِّمَتْ عَلَيْكُمُ الْمَيْتَةُ وَالدَّمُ</w:t>
      </w:r>
      <w:r>
        <w:rPr>
          <w:rStyle w:val="FootnoteAnchor"/>
          <w:rtl w:val="true"/>
        </w:rPr>
        <w:footnoteReference w:id="545"/>
      </w:r>
      <w:r>
        <w:rPr>
          <w:rFonts w:ascii="Amiri" w:hAnsi="Amiri" w:eastAsia="Amiri" w:cs="Amiri"/>
          <w:color w:val="111111"/>
          <w:sz w:val="28"/>
          <w:sz w:val="28"/>
          <w:szCs w:val="28"/>
          <w:rtl w:val="true"/>
          <w:lang w:bidi="ar-SA"/>
        </w:rPr>
        <w:t>ولاستخبائه،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ما يَتَخَلَّفُ في اللحم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ممّا لا يقذفه المذبوحُ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فطاهر من المذبوح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حلال وكان عليه أن يَذكر الحِلَّ ؛ لأنّ البحث إنّما هو فيه، وتلزمه الطهارة إن لم يَذكُرها معه واحترز بالمتخلف في اللحم عمّا يجذبه النَفَسُ إلى باطن الذبيحة فإنّه حرام نجس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وما يَتخلَّف في الكَبِدِ والقلب طاهر أيضاً، وهل هو حلال كالمتخلف في اللحم ؟ وجه، ولو قيل بتحريمه كان حسناً؛ للعموم</w:t>
      </w:r>
      <w:r>
        <w:rPr>
          <w:rStyle w:val="FootnoteAnchor"/>
          <w:rtl w:val="true"/>
        </w:rPr>
        <w:footnoteReference w:id="54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فرق في طهارة المتخلف في اللحم بين كونِ رأس الذبيحة منخفضاً عن جسدها وعدمه؛ للعموم، خصوصاً بعد استثناء ما يتخلف في باطنها في غير اللحم</w:t>
      </w:r>
      <w:r>
        <w:rPr>
          <w:rFonts w:eastAsia="Amiri" w:cs="Amiri" w:ascii="Amiri" w:hAnsi="Amiri"/>
          <w:color w:val="111111"/>
          <w:sz w:val="28"/>
          <w:szCs w:val="28"/>
          <w:rtl w:val="true"/>
          <w:lang w:bidi="ar-SA"/>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المسألة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السابعة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الظاهرُ أنّ المائعاتِ النجسة غير الماء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كالدِبْسِ وعصيره واللبن والأدهان وغيرها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تُطَهَّر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بالماء وإنْ كان كثيراً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دامت كذلك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باقية </w:t>
      </w:r>
    </w:p>
    <w:p>
      <w:pPr>
        <w:pStyle w:val="BookText"/>
        <w:rPr/>
      </w:pPr>
      <w:r>
        <w:rPr>
          <w:rFonts w:ascii="Amiri" w:hAnsi="Amiri" w:eastAsia="Amiri" w:cs="Amiri"/>
          <w:color w:val="111111"/>
          <w:sz w:val="28"/>
          <w:sz w:val="28"/>
          <w:szCs w:val="28"/>
          <w:rtl w:val="true"/>
          <w:lang w:bidi="ar-SA"/>
        </w:rPr>
        <w:t>على حقيقتها بحيث لا تصير باختلاطها بالماء الكثير ماءً مطلقاً؛ لأن الذي يُطهر بالماء شرطه وصول الماء إلى كلّ جزء من النجس، وما دامت متميّزةً أو بعضها لا يتصور وصول الماء إلى كلّ جزء نجس وإلا لما بقيت كذلك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إذا وُضِعَت في الماء الكثير، أما لو وصل الماء بها وهي في محلّها فأظهرُ في عدم الطهارة قبل أن يستولي عليها أجمع؛ لأن أقل ما هناك أنّ محلَّها نَجِسٌ لعدم إصابة الماء المطلق له أجمعَ فينجس ما اتصل به منها وإنْ كَثرَ؛ لأنّ شأنها أن تَنجس بإصابة النجاسة لها مطلقاً، وتوهُمُ طهارة محلّها وما لا يصيبه الماء منها بسبب إصابته لبعضها في غاية البعد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والعلّامة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أحد قوليه أطلق الحكم بطهارتها بمازَجتِها المطلق وإنْ خرج عن إطلاقه أو بقي اسمها، وله قول آخَرُ بطهارة الدهن خاصةً إذا صُبَّ في الكثير وضُرِب فيه حتى اخْتَلَطَتْ أجزاؤُه</w:t>
      </w:r>
      <w:r>
        <w:rPr>
          <w:rStyle w:val="FootnoteAnchor"/>
          <w:rtl w:val="true"/>
        </w:rPr>
        <w:footnoteReference w:id="547"/>
      </w:r>
      <w:r>
        <w:rPr>
          <w:rFonts w:ascii="Amiri" w:hAnsi="Amiri" w:eastAsia="Amiri" w:cs="Amiri"/>
          <w:color w:val="111111"/>
          <w:sz w:val="28"/>
          <w:sz w:val="28"/>
          <w:szCs w:val="28"/>
          <w:rtl w:val="true"/>
          <w:lang w:bidi="ar-SA"/>
        </w:rPr>
        <w:t>به وإنْ اجْتَمَعَت بعد ذلك على وجهه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القول متجه على تقدير فرض اختلاط جميع أجزائه بالضرب ولم يَخرُج الماء المطلق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إطلاقه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الماء فإنّه يُطهَّر باتصاله بالكثير ممازجاً له عند المصنّف</w:t>
      </w:r>
      <w:r>
        <w:rPr>
          <w:rStyle w:val="FootnoteAnchor"/>
          <w:rtl w:val="true"/>
        </w:rPr>
        <w:footnoteReference w:id="548"/>
      </w:r>
      <w:r>
        <w:rPr>
          <w:rFonts w:ascii="Amiri" w:hAnsi="Amiri" w:eastAsia="Amiri" w:cs="Amiri"/>
          <w:color w:val="111111"/>
          <w:sz w:val="28"/>
          <w:sz w:val="28"/>
          <w:szCs w:val="28"/>
          <w:rtl w:val="true"/>
          <w:lang w:bidi="ar-SA"/>
        </w:rPr>
        <w:t xml:space="preserve">، أو غير ممازَج على الظاهر، سواءٌ صُبَّ في الكثير أو وصل الكثيرُ به ولؤ في آنيةٍ ضَيِّقة الرأس مع اتحادِهما عرفاً أو عُلُوّ الكثير </w:t>
      </w:r>
      <w:r>
        <w:rPr>
          <w:rFonts w:eastAsia="Amiri" w:cs="Amiri" w:ascii="Amiri" w:hAnsi="Amiri"/>
          <w:color w:val="111111"/>
          <w:sz w:val="28"/>
          <w:szCs w:val="28"/>
          <w:rtl w:val="true"/>
          <w:lang w:bidi="ar-SA"/>
        </w:rPr>
        <w:t>.</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وتُلقَى النّجاسة وما يَكتَنِفُها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ويُلاصِقُها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الجامد</w:t>
      </w:r>
      <w:r>
        <w:rPr>
          <w:rStyle w:val="FootnoteAnchor"/>
          <w:rtl w:val="true"/>
        </w:rPr>
        <w:footnoteReference w:id="54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كالسمن والدبس في بعض الأحوال والعجين، والباقي طاهر على الأصل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اختلفت أحوال المائع كالسمن في الصيف والشتاءِ فلكلّ حالةٍ حكمُها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والمرجع في الجمودِ والمَيَعَانِ إلى العرف لعدم تحديده شرعاً</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المسألة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الثامنة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تحرُم ألبانُ الحيوان المحرَّم لحمه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كالهرة والذئبة واللبوة،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ويُكره لبن المكروه لحمه كالأُتُن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بضم الهمزة والتاء وبسكونها جمع أتان بالفتح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الحمارة ذكراً وأُنثى، ولا يقال في الأُنثى أَتانة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المسألة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التاسعة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المشهور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 الأصحاب، بل قال في الدروس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كاد يكون إجماعاً </w:t>
      </w:r>
      <w:r>
        <w:rPr>
          <w:rStyle w:val="FootnoteAnchor"/>
          <w:rtl w:val="true"/>
        </w:rPr>
        <w:footnoteReference w:id="55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استبراء اللحم المجهول ذكاته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لوجدانه مطروحاً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بانقباضه بالنار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 طرحه فيها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فيكون مُذكَّيَّ، وإلّا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ينقبض بل انبسط واتَّسع أو بَقِيَ على حاله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والمستند رواية شعيب عن الصادق في رجل دخل قرية فأصاب بها لحماً لم يَدْرِ أذَكِيٌّ هو أم ميّت ؟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فاطَّرِحْهُ على النار فكلُّ ما انقبض فهو ذكي، وكلُّ ما انبسط فهو ميِّتٌ</w:t>
      </w:r>
      <w:r>
        <w:rPr>
          <w:rFonts w:eastAsia="Amiri" w:cs="Amiri" w:ascii="Amiri" w:hAnsi="Amiri"/>
          <w:color w:val="111111"/>
          <w:sz w:val="28"/>
          <w:szCs w:val="28"/>
          <w:rtl w:val="true"/>
          <w:lang w:bidi="ar-SA"/>
        </w:rPr>
        <w:t>»</w:t>
      </w:r>
      <w:r>
        <w:rPr>
          <w:rStyle w:val="FootnoteAnchor"/>
          <w:rtl w:val="true"/>
        </w:rPr>
        <w:footnoteReference w:id="55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وعَمِل بمضمونها المصنّف في الدروس</w:t>
      </w:r>
      <w:r>
        <w:rPr>
          <w:rStyle w:val="FootnoteAnchor"/>
          <w:rtl w:val="true"/>
        </w:rPr>
        <w:footnoteReference w:id="552"/>
      </w:r>
      <w:r>
        <w:rPr>
          <w:rFonts w:ascii="Amiri" w:hAnsi="Amiri" w:eastAsia="Amiri" w:cs="Amiri"/>
          <w:color w:val="111111"/>
          <w:sz w:val="28"/>
          <w:sz w:val="28"/>
          <w:szCs w:val="28"/>
          <w:rtl w:val="true"/>
          <w:lang w:bidi="ar-SA"/>
        </w:rPr>
        <w:t>، وردَّها العلّامة</w:t>
      </w:r>
      <w:r>
        <w:rPr>
          <w:rStyle w:val="FootnoteAnchor"/>
          <w:rtl w:val="true"/>
        </w:rPr>
        <w:footnoteReference w:id="553"/>
      </w:r>
      <w:r>
        <w:rPr>
          <w:rFonts w:ascii="Amiri" w:hAnsi="Amiri" w:eastAsia="Amiri" w:cs="Amiri"/>
          <w:color w:val="111111"/>
          <w:sz w:val="28"/>
          <w:sz w:val="28"/>
          <w:szCs w:val="28"/>
          <w:rtl w:val="true"/>
          <w:lang w:bidi="ar-SA"/>
        </w:rPr>
        <w:t>، والمحقق في أحد قوليه</w:t>
      </w:r>
      <w:r>
        <w:rPr>
          <w:rStyle w:val="FootnoteAnchor"/>
          <w:rtl w:val="true"/>
        </w:rPr>
        <w:footnoteReference w:id="554"/>
      </w:r>
      <w:r>
        <w:rPr>
          <w:rFonts w:ascii="Amiri" w:hAnsi="Amiri" w:eastAsia="Amiri" w:cs="Amiri"/>
          <w:color w:val="111111"/>
          <w:sz w:val="28"/>
          <w:sz w:val="28"/>
          <w:szCs w:val="28"/>
          <w:rtl w:val="true"/>
          <w:lang w:bidi="ar-SA"/>
        </w:rPr>
        <w:t>؛ لمخالفتها للأصل وهو عدم التذكية مع أنّ في طريق الرواية ضعفاً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والأقوى تحريمه مطلقاً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في الدروس تفريعاً على الرواية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ويمكن اعتبار المختلط بذلك، إلّا أنّ الأصحاب والأخبار أهملَتْ ذلك</w:t>
      </w:r>
      <w:r>
        <w:rPr>
          <w:rStyle w:val="FootnoteAnchor"/>
          <w:rtl w:val="true"/>
        </w:rPr>
        <w:footnoteReference w:id="55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الاحتمال ضعيف؛ لأنّ المختلِطَ يُعلَم أنّ فيه ميّتاً يقيناً مع كونه محصوراً فاجتناب الجميع متعين، بخلاف ما يُحتمل كونه بأجمعه ،مذكّيَّ، فلا يصح حمله عليه مع وجود الفارق</w:t>
      </w:r>
      <w:r>
        <w:rPr>
          <w:rFonts w:eastAsia="Amiri" w:cs="Amiri" w:ascii="Amiri" w:hAnsi="Amiri"/>
          <w:color w:val="111111"/>
          <w:sz w:val="28"/>
          <w:szCs w:val="28"/>
          <w:rtl w:val="true"/>
          <w:lang w:bidi="ar-SA"/>
        </w:rPr>
        <w:t>.</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وعلى المشهور لو كان اللحمُ قِطَعاً متعدّدةً فلابد من اعتبار كلّ قطعة على حِدَةٍ؛ </w:t>
      </w:r>
    </w:p>
    <w:p>
      <w:pPr>
        <w:pStyle w:val="BookText"/>
        <w:rPr/>
      </w:pPr>
      <w:r>
        <w:rPr>
          <w:rFonts w:ascii="Amiri" w:hAnsi="Amiri" w:eastAsia="Amiri" w:cs="Amiri"/>
          <w:color w:val="111111"/>
          <w:sz w:val="28"/>
          <w:sz w:val="28"/>
          <w:szCs w:val="28"/>
          <w:rtl w:val="true"/>
          <w:lang w:bidi="ar-SA"/>
        </w:rPr>
        <w:t>لإمكان كونه من حيوان متعدّدٍ، ولو فُرِض العلم بكونه متحداً جاز اختلاف حكمه بأن يكون قد قطع بعضُه منه قبل التذكية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فرق على القولين بين وجودِ محلّ التذكية ورؤيته مذبوحاً أو منحوراً، وعدمه؛ لأنّ الذبح والنحر بمجردهما لا يستلزمان الحِلَّ لجواز تخلّف بعض الشروط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وكذا لو وُجد الحيوان غير مذبوح ولا منحورٍ لكنه مضروب بالحديد في بعض جسده؛ لجواز كونه استَعْصَى فذُكِّي كيف اتَّفَق حيث يجوز في حقه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وبالجملة فالشرط إمكان كونه مذكَّيَّ على وجه يُبيح لحمه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المسألة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العاشرة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يجوز استعمال شعر الخنزير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كغيره من أجزائه مطلقاً وإِنْ حَلَّت من الميتة غيره، ومثله الكلب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اضطر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استعمال شعر الخنزير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استَعمَل ما لا دَسَم فيه، وغَسَل يدَه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الاستعمال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ويَزُول عنه الدَسَمُ بأن يُلقَى في فَخّار ويُجعَل في النار حتى يذهبَ دَسَمُه، رواه بُرْدُ الإسكاف عن الصادق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Style w:val="FootnoteAnchor"/>
          <w:rtl w:val="true"/>
        </w:rPr>
        <w:footnoteReference w:id="55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وقيل </w:t>
      </w:r>
      <w:r>
        <w:rPr>
          <w:rStyle w:val="FootnoteAnchor"/>
          <w:rtl w:val="true"/>
        </w:rPr>
        <w:footnoteReference w:id="55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يجوز استعماله مطلقاً؛ لإطلاق رواية سليمان الإسكاف، لكن فيها 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يَغسِل يده إذا أراد أن يُصلّي</w:t>
      </w:r>
      <w:r>
        <w:rPr>
          <w:rFonts w:eastAsia="Amiri" w:cs="Amiri" w:ascii="Amiri" w:hAnsi="Amiri"/>
          <w:color w:val="111111"/>
          <w:sz w:val="28"/>
          <w:szCs w:val="28"/>
          <w:rtl w:val="true"/>
          <w:lang w:bidi="ar-SA"/>
        </w:rPr>
        <w:t>»</w:t>
      </w:r>
      <w:r>
        <w:rPr>
          <w:rStyle w:val="FootnoteAnchor"/>
          <w:rtl w:val="true"/>
        </w:rPr>
        <w:footnoteReference w:id="55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والإسكافان مجهولان، فالقول بالجواز مع الضرورة حسن، وبدونها ممتنع؛ لإطلاق تحريم الخنزير الشامل لموضع النزاع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وإنّما يجب غسل يده مع مباشرته برطوبة كغيره من النجاسات </w:t>
      </w:r>
      <w:r>
        <w:rPr>
          <w:rFonts w:eastAsia="Amiri" w:cs="Amiri" w:ascii="Amiri" w:hAnsi="Amiri"/>
          <w:color w:val="111111"/>
          <w:sz w:val="28"/>
          <w:szCs w:val="28"/>
          <w:rtl w:val="true"/>
          <w:lang w:bidi="ar-SA"/>
        </w:rPr>
        <w:t>.</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المسألة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الحادية عشرة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يجوز لأحد الأكل من مال غيره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ممّن يُحترم ماله وإن كان كافراً أو ناصباً أو غيره من الفِرَق بغير إذنه ؛ لقبح التصرف في مال الغير كذلك ؛ ولأنه أكل مال بالباطل، ولقوله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المسلم على المسلم حرام دمه وماله </w:t>
      </w:r>
    </w:p>
    <w:p>
      <w:pPr>
        <w:pStyle w:val="BookText"/>
        <w:rPr/>
      </w:pPr>
      <w:r>
        <w:rPr>
          <w:rFonts w:ascii="IRNazanin" w:hAnsi="IRNazanin" w:eastAsia="IRNazanin"/>
          <w:color w:val="111111"/>
          <w:sz w:val="28"/>
          <w:sz w:val="28"/>
          <w:szCs w:val="28"/>
          <w:rtl w:val="true"/>
          <w:lang w:bidi="fa-IR"/>
        </w:rPr>
        <w:t>وعرضه</w:t>
      </w:r>
      <w:r>
        <w:rPr>
          <w:rFonts w:eastAsia="IRNazanin" w:cs="IRNazanin"/>
          <w:color w:val="111111"/>
          <w:sz w:val="28"/>
          <w:szCs w:val="28"/>
          <w:rtl w:val="true"/>
          <w:lang w:bidi="fa-IR"/>
        </w:rPr>
        <w:t>»</w:t>
      </w:r>
      <w:r>
        <w:rPr>
          <w:rStyle w:val="FootnoteAnchor"/>
          <w:rtl w:val="true"/>
        </w:rPr>
        <w:footnoteReference w:id="559"/>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بيوتِ مَن تَضَمَّنَتْه الآيةُ وهي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عَلَى الْأَعْرَجِ حَرَجٌ وَلَا عَلَى الْمَرِيضِ حَرَجٌ وَلَا عَلَى أَنفُسِكُمْ أَن تَأْكُلُوا مِنْ بُيُوتِكُمْ أَوْ بُيُوتِ ءَابَابِكُمْ أَوْ بُيُوتِ أُمَّهَتِكُمْ أَوْ بُيُوتِ إِخْوَنِكُمْ أَوْ بُيُوتِ أَخَوَتِكُمْ أَوْ بُيُوتِ أَعْمَيكُمْ أَوْ بُيُوتِ عَمَّتِكُمْ أَوْ بُيُوتِ أَخْوَلِكُمْ أَوْ بُيُوتِ خَلَتِكُمْ أَوْ مَا مَلَكْتُم مَّفَاتِحَهُ أَوْ صَدِيقِكُمْ</w:t>
      </w:r>
      <w:r>
        <w:rPr>
          <w:rStyle w:val="FootnoteAnchor"/>
          <w:rtl w:val="true"/>
        </w:rPr>
        <w:footnoteReference w:id="560"/>
      </w:r>
      <w:r>
        <w:rPr>
          <w:rFonts w:ascii="Amiri" w:hAnsi="Amiri" w:eastAsia="Amiri" w:cs="Amiri"/>
          <w:color w:val="111111"/>
          <w:sz w:val="28"/>
          <w:sz w:val="28"/>
          <w:szCs w:val="28"/>
          <w:rtl w:val="true"/>
          <w:lang w:bidi="ar-SA"/>
        </w:rPr>
        <w:t xml:space="preserve">فيجوز الأكل من بيوت المذكورين مع حضورهم وغَيبتهم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 مع علم الكراهة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بالقرائن الحاليّةِ بحيث تُثْمِر الظنّ الغالب بالكراهة، فإنّ ذلك كافٍ في هذا ونظائره ويُطلق عليه العلم كثيراً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فرق بين ما يُخشَى فسادُه في هذه البيوت وغيره ولا بين دخوله بإذنه وعدمه؛ عملاً بإطلاق الآية، خلافاً لابن إدريس فيهما</w:t>
      </w:r>
      <w:r>
        <w:rPr>
          <w:rStyle w:val="FootnoteAnchor"/>
          <w:rtl w:val="true"/>
        </w:rPr>
        <w:footnoteReference w:id="56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ويجب الاقتصار على مجرد الأكل فلا يجوز الحمل ولا إطعام الغير ولا الإفساد بشهادة الحال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يَتَعَدَّى الحكم إلى غير البيوت من أموالهم اقتصاراً فيما خالف الأصل على مورده، ولا إلى تناول غير المأكول، إلا أن يدل عليه الأكل بمفهوم الموافقة كالشرب من مائه والوضوء به، أو يدلَّ عليه بالالتزام كالكون بها حالته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وهل يجوز دخولها لغيره، أو الكونُ بها بعده وقبله؟ نظر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تحريم التصرف في مال الغير إلا ما استثني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دَلالة القرائن على تجويز مثل ذلك من المنافع التي لا يَذهَب من المال بسببها شيء حيث جاز إتلافه بما ذُكر</w:t>
      </w:r>
      <w:r>
        <w:rPr>
          <w:rFonts w:eastAsia="Amiri" w:cs="Amiri" w:ascii="Amiri" w:hAnsi="Amiri"/>
          <w:color w:val="111111"/>
          <w:sz w:val="28"/>
          <w:szCs w:val="28"/>
          <w:rtl w:val="true"/>
          <w:lang w:bidi="ar-SA"/>
        </w:rPr>
        <w:t>.</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والمراد 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بُيُوتِكُمْ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يملكه الآكل؛ لأنّه حقيقة فيه، ويمكن أن تكون النكته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ظهور إباحته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الإشارة إلى مساواة ما ذُكِر له في الإباحة، والتنبية على أنّ الأقارب المذكورين والصديق ينبغى جعلهم كالنفس في أن يُحِبُّ لهم ما يحبُّ لها ويكره لهم ما يكره لها كما جُعِل بيوتهم كبيته وقيل هو بيت الأَزواج </w:t>
      </w:r>
    </w:p>
    <w:p>
      <w:pPr>
        <w:pStyle w:val="BookText"/>
        <w:rPr/>
      </w:pPr>
      <w:r>
        <w:rPr>
          <w:rFonts w:ascii="Amiri" w:hAnsi="Amiri" w:eastAsia="Amiri" w:cs="Amiri"/>
          <w:color w:val="111111"/>
          <w:sz w:val="28"/>
          <w:sz w:val="28"/>
          <w:szCs w:val="28"/>
          <w:rtl w:val="true"/>
          <w:lang w:bidi="ar-SA"/>
        </w:rPr>
        <w:t>والعيال</w:t>
      </w:r>
      <w:r>
        <w:rPr>
          <w:rStyle w:val="FootnoteAnchor"/>
          <w:rtl w:val="true"/>
        </w:rPr>
        <w:footnoteReference w:id="56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بيت الأولاد</w:t>
      </w:r>
      <w:r>
        <w:rPr>
          <w:rStyle w:val="FootnoteAnchor"/>
          <w:rtl w:val="true"/>
        </w:rPr>
        <w:footnoteReference w:id="563"/>
      </w:r>
      <w:r>
        <w:rPr>
          <w:rFonts w:ascii="Amiri" w:hAnsi="Amiri" w:eastAsia="Amiri" w:cs="Amiri"/>
          <w:color w:val="111111"/>
          <w:sz w:val="28"/>
          <w:sz w:val="28"/>
          <w:szCs w:val="28"/>
          <w:rtl w:val="true"/>
          <w:lang w:bidi="ar-SA"/>
        </w:rPr>
        <w:t>لأنهم لم يُذكروا في الأقارب مع أنّهم أولى منهم بالمودّةِ والموافقة؛ ولأنّ ولدَ الرجل بعضه وحكمه حكم نفسه وهو وماله لأبيه فجاز نسبةُ بيته إليه، وفي الحديث</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أطيب ما يأكل الرجل من كسبه وإنَّ ولده من كسبه</w:t>
      </w:r>
      <w:r>
        <w:rPr>
          <w:rFonts w:eastAsia="Amiri" w:cs="Amiri" w:ascii="Amiri" w:hAnsi="Amiri"/>
          <w:color w:val="111111"/>
          <w:sz w:val="28"/>
          <w:szCs w:val="28"/>
          <w:rtl w:val="true"/>
          <w:lang w:bidi="ar-SA"/>
        </w:rPr>
        <w:t>»</w:t>
      </w:r>
      <w:r>
        <w:rPr>
          <w:rStyle w:val="FootnoteAnchor"/>
          <w:rtl w:val="true"/>
        </w:rPr>
        <w:footnoteReference w:id="56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والمراد 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مَلَكْتُم مَّفَاتِحَهُ ما يكون عليها وكيلاً أو قيماً بحفظها، وأطلق على ذلك مِلكَ المفاتيح لكونها في يده وحفظه رَوَى ذلك ابن أبي عُمير مرسلاً عن الصادق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Style w:val="FootnoteAnchor"/>
          <w:rtl w:val="true"/>
        </w:rPr>
        <w:footnoteReference w:id="56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بيت المملوك </w:t>
      </w:r>
      <w:r>
        <w:rPr>
          <w:rStyle w:val="FootnoteAnchor"/>
          <w:rtl w:val="true"/>
        </w:rPr>
        <w:footnoteReference w:id="56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والمَعْنِيُّ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صَدِيقِكُمْ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بيوتُ صديقكم على حذف المضاف، والصديق يكون واحداً وجمعاً فلذلك جَمَع البيوت، ومثله الخليط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والمرجع في الصديق إلى العرف لعدم تحديده شرعاً، وفي صحيحة الحلبي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يَعنِي بقوله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صَدِيقِكُمْ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هو واللهِ الرجلُ يدخل بيت صديقه فيأكل بغير إذنه</w:t>
      </w:r>
      <w:r>
        <w:rPr>
          <w:rFonts w:eastAsia="Amiri" w:cs="Amiri" w:ascii="Amiri" w:hAnsi="Amiri"/>
          <w:color w:val="111111"/>
          <w:sz w:val="28"/>
          <w:szCs w:val="28"/>
          <w:rtl w:val="true"/>
          <w:lang w:bidi="ar-SA"/>
        </w:rPr>
        <w:t>»</w:t>
      </w:r>
      <w:r>
        <w:rPr>
          <w:rStyle w:val="FootnoteAnchor"/>
          <w:rtl w:val="true"/>
        </w:rPr>
        <w:footnoteReference w:id="56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مِن عِظَمِ حُرمةِ الصديق أن جُعِل له من الأُنسِ والتفقَدِ والانبساطِ وطرح الحِشمة، بمنزلة النفس والأب والأخ والابن</w:t>
      </w:r>
      <w:r>
        <w:rPr>
          <w:rFonts w:eastAsia="Amiri" w:cs="Amiri" w:ascii="Amiri" w:hAnsi="Amiri"/>
          <w:color w:val="111111"/>
          <w:sz w:val="28"/>
          <w:szCs w:val="28"/>
          <w:rtl w:val="true"/>
          <w:lang w:bidi="ar-SA"/>
        </w:rPr>
        <w:t>»</w:t>
      </w:r>
      <w:r>
        <w:rPr>
          <w:rStyle w:val="FootnoteAnchor"/>
          <w:rtl w:val="true"/>
        </w:rPr>
        <w:footnoteReference w:id="56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والمتبادِرُ من المذكورين كونُهم كذلك بالنسب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إلحاق من كان منهم كذلك بالرضاع وجه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حيث</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الرضاع لُحْمَةٌ كلحمةِ النسب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ولمساواته له في كثير من الأحكام، ووجه العدم كونُ المتبادِرِ النَّسَبِيَّ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أقف فيه على شيء نفياً وإثباتاً، والاحتياط التمسك بأصالة الحرمة في موضع الشك</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وألحق بعض الأصحاب</w:t>
      </w:r>
      <w:r>
        <w:rPr>
          <w:rStyle w:val="FootnoteAnchor"/>
          <w:rtl w:val="true"/>
        </w:rPr>
        <w:footnoteReference w:id="569"/>
      </w:r>
      <w:r>
        <w:rPr>
          <w:rFonts w:ascii="Amiri" w:hAnsi="Amiri" w:eastAsia="Amiri" w:cs="Amiri"/>
          <w:color w:val="111111"/>
          <w:sz w:val="28"/>
          <w:sz w:val="28"/>
          <w:szCs w:val="28"/>
          <w:rtl w:val="true"/>
          <w:lang w:bidi="ar-SA"/>
        </w:rPr>
        <w:t>الشريك في الشجر والزرع والمَباطِخ، فإنّ له الأكل من المشترك بدون إذن شريكه مع عدم علم الكراهة، محتجاً بقوله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أن تَكُونَ تِجَرَةٌ عَن تَرَاضٍ مِنكُمْ</w:t>
      </w:r>
      <w:r>
        <w:rPr>
          <w:rStyle w:val="FootnoteAnchor"/>
          <w:rtl w:val="true"/>
        </w:rPr>
        <w:footnoteReference w:id="57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وفيه نظر؛ لمنع تحقق التراضي مطلقاً، وجعلها صفةً للتجارة يقتضي جواز الأكل من كلّ تجارة وقع فيها التراضي بينهما، وهو معلومُ البطلان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وألحق المصنِّفُ </w:t>
      </w:r>
      <w:r>
        <w:rPr>
          <w:rStyle w:val="FootnoteAnchor"/>
          <w:rtl w:val="true"/>
        </w:rPr>
        <w:footnoteReference w:id="571"/>
      </w:r>
      <w:r>
        <w:rPr>
          <w:rFonts w:ascii="Amiri" w:hAnsi="Amiri" w:eastAsia="Amiri" w:cs="Amiri"/>
          <w:color w:val="111111"/>
          <w:sz w:val="28"/>
          <w:sz w:val="28"/>
          <w:szCs w:val="28"/>
          <w:rtl w:val="true"/>
          <w:lang w:bidi="ar-SA"/>
        </w:rPr>
        <w:t>وغيرُه</w:t>
      </w:r>
      <w:r>
        <w:rPr>
          <w:rStyle w:val="FootnoteAnchor"/>
          <w:rtl w:val="true"/>
        </w:rPr>
        <w:footnoteReference w:id="572"/>
      </w:r>
      <w:r>
        <w:rPr>
          <w:rFonts w:ascii="Amiri" w:hAnsi="Amiri" w:eastAsia="Amiri" w:cs="Amiri"/>
          <w:color w:val="111111"/>
          <w:sz w:val="28"/>
          <w:sz w:val="28"/>
          <w:szCs w:val="28"/>
          <w:rtl w:val="true"/>
          <w:lang w:bidi="ar-SA"/>
        </w:rPr>
        <w:t>، الشُربَ من القَناةِ المملوكة والدالية والدولاب، والوضوء والغسل، عملاً بشاهد الحال، وهو حسن إلا أن يغلب على الظنِّ الكَراهة</w:t>
      </w:r>
      <w:r>
        <w:rPr>
          <w:rFonts w:eastAsia="Amiri" w:cs="Amiri" w:ascii="Amiri" w:hAnsi="Amiri"/>
          <w:color w:val="111111"/>
          <w:sz w:val="28"/>
          <w:szCs w:val="28"/>
          <w:rtl w:val="true"/>
          <w:lang w:bidi="ar-SA"/>
        </w:rPr>
        <w:t>.</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المسألة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الثانيةَ عشرَةَ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انقَلَب الخمرُ خَلا حَلَّ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لزوال المعنى المحرَّم وللنص</w:t>
      </w:r>
      <w:r>
        <w:rPr>
          <w:rStyle w:val="FootnoteAnchor"/>
          <w:rtl w:val="true"/>
        </w:rPr>
        <w:footnoteReference w:id="573"/>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سواء 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انقلابه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بعلاج أو من قِبَلِ 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وسواء كانت عين المعالج به باقيةً فيه أم لا؛ لإطلاق النصّ </w:t>
      </w:r>
      <w:r>
        <w:rPr>
          <w:rStyle w:val="FootnoteAnchor"/>
          <w:rtl w:val="true"/>
        </w:rPr>
        <w:footnoteReference w:id="574"/>
      </w:r>
      <w:r>
        <w:rPr>
          <w:rFonts w:ascii="IRNazanin" w:hAnsi="IRNazanin" w:eastAsia="IRNazanin"/>
          <w:color w:val="111111"/>
          <w:sz w:val="28"/>
          <w:sz w:val="28"/>
          <w:szCs w:val="28"/>
          <w:rtl w:val="true"/>
          <w:lang w:bidi="fa-IR"/>
        </w:rPr>
        <w:t>والفتوى</w:t>
      </w:r>
      <w:r>
        <w:rPr>
          <w:rStyle w:val="FootnoteAnchor"/>
          <w:rtl w:val="true"/>
        </w:rPr>
        <w:footnoteReference w:id="575"/>
      </w:r>
      <w:r>
        <w:rPr>
          <w:rFonts w:ascii="Amiri" w:hAnsi="Amiri" w:eastAsia="Amiri" w:cs="Amiri"/>
          <w:color w:val="111111"/>
          <w:sz w:val="28"/>
          <w:sz w:val="28"/>
          <w:szCs w:val="28"/>
          <w:rtl w:val="true"/>
          <w:lang w:bidi="ar-SA"/>
        </w:rPr>
        <w:t>بجواز عِلاجه بغيره، وبطهره يطهر ما فيه من الأعيان وآلتِه، لكن يكره علاجه بغيره؛ للنهي عنه في رواية أبي بصير عن أبي عبدالله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Style w:val="FootnoteAnchor"/>
          <w:rtl w:val="true"/>
        </w:rPr>
        <w:footnoteReference w:id="576"/>
      </w:r>
      <w:r>
        <w:rPr>
          <w:rFonts w:ascii="Amiri" w:hAnsi="Amiri" w:eastAsia="Amiri" w:cs="Amiri"/>
          <w:color w:val="111111"/>
          <w:sz w:val="28"/>
          <w:sz w:val="28"/>
          <w:szCs w:val="28"/>
          <w:rtl w:val="true"/>
          <w:lang w:bidi="ar-SA"/>
        </w:rPr>
        <w:t>، ولا أعلم لأصحابنا خلافاً في ذلك في الجملة وإن اختلفوا في بعض أفراده</w:t>
      </w:r>
      <w:r>
        <w:rPr>
          <w:rStyle w:val="FootnoteAnchor"/>
          <w:rtl w:val="true"/>
        </w:rPr>
        <w:footnoteReference w:id="577"/>
      </w:r>
      <w:r>
        <w:rPr>
          <w:rFonts w:ascii="Amiri" w:hAnsi="Amiri" w:eastAsia="Amiri" w:cs="Amiri"/>
          <w:color w:val="111111"/>
          <w:sz w:val="28"/>
          <w:sz w:val="28"/>
          <w:szCs w:val="28"/>
          <w:rtl w:val="true"/>
          <w:lang w:bidi="ar-SA"/>
        </w:rPr>
        <w:t>، ولولا ذلك أمكن استفادة عدم طهارته بالعلاج من بعض النصوص</w:t>
      </w:r>
      <w:r>
        <w:rPr>
          <w:rStyle w:val="FootnoteAnchor"/>
          <w:rtl w:val="true"/>
        </w:rPr>
        <w:footnoteReference w:id="578"/>
      </w:r>
      <w:r>
        <w:rPr>
          <w:rFonts w:ascii="Amiri" w:hAnsi="Amiri" w:eastAsia="Amiri" w:cs="Amiri"/>
          <w:color w:val="111111"/>
          <w:sz w:val="28"/>
          <w:sz w:val="28"/>
          <w:szCs w:val="28"/>
          <w:rtl w:val="true"/>
          <w:lang w:bidi="ar-SA"/>
        </w:rPr>
        <w:t xml:space="preserve">، كما يقوله بعضُ العامة </w:t>
      </w:r>
      <w:r>
        <w:rPr>
          <w:rStyle w:val="FootnoteAnchor"/>
          <w:rtl w:val="true"/>
        </w:rPr>
        <w:footnoteReference w:id="579"/>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وإنّما تُطَهَّر النجاسة الخمرية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فلو كان نجساً بغيرها ولو بعلاجه بنجس كمباشرة الكافر له لم يُظهر بالخَليَّة، وكذا لو أُلقي في الخَلّ خمر حتى استهلكه الخَلُّ أو بالعكس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الأشهر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المسألة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الثالثة عشرة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يحرم شربُ الربوبات وإنْ ثُمَّ منها ريح المسكر كرب التفاح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وربِّ السفرجل والأثرج والسَكَنْجَبينِ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وشبهه؛ لعدم إسكاره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قليله وكثيره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وأصالة حِلّه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رَوَى الشيخ وغيره عن جعفر بن أحمد المكفوف،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كتبتُ إليه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أبا الحسن الأول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أسأله عن السكنجبين والجُلّاب وربِّ التوت ورب التفاح وربِّ الرُمّان، فكتب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حلال</w:t>
      </w:r>
      <w:r>
        <w:rPr>
          <w:rFonts w:eastAsia="Amiri" w:cs="Amiri" w:ascii="Amiri" w:hAnsi="Amiri"/>
          <w:color w:val="111111"/>
          <w:sz w:val="28"/>
          <w:szCs w:val="28"/>
          <w:rtl w:val="true"/>
          <w:lang w:bidi="ar-SA"/>
        </w:rPr>
        <w:t>»</w:t>
      </w:r>
      <w:r>
        <w:rPr>
          <w:rStyle w:val="FootnoteAnchor"/>
          <w:rtl w:val="true"/>
        </w:rPr>
        <w:footnoteReference w:id="58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المسألة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الرابعة عشرة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يجوز عند الاضطرار</w:t>
      </w:r>
      <w:r>
        <w:rPr>
          <w:rStyle w:val="FootnoteAnchor"/>
          <w:rtl w:val="true"/>
        </w:rPr>
        <w:footnoteReference w:id="581"/>
      </w:r>
      <w:r>
        <w:rPr>
          <w:rFonts w:ascii="Amiri" w:hAnsi="Amiri" w:eastAsia="Amiri" w:cs="Amiri"/>
          <w:color w:val="111111"/>
          <w:sz w:val="28"/>
          <w:sz w:val="28"/>
          <w:szCs w:val="28"/>
          <w:rtl w:val="true"/>
          <w:lang w:bidi="ar-SA"/>
        </w:rPr>
        <w:t>تناول المحرَّم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الميتة والخمر وغيرِهما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عند خوف التلف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بدون التناول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حدوثِ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زيادته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أو الضعفِ المؤدِّي إلى التخلّف عن الرفقة، مع ظهور أمارة العطب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تقدير التخلّف ومقتضى هذا الإطلاقِ عدمُ الفرق بين الخمر وغيره من المحرمات في جواز تناولها عند الاضطرار وهو في غير الخمر موضعُ وفاق</w:t>
      </w:r>
      <w:r>
        <w:rPr>
          <w:rFonts w:eastAsia="Amiri" w:cs="Amiri" w:ascii="Amiri" w:hAnsi="Amiri"/>
          <w:color w:val="111111"/>
          <w:sz w:val="28"/>
          <w:szCs w:val="28"/>
          <w:rtl w:val="true"/>
          <w:lang w:bidi="ar-SA"/>
        </w:rPr>
        <w:t>.</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أمّا فيها، فقد قيل بالمنع مطلقاً</w:t>
      </w:r>
      <w:r>
        <w:rPr>
          <w:rStyle w:val="FootnoteAnchor"/>
          <w:rtl w:val="true"/>
        </w:rPr>
        <w:footnoteReference w:id="582"/>
      </w:r>
      <w:r>
        <w:rPr>
          <w:rFonts w:ascii="IRNazanin" w:hAnsi="IRNazanin" w:eastAsia="IRNazanin"/>
          <w:color w:val="111111"/>
          <w:sz w:val="28"/>
          <w:sz w:val="28"/>
          <w:szCs w:val="28"/>
          <w:rtl w:val="true"/>
          <w:lang w:bidi="fa-IR"/>
        </w:rPr>
        <w:t>وبالجواز</w:t>
      </w:r>
      <w:r>
        <w:rPr>
          <w:rStyle w:val="FootnoteAnchor"/>
          <w:rtl w:val="true"/>
        </w:rPr>
        <w:footnoteReference w:id="583"/>
      </w:r>
      <w:r>
        <w:rPr>
          <w:rFonts w:ascii="Amiri" w:hAnsi="Amiri" w:eastAsia="Amiri" w:cs="Amiri"/>
          <w:color w:val="111111"/>
          <w:sz w:val="28"/>
          <w:sz w:val="28"/>
          <w:szCs w:val="28"/>
          <w:rtl w:val="true"/>
          <w:lang w:bidi="ar-SA"/>
        </w:rPr>
        <w:t>مع عدم قيام غيرها مقامَها، وظاهرُ العبارة ومصرَّح الدروس</w:t>
      </w:r>
      <w:r>
        <w:rPr>
          <w:rStyle w:val="FootnoteAnchor"/>
          <w:rtl w:val="true"/>
        </w:rPr>
        <w:footnoteReference w:id="584"/>
      </w:r>
      <w:r>
        <w:rPr>
          <w:rFonts w:ascii="Amiri" w:hAnsi="Amiri" w:eastAsia="Amiri" w:cs="Amiri"/>
          <w:color w:val="111111"/>
          <w:sz w:val="28"/>
          <w:sz w:val="28"/>
          <w:szCs w:val="28"/>
          <w:rtl w:val="true"/>
          <w:lang w:bidi="ar-SA"/>
        </w:rPr>
        <w:t>جواز استعمالها للضرورة مطلقاً حتى للدواء، كالترياق والاكتحال؛ لعموم الآيةِ</w:t>
      </w:r>
      <w:r>
        <w:rPr>
          <w:rStyle w:val="FootnoteAnchor"/>
          <w:rtl w:val="true"/>
        </w:rPr>
        <w:footnoteReference w:id="585"/>
      </w:r>
      <w:r>
        <w:rPr>
          <w:rFonts w:ascii="Amiri" w:hAnsi="Amiri" w:eastAsia="Amiri" w:cs="Amiri"/>
          <w:color w:val="111111"/>
          <w:sz w:val="28"/>
          <w:sz w:val="28"/>
          <w:szCs w:val="28"/>
          <w:rtl w:val="true"/>
          <w:lang w:bidi="ar-SA"/>
        </w:rPr>
        <w:t xml:space="preserve">الدالة على جواز تناول المضطر إليه، والأخبارُ كثيرة في المنع </w:t>
      </w:r>
    </w:p>
    <w:p>
      <w:pPr>
        <w:pStyle w:val="BookText"/>
        <w:rPr/>
      </w:pPr>
      <w:r>
        <w:rPr>
          <w:rFonts w:ascii="IRNazanin" w:hAnsi="IRNazanin" w:eastAsia="IRNazanin"/>
          <w:color w:val="111111"/>
          <w:sz w:val="28"/>
          <w:sz w:val="28"/>
          <w:szCs w:val="28"/>
          <w:rtl w:val="true"/>
          <w:lang w:bidi="fa-IR"/>
        </w:rPr>
        <w:t>من استعمالها مطلقاً</w:t>
      </w:r>
      <w:r>
        <w:rPr>
          <w:rStyle w:val="FootnoteAnchor"/>
          <w:rtl w:val="true"/>
        </w:rPr>
        <w:footnoteReference w:id="586"/>
      </w:r>
      <w:r>
        <w:rPr>
          <w:rFonts w:ascii="Amiri" w:hAnsi="Amiri" w:eastAsia="Amiri" w:cs="Amiri"/>
          <w:color w:val="111111"/>
          <w:sz w:val="28"/>
          <w:sz w:val="28"/>
          <w:szCs w:val="28"/>
          <w:rtl w:val="true"/>
          <w:lang w:bidi="ar-SA"/>
        </w:rPr>
        <w:t xml:space="preserve">حتى الاكتحال، وفي بعضها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تعالى لم يجعل في شيء مما حَرَّم دواءً ولاشِفاءٌ</w:t>
      </w:r>
      <w:r>
        <w:rPr>
          <w:rFonts w:eastAsia="Amiri" w:cs="Amiri" w:ascii="Amiri" w:hAnsi="Amiri"/>
          <w:color w:val="111111"/>
          <w:sz w:val="28"/>
          <w:szCs w:val="28"/>
          <w:rtl w:val="true"/>
          <w:lang w:bidi="ar-SA"/>
        </w:rPr>
        <w:t>»</w:t>
      </w:r>
      <w:r>
        <w:rPr>
          <w:rStyle w:val="FootnoteAnchor"/>
          <w:rtl w:val="true"/>
        </w:rPr>
        <w:footnoteReference w:id="587"/>
      </w:r>
      <w:r>
        <w:rPr>
          <w:rFonts w:ascii="Amiri" w:hAnsi="Amiri" w:eastAsia="Amiri" w:cs="Amiri"/>
          <w:color w:val="111111"/>
          <w:sz w:val="28"/>
          <w:sz w:val="28"/>
          <w:szCs w:val="28"/>
          <w:rtl w:val="true"/>
          <w:lang w:bidi="ar-SA"/>
        </w:rPr>
        <w:t xml:space="preserve">، وإنّ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اكتحل بميل من مسكر كَحَله الله بميل من نار</w:t>
      </w:r>
      <w:r>
        <w:rPr>
          <w:rFonts w:eastAsia="Amiri" w:cs="Amiri" w:ascii="Amiri" w:hAnsi="Amiri"/>
          <w:color w:val="111111"/>
          <w:sz w:val="28"/>
          <w:szCs w:val="28"/>
          <w:rtl w:val="true"/>
          <w:lang w:bidi="ar-SA"/>
        </w:rPr>
        <w:t>»</w:t>
      </w:r>
      <w:r>
        <w:rPr>
          <w:rStyle w:val="FootnoteAnchor"/>
          <w:rtl w:val="true"/>
        </w:rPr>
        <w:footnoteReference w:id="58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والمصنّف حَمَلها على الاختيار </w:t>
      </w:r>
      <w:r>
        <w:rPr>
          <w:rStyle w:val="FootnoteAnchor"/>
          <w:rtl w:val="true"/>
        </w:rPr>
        <w:footnoteReference w:id="589"/>
      </w:r>
      <w:r>
        <w:rPr>
          <w:rFonts w:ascii="Amiri" w:hAnsi="Amiri" w:eastAsia="Amiri" w:cs="Amiri"/>
          <w:color w:val="111111"/>
          <w:sz w:val="28"/>
          <w:sz w:val="28"/>
          <w:szCs w:val="28"/>
          <w:rtl w:val="true"/>
          <w:lang w:bidi="ar-SA"/>
        </w:rPr>
        <w:t>، والعلّامة على طلب الصحة لا طلب السلامة من التلف</w:t>
      </w:r>
      <w:r>
        <w:rPr>
          <w:rStyle w:val="FootnoteAnchor"/>
          <w:rtl w:val="true"/>
        </w:rPr>
        <w:footnoteReference w:id="590"/>
      </w:r>
      <w:r>
        <w:rPr>
          <w:rFonts w:ascii="Amiri" w:hAnsi="Amiri" w:eastAsia="Amiri" w:cs="Amiri"/>
          <w:color w:val="111111"/>
          <w:sz w:val="28"/>
          <w:sz w:val="28"/>
          <w:szCs w:val="28"/>
          <w:rtl w:val="true"/>
          <w:lang w:bidi="ar-SA"/>
        </w:rPr>
        <w:t>، وعلى ما سيأتي من وجوب الاقتصار على حفظ الرمق هما متساويان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قام غيرها مقامها وإن كان محرَّماً قدم عليها؛ لإطلاق النهي الكثير عنها في الأخبار</w:t>
      </w:r>
      <w:r>
        <w:rPr>
          <w:rStyle w:val="FootnoteAnchor"/>
          <w:rtl w:val="true"/>
        </w:rPr>
        <w:footnoteReference w:id="59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يُرَخَّص الباغي، وهو الخارج على الإمام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العادل،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يبغي الميتة</w:t>
      </w:r>
      <w:r>
        <w:rPr>
          <w:rFonts w:eastAsia="Amiri" w:cs="Amiri" w:ascii="Amiri" w:hAnsi="Amiri"/>
          <w:color w:val="111111"/>
          <w:sz w:val="28"/>
          <w:szCs w:val="28"/>
          <w:rtl w:val="true"/>
          <w:lang w:bidi="ar-SA"/>
        </w:rPr>
        <w:t>)</w:t>
      </w:r>
      <w:r>
        <w:rPr>
          <w:rStyle w:val="FootnoteAnchor"/>
          <w:rtl w:val="true"/>
        </w:rPr>
        <w:footnoteReference w:id="592"/>
      </w:r>
    </w:p>
    <w:p>
      <w:pPr>
        <w:pStyle w:val="BookText"/>
        <w:rPr/>
      </w:pPr>
      <w:r>
        <w:rPr>
          <w:rFonts w:ascii="Amiri" w:hAnsi="Amiri" w:eastAsia="Amiri" w:cs="Amiri"/>
          <w:color w:val="111111"/>
          <w:sz w:val="28"/>
          <w:sz w:val="28"/>
          <w:szCs w:val="28"/>
          <w:rtl w:val="true"/>
          <w:lang w:bidi="ar-SA"/>
        </w:rPr>
        <w:t xml:space="preserve">الشهيد في الدروس الشرعية، ج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ضمن موسوعة الشهيد الأول، ج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أى يَرغَب فى أكلها، والأوّل أظهرُ لأنّه معناه شرعاً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العادي وهو قاطع الطريق،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يَعدُو شَبَعَه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8</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أي يتجاوزه، والأول هو الأشهر والمروي</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9</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لكن بطريق ضعيف مرسل، ويمكن ترجيحه بأن تخصيص آية الاضطرار على خلاف الأصل فيُقتصر فيه على موضع اليقين، وقاطع الطريق عادٍ في المعصية في الجملة فيُخَص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ونقل الطَّبْرِسي أنه باغي اللذة وعادي سدّ الجوعة، أو عاد بالمعصية، أو باغ في الإفراط وعادٍ في التقصير</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10</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وإنّما يجوز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تناول المحرَّم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يحفظ الرمق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بقية الروح، والمراد </w:t>
      </w:r>
    </w:p>
    <w:p>
      <w:pPr>
        <w:pStyle w:val="BookText"/>
        <w:rPr/>
      </w:pPr>
      <w:r>
        <w:rPr>
          <w:rFonts w:ascii="Amiri" w:hAnsi="Amiri" w:eastAsia="Amiri" w:cs="Amiri"/>
          <w:color w:val="111111"/>
          <w:sz w:val="28"/>
          <w:sz w:val="28"/>
          <w:szCs w:val="28"/>
          <w:rtl w:val="true"/>
          <w:lang w:bidi="ar-SA"/>
        </w:rPr>
        <w:t>وجوب الاقتصار على حفظ النفس من التلف، ولا يجوز التجاوزُ إلى الشبع مع الغِنَى عنه، ولو احتاج إليه للمشي أو العَدْوِ أو التزود منه لوقت آخر جاز، وهو حينئذ من جملة ما يَسُدّ الرَمَقَ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وعلى هذا فيَختصّ خوفُ المرض السابق بما يؤدي إلى التلف ولو ظنّاً لا مطلق المرض، أو يُخَصّ هذا بتناوله للغذاء الضروري لا للمرض، وهو أولى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ولو وَجَد ميتةً وطعامَ الغير فطعام الغير أولى إن بَذَلَه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مالكه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بغير عوض، أو بعوض 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المضطر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قادر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الحال أو في وقت طلبه، سواء كان بقدرِ ثمن مثله أم أزيد على ما يقتضيه الإطلاق، وهو أحد القولين</w:t>
      </w:r>
      <w:r>
        <w:rPr>
          <w:rStyle w:val="FootnoteAnchor"/>
          <w:rtl w:val="true"/>
        </w:rPr>
        <w:footnoteReference w:id="59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وقيل</w:t>
      </w:r>
      <w:r>
        <w:rPr>
          <w:rStyle w:val="FootnoteAnchor"/>
          <w:rtl w:val="true"/>
        </w:rPr>
        <w:footnoteReference w:id="59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يجب بذل الزائد عن ثمن مثله وإن اشتراه به گراهةً للفتنة؛ ولأنّه كالمُكرَه على الشراء، بل له قتاله لو امتنع من بذلِه ولو قُتِل أهدر دمه، وكذا لو تعذر عليه الثمنُ والأقوى وجوب دفع الزائد مع القدرة؛ لأنه غير مضطر حينئذ،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الناس مسلطون على أموالهم</w:t>
      </w:r>
      <w:r>
        <w:rPr>
          <w:rFonts w:eastAsia="IRNazanin" w:cs="IRNazanin"/>
          <w:color w:val="111111"/>
          <w:sz w:val="28"/>
          <w:szCs w:val="28"/>
          <w:rtl w:val="true"/>
          <w:lang w:bidi="fa-IR"/>
        </w:rPr>
        <w:t>»</w:t>
      </w:r>
      <w:r>
        <w:rPr>
          <w:rStyle w:val="FootnoteAnchor"/>
          <w:rtl w:val="true"/>
        </w:rPr>
        <w:footnoteReference w:id="59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يكن كذلك بأن لم يبذله مالكه أصلاً أو بذله بعوض يعجز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أكل الميتة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وجدها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وهل هو على سبيل الحتم أو التخيير بينه وبين أكل طعام الغير، على تقدير قدرته على قهره عليه ؟ ظاهرُ العبارة الأوّلُ ، وقيل بالثاني</w:t>
      </w:r>
      <w:r>
        <w:rPr>
          <w:rStyle w:val="FootnoteAnchor"/>
          <w:rtl w:val="true"/>
        </w:rPr>
        <w:footnoteReference w:id="596"/>
      </w:r>
      <w:r>
        <w:rPr>
          <w:rFonts w:ascii="Amiri" w:hAnsi="Amiri" w:eastAsia="Amiri" w:cs="Amiri"/>
          <w:color w:val="111111"/>
          <w:sz w:val="28"/>
          <w:sz w:val="28"/>
          <w:szCs w:val="28"/>
          <w:rtl w:val="true"/>
          <w:lang w:bidi="ar-SA"/>
        </w:rPr>
        <w:t>؛ لاشتراكهما حينئذ في التحريم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الدروس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إنه مع قدرته على قهر الغير على طعامه بالثمن، أو بدونه مع تعدّره لا يجوز له أكل الميتة، بل يأكل الطعامَ ويَضمَنه لمالكه، فإن تعذر عليه قهرهُ أَكل الميتة</w:t>
      </w:r>
      <w:r>
        <w:rPr>
          <w:rStyle w:val="FootnoteAnchor"/>
          <w:rtl w:val="true"/>
        </w:rPr>
        <w:footnoteReference w:id="597"/>
      </w:r>
      <w:r>
        <w:rPr>
          <w:rFonts w:eastAsia="Times New Roman" w:cs="Times New Roman" w:ascii="Times New Roman" w:hAnsi="Times New Roman"/>
          <w:color w:val="111111"/>
          <w:sz w:val="28"/>
          <w:szCs w:val="28"/>
          <w:rtl w:val="true"/>
          <w:lang w:val="en-US" w:bidi="en-US"/>
        </w:rPr>
        <w:t>.</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وهو حسن؛ لأن تحريم مال الغير عَرَضي، بخلاف الميتة، وقد زال بالاضطرار </w:t>
      </w:r>
    </w:p>
    <w:p>
      <w:pPr>
        <w:pStyle w:val="BookText"/>
        <w:rPr/>
      </w:pPr>
      <w:r>
        <w:rPr>
          <w:rFonts w:ascii="Amiri" w:hAnsi="Amiri" w:eastAsia="Amiri" w:cs="Amiri"/>
          <w:color w:val="111111"/>
          <w:sz w:val="28"/>
          <w:sz w:val="28"/>
          <w:szCs w:val="28"/>
          <w:rtl w:val="true"/>
          <w:lang w:bidi="ar-SA"/>
        </w:rPr>
        <w:t>فيكون أولى من الميتة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حينئذٍ لا يضمن الطعام</w:t>
      </w:r>
      <w:r>
        <w:rPr>
          <w:rStyle w:val="FootnoteAnchor"/>
          <w:rtl w:val="true"/>
        </w:rPr>
        <w:footnoteReference w:id="598"/>
      </w:r>
    </w:p>
    <w:p>
      <w:pPr>
        <w:pStyle w:val="BookText"/>
        <w:rPr/>
      </w:pPr>
      <w:r>
        <w:rPr>
          <w:rFonts w:ascii="IRNazanin" w:hAnsi="IRNazanin" w:eastAsia="IRNazanin"/>
          <w:color w:val="111111"/>
          <w:sz w:val="28"/>
          <w:sz w:val="28"/>
          <w:szCs w:val="28"/>
          <w:rtl w:val="true"/>
          <w:lang w:bidi="fa-IR"/>
        </w:rPr>
        <w:t xml:space="preserve">وربما فرق بعضهم بين الأمرين حيث يحتمل الحال موافقته على أجرة يبذلها أو يقبلها فلا يلزمه تخليصه حتى يقبل الأجرة كالمضطر، كما أنه لو لم يحتمل الحال مساومة المضطر يجب عليه بذله ولا يلزمه العوض بخلاف ما إذا احتمل وإن لم يكن هنا مال مقدور علیه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زین رحمه الله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للإذن في تناوله شرعاً بغير عوض</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والأوّل أقوى، جمعاً بین الحقين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وحينئذ فاللازم مثله أو قيمته وإن كان يجب بذل أزيد لو سَمَح به المالك، والفرق أنّ ذلك كان على وجه المعاوضة الاختيارية، وهذا على وجه إتلاف مال الغير بغير إذنه وموجبه شرعاً هو المثلُ أو القيمة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وحيث تباح له الميتة فميتة المأكول أولى من غيره، ومذبوح ما يقع عليه الذكاة أولى منهما، و مذبوح الكافر والناصبِ أولى من الجميع</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المسألة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الخامسة عشرة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يُستحَبٌ غَسل اليدين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 وإن كان الأكل بإحداهما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قبل الطعام وبعده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فعن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أولُه يَنفي الفقر وآخِرُه يَنفِي الهم</w:t>
      </w:r>
      <w:r>
        <w:rPr>
          <w:rFonts w:eastAsia="IRNazanin" w:cs="IRNazanin"/>
          <w:color w:val="111111"/>
          <w:sz w:val="28"/>
          <w:szCs w:val="28"/>
          <w:rtl w:val="true"/>
          <w:lang w:bidi="fa-IR"/>
        </w:rPr>
        <w:t>»</w:t>
      </w:r>
      <w:r>
        <w:rPr>
          <w:rStyle w:val="FootnoteAnchor"/>
          <w:rtl w:val="true"/>
        </w:rPr>
        <w:footnoteReference w:id="59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غَسل اليدين قبل الطعام وبعده زيادة في العمر، وإماطة للغَمَر عن الثياب ويجلو البصر</w:t>
      </w:r>
      <w:r>
        <w:rPr>
          <w:rFonts w:eastAsia="Amiri" w:cs="Amiri" w:ascii="Amiri" w:hAnsi="Amiri"/>
          <w:color w:val="111111"/>
          <w:sz w:val="28"/>
          <w:szCs w:val="28"/>
          <w:rtl w:val="true"/>
          <w:lang w:bidi="ar-SA"/>
        </w:rPr>
        <w:t>»</w:t>
      </w:r>
      <w:r>
        <w:rPr>
          <w:rStyle w:val="FootnoteAnchor"/>
          <w:rtl w:val="true"/>
        </w:rPr>
        <w:footnoteReference w:id="60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الصادق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 غَسَل يده قبل الطعام وبعده عاش في سعة، وعُوفِيَ من بلوى جسده</w:t>
      </w:r>
      <w:r>
        <w:rPr>
          <w:rFonts w:eastAsia="Amiri" w:cs="Amiri" w:ascii="Amiri" w:hAnsi="Amiri"/>
          <w:color w:val="111111"/>
          <w:sz w:val="28"/>
          <w:szCs w:val="28"/>
          <w:rtl w:val="true"/>
          <w:lang w:bidi="ar-SA"/>
        </w:rPr>
        <w:t>»</w:t>
      </w:r>
      <w:r>
        <w:rPr>
          <w:rStyle w:val="FootnoteAnchor"/>
          <w:rtl w:val="true"/>
        </w:rPr>
        <w:footnoteReference w:id="601"/>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ومسحهما بالمنديل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ونحوه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الغسل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ما بعد الطعام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دون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لا تزال البركةُ في الطعام ما دامت النداوة في اليد</w:t>
      </w:r>
      <w:r>
        <w:rPr>
          <w:rStyle w:val="FootnoteAnchor"/>
          <w:rtl w:val="true"/>
        </w:rPr>
        <w:footnoteReference w:id="60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والتسمية عند الشروع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الأكل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فعن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وضعت المائدة حَفَّها أربعةُ آلافِ مَلَكٍ، فإذا قال العبد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بسم الله قالت الملائكة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بارَكَ الله عليكم في طعامكم، ثمّ يقولون للشيطان اخرج يا فاسق لا سلطان لك عليهم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فإذا فَرَغوا 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الحمد الله، قالت الملائكة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قومٌ أَنعم الله عليهم فأدُّوا شكر ربِّهم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وإذا لم يُسَمَّ قالت الملائكة للشيطان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اذن يا فاسق، فكل معهم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فإذا رفعت المائدة ولم يذكروا الله قالت الملائكة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قوم أنعم الله عليهم فنَسُوا ربَّهم</w:t>
      </w:r>
      <w:r>
        <w:rPr>
          <w:rFonts w:eastAsia="IRNazanin" w:cs="IRNazanin"/>
          <w:color w:val="111111"/>
          <w:sz w:val="28"/>
          <w:szCs w:val="28"/>
          <w:rtl w:val="true"/>
          <w:lang w:bidi="fa-IR"/>
        </w:rPr>
        <w:t>»</w:t>
      </w:r>
      <w:r>
        <w:rPr>
          <w:rStyle w:val="FootnoteAnchor"/>
          <w:rtl w:val="true"/>
        </w:rPr>
        <w:footnoteReference w:id="60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تعدّدت ألوان المائدة سَمَّى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كلّ 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منها، رُوي ذلك عن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 واقِعَتُه مع ابن الكواء فيه مشهورة</w:t>
      </w:r>
      <w:r>
        <w:rPr>
          <w:rStyle w:val="FootnoteAnchor"/>
          <w:rtl w:val="true"/>
        </w:rPr>
        <w:footnoteReference w:id="604"/>
      </w:r>
      <w:r>
        <w:rPr>
          <w:rFonts w:ascii="Amiri" w:hAnsi="Amiri" w:eastAsia="Amiri" w:cs="Amiri"/>
          <w:color w:val="111111"/>
          <w:sz w:val="28"/>
          <w:sz w:val="28"/>
          <w:szCs w:val="28"/>
          <w:rtl w:val="true"/>
          <w:lang w:bidi="ar-SA"/>
        </w:rPr>
        <w:t xml:space="preserve">، ورُوِيَ التسمية على كلّ إناء </w:t>
      </w:r>
      <w:r>
        <w:rPr>
          <w:rStyle w:val="FootnoteAnchor"/>
          <w:rtl w:val="true"/>
        </w:rPr>
        <w:footnoteReference w:id="605"/>
      </w:r>
      <w:r>
        <w:rPr>
          <w:rFonts w:ascii="Amiri" w:hAnsi="Amiri" w:eastAsia="Amiri" w:cs="Amiri"/>
          <w:color w:val="111111"/>
          <w:sz w:val="28"/>
          <w:sz w:val="28"/>
          <w:szCs w:val="28"/>
          <w:rtl w:val="true"/>
          <w:lang w:bidi="ar-SA"/>
        </w:rPr>
        <w:t>على المائدة وإن اتحدت الألوان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ولو نَسِيَها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التسمية في الابتداء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تَدارَكَها في الأثناء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 ذكرها، ورُوِيَ أنّ الناسي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بسم الله على أوله وآخره</w:t>
      </w:r>
      <w:r>
        <w:rPr>
          <w:rFonts w:eastAsia="Amiri" w:cs="Amiri" w:ascii="Amiri" w:hAnsi="Amiri"/>
          <w:color w:val="111111"/>
          <w:sz w:val="28"/>
          <w:szCs w:val="28"/>
          <w:rtl w:val="true"/>
          <w:lang w:bidi="ar-SA"/>
        </w:rPr>
        <w:t>»</w:t>
      </w:r>
      <w:r>
        <w:rPr>
          <w:rStyle w:val="FootnoteAnchor"/>
          <w:rtl w:val="true"/>
        </w:rPr>
        <w:footnoteReference w:id="606"/>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الابتداء مع تعدد الألوان والأواني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بسم الله على أوله وآخره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أجزاً عن التسمية على كل لون وآنيةٍ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ورُوِيَ إجزاء تسمية واحدٍ من الحاضرين على المائدة عن الباقين عن الصادق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رخصة</w:t>
      </w:r>
      <w:r>
        <w:rPr>
          <w:rStyle w:val="FootnoteAnchor"/>
          <w:rtl w:val="true"/>
        </w:rPr>
        <w:footnoteReference w:id="607"/>
      </w:r>
      <w:r>
        <w:rPr>
          <w:rFonts w:eastAsia="Times New Roman" w:cs="Times New Roman" w:ascii="Times New Roman" w:hAnsi="Times New Roman"/>
          <w:color w:val="111111"/>
          <w:sz w:val="28"/>
          <w:szCs w:val="28"/>
          <w:rtl w:val="true"/>
          <w:lang w:val="en-US" w:bidi="en-US"/>
        </w:rPr>
        <w:t>.</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ويُستحَبّ الأكل باليمين اختياراً</w:t>
      </w:r>
      <w:r>
        <w:rPr>
          <w:rFonts w:eastAsia="Amiri" w:cs="Amiri" w:ascii="Amiri" w:hAnsi="Amiri"/>
          <w:color w:val="111111"/>
          <w:sz w:val="28"/>
          <w:szCs w:val="28"/>
          <w:rtl w:val="true"/>
          <w:lang w:bidi="ar-SA"/>
        </w:rPr>
        <w:t>)</w:t>
      </w:r>
      <w:r>
        <w:rPr>
          <w:rStyle w:val="FootnoteAnchor"/>
          <w:rtl w:val="true"/>
        </w:rPr>
        <w:footnoteReference w:id="608"/>
      </w:r>
      <w:r>
        <w:rPr>
          <w:rFonts w:ascii="Amiri" w:hAnsi="Amiri" w:eastAsia="Amiri" w:cs="Amiri"/>
          <w:color w:val="111111"/>
          <w:sz w:val="28"/>
          <w:sz w:val="28"/>
          <w:szCs w:val="28"/>
          <w:rtl w:val="true"/>
          <w:lang w:bidi="ar-SA"/>
        </w:rPr>
        <w:t xml:space="preserve">ولا بأس باليسرى مع الاضطرار، فعن </w:t>
      </w:r>
    </w:p>
    <w:p>
      <w:pPr>
        <w:pStyle w:val="BookText"/>
        <w:rPr/>
      </w:pPr>
      <w:r>
        <w:rPr>
          <w:rFonts w:ascii="Amiri" w:hAnsi="Amiri" w:eastAsia="Amiri" w:cs="Amiri"/>
          <w:color w:val="111111"/>
          <w:sz w:val="28"/>
          <w:sz w:val="28"/>
          <w:szCs w:val="28"/>
          <w:rtl w:val="true"/>
          <w:lang w:bidi="ar-SA"/>
        </w:rPr>
        <w:t>الصادق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تأكل باليسرى وأنت تستطيع</w:t>
      </w:r>
      <w:r>
        <w:rPr>
          <w:rFonts w:eastAsia="Amiri" w:cs="Amiri" w:ascii="Amiri" w:hAnsi="Amiri"/>
          <w:color w:val="111111"/>
          <w:sz w:val="28"/>
          <w:szCs w:val="28"/>
          <w:rtl w:val="true"/>
          <w:lang w:bidi="ar-SA"/>
        </w:rPr>
        <w:t>»</w:t>
      </w:r>
      <w:r>
        <w:rPr>
          <w:rStyle w:val="FootnoteAnchor"/>
          <w:rtl w:val="true"/>
        </w:rPr>
        <w:footnoteReference w:id="60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رواية أُخرى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يأكل بشماله ولا يشرب بها ولا يتناول بها شيئاً</w:t>
      </w:r>
      <w:r>
        <w:rPr>
          <w:rFonts w:eastAsia="Amiri" w:cs="Amiri" w:ascii="Amiri" w:hAnsi="Amiri"/>
          <w:color w:val="111111"/>
          <w:sz w:val="28"/>
          <w:szCs w:val="28"/>
          <w:rtl w:val="true"/>
          <w:lang w:bidi="ar-SA"/>
        </w:rPr>
        <w:t>»</w:t>
      </w:r>
      <w:r>
        <w:rPr>
          <w:rStyle w:val="FootnoteAnchor"/>
          <w:rtl w:val="true"/>
        </w:rPr>
        <w:footnoteReference w:id="61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وبَدأَةُ صاحب الطعام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بالأكل لو كان معه غيره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وأن يكونَ آخِرَ مَن يأكل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ليَأنس القوم ويأكلوا رُوِيَ ذلك من فعل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معللاً بذلك</w:t>
      </w:r>
      <w:r>
        <w:rPr>
          <w:rStyle w:val="FootnoteAnchor"/>
          <w:rtl w:val="true"/>
        </w:rPr>
        <w:footnoteReference w:id="61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ويبدأ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صاحب الطعام إذا أراد غَسل أيديهم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الغسل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الأولِ بنفسه، ثمّ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بمَن على يمينه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دوراً إلى الآخر، وفي الغسل الثاني بعد رفع الطعام يبدأ بمن على يساره ثمّ يَغسِل هو أخيراً، رُوِي ذلك 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معللاً ابتداءَه أوّلاً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لئلا يَحتشِمَه أحد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وتأخيرَه آخِراً بأنّه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أولى بالصبر على الغَمَر</w:t>
      </w:r>
      <w:r>
        <w:rPr>
          <w:rFonts w:eastAsia="Amiri" w:cs="Amiri" w:ascii="Amiri" w:hAnsi="Amiri"/>
          <w:color w:val="111111"/>
          <w:sz w:val="28"/>
          <w:szCs w:val="28"/>
          <w:rtl w:val="true"/>
          <w:lang w:bidi="ar-SA"/>
        </w:rPr>
        <w:t>»</w:t>
      </w:r>
      <w:r>
        <w:rPr>
          <w:rStyle w:val="FootnoteAnchor"/>
          <w:rtl w:val="true"/>
        </w:rPr>
        <w:footnoteReference w:id="612"/>
      </w:r>
      <w:r>
        <w:rPr>
          <w:rFonts w:ascii="Amiri" w:hAnsi="Amiri" w:eastAsia="Amiri" w:cs="Amiri"/>
          <w:color w:val="111111"/>
          <w:sz w:val="28"/>
          <w:sz w:val="28"/>
          <w:szCs w:val="28"/>
          <w:rtl w:val="true"/>
          <w:lang w:bidi="ar-SA"/>
        </w:rPr>
        <w:t>، وهو بالتحريك ما على اليد من سَهْك الطعام وزُهْمَته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رواية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يبدأ بعد الفراغ بمن على يمين الباب حرّاً كان أو عبداً</w:t>
      </w:r>
      <w:r>
        <w:rPr>
          <w:rStyle w:val="FootnoteAnchor"/>
          <w:rtl w:val="true"/>
        </w:rPr>
        <w:footnoteReference w:id="61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ويُجمَع غُسالةُ الأيدي في إناءٍ واحدٍ</w:t>
      </w:r>
      <w:r>
        <w:rPr>
          <w:rStyle w:val="FootnoteAnchor"/>
          <w:rtl w:val="true"/>
        </w:rPr>
        <w:footnoteReference w:id="61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لأنّه يُورث حُسْنَ أخلاق الغاسلين، والمروي عن الصادق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اغسلوا أيديكم في إناءٍ واحدٍ تَحسُن أخلاقكم</w:t>
      </w:r>
      <w:r>
        <w:rPr>
          <w:rFonts w:eastAsia="Amiri" w:cs="Amiri" w:ascii="Amiri" w:hAnsi="Amiri"/>
          <w:color w:val="111111"/>
          <w:sz w:val="28"/>
          <w:szCs w:val="28"/>
          <w:rtl w:val="true"/>
          <w:lang w:bidi="ar-SA"/>
        </w:rPr>
        <w:t>»</w:t>
      </w:r>
      <w:r>
        <w:rPr>
          <w:rStyle w:val="FootnoteAnchor"/>
          <w:rtl w:val="true"/>
        </w:rPr>
        <w:footnoteReference w:id="61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ويمكن أن يدلّ على ما هو أعمّ من جمع الغُسالة فيه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وأن يستلقي بعد الأكل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ظهره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ويَجعَلَ رِجله اليمنى على رجله اليسرى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رواه البَزَنْطي عن الرضا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Style w:val="FootnoteAnchor"/>
          <w:rtl w:val="true"/>
        </w:rPr>
        <w:footnoteReference w:id="616"/>
      </w:r>
      <w:r>
        <w:rPr>
          <w:rFonts w:ascii="Amiri" w:hAnsi="Amiri" w:eastAsia="Amiri" w:cs="Amiri"/>
          <w:color w:val="111111"/>
          <w:sz w:val="28"/>
          <w:sz w:val="28"/>
          <w:szCs w:val="28"/>
          <w:rtl w:val="true"/>
          <w:lang w:bidi="ar-SA"/>
        </w:rPr>
        <w:t>، ورواية العامة بخلافه من الخلاف</w:t>
      </w:r>
      <w:r>
        <w:rPr>
          <w:rFonts w:eastAsia="Amiri" w:cs="Amiri" w:ascii="Amiri" w:hAnsi="Amiri"/>
          <w:color w:val="111111"/>
          <w:sz w:val="28"/>
          <w:szCs w:val="28"/>
          <w:rtl w:val="true"/>
          <w:lang w:bidi="ar-SA"/>
        </w:rPr>
        <w:t>.</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ويُكرَه الأكلُ مُتَّكِناً ولو على كفّه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لأنّ النبي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يأكل متكئاً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منذُ بَعَثه الله </w:t>
      </w:r>
    </w:p>
    <w:p>
      <w:pPr>
        <w:pStyle w:val="BookText"/>
        <w:rPr/>
      </w:pPr>
      <w:r>
        <w:rPr>
          <w:rFonts w:ascii="Amiri" w:hAnsi="Amiri" w:eastAsia="Amiri" w:cs="Amiri"/>
          <w:color w:val="111111"/>
          <w:sz w:val="28"/>
          <w:sz w:val="28"/>
          <w:szCs w:val="28"/>
          <w:rtl w:val="true"/>
          <w:lang w:bidi="ar-SA"/>
        </w:rPr>
        <w:t>تعالى إلى أن قَبَضه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رُوِيَ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ذلك عن الصادق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Style w:val="FootnoteAnchor"/>
          <w:rtl w:val="true"/>
        </w:rPr>
        <w:footnoteReference w:id="61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روى الفضيل بن يسار عن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عدم كراهية الاتكاء على اليد في حديث طويلٍ آخِرُه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والله ما نهى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هذا قط</w:t>
      </w:r>
      <w:r>
        <w:rPr>
          <w:rFonts w:eastAsia="IRNazanin" w:cs="IRNazanin"/>
          <w:color w:val="111111"/>
          <w:sz w:val="28"/>
          <w:szCs w:val="28"/>
          <w:rtl w:val="true"/>
          <w:lang w:bidi="fa-IR"/>
        </w:rPr>
        <w:t>»</w:t>
      </w:r>
      <w:r>
        <w:rPr>
          <w:rStyle w:val="FootnoteAnchor"/>
          <w:rtl w:val="true"/>
        </w:rPr>
        <w:footnoteReference w:id="61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الاتكاء على اليد حالة الأكل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وحُمِل على أنه لم يَنْهَ عنه لفظاً</w:t>
      </w:r>
      <w:r>
        <w:rPr>
          <w:rStyle w:val="FootnoteAnchor"/>
          <w:rtl w:val="true"/>
        </w:rPr>
        <w:footnoteReference w:id="619"/>
      </w:r>
      <w:r>
        <w:rPr>
          <w:rFonts w:ascii="IRNazanin" w:hAnsi="IRNazanin" w:eastAsia="IRNazanin"/>
          <w:color w:val="111111"/>
          <w:sz w:val="28"/>
          <w:sz w:val="28"/>
          <w:szCs w:val="28"/>
          <w:rtl w:val="true"/>
          <w:lang w:bidi="fa-IR"/>
        </w:rPr>
        <w:t xml:space="preserve">وإلا فقد رُوي عنه أن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يفعله، كما سلف</w:t>
      </w:r>
      <w:r>
        <w:rPr>
          <w:rStyle w:val="FootnoteAnchor"/>
          <w:rtl w:val="true"/>
        </w:rPr>
        <w:footnoteReference w:id="620"/>
      </w:r>
      <w:r>
        <w:rPr>
          <w:rFonts w:ascii="IRNazanin" w:hAnsi="IRNazanin" w:eastAsia="IRNazanin"/>
          <w:color w:val="111111"/>
          <w:sz w:val="28"/>
          <w:sz w:val="28"/>
          <w:szCs w:val="28"/>
          <w:rtl w:val="true"/>
          <w:lang w:bidi="fa-IR"/>
        </w:rPr>
        <w:t>، وحُمِل فعل الصادق علی بیان جوازه</w:t>
      </w:r>
      <w:r>
        <w:rPr>
          <w:rStyle w:val="FootnoteAnchor"/>
          <w:rtl w:val="true"/>
        </w:rPr>
        <w:footnoteReference w:id="62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وكذا يُكرَه التربُّعُ حالته بل في جميع الأحوال، قال 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إذا جلس أحدكم على الطعام فلْيَجْلِس جلسة العبد، ولا يَضَعَنَّ أحدكم إحدى رجليه على الأخرى ويَتَرَبَّعْ فإنّها جلسةٌ يَبغضها اللهُ ويَمقت صاحبها</w:t>
      </w:r>
      <w:r>
        <w:rPr>
          <w:rFonts w:eastAsia="Amiri" w:cs="Amiri" w:ascii="Amiri" w:hAnsi="Amiri"/>
          <w:color w:val="111111"/>
          <w:sz w:val="28"/>
          <w:szCs w:val="28"/>
          <w:rtl w:val="true"/>
          <w:lang w:bidi="ar-SA"/>
        </w:rPr>
        <w:t>»</w:t>
      </w:r>
      <w:r>
        <w:rPr>
          <w:rStyle w:val="FootnoteAnchor"/>
          <w:rtl w:val="true"/>
        </w:rPr>
        <w:footnoteReference w:id="62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كذا يُكره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التَمَلِّي من المَأْكل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البطنَ ليَطْغَى من أكله، وأقرب ما يكون العبد من الله تعالى إذا خَفَّ بطنه، وأبغض ما يكون العبد إلى الله إذا امتلأ بطنه</w:t>
      </w:r>
      <w:r>
        <w:rPr>
          <w:rFonts w:eastAsia="Amiri" w:cs="Amiri" w:ascii="Amiri" w:hAnsi="Amiri"/>
          <w:color w:val="111111"/>
          <w:sz w:val="28"/>
          <w:szCs w:val="28"/>
          <w:rtl w:val="true"/>
          <w:lang w:bidi="ar-SA"/>
        </w:rPr>
        <w:t>»</w:t>
      </w:r>
      <w:r>
        <w:rPr>
          <w:rStyle w:val="FootnoteAnchor"/>
          <w:rtl w:val="true"/>
        </w:rPr>
        <w:footnoteReference w:id="623"/>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وربما كان الإفراط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التملي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حراماً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أدى إلى الضرر، فإنّ الأكل على الشبع يُورث البَرَصَ، وامتلاء المعدة رأس الداء</w:t>
      </w:r>
      <w:r>
        <w:rPr>
          <w:rFonts w:eastAsia="Amiri" w:cs="Amiri" w:ascii="Amiri" w:hAnsi="Amiri"/>
          <w:color w:val="111111"/>
          <w:sz w:val="28"/>
          <w:szCs w:val="28"/>
          <w:rtl w:val="true"/>
          <w:lang w:bidi="ar-SA"/>
        </w:rPr>
        <w:t>.</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والأكل على الشبع</w:t>
      </w:r>
      <w:r>
        <w:rPr>
          <w:rStyle w:val="FootnoteAnchor"/>
          <w:rtl w:val="true"/>
        </w:rPr>
        <w:footnoteReference w:id="624"/>
      </w:r>
      <w:r>
        <w:rPr>
          <w:rFonts w:ascii="Amiri" w:hAnsi="Amiri" w:eastAsia="Amiri" w:cs="Amiri"/>
          <w:color w:val="111111"/>
          <w:sz w:val="28"/>
          <w:sz w:val="28"/>
          <w:szCs w:val="28"/>
          <w:rtl w:val="true"/>
          <w:lang w:bidi="ar-SA"/>
        </w:rPr>
        <w:t>وباليسار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اختياراً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مكروهان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تقدم</w:t>
      </w:r>
      <w:r>
        <w:rPr>
          <w:rStyle w:val="FootnoteAnchor"/>
          <w:rtl w:val="true"/>
        </w:rPr>
        <w:footnoteReference w:id="62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والجمع بين كراهة الامتلاء والشبَعِ تأكيد للنهي عن كلّ منهما بخصوصه في الأخبار</w:t>
      </w:r>
      <w:r>
        <w:rPr>
          <w:rStyle w:val="FootnoteAnchor"/>
          <w:rtl w:val="true"/>
        </w:rPr>
        <w:footnoteReference w:id="626"/>
      </w:r>
      <w:r>
        <w:rPr>
          <w:rFonts w:ascii="Amiri" w:hAnsi="Amiri" w:eastAsia="Amiri" w:cs="Amiri"/>
          <w:color w:val="111111"/>
          <w:sz w:val="28"/>
          <w:sz w:val="28"/>
          <w:szCs w:val="28"/>
          <w:rtl w:val="true"/>
          <w:lang w:bidi="ar-SA"/>
        </w:rPr>
        <w:t xml:space="preserve">، أو يكونُ </w:t>
      </w:r>
    </w:p>
    <w:p>
      <w:pPr>
        <w:pStyle w:val="BookText"/>
        <w:rPr/>
      </w:pPr>
      <w:r>
        <w:rPr>
          <w:rFonts w:ascii="Amiri" w:hAnsi="Amiri" w:eastAsia="Amiri" w:cs="Amiri"/>
          <w:color w:val="111111"/>
          <w:sz w:val="28"/>
          <w:sz w:val="28"/>
          <w:szCs w:val="28"/>
          <w:rtl w:val="true"/>
          <w:lang w:bidi="ar-SA"/>
        </w:rPr>
        <w:t xml:space="preserve">الامتلاءُ أقوى ومِن ثَمَّ أَردَفه بالتحريم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وجه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دون الشبع، ويمكن أن يكون بينهما عموم وخصوص من وجه بتحقق الشبع خاصةً بانصراف نفسه وشهوته عن الأكل وإن لم يمتلئ بطنه من الطعام، والامتلاء دونه بأن يمتلئ بطنه ويبقى له شهوة إليه، ويجتمعان فيما إذا امتلاً وانصرفت شهوته عن الطعام حينئذ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إذا كان الأكل صحيحاً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المريضُ ونحوُه فيمكن انصراف شهوته عن الطعام ولا يصدق عليه أنّه حينئذٍ</w:t>
      </w:r>
    </w:p>
    <w:p>
      <w:pPr>
        <w:pStyle w:val="BookText"/>
        <w:rPr/>
      </w:pPr>
      <w:r>
        <w:rPr>
          <w:rFonts w:ascii="Amiri" w:hAnsi="Amiri" w:eastAsia="Amiri" w:cs="Amiri"/>
          <w:color w:val="111111"/>
          <w:sz w:val="28"/>
          <w:sz w:val="28"/>
          <w:szCs w:val="28"/>
          <w:rtl w:val="true"/>
          <w:lang w:bidi="ar-SA"/>
        </w:rPr>
        <w:t>شَبْعَانُ، كما لا يخفى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ويؤيّد ما ذكرناه من الفرق ما يُروى من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معاوية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أَشبَعَ الله له بطناً</w:t>
      </w:r>
      <w:r>
        <w:rPr>
          <w:rFonts w:eastAsia="Amiri" w:cs="Amiri" w:ascii="Amiri" w:hAnsi="Amiri"/>
          <w:color w:val="111111"/>
          <w:sz w:val="28"/>
          <w:szCs w:val="28"/>
          <w:rtl w:val="true"/>
          <w:lang w:bidi="ar-SA"/>
        </w:rPr>
        <w:t xml:space="preserve">» </w:t>
      </w:r>
      <w:r>
        <w:rPr>
          <w:rStyle w:val="FootnoteAnchor"/>
          <w:rtl w:val="true"/>
        </w:rPr>
        <w:footnoteReference w:id="627"/>
      </w:r>
      <w:r>
        <w:rPr>
          <w:rFonts w:ascii="Amiri" w:hAnsi="Amiri" w:eastAsia="Amiri" w:cs="Amiri"/>
          <w:color w:val="111111"/>
          <w:sz w:val="28"/>
          <w:sz w:val="28"/>
          <w:szCs w:val="28"/>
          <w:rtl w:val="true"/>
          <w:lang w:bidi="ar-SA"/>
        </w:rPr>
        <w:t>مع أن امتلاء، ممكن، وما رُوي عنه أنه كان يأكل بعد ذلك ما يأكل، ثمّ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شَبِعْتُ ولكن عَیِيْتُ</w:t>
      </w:r>
      <w:r>
        <w:rPr>
          <w:rFonts w:eastAsia="Amiri" w:cs="Amiri" w:ascii="Amiri" w:hAnsi="Amiri"/>
          <w:color w:val="111111"/>
          <w:sz w:val="28"/>
          <w:szCs w:val="28"/>
          <w:rtl w:val="true"/>
          <w:lang w:bidi="ar-SA"/>
        </w:rPr>
        <w:t>»</w:t>
      </w:r>
      <w:r>
        <w:rPr>
          <w:rStyle w:val="FootnoteAnchor"/>
          <w:rtl w:val="true"/>
        </w:rPr>
        <w:footnoteReference w:id="62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ويحرم الأكل على مائدة يُشرَب عليها شيء من المسكرات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خمراً وغيره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الفقاع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لقول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ملعون من جلس على مائدة يُشرب عليها الخمر</w:t>
      </w:r>
      <w:r>
        <w:rPr>
          <w:rFonts w:eastAsia="IRNazanin" w:cs="IRNazanin"/>
          <w:color w:val="111111"/>
          <w:sz w:val="28"/>
          <w:szCs w:val="28"/>
          <w:rtl w:val="true"/>
          <w:lang w:bidi="fa-IR"/>
        </w:rPr>
        <w:t>»</w:t>
      </w:r>
      <w:r>
        <w:rPr>
          <w:rStyle w:val="FootnoteAnchor"/>
          <w:rtl w:val="true"/>
        </w:rPr>
        <w:footnoteReference w:id="62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خبر آخر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طائعاً</w:t>
      </w:r>
      <w:r>
        <w:rPr>
          <w:rFonts w:eastAsia="Amiri" w:cs="Amiri" w:ascii="Amiri" w:hAnsi="Amiri"/>
          <w:color w:val="111111"/>
          <w:sz w:val="28"/>
          <w:szCs w:val="28"/>
          <w:rtl w:val="true"/>
          <w:lang w:bidi="ar-SA"/>
        </w:rPr>
        <w:t>»</w:t>
      </w:r>
      <w:r>
        <w:rPr>
          <w:rStyle w:val="FootnoteAnchor"/>
          <w:rtl w:val="true"/>
        </w:rPr>
        <w:footnoteReference w:id="63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وباقي المسكرات بحكمه، وفي بعض الأخبار تسميتها خمراً </w:t>
      </w:r>
      <w:r>
        <w:rPr>
          <w:rStyle w:val="FootnoteAnchor"/>
          <w:rtl w:val="true"/>
        </w:rPr>
        <w:footnoteReference w:id="631"/>
      </w:r>
      <w:r>
        <w:rPr>
          <w:rFonts w:ascii="Amiri" w:hAnsi="Amiri" w:eastAsia="Amiri" w:cs="Amiri"/>
          <w:color w:val="111111"/>
          <w:sz w:val="28"/>
          <w:sz w:val="28"/>
          <w:szCs w:val="28"/>
          <w:rtl w:val="true"/>
          <w:lang w:bidi="ar-SA"/>
        </w:rPr>
        <w:t>،وكذا الفقاع</w:t>
      </w:r>
      <w:r>
        <w:rPr>
          <w:rStyle w:val="FootnoteAnchor"/>
          <w:rtl w:val="true"/>
        </w:rPr>
        <w:footnoteReference w:id="63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وباقي المحرَّمات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غِيبة مؤمن على المائدة ونحوها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يمكن إلحاقها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ذهب إليه العلّامة؛</w:t>
      </w:r>
      <w:r>
        <w:rPr>
          <w:rStyle w:val="FootnoteAnchor"/>
          <w:rtl w:val="true"/>
        </w:rPr>
        <w:footnoteReference w:id="633"/>
      </w:r>
      <w:r>
        <w:rPr>
          <w:rFonts w:ascii="Amiri" w:hAnsi="Amiri" w:eastAsia="Amiri" w:cs="Amiri"/>
          <w:color w:val="111111"/>
          <w:sz w:val="28"/>
          <w:sz w:val="28"/>
          <w:szCs w:val="28"/>
          <w:rtl w:val="true"/>
          <w:lang w:bidi="ar-SA"/>
        </w:rPr>
        <w:t>لمشاركتها لها في معصية الله تعالى، ولما في القيام عنها من النهي عن المنكر؛ فإنّه يقتضي الإعراض عن فاعله وهو ضرب من وهو ضرب من النهي الواجب</w:t>
      </w:r>
      <w:r>
        <w:rPr>
          <w:rFonts w:eastAsia="Amiri" w:cs="Amiri" w:ascii="Amiri" w:hAnsi="Amiri"/>
          <w:color w:val="111111"/>
          <w:sz w:val="28"/>
          <w:szCs w:val="28"/>
          <w:rtl w:val="true"/>
          <w:lang w:bidi="ar-SA"/>
        </w:rPr>
        <w:t>.</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وحرَّم ابنُ إدريس الأكل من طعام يُعصَى الله به أو عليه</w:t>
      </w:r>
      <w:r>
        <w:rPr>
          <w:rStyle w:val="FootnoteAnchor"/>
          <w:rtl w:val="true"/>
        </w:rPr>
        <w:footnoteReference w:id="634"/>
      </w:r>
      <w:r>
        <w:rPr>
          <w:rFonts w:ascii="Amiri" w:hAnsi="Amiri" w:eastAsia="Amiri" w:cs="Amiri"/>
          <w:color w:val="111111"/>
          <w:sz w:val="28"/>
          <w:sz w:val="28"/>
          <w:szCs w:val="28"/>
          <w:rtl w:val="true"/>
          <w:lang w:bidi="ar-SA"/>
        </w:rPr>
        <w:t>، ولا ريب أنه أحوط</w:t>
      </w:r>
      <w:r>
        <w:rPr>
          <w:rFonts w:eastAsia="Amiri" w:cs="Amiri" w:ascii="Amiri" w:hAnsi="Amiri"/>
          <w:color w:val="111111"/>
          <w:sz w:val="28"/>
          <w:szCs w:val="28"/>
          <w:rtl w:val="true"/>
          <w:lang w:bidi="ar-SA"/>
        </w:rPr>
        <w:t xml:space="preserve">. </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النهي بالقيام، فإنّما يَتم مع تجويزه التأثير به واجتماع باقي الشرائط، ووجوبه حينئذ من هذه الحيثية حسن، إلّا أنّ إثبات الحكم مطلقاً مشكل؛ إذ لا يَتِم وجوب الإنكار مطلقاً، فلا يحرم الأكلُ مطلقاً، وإلحاق غير المنصوص به قياس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فرق بين وضع المحرم أو فعله على المائدة في ابتدائها واستدامتها فمتى عرض المحرم في الأثناء وجب القيام حينئذٍ، كما أنه لو كان ابتداءً حرم الجلوس عليها وابتداء الأكل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والأقوى أنّ كلَّ واحد من الأكل منها والجلوس عليها محرَّم برأسه وإنْ انْفَكَ عن الآخر</w:t>
      </w:r>
      <w:r>
        <w:rPr>
          <w:rFonts w:eastAsia="Amiri" w:cs="Amiri" w:ascii="Amiri" w:hAnsi="Amiri"/>
          <w:color w:val="111111"/>
          <w:sz w:val="28"/>
          <w:szCs w:val="28"/>
          <w:rtl w:val="true"/>
          <w:lang w:bidi="ar-SA"/>
        </w:rPr>
        <w:t xml:space="preserve">. </w:t>
      </w:r>
      <w:bookmarkStart w:id="87" w:name="pg11049_88469"/>
    </w:p>
    <w:p>
      <w:pPr>
        <w:pStyle w:val="Heading2"/>
        <w:numPr>
          <w:ilvl w:val="1"/>
          <w:numId w:val="1"/>
        </w:numPr>
        <w:rPr/>
      </w:pPr>
      <w:bookmarkStart w:id="88" w:name="__RefHeading___Toc1446123_1067777946"/>
      <w:bookmarkStart w:id="89" w:name="_Toc25"/>
      <w:bookmarkEnd w:id="87"/>
      <w:bookmarkEnd w:id="88"/>
      <w:r>
        <w:rPr>
          <w:rtl w:val="true"/>
        </w:rPr>
        <w:t>كتاب الميراث</w:t>
      </w:r>
      <w:bookmarkEnd w:id="89"/>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90" w:name="__RefHeading___Toc1446125_1067777946"/>
      <w:bookmarkStart w:id="91" w:name="_Toc26"/>
      <w:bookmarkEnd w:id="90"/>
      <w:r>
        <w:rPr>
          <w:rtl w:val="true"/>
        </w:rPr>
        <w:t>اشارة</w:t>
      </w:r>
      <w:bookmarkEnd w:id="91"/>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92" w:name="pg11049_88471"/>
      <w:bookmarkStart w:id="93" w:name="pg11049_88471"/>
      <w:bookmarkEnd w:id="93"/>
    </w:p>
    <w:p>
      <w:pPr>
        <w:pStyle w:val="BookText"/>
        <w:rPr/>
      </w:pPr>
      <w:bookmarkStart w:id="94" w:name="pg11049_88471"/>
      <w:bookmarkEnd w:id="94"/>
      <w:r>
        <w:rPr>
          <w:rFonts w:ascii="Amiri" w:hAnsi="Amiri" w:eastAsia="Amiri" w:cs="Amiri"/>
          <w:color w:val="111111"/>
          <w:sz w:val="28"/>
          <w:sz w:val="28"/>
          <w:szCs w:val="28"/>
          <w:rtl w:val="true"/>
          <w:lang w:bidi="ar-SA"/>
        </w:rPr>
        <w:t>كتاب الميراث</w:t>
      </w:r>
    </w:p>
    <w:p>
      <w:pPr>
        <w:pStyle w:val="BookText"/>
        <w:rPr/>
      </w:pPr>
      <w:r>
        <w:rPr>
          <w:rFonts w:ascii="Amiri" w:hAnsi="Amiri" w:eastAsia="Amiri" w:cs="Amiri"/>
          <w:color w:val="111111"/>
          <w:sz w:val="28"/>
          <w:sz w:val="28"/>
          <w:szCs w:val="28"/>
          <w:rtl w:val="true"/>
          <w:lang w:bidi="ar-SA"/>
        </w:rPr>
        <w:t xml:space="preserve">وهو مفعال مِفعال من الإرث و ياؤُه منقلبة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أو من الموروث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على الأوّل استحقاق إنسان بموتِ آخَرَ بنَسَبٍ أو سببِ شيئاً بالأصالة، وعلى الثاني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يستحقه إنسان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آخره، بحذف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أعم من الفرائض مطلقاً إن أريد بها المفروض بالتفصيل، وإن أريد بها ما يَعُمّ الإجمال كإرث أولي الأرحام، فهو بمعناه، ومِن ثُمَّ كان التعبير بالميراث أولى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وفيه فصول؛</w:t>
      </w:r>
      <w:r>
        <w:rPr>
          <w:rFonts w:eastAsia="Amiri" w:cs="Amiri" w:ascii="Amiri" w:hAnsi="Amiri"/>
          <w:color w:val="111111"/>
          <w:sz w:val="28"/>
          <w:szCs w:val="28"/>
          <w:rtl w:val="true"/>
          <w:lang w:bidi="ar-SA"/>
        </w:rPr>
        <w:t>)</w:t>
      </w:r>
    </w:p>
    <w:p>
      <w:pPr>
        <w:pStyle w:val="Heading3"/>
        <w:numPr>
          <w:ilvl w:val="2"/>
          <w:numId w:val="1"/>
        </w:numPr>
        <w:rPr/>
      </w:pPr>
      <w:bookmarkStart w:id="95" w:name="__RefHeading___Toc1446127_1067777946"/>
      <w:bookmarkStart w:id="96" w:name="_Toc27"/>
      <w:bookmarkEnd w:id="95"/>
      <w:r>
        <w:rPr>
          <w:rtl w:val="true"/>
        </w:rPr>
        <w:t>الفصل الأول</w:t>
      </w:r>
      <w:r>
        <w:rPr>
          <w:rtl w:val="true"/>
        </w:rPr>
        <w:t xml:space="preserve">: </w:t>
      </w:r>
      <w:r>
        <w:rPr>
          <w:rtl w:val="true"/>
        </w:rPr>
        <w:t>البحث في الموجبات للإرث والموانع منه</w:t>
      </w:r>
      <w:bookmarkEnd w:id="9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يُوجب الإرثَ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يُثبته شيئان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النسب والسبب</w:t>
      </w:r>
      <w:r>
        <w:rPr>
          <w:rFonts w:eastAsia="Amiri" w:cs="Amiri" w:ascii="Amiri" w:hAnsi="Amiri"/>
          <w:color w:val="111111"/>
          <w:sz w:val="28"/>
          <w:szCs w:val="28"/>
          <w:rtl w:val="true"/>
          <w:lang w:bidi="ar-SA"/>
        </w:rPr>
        <w:t>).</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فالنسب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الاتصال بالولادة بانتهاء أحدهما إلى الآخَر كالأب والابن أو بانتهائهما إلى ثالث مع صدق إسم النسب عرفاً على الوجه الشرعي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ثلاث مراتب لا يرث أحد من المرتبة التالية مع وجود واحدٍ من المرتبة السابقة خالٍ من الموانع</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فالأولى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الآباء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دون آبائهم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والأولاد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نزلوا،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الإخوة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والمراد بهم ما يشمل الأخوات للأبوين أو أحدهما،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والأجداد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والمراد بهم ما يشمل الجدات،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فصاعداً، وأولاد الإخوة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والأخوات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فنازِلاً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ذكوراً وإناثاً، وأفردهم عن الإخوة لعدم إطلاق اسم الإخوة عليهم فلا يدخلون ولو قيل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 نزلوا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ونحوه، بخلاف الأجداد والأولاد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الثالثة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الأعمام والأخوال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للأبوين أو أحدهما وإنْ عَلَوا، كأعمام الأب والأم وأعمام الأجداد، وأولادهم فنازِلاً، ذكوراً وإناثاً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والسبب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الاتصال بالزوجيّةِ أو الولاء، وجملته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أربعة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الزوجيّةُ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الجانبين مع دوام العقد أو شرط الإرث على الخلاف</w:t>
      </w:r>
      <w:r>
        <w:rPr>
          <w:rStyle w:val="FootnoteAnchor"/>
          <w:rtl w:val="true"/>
        </w:rPr>
        <w:footnoteReference w:id="635"/>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إنه يوجب الإرث كالدائم ذهب إليه القاضي في المهذب، 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240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243</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إنه لا توارث فيه مطلقاً ذهب إليه أبو الصلاح في الكافي في الفقه، ص </w:t>
      </w:r>
      <w:r>
        <w:rPr>
          <w:rFonts w:eastAsia="Amiri" w:cs="Amiri" w:ascii="Amiri" w:hAnsi="Amiri"/>
          <w:color w:val="111111"/>
          <w:sz w:val="28"/>
          <w:szCs w:val="28"/>
          <w:lang w:bidi="ar-SA"/>
        </w:rPr>
        <w:t>298</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إنه يوجب الإرث مع الشرط ذهب إليه الشيخ في النهاية، ص </w:t>
      </w:r>
      <w:r>
        <w:rPr>
          <w:rFonts w:eastAsia="Amiri" w:cs="Amiri" w:ascii="Amiri" w:hAnsi="Amiri"/>
          <w:color w:val="111111"/>
          <w:sz w:val="28"/>
          <w:szCs w:val="28"/>
          <w:lang w:bidi="ar-SA"/>
        </w:rPr>
        <w:t>492</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إنه يقتضي التوارث مالم يشترط سقوطه نقله عن ابن أبي عقيل العلّامة في مختلف الشيعة، ج </w:t>
      </w:r>
      <w:r>
        <w:rPr>
          <w:rFonts w:eastAsia="Amiri" w:cs="Amiri" w:ascii="Amiri" w:hAnsi="Amiri"/>
          <w:color w:val="111111"/>
          <w:sz w:val="28"/>
          <w:szCs w:val="28"/>
          <w:lang w:bidi="ar-SA"/>
        </w:rPr>
        <w:t>7</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المسألة </w:t>
      </w:r>
      <w:r>
        <w:rPr>
          <w:rFonts w:eastAsia="Amiri" w:cs="Amiri" w:ascii="Amiri" w:hAnsi="Amiri"/>
          <w:color w:val="111111"/>
          <w:sz w:val="28"/>
          <w:szCs w:val="28"/>
          <w:lang w:bidi="ar-SA"/>
        </w:rPr>
        <w:t>160</w:t>
      </w:r>
    </w:p>
    <w:p>
      <w:pPr>
        <w:pStyle w:val="BookText"/>
        <w:rPr/>
      </w:pP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الإعتاق 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ضمان الجريرة 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الإمامة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والزوجية من هذه الأسباب تجامع جميع الوراث والإعتاق لا يُجامِع النَسَبَ ويُقدَّم على ضمان الجريرة المقدَّم على ولاء الإمامة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فهذه أصول موجبات الإرث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الموانع فكثيرة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سبق بعضُها ويُذكر بعضها في تضاعيف الكتاب وغيره، وقد جَمَعها المصنّف في الدروس إلى عشرين</w:t>
      </w:r>
      <w:r>
        <w:rPr>
          <w:rStyle w:val="FootnoteAnchor"/>
          <w:rtl w:val="true"/>
        </w:rPr>
        <w:footnoteReference w:id="636"/>
      </w:r>
      <w:r>
        <w:rPr>
          <w:rFonts w:ascii="Amiri" w:hAnsi="Amiri" w:eastAsia="Amiri" w:cs="Amiri"/>
          <w:color w:val="111111"/>
          <w:sz w:val="28"/>
          <w:sz w:val="28"/>
          <w:szCs w:val="28"/>
          <w:rtl w:val="true"/>
          <w:lang w:bidi="ar-SA"/>
        </w:rPr>
        <w:t xml:space="preserve">، وذكر منها هنا ستة </w:t>
      </w:r>
      <w:r>
        <w:rPr>
          <w:rFonts w:eastAsia="Amiri" w:cs="Amiri" w:ascii="Amiri" w:hAnsi="Amiri"/>
          <w:color w:val="111111"/>
          <w:sz w:val="28"/>
          <w:szCs w:val="28"/>
          <w:rtl w:val="true"/>
          <w:lang w:bidi="ar-SA"/>
        </w:rPr>
        <w:t>:</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أحدها الكفر،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ويمنع الإرث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للمسلم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بجميع أصنافه وإن انتحل معه الإسلام،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 يَرِثُ الكافر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حربيّاً كان أم ذمّيّاً أم خارجيّاً أم ناصبيّاً أم غالياً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لم يكن مؤمناً،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والمسلمُ يَرِث الكافر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ويمنع وَرَنَتَه الكفار وإنْ </w:t>
      </w:r>
    </w:p>
    <w:p>
      <w:pPr>
        <w:pStyle w:val="BookText"/>
        <w:rPr/>
      </w:pPr>
      <w:r>
        <w:rPr>
          <w:rFonts w:ascii="Amiri" w:hAnsi="Amiri" w:eastAsia="Amiri" w:cs="Amiri"/>
          <w:color w:val="111111"/>
          <w:sz w:val="28"/>
          <w:sz w:val="28"/>
          <w:szCs w:val="28"/>
          <w:rtl w:val="true"/>
          <w:lang w:bidi="ar-SA"/>
        </w:rPr>
        <w:t>قَرُبُوا وبَعُدَ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وكذا يرث المبتدِعُ من المسلمين لأهل الحق ولمثله، ويَرِثُونه على الأشهر وقيل يَرِثُه المُحِقُ دون العكس</w:t>
      </w:r>
      <w:r>
        <w:rPr>
          <w:rStyle w:val="FootnoteAnchor"/>
          <w:rtl w:val="true"/>
        </w:rPr>
        <w:footnoteReference w:id="63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ولو لم يُخَلِّف المسلم قريباً مسلماً كان ميراثُه للمُعتق، ثمّ ضامنِ الجريرة، ثمّ الإمام، ولا يَرِثُه الكافر بحال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بخلاف الكافر فإنّ الكفار يرثونه مع فقد الوارث المسلم وإنْ بَعُدَ كضا من الجريرة، ويُقدمون على الإمام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وإذا أسلم الكافرُ علی میراث قبل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قسمته بين الورثة حيث يكونون متعدّدين،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شارَكَ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الإرث بحسب حاله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كان مساوياً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لهم في المرتبة كما لو كان الكافر ابناً والورثة إخوته،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وانفرد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بالإرث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كان أولى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منهم كما لو كانوا إخوةً مسلماً كان الموروث أم كافراً ونَماء التركة كالأصل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أسلم بعد القسمة أو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كان الوارث واحداً فلا مشاركة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ولو كان الوارث الإمام حيث يكون الموروث مسلماً ففى تنزيله منزلة الوارث الواحد</w:t>
      </w:r>
      <w:r>
        <w:rPr>
          <w:rStyle w:val="FootnoteAnchor"/>
          <w:rtl w:val="true"/>
        </w:rPr>
        <w:footnoteReference w:id="638"/>
      </w:r>
      <w:r>
        <w:rPr>
          <w:rFonts w:ascii="Amiri" w:hAnsi="Amiri" w:eastAsia="Amiri" w:cs="Amiri"/>
          <w:color w:val="111111"/>
          <w:sz w:val="28"/>
          <w:sz w:val="28"/>
          <w:szCs w:val="28"/>
          <w:rtl w:val="true"/>
          <w:lang w:bidi="ar-SA"/>
        </w:rPr>
        <w:t>، أو اعتبار نقل التركة إلى بيت المال</w:t>
      </w:r>
      <w:r>
        <w:rPr>
          <w:rStyle w:val="FootnoteAnchor"/>
          <w:rtl w:val="true"/>
        </w:rPr>
        <w:footnoteReference w:id="639"/>
      </w:r>
      <w:r>
        <w:rPr>
          <w:rFonts w:ascii="Amiri" w:hAnsi="Amiri" w:eastAsia="Amiri" w:cs="Amiri"/>
          <w:color w:val="111111"/>
          <w:sz w:val="28"/>
          <w:sz w:val="28"/>
          <w:szCs w:val="28"/>
          <w:rtl w:val="true"/>
          <w:lang w:bidi="ar-SA"/>
        </w:rPr>
        <w:t>، أو توريث المسلم مطلقاً</w:t>
      </w:r>
      <w:r>
        <w:rPr>
          <w:rStyle w:val="FootnoteAnchor"/>
          <w:rtl w:val="true"/>
        </w:rPr>
        <w:footnoteReference w:id="640"/>
      </w:r>
      <w:r>
        <w:rPr>
          <w:rFonts w:ascii="Amiri" w:hAnsi="Amiri" w:eastAsia="Amiri" w:cs="Amiri"/>
          <w:color w:val="111111"/>
          <w:sz w:val="28"/>
          <w:sz w:val="28"/>
          <w:szCs w:val="28"/>
          <w:rtl w:val="true"/>
          <w:lang w:bidi="ar-SA"/>
        </w:rPr>
        <w:t>، أقوال، ووجه الأوّل واضح دون الثاني، والأخيرُ مروي</w:t>
      </w:r>
      <w:r>
        <w:rPr>
          <w:rStyle w:val="FootnoteAnchor"/>
          <w:rtl w:val="true"/>
        </w:rPr>
        <w:footnoteReference w:id="641"/>
      </w:r>
      <w:r>
        <w:rPr>
          <w:rFonts w:eastAsia="Times New Roman" w:cs="Times New Roman" w:ascii="Times New Roman" w:hAnsi="Times New Roman"/>
          <w:color w:val="111111"/>
          <w:sz w:val="28"/>
          <w:szCs w:val="28"/>
          <w:rtl w:val="true"/>
          <w:lang w:val="en-US" w:bidi="en-US"/>
        </w:rPr>
        <w:t>.</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ولو كان الوارث أحد الزوجين فالأقوى أنّ الزوج كالوارثِ المتحدِ والزوجة كالمتعدّد؛ لمشاركة الإمام لها دونه وإن كان غائباً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كان الإسلام بعد قسمة البعض ففي مشاركته في الجميع أو في الباقي أو المنع منهما، أوجه أوسطها الوسط</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والمرتد عن فطرة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الذي انعقد وأحد أبويه مسلم، لا تقبل توبته ظاهراً وإنْ قبلت باطناً على الأقوى،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وتُقسَم تَرِكته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بين ورثته بعد قضاء ديونه منها إن كان عليه دَينُ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 لم يُقتل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فات السلطان أو لم تكن يدُ المُستوفي مبسوطة،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ويَرِثُه المسلمون لا غير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لتنزيله منزلة المسلم في كثير من الأحكام كقضاء عبادته الفائتة زمن الردّة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المرتد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غير فطرة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الذي انعقد ولم يكن أحد أبويه مسلماً، لا يُقتل مُعَجَّلاً، بل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يُستَتاب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الذنب الذي ارْتَدَّ بسببه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تاب وإِلّا قُتِل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يُقسم ماله حتى يُقتل أو يموت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وسيأتي بقيه حكمه في باب الحدود</w:t>
      </w:r>
      <w:r>
        <w:rPr>
          <w:rStyle w:val="FootnoteAnchor"/>
          <w:rtl w:val="true"/>
        </w:rPr>
        <w:footnoteReference w:id="642"/>
      </w:r>
      <w:r>
        <w:rPr>
          <w:rFonts w:ascii="IRNazanin" w:hAnsi="IRNazanin" w:eastAsia="IRNazanin"/>
          <w:color w:val="111111"/>
          <w:sz w:val="28"/>
          <w:sz w:val="28"/>
          <w:szCs w:val="28"/>
          <w:rtl w:val="true"/>
          <w:lang w:bidi="fa-IR"/>
        </w:rPr>
        <w:t>إن شاء الله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والمرأة لا تُقتَل بالارتداد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لقصور عقلها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ولكن تُحبَس وتُضرَب أوقات الصلوات حتّى تتوبَ أو تموت، وكذلك الخنثى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للشك في ذكوريّتِه المُسَلِّطَةِ على قتله، ويُحتمل أن يلحقه حكمُ الرجل؛ لعموم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مَن بدل دينه فاقتلوه</w:t>
      </w:r>
      <w:r>
        <w:rPr>
          <w:rFonts w:eastAsia="IRNazanin" w:cs="IRNazanin"/>
          <w:color w:val="111111"/>
          <w:sz w:val="28"/>
          <w:szCs w:val="28"/>
          <w:rtl w:val="true"/>
          <w:lang w:bidi="fa-IR"/>
        </w:rPr>
        <w:t>»</w:t>
      </w:r>
      <w:r>
        <w:rPr>
          <w:rStyle w:val="FootnoteAnchor"/>
          <w:rtl w:val="true"/>
        </w:rPr>
        <w:footnoteReference w:id="643"/>
      </w:r>
      <w:r>
        <w:rPr>
          <w:rFonts w:ascii="Amiri" w:hAnsi="Amiri" w:eastAsia="Amiri" w:cs="Amiri"/>
          <w:color w:val="111111"/>
          <w:sz w:val="28"/>
          <w:sz w:val="28"/>
          <w:szCs w:val="28"/>
          <w:rtl w:val="true"/>
          <w:lang w:bidi="ar-SA"/>
        </w:rPr>
        <w:t>خرج منه المرأة فيبقى الباقى داخلاً في العموم؛ إذ لا نص على الخنثى بخصوصه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متجه لولا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الحدود تُدرَاً بالشبهات</w:t>
      </w:r>
      <w:r>
        <w:rPr>
          <w:rFonts w:eastAsia="Amiri" w:cs="Amiri" w:ascii="Amiri" w:hAnsi="Amiri"/>
          <w:color w:val="111111"/>
          <w:sz w:val="28"/>
          <w:szCs w:val="28"/>
          <w:rtl w:val="true"/>
          <w:lang w:bidi="ar-SA"/>
        </w:rPr>
        <w:t>»</w:t>
      </w:r>
      <w:r>
        <w:rPr>
          <w:rStyle w:val="FootnoteAnchor"/>
          <w:rtl w:val="true"/>
        </w:rPr>
        <w:footnoteReference w:id="644"/>
      </w:r>
      <w:r>
        <w:rPr>
          <w:rFonts w:eastAsia="Times New Roman" w:cs="Times New Roman" w:ascii="Times New Roman" w:hAnsi="Times New Roman"/>
          <w:color w:val="111111"/>
          <w:sz w:val="28"/>
          <w:szCs w:val="28"/>
          <w:rtl w:val="true"/>
          <w:lang w:val="en-US" w:bidi="en-US"/>
        </w:rPr>
        <w:t>.</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ثانيها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القتل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قتلُ الوارثِ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لولاه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الموروث، وهو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الإرث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كان عمداً ظلماً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إجماعاً مقابلة له بنقيض مقصوده، ولقوله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ميراث لقاتل</w:t>
      </w:r>
      <w:r>
        <w:rPr>
          <w:rFonts w:eastAsia="IRNazanin" w:cs="IRNazanin"/>
          <w:color w:val="111111"/>
          <w:sz w:val="28"/>
          <w:szCs w:val="28"/>
          <w:rtl w:val="true"/>
          <w:lang w:bidi="fa-IR"/>
        </w:rPr>
        <w:t>»</w:t>
      </w:r>
      <w:r>
        <w:rPr>
          <w:rStyle w:val="FootnoteAnchor"/>
          <w:rtl w:val="true"/>
        </w:rPr>
        <w:footnoteReference w:id="64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واحترز بالظلم عمّا لو قتله حداً أو قصاصاً ونحوهما من القتل بحق فإنّه لا يُمنع</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ولو 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قتله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خطأ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مُنع من الدية خاصةً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أظهر الأقوال</w:t>
      </w:r>
      <w:r>
        <w:rPr>
          <w:rStyle w:val="FootnoteAnchor"/>
          <w:rtl w:val="true"/>
        </w:rPr>
        <w:footnoteReference w:id="646"/>
      </w:r>
    </w:p>
    <w:p>
      <w:pPr>
        <w:pStyle w:val="BookText"/>
        <w:rPr/>
      </w:pPr>
      <w:r>
        <w:rPr>
          <w:rFonts w:ascii="Amiri" w:hAnsi="Amiri" w:eastAsia="Amiri" w:cs="Amiri"/>
          <w:color w:val="111111"/>
          <w:sz w:val="28"/>
          <w:sz w:val="28"/>
          <w:szCs w:val="28"/>
          <w:rtl w:val="true"/>
          <w:lang w:bidi="ar-SA"/>
        </w:rPr>
        <w:t>لأنه جامع بين النصين</w:t>
      </w:r>
      <w:r>
        <w:rPr>
          <w:rStyle w:val="FootnoteAnchor"/>
          <w:rtl w:val="true"/>
        </w:rPr>
        <w:footnoteReference w:id="647"/>
      </w:r>
      <w:r>
        <w:rPr>
          <w:rStyle w:val="FootnoteAnchor"/>
          <w:rtl w:val="true"/>
        </w:rPr>
        <w:footnoteReference w:id="648"/>
      </w:r>
      <w:r>
        <w:rPr>
          <w:rFonts w:ascii="Amiri" w:hAnsi="Amiri" w:eastAsia="Amiri" w:cs="Amiri"/>
          <w:color w:val="111111"/>
          <w:sz w:val="28"/>
          <w:sz w:val="28"/>
          <w:szCs w:val="28"/>
          <w:rtl w:val="true"/>
          <w:lang w:bidi="ar-SA"/>
        </w:rPr>
        <w:t xml:space="preserve">و به صريحاً رواية عامية </w:t>
      </w:r>
      <w:r>
        <w:rPr>
          <w:rStyle w:val="FootnoteAnchor"/>
          <w:rtl w:val="true"/>
        </w:rPr>
        <w:footnoteReference w:id="64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يُمنَع مطلقاً </w:t>
      </w:r>
      <w:r>
        <w:rPr>
          <w:rStyle w:val="FootnoteAnchor"/>
          <w:rtl w:val="true"/>
        </w:rPr>
        <w:footnoteReference w:id="650"/>
      </w:r>
      <w:r>
        <w:rPr>
          <w:rFonts w:ascii="Amiri" w:hAnsi="Amiri" w:eastAsia="Amiri" w:cs="Amiri"/>
          <w:color w:val="111111"/>
          <w:sz w:val="28"/>
          <w:sz w:val="28"/>
          <w:szCs w:val="28"/>
          <w:rtl w:val="true"/>
          <w:lang w:bidi="ar-SA"/>
        </w:rPr>
        <w:t>لرواية الفضيل بن يسار عن الصادق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لا يرث الرجلُ الرجل إذا قتله وإن كان خطأ</w:t>
      </w:r>
      <w:r>
        <w:rPr>
          <w:rFonts w:eastAsia="Amiri" w:cs="Amiri" w:ascii="Amiri" w:hAnsi="Amiri"/>
          <w:color w:val="111111"/>
          <w:sz w:val="28"/>
          <w:szCs w:val="28"/>
          <w:rtl w:val="true"/>
          <w:lang w:bidi="ar-SA"/>
        </w:rPr>
        <w:t>»</w:t>
      </w:r>
      <w:r>
        <w:rPr>
          <w:rStyle w:val="FootnoteAnchor"/>
          <w:rtl w:val="true"/>
        </w:rPr>
        <w:footnoteReference w:id="65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يرث مطلقاً</w:t>
      </w:r>
      <w:r>
        <w:rPr>
          <w:rStyle w:val="FootnoteAnchor"/>
          <w:rtl w:val="true"/>
        </w:rPr>
        <w:footnoteReference w:id="652"/>
      </w:r>
      <w:r>
        <w:rPr>
          <w:rFonts w:ascii="Amiri" w:hAnsi="Amiri" w:eastAsia="Amiri" w:cs="Amiri"/>
          <w:color w:val="111111"/>
          <w:sz w:val="28"/>
          <w:sz w:val="28"/>
          <w:szCs w:val="28"/>
          <w:rtl w:val="true"/>
          <w:lang w:bidi="ar-SA"/>
        </w:rPr>
        <w:t xml:space="preserve">لصحيحة عبد مطلقاً ، الصحيحة عبد الله بن سنان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رجل قتل أُمّه أيرثها؟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كان خطاً وَرِتَها وإن كان عمداً لم يرثها </w:t>
      </w:r>
      <w:r>
        <w:rPr>
          <w:rFonts w:eastAsia="Amiri" w:cs="Amiri" w:ascii="Amiri" w:hAnsi="Amiri"/>
          <w:color w:val="111111"/>
          <w:sz w:val="28"/>
          <w:szCs w:val="28"/>
          <w:rtl w:val="true"/>
          <w:lang w:bidi="ar-SA"/>
        </w:rPr>
        <w:t>»</w:t>
      </w:r>
      <w:r>
        <w:rPr>
          <w:rStyle w:val="FootnoteAnchor"/>
          <w:rtl w:val="true"/>
        </w:rPr>
        <w:footnoteReference w:id="65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وتركُ الاستفصال دليلُ العموم فيما تَرَكَتْه مطلقاً ومنه الدية، ورواية الفضيل مرسلة فلا تُعارِض الصحيح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إلحاق شبه العمد به أو بالخطأ قولان</w:t>
      </w:r>
      <w:r>
        <w:rPr>
          <w:rStyle w:val="FootnoteAnchor"/>
          <w:rtl w:val="true"/>
        </w:rPr>
        <w:footnoteReference w:id="654"/>
      </w:r>
    </w:p>
    <w:p>
      <w:pPr>
        <w:pStyle w:val="BookText"/>
        <w:rPr/>
      </w:pPr>
      <w:r>
        <w:rPr>
          <w:rFonts w:ascii="Amiri" w:hAnsi="Amiri" w:eastAsia="Amiri" w:cs="Amiri"/>
          <w:color w:val="111111"/>
          <w:sz w:val="28"/>
          <w:sz w:val="28"/>
          <w:szCs w:val="28"/>
          <w:rtl w:val="true"/>
          <w:lang w:bidi="ar-SA"/>
        </w:rPr>
        <w:t xml:space="preserve">والعلّامة في مختلف الشيعة، ج </w:t>
      </w:r>
      <w:r>
        <w:rPr>
          <w:rFonts w:eastAsia="Amiri" w:cs="Amiri" w:ascii="Amiri" w:hAnsi="Amiri"/>
          <w:color w:val="111111"/>
          <w:sz w:val="28"/>
          <w:szCs w:val="28"/>
          <w:lang w:bidi="ar-SA"/>
        </w:rPr>
        <w:t>9</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المسألة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أجودهما الأوّل؛ لأنّه عامدٌ في الجملة، ووجه العدم كونه خاطئاً كذلك؛ ولأن التعليل بمقابلته بنقيض مقصوده لا يجري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فرق بين الصبي والمجنون وغيرهما لكن في إلحاقهما بالخاطي أو العامدِ نظر، ولعلّ الأوّلَ أوجَهُ ولا بين المباشر والسبب في ظاهر المذهب للعموم</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9</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ويَرِثُ الدية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دية المقتول، سواءٌ وَجَبت أصالةً كالخطأ وشبهه أم صلحاً كالعمد كلُّ مُناسب للمقتول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ومُسابِبٍ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كغيرها من أمواله؛ لعموم آية أُولُوا الْأَرْحَامِ</w:t>
      </w:r>
      <w:r>
        <w:rPr>
          <w:rStyle w:val="FootnoteAnchor"/>
          <w:rtl w:val="true"/>
        </w:rPr>
        <w:footnoteReference w:id="655"/>
      </w:r>
      <w:r>
        <w:rPr>
          <w:rFonts w:ascii="Amiri" w:hAnsi="Amiri" w:eastAsia="Amiri" w:cs="Amiri"/>
          <w:color w:val="111111"/>
          <w:sz w:val="28"/>
          <w:sz w:val="28"/>
          <w:szCs w:val="28"/>
          <w:rtl w:val="true"/>
          <w:lang w:bidi="ar-SA"/>
        </w:rPr>
        <w:t>فإنّهم جمع مضافٌ</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إرث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المتقرّب </w:t>
      </w:r>
      <w:r>
        <w:rPr>
          <w:rStyle w:val="FootnoteAnchor"/>
          <w:rtl w:val="true"/>
        </w:rPr>
        <w:footnoteReference w:id="656"/>
      </w:r>
      <w:r>
        <w:rPr>
          <w:rFonts w:ascii="IRNazanin" w:hAnsi="IRNazanin" w:eastAsia="IRNazanin"/>
          <w:color w:val="111111"/>
          <w:sz w:val="28"/>
          <w:sz w:val="28"/>
          <w:szCs w:val="28"/>
          <w:rtl w:val="true"/>
          <w:lang w:bidi="fa-IR"/>
        </w:rPr>
        <w:t>بالأم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قولان</w:t>
      </w:r>
      <w:r>
        <w:rPr>
          <w:rFonts w:eastAsia="IRNazanin" w:cs="IRNazanin"/>
          <w:color w:val="111111"/>
          <w:sz w:val="28"/>
          <w:szCs w:val="28"/>
          <w:rtl w:val="true"/>
          <w:lang w:bidi="fa-IR"/>
        </w:rPr>
        <w:t>)</w:t>
      </w:r>
      <w:r>
        <w:rPr>
          <w:rStyle w:val="FootnoteAnchor"/>
          <w:rtl w:val="true"/>
        </w:rPr>
        <w:footnoteReference w:id="657"/>
      </w:r>
      <w:r>
        <w:rPr>
          <w:rFonts w:ascii="Amiri" w:hAnsi="Amiri" w:eastAsia="Amiri" w:cs="Amiri"/>
          <w:color w:val="111111"/>
          <w:sz w:val="28"/>
          <w:sz w:val="28"/>
          <w:szCs w:val="28"/>
          <w:rtl w:val="true"/>
          <w:lang w:bidi="ar-SA"/>
        </w:rPr>
        <w:t>مأخذهما ما سلف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ودَلالة رواية محمّد بن قيس</w:t>
      </w:r>
      <w:r>
        <w:rPr>
          <w:rStyle w:val="FootnoteAnchor"/>
          <w:rtl w:val="true"/>
        </w:rPr>
        <w:footnoteReference w:id="658"/>
      </w:r>
      <w:r>
        <w:rPr>
          <w:rFonts w:ascii="IRNazanin" w:hAnsi="IRNazanin" w:eastAsia="IRNazanin"/>
          <w:color w:val="111111"/>
          <w:sz w:val="28"/>
          <w:sz w:val="28"/>
          <w:szCs w:val="28"/>
          <w:rtl w:val="true"/>
          <w:lang w:bidi="fa-IR"/>
        </w:rPr>
        <w:t>وعبد الله بن سنان</w:t>
      </w:r>
      <w:r>
        <w:rPr>
          <w:rStyle w:val="FootnoteAnchor"/>
          <w:rtl w:val="true"/>
        </w:rPr>
        <w:footnoteReference w:id="659"/>
      </w:r>
      <w:r>
        <w:rPr>
          <w:rFonts w:ascii="Amiri" w:hAnsi="Amiri" w:eastAsia="Amiri" w:cs="Amiri"/>
          <w:color w:val="111111"/>
          <w:sz w:val="28"/>
          <w:sz w:val="28"/>
          <w:szCs w:val="28"/>
          <w:rtl w:val="true"/>
          <w:lang w:bidi="ar-SA"/>
        </w:rPr>
        <w:t xml:space="preserve">، وعُبيد بن زرارة </w:t>
      </w:r>
      <w:r>
        <w:rPr>
          <w:rStyle w:val="FootnoteAnchor"/>
          <w:rtl w:val="true"/>
        </w:rPr>
        <w:footnoteReference w:id="660"/>
      </w:r>
      <w:r>
        <w:rPr>
          <w:rFonts w:ascii="Amiri" w:hAnsi="Amiri" w:eastAsia="Amiri" w:cs="Amiri"/>
          <w:color w:val="111111"/>
          <w:sz w:val="28"/>
          <w:sz w:val="28"/>
          <w:szCs w:val="28"/>
          <w:rtl w:val="true"/>
          <w:lang w:bidi="ar-SA"/>
        </w:rPr>
        <w:t>، عن الباقر والصادق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بحرمان الإخوة من الأُمّ، والحق غيرهم من المتقرّب بها بهم لمفهوم الموافقة، واستقر به المصنف في الدروس</w:t>
      </w:r>
      <w:r>
        <w:rPr>
          <w:rStyle w:val="FootnoteAnchor"/>
          <w:rtl w:val="true"/>
        </w:rPr>
        <w:footnoteReference w:id="661"/>
      </w:r>
      <w:r>
        <w:rPr>
          <w:rFonts w:ascii="Amiri" w:hAnsi="Amiri" w:eastAsia="Amiri" w:cs="Amiri"/>
          <w:color w:val="111111"/>
          <w:sz w:val="28"/>
          <w:sz w:val="28"/>
          <w:szCs w:val="28"/>
          <w:rtl w:val="true"/>
          <w:lang w:bidi="ar-SA"/>
        </w:rPr>
        <w:t>بعد حكمه بقصر المنع على موضع النص</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ويرثها الزوج والزوجة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الأشهر</w:t>
      </w:r>
      <w:r>
        <w:rPr>
          <w:rStyle w:val="FootnoteAnchor"/>
          <w:rtl w:val="true"/>
        </w:rPr>
        <w:footnoteReference w:id="662"/>
      </w:r>
      <w:r>
        <w:rPr>
          <w:rFonts w:ascii="Amiri" w:hAnsi="Amiri" w:eastAsia="Amiri" w:cs="Amiri"/>
          <w:color w:val="111111"/>
          <w:sz w:val="28"/>
          <w:sz w:val="28"/>
          <w:szCs w:val="28"/>
          <w:rtl w:val="true"/>
          <w:lang w:bidi="ar-SA"/>
        </w:rPr>
        <w:t>، ورواية السكوني</w:t>
      </w:r>
      <w:r>
        <w:rPr>
          <w:rStyle w:val="FootnoteAnchor"/>
          <w:rtl w:val="true"/>
        </w:rPr>
        <w:footnoteReference w:id="663"/>
      </w:r>
      <w:r>
        <w:rPr>
          <w:rFonts w:ascii="Amiri" w:hAnsi="Amiri" w:eastAsia="Amiri" w:cs="Amiri"/>
          <w:color w:val="111111"/>
          <w:sz w:val="28"/>
          <w:sz w:val="28"/>
          <w:szCs w:val="28"/>
          <w:rtl w:val="true"/>
          <w:lang w:bidi="ar-SA"/>
        </w:rPr>
        <w:t xml:space="preserve">بمنعهما ضعيفة أو محمولة على التقية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يرثان القصاص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اتفاقاً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صولح على الدية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العمد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وَرِثا منها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كغيرها من الأموال وغيرهما من الوراث للعموم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ثالثها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الرِقُ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مانع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الإرث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الوارث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كان الموروث مثله، بل يَرِتُه الحرُّ وإنْ كان ضامِنَ جريرةٍ دون الرق وإن كان ولداً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الموروث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يرث الرق قريبه الحرُّ وإن قلنا بملكه بل ماله لمولاه بحق الملك لا بالإرث مطلقاً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ولو كان للرقيق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ولدِ الميّت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وَرِث جده دون الأب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لوجود المانع فيه دونه ولا يُمنع برق أبيه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وكذا الكافرُ والقاتلُ لا يَمنَعان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الإرث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يَتَقَرَّب بهما لانتفاء المانع منه دونهما</w:t>
      </w:r>
      <w:r>
        <w:rPr>
          <w:rFonts w:eastAsia="Amiri" w:cs="Amiri" w:ascii="Amiri" w:hAnsi="Amiri"/>
          <w:color w:val="111111"/>
          <w:sz w:val="28"/>
          <w:szCs w:val="28"/>
          <w:rtl w:val="true"/>
          <w:lang w:bidi="ar-SA"/>
        </w:rPr>
        <w:t>.</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والمُبَعَّضُ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مَن تَحَرَّر بعضُه وبَقِي بعضُه رِقّاً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يرث بقدرِ ما فيه من الحرية، ويُمنَع من الإرث بقدر الرقيّة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فلو كان للميت ولد نصفه حرّ وأخ حرّ فالمال بينهما نصفان، ولو كان نصفُ الأخ حرّاً أيضاً فللابن النصفُ وللأخ الربع والباقي للعم الحرّ إن </w:t>
      </w:r>
    </w:p>
    <w:p>
      <w:pPr>
        <w:pStyle w:val="BookText"/>
        <w:rPr/>
      </w:pPr>
      <w:r>
        <w:rPr>
          <w:rFonts w:ascii="Amiri" w:hAnsi="Amiri" w:eastAsia="Amiri" w:cs="Amiri"/>
          <w:color w:val="111111"/>
          <w:sz w:val="28"/>
          <w:sz w:val="28"/>
          <w:szCs w:val="28"/>
          <w:rtl w:val="true"/>
          <w:lang w:bidi="ar-SA"/>
        </w:rPr>
        <w:t>كان، فلو كان نصفه حرّاً فله الثمنُ والباقي لغيره من المراتب المتأخرة عنه، وهكذا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ويُورث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المبعَّضُ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كان نصفه حراً فلمولاه نصف تركته ولوارثه الحرّ النصفُ، وهكذا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وإذا أُعتِق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ميراث قبل قسمته فكالإسلام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قبل القسمة يرث إن كان الوارث متعدّداً ولم يقتسموا التركة، ويُمنع مع اتحادِه أو سَبْق القسمة على عنقه، إلى آخر ما ذُكر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وإذا لم يكن للميت وارث سوى المملوكِ اسْتُرِي من التركة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قهراً على مولاه، والمتولّي له الحاكم الشرعي، فإن تعذر تولاه غيرُه كِفايةً، وأُعتِقِ وَوَرِثَ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باقي التركة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أباً 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الرقُ للميّت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أو ولداً أو غيرهما </w:t>
      </w:r>
      <w:r>
        <w:rPr>
          <w:rStyle w:val="FootnoteAnchor"/>
          <w:rtl w:val="true"/>
        </w:rPr>
        <w:footnoteReference w:id="66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الأنساب، على الأشهر</w:t>
      </w:r>
      <w:r>
        <w:rPr>
          <w:rStyle w:val="FootnoteAnchor"/>
          <w:rtl w:val="true"/>
        </w:rPr>
        <w:footnoteReference w:id="66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الأبوان والأولاد فموضع وفاقٍ وبه نصوص كثيرة </w:t>
      </w:r>
      <w:r>
        <w:rPr>
          <w:rStyle w:val="FootnoteAnchor"/>
          <w:rtl w:val="true"/>
        </w:rPr>
        <w:footnoteReference w:id="666"/>
      </w:r>
      <w:r>
        <w:rPr>
          <w:rFonts w:ascii="Amiri" w:hAnsi="Amiri" w:eastAsia="Amiri" w:cs="Amiri"/>
          <w:color w:val="111111"/>
          <w:sz w:val="28"/>
          <w:sz w:val="28"/>
          <w:szCs w:val="28"/>
          <w:rtl w:val="true"/>
          <w:lang w:bidi="ar-SA"/>
        </w:rPr>
        <w:t>، وربما قيل بعدم فك الأولاد</w:t>
      </w:r>
      <w:r>
        <w:rPr>
          <w:rStyle w:val="FootnoteAnchor"/>
          <w:rtl w:val="true"/>
        </w:rPr>
        <w:footnoteReference w:id="667"/>
      </w:r>
      <w:r>
        <w:rPr>
          <w:rFonts w:ascii="Amiri" w:hAnsi="Amiri" w:eastAsia="Amiri" w:cs="Amiri"/>
          <w:color w:val="111111"/>
          <w:sz w:val="28"/>
          <w:sz w:val="28"/>
          <w:szCs w:val="28"/>
          <w:rtl w:val="true"/>
          <w:lang w:bidi="ar-SA"/>
        </w:rPr>
        <w:t>، والأوّل هو المذهب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غيرهما من الأرحام فببعضه نصوص</w:t>
      </w:r>
      <w:r>
        <w:rPr>
          <w:rStyle w:val="FootnoteAnchor"/>
          <w:rtl w:val="true"/>
        </w:rPr>
        <w:footnoteReference w:id="668"/>
      </w:r>
      <w:r>
        <w:rPr>
          <w:rFonts w:ascii="Amiri" w:hAnsi="Amiri" w:eastAsia="Amiri" w:cs="Amiri"/>
          <w:color w:val="111111"/>
          <w:sz w:val="28"/>
          <w:sz w:val="28"/>
          <w:szCs w:val="28"/>
          <w:rtl w:val="true"/>
          <w:lang w:bidi="ar-SA"/>
        </w:rPr>
        <w:t>غير نقية السند ولم يَفرُق أحدٌ بينهم فحَكَم الأكثرُ بفك الجميع، وتوقف العلّامة في المختلف</w:t>
      </w:r>
      <w:r>
        <w:rPr>
          <w:rStyle w:val="FootnoteAnchor"/>
          <w:rtl w:val="true"/>
        </w:rPr>
        <w:footnoteReference w:id="669"/>
      </w:r>
      <w:r>
        <w:rPr>
          <w:rFonts w:ascii="Amiri" w:hAnsi="Amiri" w:eastAsia="Amiri" w:cs="Amiri"/>
          <w:color w:val="111111"/>
          <w:sz w:val="28"/>
          <w:sz w:val="28"/>
          <w:szCs w:val="28"/>
          <w:rtl w:val="true"/>
          <w:lang w:bidi="ar-SA"/>
        </w:rPr>
        <w:t>لذلك، وله وجه</w:t>
      </w:r>
      <w:r>
        <w:rPr>
          <w:rFonts w:eastAsia="Amiri" w:cs="Amiri" w:ascii="Amiri" w:hAnsi="Amiri"/>
          <w:color w:val="111111"/>
          <w:sz w:val="28"/>
          <w:szCs w:val="28"/>
          <w:rtl w:val="true"/>
          <w:lang w:bidi="ar-SA"/>
        </w:rPr>
        <w:t>.</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 شراء الزوجة رواية صحيحة</w:t>
      </w:r>
      <w:r>
        <w:rPr>
          <w:rStyle w:val="FootnoteAnchor"/>
          <w:rtl w:val="true"/>
        </w:rPr>
        <w:footnoteReference w:id="670"/>
      </w:r>
      <w:r>
        <w:rPr>
          <w:rFonts w:ascii="Amiri" w:hAnsi="Amiri" w:eastAsia="Amiri" w:cs="Amiri"/>
          <w:color w:val="111111"/>
          <w:sz w:val="28"/>
          <w:sz w:val="28"/>
          <w:szCs w:val="28"/>
          <w:rtl w:val="true"/>
          <w:lang w:bidi="ar-SA"/>
        </w:rPr>
        <w:t>، وحُمِل عليها الزوج بطريق 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قصر المالُ عن قيمته ففى فكه قولان</w:t>
      </w:r>
      <w:r>
        <w:rPr>
          <w:rStyle w:val="FootnoteAnchor"/>
          <w:rtl w:val="true"/>
        </w:rPr>
        <w:footnoteReference w:id="671"/>
      </w:r>
      <w:r>
        <w:rPr>
          <w:rFonts w:ascii="Amiri" w:hAnsi="Amiri" w:eastAsia="Amiri" w:cs="Amiri"/>
          <w:color w:val="111111"/>
          <w:sz w:val="28"/>
          <w:sz w:val="28"/>
          <w:szCs w:val="28"/>
          <w:rtl w:val="true"/>
          <w:lang w:bidi="ar-SA"/>
        </w:rPr>
        <w:t>أشهرهما العدم وقوفاً فيما خالف الأصل على موضع الوفاق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يتجه في غير مَن اتَّفق على فكّه، وفيه يتّجه شراء الجزء وإنْ َقلَّ؛ </w:t>
      </w:r>
    </w:p>
    <w:p>
      <w:pPr>
        <w:pStyle w:val="BookText"/>
        <w:rPr/>
      </w:pPr>
      <w:r>
        <w:rPr>
          <w:rFonts w:ascii="Amiri" w:hAnsi="Amiri" w:eastAsia="Amiri" w:cs="Amiri"/>
          <w:color w:val="111111"/>
          <w:sz w:val="28"/>
          <w:sz w:val="28"/>
          <w:szCs w:val="28"/>
          <w:rtl w:val="true"/>
          <w:lang w:bidi="ar-SA"/>
        </w:rPr>
        <w:t>عملاً بمقتضى الأمر بحسب الإمكان، ولحصول الغرض به في الجملة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المشهور لو تعدد الرقيق وقصر المالُ عن فك الجميع وأمكن أن يُفكَ به البعضُ، ففي فكّه بالقرعة أو التخيير أو عدمه أوجه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وكذا الإشكال لو وَفَتْ حِصّه بعضهم بقيمته وقصر البعض، لكن فكّ المُوفِي هنا أوجَهُ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وظاهرُ النصوص توقف عتقه بعد الشراء على الإعتاق، كما يظهر من العبارة، فيَتَوَلاه مَن يَتَوَلَّى الشراء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فرق بين أم الولد والمدبَّرِ والمكاتب المشروط والمطلقِ الذي لم يُؤَدِّ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شيئاً من مال الكتابة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وبين القنّ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لاشتراك الجميع في أصل الرقيّة وانْ تَشَبَّتَ بعضُهم بالحرية، والنهي عن بيع أُمّ الولد</w:t>
      </w:r>
      <w:r>
        <w:rPr>
          <w:rStyle w:val="FootnoteAnchor"/>
          <w:rtl w:val="true"/>
        </w:rPr>
        <w:footnoteReference w:id="672"/>
      </w:r>
      <w:r>
        <w:rPr>
          <w:rFonts w:ascii="Amiri" w:hAnsi="Amiri" w:eastAsia="Amiri" w:cs="Amiri"/>
          <w:color w:val="111111"/>
          <w:sz w:val="28"/>
          <w:sz w:val="28"/>
          <w:szCs w:val="28"/>
          <w:rtl w:val="true"/>
          <w:lang w:bidi="ar-SA"/>
        </w:rPr>
        <w:t>مخصوص بغير ما فيه تعجيل لعتقها؛ لأنه زيادة في مصلحتها التي نَشَأ منها المنعُ فيصح بطريق أولى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كان المطلق قد أدَّى شيئاً وعتق منه بحسابه فُكَ الباقى وإنْ كان يَرتُ بجزئه الحرّ؛ لأنّ ما قابل جزء الرقّ من الإرث بمنزلة ما لا وارث 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رابعُها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اللعانُ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مانع من الإرث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بين الزوجين وبين الزوج والولد المنفي به من جانب الأب والولد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 أن يُكَذِّبَ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نفيه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فيَرِثُه الولد من غير عكس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وهل يرثه حينئذٍ أقارب الأب مع اعترافهم به أو مطلقاً أو عدمه مطلقاً ؟ أوجُهُ </w:t>
      </w:r>
      <w:r>
        <w:rPr>
          <w:rStyle w:val="FootnoteAnchor"/>
          <w:rtl w:val="true"/>
        </w:rPr>
        <w:footnoteReference w:id="673"/>
      </w:r>
      <w:r>
        <w:rPr>
          <w:rFonts w:ascii="Amiri" w:hAnsi="Amiri" w:eastAsia="Amiri" w:cs="Amiri"/>
          <w:color w:val="111111"/>
          <w:sz w:val="28"/>
          <w:sz w:val="28"/>
          <w:szCs w:val="28"/>
          <w:rtl w:val="true"/>
          <w:lang w:bidi="ar-SA"/>
        </w:rPr>
        <w:t>، أشهَرُها الأخير لحكم الشرع بانقطاع النسب فلا يعود، وإنّما وَرِثَه الولد بالتكذيب بدليل خارج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اتفق للولد قرابة من الأبوين وأُخرى من الأُمّ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كالإخوة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اقتسموا بالسوية؛ لسقوط نسب الأب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كان المنفيُّ تَوْأَمَين تَوَارَنا بالأُمُومة</w:t>
      </w:r>
      <w:r>
        <w:rPr>
          <w:rFonts w:eastAsia="Amiri" w:cs="Amiri" w:ascii="Amiri" w:hAnsi="Amiri"/>
          <w:color w:val="111111"/>
          <w:sz w:val="28"/>
          <w:szCs w:val="28"/>
          <w:rtl w:val="true"/>
          <w:lang w:bidi="ar-SA"/>
        </w:rPr>
        <w:t>.</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خامسها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مانع من الإرث إلّا أن يَنفصل حيّاً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فلو سَقَط ميتاً لم يرث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وآله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السقط لا يَرتُ ولا يُوَرّث</w:t>
      </w:r>
      <w:r>
        <w:rPr>
          <w:rFonts w:eastAsia="Amiri" w:cs="Amiri" w:ascii="Amiri" w:hAnsi="Amiri"/>
          <w:color w:val="111111"/>
          <w:sz w:val="28"/>
          <w:szCs w:val="28"/>
          <w:rtl w:val="true"/>
          <w:lang w:bidi="ar-SA"/>
        </w:rPr>
        <w:t>»</w:t>
      </w:r>
      <w:r>
        <w:rPr>
          <w:rStyle w:val="FootnoteAnchor"/>
          <w:rtl w:val="true"/>
        </w:rPr>
        <w:footnoteReference w:id="67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تُشترط حياته عند موت المورث </w:t>
      </w:r>
    </w:p>
    <w:p>
      <w:pPr>
        <w:pStyle w:val="BookText"/>
        <w:rPr/>
      </w:pPr>
      <w:r>
        <w:rPr>
          <w:rFonts w:ascii="Amiri" w:hAnsi="Amiri" w:eastAsia="Amiri" w:cs="Amiri"/>
          <w:color w:val="111111"/>
          <w:sz w:val="28"/>
          <w:sz w:val="28"/>
          <w:szCs w:val="28"/>
          <w:rtl w:val="true"/>
          <w:lang w:bidi="ar-SA"/>
        </w:rPr>
        <w:t>بل لو كان نطفةٌ وَرِث إذا انفَصَل حيّاً ولا يُشترط استقرار حياته بعد انفصاله ولا استهلاله لجواز كونه أخرسَ، بل مطلق الحياة المعتبرة بالحركة البينة، لا بنحو التقلص الطبيعي كما لو خرج بعضُه حيّاً وبعضه ميتاً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وكما يُحجَب الحملُ عن الإرث إلى أن ينفصل حيّاً يَحجُب غيره ممّن هو دونه ليستبين أمره، كما لو كان للميت امرأة أو أمةٌ حامل وله إخوة فيُترك الإرث حتَّى تَضَعَ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لو طلبت الزوجة الإرثَ أُعطيت حِصَّةَ ذاتِ الولد لأنه المتيقن، بخلاف الإخوة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كان هناك أبوان أعطيا الشدسين، أو أولاد أُرْجِئ سهم ذَكَرين لندور الزائد، فإن انكشف الحالُ بخلافه استُدرِك زيادةً ونقصاناً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ويُعلم وجود الحمل حال موت المورث بأن يُوضع حيّاً لدون ستة أشهرٍ منذ موته أو لأقصى الحمل إن لم تُوطَأ الأم وطءاً يصلح استناده إليه، فلو وطئت ولو بشبهة لم يَرِثْ؛ لاحتمال تجدُّدِه مع أصالة عدم تقدّمه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وسادسها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الغيبة المنقطعة وهي مانعة من نفوذ الإرث ظاهراً حتى يثبت الموتُ شرعاً، وقد نبه عليه بقوله</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والغائبُ غَيبةً منقطعةً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بحيث لا يُعلم خبره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يُوَرّث حتى تمضي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 من حين ولادته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مدّة لا يعيش مثله إليها عادةً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ولا عبرة بالنادر، وهي في زماننا مائة وعشرون سنة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يَبعُد الآن الاكتفاء بالمائة لندور التعمير إليها في هذه البلاد، فإذا مَضَتْ للغائب المدة المعتبرةُ حُكم بتوريث من هو موجود حال الحكم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مات له قريب في تلك المدّة عُزِل له نصيبه منه وكان بحكم ماله والحكم بالتربص بميراث الغائب المدّةَ المذكورة هو المشهور بين الأصحاب، وهو مناسب للأصل لكن ليس به رواية صريحة وما ادعي له من النصوص</w:t>
      </w:r>
      <w:r>
        <w:rPr>
          <w:rStyle w:val="FootnoteAnchor"/>
          <w:rtl w:val="true"/>
        </w:rPr>
        <w:footnoteReference w:id="675"/>
      </w:r>
      <w:r>
        <w:rPr>
          <w:rFonts w:ascii="Amiri" w:hAnsi="Amiri" w:eastAsia="Amiri" w:cs="Amiri"/>
          <w:color w:val="111111"/>
          <w:sz w:val="28"/>
          <w:sz w:val="28"/>
          <w:szCs w:val="28"/>
          <w:rtl w:val="true"/>
          <w:lang w:bidi="ar-SA"/>
        </w:rPr>
        <w:t>ليس دالاً عليه</w:t>
      </w:r>
      <w:r>
        <w:rPr>
          <w:rFonts w:eastAsia="Amiri" w:cs="Amiri" w:ascii="Amiri" w:hAnsi="Amiri"/>
          <w:color w:val="111111"/>
          <w:sz w:val="28"/>
          <w:szCs w:val="28"/>
          <w:rtl w:val="true"/>
          <w:lang w:bidi="ar-SA"/>
        </w:rPr>
        <w:t>.</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ادُّعِيَ وفي المسألة أقوال أُخَرُ مستندة الى روايات بعضُها صحيح، منها أن يُطلب أربعَ </w:t>
      </w:r>
    </w:p>
    <w:p>
      <w:pPr>
        <w:pStyle w:val="BookText"/>
        <w:rPr/>
      </w:pPr>
      <w:r>
        <w:rPr>
          <w:rFonts w:ascii="Amiri" w:hAnsi="Amiri" w:eastAsia="Amiri" w:cs="Amiri"/>
          <w:color w:val="111111"/>
          <w:sz w:val="28"/>
          <w:sz w:val="28"/>
          <w:szCs w:val="28"/>
          <w:rtl w:val="true"/>
          <w:lang w:bidi="ar-SA"/>
        </w:rPr>
        <w:t>سنين في الأرض فإن لم يُوجَد قسم ماله بين ورثته ذهب إليه المرتضى</w:t>
      </w:r>
      <w:r>
        <w:rPr>
          <w:rStyle w:val="FootnoteAnchor"/>
          <w:rtl w:val="true"/>
        </w:rPr>
        <w:footnoteReference w:id="676"/>
      </w:r>
      <w:r>
        <w:rPr>
          <w:rFonts w:ascii="IRNazanin" w:hAnsi="IRNazanin" w:eastAsia="IRNazanin"/>
          <w:color w:val="111111"/>
          <w:sz w:val="28"/>
          <w:sz w:val="28"/>
          <w:szCs w:val="28"/>
          <w:rtl w:val="true"/>
          <w:lang w:bidi="fa-IR"/>
        </w:rPr>
        <w:t>، والصدوق</w:t>
      </w:r>
      <w:r>
        <w:rPr>
          <w:rStyle w:val="FootnoteAnchor"/>
          <w:rtl w:val="true"/>
        </w:rPr>
        <w:footnoteReference w:id="67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وقواه المصنف في الدروس</w:t>
      </w:r>
      <w:r>
        <w:rPr>
          <w:rStyle w:val="FootnoteAnchor"/>
          <w:rtl w:val="true"/>
        </w:rPr>
        <w:footnoteReference w:id="678"/>
      </w:r>
      <w:r>
        <w:rPr>
          <w:rFonts w:ascii="Amiri" w:hAnsi="Amiri" w:eastAsia="Amiri" w:cs="Amiri"/>
          <w:color w:val="111111"/>
          <w:sz w:val="28"/>
          <w:sz w:val="28"/>
          <w:szCs w:val="28"/>
          <w:rtl w:val="true"/>
          <w:lang w:bidi="ar-SA"/>
        </w:rPr>
        <w:t>، وجَنَح إليه العلامة</w:t>
      </w:r>
      <w:r>
        <w:rPr>
          <w:rStyle w:val="FootnoteAnchor"/>
          <w:rtl w:val="true"/>
        </w:rPr>
        <w:footnoteReference w:id="679"/>
      </w:r>
      <w:r>
        <w:rPr>
          <w:rFonts w:ascii="Amiri" w:hAnsi="Amiri" w:eastAsia="Amiri" w:cs="Amiri"/>
          <w:color w:val="111111"/>
          <w:sz w:val="28"/>
          <w:sz w:val="28"/>
          <w:szCs w:val="28"/>
          <w:rtl w:val="true"/>
          <w:lang w:bidi="ar-SA"/>
        </w:rPr>
        <w:t>، وهو قوي مروي</w:t>
      </w:r>
      <w:r>
        <w:rPr>
          <w:rStyle w:val="FootnoteAnchor"/>
          <w:rtl w:val="true"/>
        </w:rPr>
        <w:footnoteReference w:id="680"/>
      </w:r>
      <w:r>
        <w:rPr>
          <w:rFonts w:ascii="Amiri" w:hAnsi="Amiri" w:eastAsia="Amiri" w:cs="Amiri"/>
          <w:color w:val="111111"/>
          <w:sz w:val="28"/>
          <w:sz w:val="28"/>
          <w:szCs w:val="28"/>
          <w:rtl w:val="true"/>
          <w:lang w:bidi="ar-SA"/>
        </w:rPr>
        <w:t>، ويؤيده الحكم السابق باعتدادِ زوجته عِدَّةَ الوفاة وجواز تزويجها بعدها، ولو لم يُطلب كذلك فالعمل على القول المشهور وقيل يكفي انتظاره عشر سنين مِن غير طلب</w:t>
      </w:r>
      <w:r>
        <w:rPr>
          <w:rStyle w:val="FootnoteAnchor"/>
          <w:rtl w:val="true"/>
        </w:rPr>
        <w:footnoteReference w:id="681"/>
      </w:r>
      <w:r>
        <w:rPr>
          <w:rFonts w:ascii="Amiri" w:hAnsi="Amiri" w:eastAsia="Amiri" w:cs="Amiri"/>
          <w:color w:val="111111"/>
          <w:sz w:val="28"/>
          <w:sz w:val="28"/>
          <w:szCs w:val="28"/>
          <w:rtl w:val="true"/>
          <w:lang w:bidi="ar-SA"/>
        </w:rPr>
        <w:t>، وهو مروي</w:t>
      </w:r>
      <w:r>
        <w:rPr>
          <w:rStyle w:val="FootnoteAnchor"/>
          <w:rtl w:val="true"/>
        </w:rPr>
        <w:footnoteReference w:id="682"/>
      </w:r>
      <w:r>
        <w:rPr>
          <w:rFonts w:ascii="Amiri" w:hAnsi="Amiri" w:eastAsia="Amiri" w:cs="Amiri"/>
          <w:color w:val="111111"/>
          <w:sz w:val="28"/>
          <w:sz w:val="28"/>
          <w:szCs w:val="28"/>
          <w:rtl w:val="true"/>
          <w:lang w:bidi="ar-SA"/>
        </w:rPr>
        <w:t>أيضاً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ويلحق بذلك الحَجْبُ، وهو تارةً عن أصل الإرث كما في حجب القريب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كلّ مرتبة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البعيد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عنها وإن كان قريباً في الجملة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فالأبوان والأولاد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وهم أهل المرتبة الأولى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يَحجُبون الإخوة والأجداد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أهل المرتبة الثانية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الإخوة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وأولادهم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والأجداد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عَلَوْا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يحجبون الأعمام والأخوال، ثمّهم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الأعمامُ والأخوالُ</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يحجبون أبناءَهم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أبناؤُهم للصلب يحجبون أبناءهم أيضاً، وهكذا</w:t>
      </w:r>
      <w:r>
        <w:rPr>
          <w:rFonts w:eastAsia="Amiri" w:cs="Amiri" w:ascii="Amiri" w:hAnsi="Amiri"/>
          <w:color w:val="111111"/>
          <w:sz w:val="28"/>
          <w:szCs w:val="28"/>
          <w:rtl w:val="true"/>
          <w:lang w:bidi="ar-SA"/>
        </w:rPr>
        <w:t>.</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وكذا الأولاد للصلب والإخوة يحجبون أبناءَهم، فكان ينبغي التعرُّضُ لهم لكن ما ذكره على وجهِ بيان حكمِ الحَجْب لا للحصر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أعيد ضمير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المذكورين فى كلّ مرتبة لدخل الأولاد والإخوة وتَبَيَّنَ أنّهم يحجبون أولادهم، لكن يُشكل بالأجداد فإنّه يَستلزم أن يحجُبوا الآباء والجدُّ البعيد يحجب القريب، وهو فاسد وإنْ صحَ حَجْبُ الأجداد لأولادهم الذين هم الأعمام والأخوال، إلّا أنّه مُستغنى عنهم بالتصريح بذكرهم والضابط أنه متى اجتمع في المرتبة الواحدة طبقات، وَرِثَ الأقرب إلى الميت فيها فالأقرب</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القريبُ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مطلقاً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يحجب المعتق، والمعتق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قام مقامه يحجُب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ضامِنَ الجريرة، والضامن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يحجب</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الإمام، والمتقرِّبُ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الميت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بالأبوين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كل مرتبة من مراتب القرابة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يحجب المتقرب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بالأب مع تساوي الدرج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كإخوة من أبوين مع إخوة من أب لا مع اختلاف الدرج كأخ لأب مع ابن أخ لأبِ وأم فإنّ الأقرب أُولى من الأبعد وإنْ مَتَّ الأبعد بالطرفين دونه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 في ابن عمّ للأب والأم فإنّه يَمنَع العم للأب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خاصةً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 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أقرب منه، وهي مسألةً إجماعيّةً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منصوصةٌ </w:t>
      </w:r>
      <w:r>
        <w:rPr>
          <w:rStyle w:val="FootnoteAnchor"/>
          <w:rtl w:val="true"/>
        </w:rPr>
        <w:footnoteReference w:id="683"/>
      </w:r>
      <w:r>
        <w:rPr>
          <w:rFonts w:ascii="Amiri" w:hAnsi="Amiri" w:eastAsia="Amiri" w:cs="Amiri"/>
          <w:color w:val="111111"/>
          <w:sz w:val="28"/>
          <w:sz w:val="28"/>
          <w:szCs w:val="28"/>
          <w:rtl w:val="true"/>
          <w:lang w:bidi="ar-SA"/>
        </w:rPr>
        <w:t>خَرَجت بذلك عن حكم القاعدة، ولا يتغيَّر الحكم بتعدد أحدهما أو تعدّدِهما ولا بالزوج والزوجة المُجامِعَين لهما؛ لصدق الفرض في ذلك كلّه</w:t>
      </w:r>
      <w:r>
        <w:rPr>
          <w:rFonts w:eastAsia="Amiri" w:cs="Amiri" w:ascii="Amiri" w:hAnsi="Amiri"/>
          <w:color w:val="111111"/>
          <w:sz w:val="28"/>
          <w:szCs w:val="28"/>
          <w:rtl w:val="true"/>
          <w:lang w:bidi="ar-SA"/>
        </w:rPr>
        <w:t>.</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 تغيره بالذكورة والأنوثة قولان، أجودهما ذلك</w:t>
      </w:r>
      <w:r>
        <w:rPr>
          <w:rStyle w:val="FootnoteAnchor"/>
          <w:rtl w:val="true"/>
        </w:rPr>
        <w:footnoteReference w:id="684"/>
      </w:r>
      <w:r>
        <w:rPr>
          <w:rFonts w:ascii="Amiri" w:hAnsi="Amiri" w:eastAsia="Amiri" w:cs="Amiri"/>
          <w:color w:val="111111"/>
          <w:sz w:val="28"/>
          <w:sz w:val="28"/>
          <w:szCs w:val="28"/>
          <w:rtl w:val="true"/>
          <w:lang w:bidi="ar-SA"/>
        </w:rPr>
        <w:t xml:space="preserve">لكونه خلاف الفرض المخالف للأصل فيقتصر على محلّه، ووجه العدم اشتراك الذكر والأنثى في الإرث والمرتبةِ والحَجْبِ في الجملة، وهو مذهب الشيخ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w:t>
      </w:r>
      <w:r>
        <w:rPr>
          <w:rStyle w:val="FootnoteAnchor"/>
          <w:rtl w:val="true"/>
        </w:rPr>
        <w:footnoteReference w:id="685"/>
      </w:r>
      <w:r>
        <w:rPr>
          <w:rFonts w:ascii="Amiri" w:hAnsi="Amiri" w:eastAsia="Amiri" w:cs="Amiri"/>
          <w:color w:val="111111"/>
          <w:sz w:val="28"/>
          <w:sz w:val="28"/>
          <w:szCs w:val="28"/>
          <w:rtl w:val="true"/>
          <w:lang w:bidi="ar-SA"/>
        </w:rPr>
        <w:t>فألحق العمة بالعمّ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وكذا الخلاف في تغيره بمجامعة الخال</w:t>
      </w:r>
      <w:r>
        <w:rPr>
          <w:rStyle w:val="FootnoteAnchor"/>
          <w:rtl w:val="true"/>
        </w:rPr>
        <w:footnoteReference w:id="686"/>
      </w:r>
      <w:r>
        <w:rPr>
          <w:rFonts w:ascii="Amiri" w:hAnsi="Amiri" w:eastAsia="Amiri" w:cs="Amiri"/>
          <w:color w:val="111111"/>
          <w:sz w:val="28"/>
          <w:sz w:val="28"/>
          <w:szCs w:val="28"/>
          <w:rtl w:val="true"/>
          <w:lang w:bidi="ar-SA"/>
        </w:rPr>
        <w:t xml:space="preserve">، فقيل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يتغيَّر فيكون المال بين العم والخال ؛ لأنه أقرب من ابن العم ولا مانع له من الإرث بنص ولا إجماع، فيسقط ابن العم به رأساً ويبقى في الطبقة عم وخال فيشتركان لانتفاء مانع العم حينئذ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ذهب إلى ذلك عماد الدين ابنُ حمزة</w:t>
      </w:r>
      <w:r>
        <w:rPr>
          <w:rStyle w:val="FootnoteAnchor"/>
          <w:rtl w:val="true"/>
        </w:rPr>
        <w:footnoteReference w:id="687"/>
      </w:r>
      <w:r>
        <w:rPr>
          <w:rFonts w:ascii="Amiri" w:hAnsi="Amiri" w:eastAsia="Amiri" w:cs="Amiri"/>
          <w:color w:val="111111"/>
          <w:sz w:val="28"/>
          <w:sz w:val="28"/>
          <w:szCs w:val="28"/>
          <w:rtl w:val="true"/>
          <w:lang w:bidi="ar-SA"/>
        </w:rPr>
        <w:t>، وربَّحه المصنف في الدروس</w:t>
      </w:r>
      <w:r>
        <w:rPr>
          <w:rStyle w:val="FootnoteAnchor"/>
          <w:rtl w:val="true"/>
        </w:rPr>
        <w:footnoteReference w:id="688"/>
      </w:r>
      <w:r>
        <w:rPr>
          <w:rFonts w:ascii="Amiri" w:hAnsi="Amiri" w:eastAsia="Amiri" w:cs="Amiri"/>
          <w:color w:val="111111"/>
          <w:sz w:val="28"/>
          <w:sz w:val="28"/>
          <w:szCs w:val="28"/>
          <w:rtl w:val="true"/>
          <w:lang w:bidi="ar-SA"/>
        </w:rPr>
        <w:t>، وقبله المحقق في الشرائع</w:t>
      </w:r>
      <w:r>
        <w:rPr>
          <w:rStyle w:val="FootnoteAnchor"/>
          <w:rtl w:val="true"/>
        </w:rPr>
        <w:footnoteReference w:id="68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قطبُ الدين الراوندي ومُعينُ الدين المصري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المال للخال وابن العم؛ لأنّ الخالَ لا يَمنَع </w:t>
      </w:r>
    </w:p>
    <w:p>
      <w:pPr>
        <w:pStyle w:val="BookText"/>
        <w:rPr/>
      </w:pPr>
      <w:r>
        <w:rPr>
          <w:rFonts w:ascii="Amiri" w:hAnsi="Amiri" w:eastAsia="Amiri" w:cs="Amiri"/>
          <w:color w:val="111111"/>
          <w:sz w:val="28"/>
          <w:sz w:val="28"/>
          <w:szCs w:val="28"/>
          <w:rtl w:val="true"/>
          <w:lang w:bidi="ar-SA"/>
        </w:rPr>
        <w:t>العمَّ فلأَنْ لا يَمَنَعَ ابنَ العمّ الذي هو أقرب أولى</w:t>
      </w:r>
      <w:r>
        <w:rPr>
          <w:rStyle w:val="FootnoteAnchor"/>
          <w:rtl w:val="true"/>
        </w:rPr>
        <w:footnoteReference w:id="69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المحقق الفاضل سديد الدين محمودُ الحِمْصي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المالُ للخال؛ لأنّ العم محجوب بابن العم وابن العم محجوب بالخال</w:t>
      </w:r>
      <w:r>
        <w:rPr>
          <w:rFonts w:eastAsia="Amiri" w:cs="Amiri" w:ascii="Amiri" w:hAnsi="Amiri"/>
          <w:color w:val="111111"/>
          <w:sz w:val="28"/>
          <w:szCs w:val="28"/>
          <w:rtl w:val="true"/>
          <w:lang w:bidi="ar-SA"/>
        </w:rPr>
        <w:t>»</w:t>
      </w:r>
      <w:r>
        <w:rPr>
          <w:rStyle w:val="FootnoteAnchor"/>
          <w:rtl w:val="true"/>
        </w:rPr>
        <w:footnoteReference w:id="69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ولكلّ واحد من هذه الأقوال وجه وجيه، وإنْ كان أقواها الأوّلَ وقوفاً فيما خالَفَ الأصل على موضع النصّ والوفاق، فيبقى عموم آية أُولى الأرحام</w:t>
      </w:r>
      <w:r>
        <w:rPr>
          <w:rStyle w:val="FootnoteAnchor"/>
          <w:rtl w:val="true"/>
        </w:rPr>
        <w:footnoteReference w:id="692"/>
      </w:r>
      <w:r>
        <w:rPr>
          <w:rFonts w:ascii="Amiri" w:hAnsi="Amiri" w:eastAsia="Amiri" w:cs="Amiri"/>
          <w:color w:val="111111"/>
          <w:sz w:val="28"/>
          <w:sz w:val="28"/>
          <w:szCs w:val="28"/>
          <w:rtl w:val="true"/>
          <w:lang w:bidi="ar-SA"/>
        </w:rPr>
        <w:t>التي استدل بها الجميع على تقديم الأقرب خالياً عن المعارض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وتوقف العلامة في المختلف</w:t>
      </w:r>
      <w:r>
        <w:rPr>
          <w:rStyle w:val="FootnoteAnchor"/>
          <w:rtl w:val="true"/>
        </w:rPr>
        <w:footnoteReference w:id="693"/>
      </w:r>
      <w:r>
        <w:rPr>
          <w:rFonts w:ascii="Amiri" w:hAnsi="Amiri" w:eastAsia="Amiri" w:cs="Amiri"/>
          <w:color w:val="111111"/>
          <w:sz w:val="28"/>
          <w:sz w:val="28"/>
          <w:szCs w:val="28"/>
          <w:rtl w:val="true"/>
          <w:lang w:bidi="ar-SA"/>
        </w:rPr>
        <w:t>، وصنف هؤلاء الفضلاء على المسألة رسائل تشتمل على مباحث طويلةٍ وفوائد جليلةٍ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وأمّا الحَجْبُ عن بعض الإرث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دون بعض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موضعين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الولدُ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ذَكَراً وأُنثى فإنّه يحصل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الحجب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للزوجين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نصيب الزوجيّة الأعلى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الأدنى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 نَزَل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الولدُ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كذا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يحجب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الولدُ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الأبوين عمّا زاد عن السدسَين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أحدهما عما زاد عن السدس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يكونا أو أحدهما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 البنتِ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الواحدة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مطلقاً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سواء كان معها الأبوان أم أحدهما فإنهما لا يُحجَبان ولا أحدهما عن الزيادة على السدس، بل يشاركانها فيما زاد عن نصفها وسدسَيْهما بالنسبة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البنات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البنتين فصاعداً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 أحد الأبوين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فإنّهنّ لا يَمْنَعْنَه عمّا زاد أيضاً، بل يُرَدّ عليهنّ وعليه ما بقي من المفروض بالنسبة، كما سيأتي تفصيله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كان معهنّ أبوان استغرقت سهامهم الفريضة فلا ردّ فمِن ثُمَّ أدخلهما في قسم الحجب</w:t>
      </w:r>
      <w:r>
        <w:rPr>
          <w:rFonts w:eastAsia="Amiri" w:cs="Amiri" w:ascii="Amiri" w:hAnsi="Amiri"/>
          <w:color w:val="111111"/>
          <w:sz w:val="28"/>
          <w:szCs w:val="28"/>
          <w:rtl w:val="true"/>
          <w:lang w:bidi="ar-SA"/>
        </w:rPr>
        <w:t>.</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 المسألة قول نادر بحجب البنتين فصاعداً أحد الأبوين عمّا زاد على السدس</w:t>
      </w:r>
      <w:r>
        <w:rPr>
          <w:rStyle w:val="FootnoteAnchor"/>
          <w:rtl w:val="true"/>
        </w:rPr>
        <w:footnoteReference w:id="694"/>
      </w:r>
      <w:r>
        <w:rPr>
          <w:rFonts w:ascii="Amiri" w:hAnsi="Amiri" w:eastAsia="Amiri" w:cs="Amiri"/>
          <w:color w:val="111111"/>
          <w:sz w:val="28"/>
          <w:sz w:val="28"/>
          <w:szCs w:val="28"/>
          <w:rtl w:val="true"/>
          <w:lang w:bidi="ar-SA"/>
        </w:rPr>
        <w:t>لرواية أبي بصير عن الصادق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Style w:val="FootnoteAnchor"/>
          <w:rtl w:val="true"/>
        </w:rPr>
        <w:footnoteReference w:id="695"/>
      </w:r>
      <w:r>
        <w:rPr>
          <w:rFonts w:ascii="Amiri" w:hAnsi="Amiri" w:eastAsia="Amiri" w:cs="Amiri"/>
          <w:color w:val="111111"/>
          <w:sz w:val="28"/>
          <w:sz w:val="28"/>
          <w:szCs w:val="28"/>
          <w:rtl w:val="true"/>
          <w:lang w:bidi="ar-SA"/>
        </w:rPr>
        <w:t>، وهو متروك</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ثانيهما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الإخوة تحجب الأُمَّ عن الثلث إلى السدس بشروط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خمسة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وجود الأب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ليُوَفِّروا عليه ما حجبوها عنه وإن لم يحصل لهم منه شيء، فلو كان معدوماً لم يحجبوها عن الثلث</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كونُهم رجلين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ذكرين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فصاعِداً أو أربع نساءٍ أو رجلاً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ذَكَراً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وامرأتين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أُنيين وإنْ لم يَبلُغا، والخنثى هنا كالأنثى؛ للشك في الذكورية الموجبِ للشكّ في الحَجْب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واستقرب المصنّف في الدروس </w:t>
      </w:r>
      <w:r>
        <w:rPr>
          <w:rStyle w:val="FootnoteAnchor"/>
          <w:rtl w:val="true"/>
        </w:rPr>
        <w:footnoteReference w:id="696"/>
      </w:r>
      <w:r>
        <w:rPr>
          <w:rFonts w:ascii="Amiri" w:hAnsi="Amiri" w:eastAsia="Amiri" w:cs="Amiri"/>
          <w:color w:val="111111"/>
          <w:sz w:val="28"/>
          <w:sz w:val="28"/>
          <w:szCs w:val="28"/>
          <w:rtl w:val="true"/>
          <w:lang w:bidi="ar-SA"/>
        </w:rPr>
        <w:t>هنا القرعة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كونُهم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إخوة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للأب والأم أو للأب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بالتفريق، فلا تحجب كلالةُ الأُمّ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انتفاءُ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موانعِ الإرث من القتل والكفر والرق عنهم وكذا اللعان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ويحجب الغائبُ ما لم يُقْضَ بموته شرعاً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الخامس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كونُهم منفصلين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بالولادة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حملاً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يحجب الحمل ولو بكونه متمّماً للعددِ المعتبر فيه على المشهور، إما لعدم إطلاق اسم الإخوة عليه حينئذ، أو لكونه لا يُنفق عليه الأب، وهو علة التوفير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الثاني منع ظاهر، والعلة غيرُ متحققة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وفى الدروس</w:t>
      </w:r>
      <w:r>
        <w:rPr>
          <w:rStyle w:val="FootnoteAnchor"/>
          <w:rtl w:val="true"/>
        </w:rPr>
        <w:footnoteReference w:id="697"/>
      </w:r>
      <w:r>
        <w:rPr>
          <w:rFonts w:ascii="Amiri" w:hAnsi="Amiri" w:eastAsia="Amiri" w:cs="Amiri"/>
          <w:color w:val="111111"/>
          <w:sz w:val="28"/>
          <w:sz w:val="28"/>
          <w:szCs w:val="28"/>
          <w:rtl w:val="true"/>
          <w:lang w:bidi="ar-SA"/>
        </w:rPr>
        <w:t xml:space="preserve">جَعَل عدمَ حَجْبِه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مُؤذناً بتمريضه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ويُشترط سادس وهو كونهم أحياء عند موت الموروث، فلو كان بعضُهم ميتاً أو كلُّهم عنده لم يحجب، وكذا لو اقترن موتاهما أو اشتبه التقدم والتأخّرُ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وتوقف المصنِّفُ في الدروس لو كانوا غَرقَى من حيث إنّ فرضَ موتِ كلّ واحد منهما يستدعي كونَ الآخر حياً فيتحقق الحجب ومن عدم القطع بوجوده، والإرث حكم شرعي فلا يلزم منه اطرادُ الحكم بالحياة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أَجِدْ في هذا كلاماً لمن سبق</w:t>
      </w:r>
      <w:r>
        <w:rPr>
          <w:rStyle w:val="FootnoteAnchor"/>
          <w:rtl w:val="true"/>
        </w:rPr>
        <w:footnoteReference w:id="69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والأقوى عدمُ الحَجْب للشك والوقوفِ فيما خالف الأصل على مورده</w:t>
      </w:r>
      <w:r>
        <w:rPr>
          <w:rFonts w:eastAsia="Amiri" w:cs="Amiri" w:ascii="Amiri" w:hAnsi="Amiri"/>
          <w:color w:val="111111"/>
          <w:sz w:val="28"/>
          <w:szCs w:val="28"/>
          <w:rtl w:val="true"/>
          <w:lang w:bidi="ar-SA"/>
        </w:rPr>
        <w:t>.</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وسابع وهو المغايرة بين الحاجب والمحجوب، فلو كانت الأم أختاً لأب فلا حَجْب كما يتفق في المجوس، أو الشبهة بوطء الرجل ابنته فولدها أخوها لأبيها</w:t>
      </w:r>
      <w:r>
        <w:rPr>
          <w:rFonts w:eastAsia="Amiri" w:cs="Amiri" w:ascii="Amiri" w:hAnsi="Amiri"/>
          <w:color w:val="111111"/>
          <w:sz w:val="28"/>
          <w:szCs w:val="28"/>
          <w:rtl w:val="true"/>
          <w:lang w:bidi="ar-SA"/>
        </w:rPr>
        <w:t xml:space="preserve">. </w:t>
      </w:r>
      <w:bookmarkStart w:id="97" w:name="pg11049_88484"/>
    </w:p>
    <w:p>
      <w:pPr>
        <w:pStyle w:val="Heading3"/>
        <w:numPr>
          <w:ilvl w:val="2"/>
          <w:numId w:val="1"/>
        </w:numPr>
        <w:rPr/>
      </w:pPr>
      <w:bookmarkStart w:id="98" w:name="__RefHeading___Toc1446129_1067777946"/>
      <w:bookmarkStart w:id="99" w:name="_Toc28"/>
      <w:bookmarkEnd w:id="97"/>
      <w:bookmarkEnd w:id="98"/>
      <w:r>
        <w:rPr>
          <w:rtl w:val="true"/>
        </w:rPr>
        <w:t xml:space="preserve">الفصل الثاني في بيان </w:t>
      </w:r>
      <w:r>
        <w:rPr>
          <w:rtl w:val="true"/>
        </w:rPr>
        <w:t>(</w:t>
      </w:r>
      <w:r>
        <w:rPr>
          <w:rtl w:val="true"/>
        </w:rPr>
        <w:t>السهام</w:t>
      </w:r>
      <w:r>
        <w:rPr>
          <w:rtl w:val="true"/>
        </w:rPr>
        <w:t xml:space="preserve">) </w:t>
      </w:r>
      <w:r>
        <w:rPr>
          <w:rtl w:val="true"/>
        </w:rPr>
        <w:t>المقدرة و بيان أهلها</w:t>
      </w:r>
      <w:bookmarkEnd w:id="99"/>
    </w:p>
    <w:p>
      <w:pPr>
        <w:pStyle w:val="Heading4"/>
        <w:numPr>
          <w:ilvl w:val="3"/>
          <w:numId w:val="1"/>
        </w:numPr>
        <w:rPr/>
      </w:pPr>
      <w:bookmarkStart w:id="100" w:name="__RefHeading___Toc1446131_1067777946"/>
      <w:bookmarkStart w:id="101" w:name="_Toc29"/>
      <w:bookmarkEnd w:id="100"/>
      <w:r>
        <w:rPr>
          <w:rtl w:val="true"/>
        </w:rPr>
        <w:t>اشارة</w:t>
      </w:r>
      <w:bookmarkEnd w:id="10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وهي في كتاب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ستة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النصف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ذُكر في ثلاثة مواضع، قال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كَانَتْ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يعنى البنت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وَحِدَةٌ فَلَهَا النِّصْفُ</w:t>
      </w:r>
      <w:r>
        <w:rPr>
          <w:rStyle w:val="FootnoteAnchor"/>
          <w:rtl w:val="true"/>
        </w:rPr>
        <w:footnoteReference w:id="699"/>
      </w:r>
      <w:r>
        <w:rPr>
          <w:rFonts w:ascii="IRNazanin" w:hAnsi="IRNazanin" w:eastAsia="IRNazanin"/>
          <w:color w:val="111111"/>
          <w:sz w:val="28"/>
          <w:sz w:val="28"/>
          <w:szCs w:val="28"/>
          <w:rtl w:val="true"/>
          <w:lang w:bidi="fa-IR"/>
        </w:rPr>
        <w:t xml:space="preserve">، </w:t>
      </w:r>
      <w:r>
        <w:rPr>
          <w:rFonts w:ascii="Amiri" w:hAnsi="Amiri" w:eastAsia="Amiri" w:cs="Amiri"/>
          <w:color w:val="111111"/>
          <w:sz w:val="28"/>
          <w:sz w:val="28"/>
          <w:szCs w:val="28"/>
          <w:rtl w:val="true"/>
          <w:lang w:bidi="ar-SA"/>
        </w:rPr>
        <w:t>وَلَكُمْ نِصْفُ مَا تَرَكَ أَزْوَجُكُمْ</w:t>
      </w:r>
      <w:r>
        <w:rPr>
          <w:rStyle w:val="FootnoteAnchor"/>
          <w:rtl w:val="true"/>
        </w:rPr>
        <w:footnoteReference w:id="700"/>
      </w:r>
      <w:r>
        <w:rPr>
          <w:rFonts w:ascii="IRNazanin" w:hAnsi="IRNazanin" w:eastAsia="IRNazanin"/>
          <w:color w:val="111111"/>
          <w:sz w:val="28"/>
          <w:sz w:val="28"/>
          <w:szCs w:val="28"/>
          <w:rtl w:val="true"/>
          <w:lang w:bidi="fa-IR"/>
        </w:rPr>
        <w:t xml:space="preserve">، </w:t>
      </w:r>
      <w:r>
        <w:rPr>
          <w:rFonts w:ascii="Amiri" w:hAnsi="Amiri" w:eastAsia="Amiri" w:cs="Amiri"/>
          <w:color w:val="111111"/>
          <w:sz w:val="28"/>
          <w:sz w:val="28"/>
          <w:szCs w:val="28"/>
          <w:rtl w:val="true"/>
          <w:lang w:bidi="ar-SA"/>
        </w:rPr>
        <w:t>وَلَهُ أُخْتٌ فَلَهَا نِصْفُ ما تَرَكَ</w:t>
      </w:r>
      <w:r>
        <w:rPr>
          <w:rStyle w:val="FootnoteAnchor"/>
          <w:rtl w:val="true"/>
        </w:rPr>
        <w:footnoteReference w:id="70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نصف النصف و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مذكور فيه في موضعين، أحدهما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فَلَكُمُ الرُّبُعُ مِمَّا تَرَكْنَ</w:t>
      </w:r>
      <w:r>
        <w:rPr>
          <w:rStyle w:val="FootnoteAnchor"/>
          <w:rtl w:val="true"/>
        </w:rPr>
        <w:footnoteReference w:id="702"/>
      </w:r>
      <w:r>
        <w:rPr>
          <w:rFonts w:ascii="Amiri" w:hAnsi="Amiri" w:eastAsia="Amiri" w:cs="Amiri"/>
          <w:color w:val="111111"/>
          <w:sz w:val="28"/>
          <w:sz w:val="28"/>
          <w:szCs w:val="28"/>
          <w:rtl w:val="true"/>
          <w:lang w:bidi="ar-SA"/>
        </w:rPr>
        <w:t>، وثانيهما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وَلَهُنَّ الرُّبُعُ مِمَّا تَرَكْتُمْ</w:t>
      </w:r>
      <w:r>
        <w:rPr>
          <w:rStyle w:val="FootnoteAnchor"/>
          <w:rtl w:val="true"/>
        </w:rPr>
        <w:footnoteReference w:id="703"/>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نصفه و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ذكره الله تعالى مرّةً واحدةً في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فَلَهُنَّ اَلثُّمُنُ مِمَّا تَرَكْتُم</w:t>
      </w:r>
      <w:r>
        <w:rPr>
          <w:rStyle w:val="FootnoteAnchor"/>
          <w:rtl w:val="true"/>
        </w:rPr>
        <w:footnoteReference w:id="704"/>
      </w:r>
      <w:r>
        <w:rPr>
          <w:rFonts w:eastAsia="Times New Roman" w:cs="Times New Roman" w:ascii="Times New Roman" w:hAnsi="Times New Roman"/>
          <w:color w:val="111111"/>
          <w:sz w:val="28"/>
          <w:szCs w:val="28"/>
          <w:rtl w:val="true"/>
          <w:lang w:val="en-US" w:bidi="en-US"/>
        </w:rPr>
        <w:t>.</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الثلثان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ذكره الله تعالى في موضعين، أحدهما في البنات،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كُنَّ نِسَاءٌ فَوْقَ اثْنَتَيْنِ فَلَهُنَّ ثُلُنَا مَا تَرَكَ</w:t>
      </w:r>
      <w:r>
        <w:rPr>
          <w:rStyle w:val="FootnoteAnchor"/>
          <w:rtl w:val="true"/>
        </w:rPr>
        <w:footnoteReference w:id="705"/>
      </w:r>
      <w:r>
        <w:rPr>
          <w:rFonts w:ascii="Amiri" w:hAnsi="Amiri" w:eastAsia="Amiri" w:cs="Amiri"/>
          <w:color w:val="111111"/>
          <w:sz w:val="28"/>
          <w:sz w:val="28"/>
          <w:szCs w:val="28"/>
          <w:rtl w:val="true"/>
          <w:lang w:bidi="ar-SA"/>
        </w:rPr>
        <w:t xml:space="preserve">، وثانيهما في الأخوات، قال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كَانَتا اثْنَتَيْنِ فَلَهُمَا الظُّلُتَانِ مِمَّا تَرَكَ</w:t>
      </w:r>
      <w:r>
        <w:rPr>
          <w:rStyle w:val="FootnoteAnchor"/>
          <w:rtl w:val="true"/>
        </w:rPr>
        <w:footnoteReference w:id="706"/>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نصفه وهو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ذكره الله تعالى في موضعين أيضاً، 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فَلِأُمِّهِ الثَّلْتُ</w:t>
      </w:r>
      <w:r>
        <w:rPr>
          <w:rStyle w:val="FootnoteAnchor"/>
          <w:rtl w:val="true"/>
        </w:rPr>
        <w:footnoteReference w:id="707"/>
      </w:r>
      <w:r>
        <w:rPr>
          <w:rFonts w:ascii="IRNazanin" w:hAnsi="IRNazanin" w:eastAsia="IRNazanin"/>
          <w:color w:val="111111"/>
          <w:sz w:val="28"/>
          <w:sz w:val="28"/>
          <w:szCs w:val="28"/>
          <w:rtl w:val="true"/>
          <w:lang w:bidi="fa-IR"/>
        </w:rPr>
        <w:t xml:space="preserve">وقال </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 xml:space="preserve">فَإِن كَانُواْ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أولاد الأُمّ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أَكْثَرَ مِن ذَلِكَ فَهُمْ شُرَكَاءُ فِي الثُّلُثِ</w:t>
      </w:r>
      <w:r>
        <w:rPr>
          <w:rStyle w:val="FootnoteAnchor"/>
          <w:rtl w:val="true"/>
        </w:rPr>
        <w:footnoteReference w:id="70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السادس نصفُ نصفه وهو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ذكره الله تعالى في ثلاثة مواضع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وَلِأَبَوَيْهِ لِكُلِّ وَاحِدٍ مِنْهُمَا السُّدُسُ</w:t>
      </w:r>
      <w:r>
        <w:rPr>
          <w:rStyle w:val="FootnoteAnchor"/>
          <w:rtl w:val="true"/>
        </w:rPr>
        <w:footnoteReference w:id="709"/>
      </w:r>
      <w:r>
        <w:rPr>
          <w:rFonts w:ascii="IRNazanin" w:hAnsi="IRNazanin" w:eastAsia="IRNazanin"/>
          <w:color w:val="111111"/>
          <w:sz w:val="28"/>
          <w:sz w:val="28"/>
          <w:szCs w:val="28"/>
          <w:rtl w:val="true"/>
          <w:lang w:bidi="fa-IR"/>
        </w:rPr>
        <w:t>،</w:t>
      </w:r>
      <w:r>
        <w:rPr>
          <w:rFonts w:ascii="Amiri" w:hAnsi="Amiri" w:eastAsia="Amiri" w:cs="Amiri"/>
          <w:color w:val="111111"/>
          <w:sz w:val="28"/>
          <w:sz w:val="28"/>
          <w:szCs w:val="28"/>
          <w:rtl w:val="true"/>
          <w:lang w:bidi="ar-SA"/>
        </w:rPr>
        <w:t>فَإِن كَانَ لَهُ إِخْوَةٌ فَلِأُمِّهِ السُّدُسُ</w:t>
      </w:r>
      <w:r>
        <w:rPr>
          <w:rStyle w:val="FootnoteAnchor"/>
          <w:rtl w:val="true"/>
        </w:rPr>
        <w:footnoteReference w:id="710"/>
      </w:r>
      <w:r>
        <w:rPr>
          <w:rFonts w:ascii="Amiri" w:hAnsi="Amiri" w:eastAsia="Amiri" w:cs="Amiri"/>
          <w:color w:val="111111"/>
          <w:sz w:val="28"/>
          <w:sz w:val="28"/>
          <w:szCs w:val="28"/>
          <w:rtl w:val="true"/>
          <w:lang w:bidi="ar-SA"/>
        </w:rPr>
        <w:t>،، وقال في حق أولاد الأُمّ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وَلَهُ أَخٌ أَوْ أُخْتٌ فَلِكُلِّ وَاحِدٍ مِنْهُمَا السُّدُسُ</w:t>
      </w:r>
      <w:r>
        <w:rPr>
          <w:rStyle w:val="FootnoteAnchor"/>
          <w:rtl w:val="true"/>
        </w:rPr>
        <w:footnoteReference w:id="71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وأما أهل هذه السهام، فخمسة عشر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فالنصفُ لأربعة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الزوج مع عدم الولد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للزوجة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 نَزَل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سواء كان منه أم غيره،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والبنت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الواحدة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والأخت للأبوين، والأُختِ للأب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فقد أُخت الأبوين، إذا لم يكن ذَكَرُ في الموضعين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والربع لاثنين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الزوج مع الولد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للزوجة وإن نزل،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والزوجة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تعددت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 عدمه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للزوج</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والثمن لقبيل 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الزوجة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تعددت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الولد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نزل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والثلثان لثلاثة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البنتين فصاعداً، والأختين للأبوين فصاعداً، والأختين للأب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فقد المتقرّب بالأبوين فصاعداً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لم يكن ذكر في الموضعين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والثلث لقبيلين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للأم مع عدم مَن يحجبها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الولد والإخوة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وللأخوين أو الأختين، أو للأخ والأخت فصاعداً من جهتها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ولو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للاثنين فصاعداً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ولد الأُمّ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ذكوراً أم إناثاً أم بالتفريق كان أجمع</w:t>
      </w:r>
      <w:r>
        <w:rPr>
          <w:rFonts w:eastAsia="Amiri" w:cs="Amiri" w:ascii="Amiri" w:hAnsi="Amiri"/>
          <w:color w:val="111111"/>
          <w:sz w:val="28"/>
          <w:szCs w:val="28"/>
          <w:rtl w:val="true"/>
          <w:lang w:bidi="ar-SA"/>
        </w:rPr>
        <w:t>.</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والسدس لثلاثة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للأب مع الولد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ذكراً كان أم أنثى، وإن حصل له مع ذلك زيادة </w:t>
      </w:r>
    </w:p>
    <w:p>
      <w:pPr>
        <w:pStyle w:val="BookText"/>
        <w:rPr/>
      </w:pPr>
      <w:r>
        <w:rPr>
          <w:rFonts w:ascii="Amiri" w:hAnsi="Amiri" w:eastAsia="Amiri" w:cs="Amiri"/>
          <w:color w:val="111111"/>
          <w:sz w:val="28"/>
          <w:sz w:val="28"/>
          <w:szCs w:val="28"/>
          <w:rtl w:val="true"/>
          <w:lang w:bidi="ar-SA"/>
        </w:rPr>
        <w:t xml:space="preserve">بالرد فإنّها بالقرابة لا بالفرض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وللأم معه أي مع الولد وكذا مع الحاجب من الإخوة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وللواحد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كلالة الأمّ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أولادها؛ سُمِّيَ الإخوة كلالةً من الكلّ وهو النقل لكونها ثقلاً على الرجل لقيامه بمصالحهم مع عدم التولّد الذي يُوجِب مَزِيدَ الإقبال والخفّةِ على النفس أو من الإكليل وهو ما يُزَيَّن بالجوهر شبة العصابة؛ لإحاطتهم بالرجُل كإحاطته بالرأس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حكم السهام المقدّرة منفردةً وأمّا مُنضَيَّةً بعضها إلى بعض فبعضها يُمكن وبعضُها يمتنع، وصورُ اجتماعها الثنائي مطلقاً إحدى وعشرون حاصلة من ضرب السهام الستة في مثلها ثمّ حذفِ المكرَّر منها وهو خمسة عشر منها</w:t>
      </w:r>
      <w:r>
        <w:rPr>
          <w:rStyle w:val="FootnoteAnchor"/>
          <w:rtl w:val="true"/>
        </w:rPr>
        <w:footnoteReference w:id="712"/>
      </w:r>
      <w:r>
        <w:rPr>
          <w:rFonts w:ascii="Amiri" w:hAnsi="Amiri" w:eastAsia="Amiri" w:cs="Amiri"/>
          <w:color w:val="111111"/>
          <w:sz w:val="28"/>
          <w:sz w:val="28"/>
          <w:szCs w:val="28"/>
          <w:rtl w:val="true"/>
          <w:lang w:bidi="ar-SA"/>
        </w:rPr>
        <w:t>ثمانٍ ممتنعة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واحدة من صور اجتماع النصف مع غيره، وهو اجتماعه مع الثلثين؛ لاستلزامه العَوْلَ، وإلا فأصله واقع كزوج مع أختين فصاعداً لأب، لكن يدخل النقص عليهما فلم يتحقق الاجتماع مطلقاً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واثنتان من صور اجتماع الربع مع غيره، وهما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اجتماعه مع مثله؛ لأنه مثله؛ لأنّه سهم الزوج مع الولد والزوجة لا معه فلا يجتمعان، واجتماعه مع الثمن لأنه نصيبها مع الولد وعدمه معه، أو نصيب الزوج معه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اثنتان من صور الثمن مع غيره، وهما هو مع مثله؛ لأنّه نصيبُ الزوجة وإن تعددت خاصةً، وهو مع الثلث؛ لأنه نصيب الزوجة مع الولد والثلث نصيب الأُمّ 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الاثنين من أولادها لا معهما</w:t>
      </w:r>
      <w:r>
        <w:rPr>
          <w:rFonts w:eastAsia="Amiri" w:cs="Amiri" w:ascii="Amiri" w:hAnsi="Amiri"/>
          <w:color w:val="111111"/>
          <w:sz w:val="28"/>
          <w:szCs w:val="28"/>
          <w:rtl w:val="true"/>
          <w:lang w:bidi="ar-SA"/>
        </w:rPr>
        <w:t>.</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وواحدة من صور الثلثين، وهي هما مع مثلهما؛ لعدم اجتماع مستحقهما متعدّداً في مرتبةٍ واحدةٍ مع بطلان العول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واثنتان من صور الثلث، وهما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اجتماعه مثله وإنْ فُرِض في البنتين والأُختين حيث إنّ لكلّ واحدة ثلثاً، إلّا أنّ السهم هنا هو جملةُ الثلثين لا بعضُهما وهو مع السدس؛ لأنه نصيبُ الأُمّ مع عدم الحاجب، والسدس نصيبها معه بعه أو مع الولد فلا يجامعه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ويبقى من الصور ثلاث عشرة فرضُها واقع صحيحٌ، قد أشار المصنف منها الى تسع بقوله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ويجتمع النصفُ مع مثله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كزوج وأُخت لأب،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ومع الربع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كزوجة وأُخت كذلك، وكزوج وبنت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كزوجة وبنت، وقد تقدَّم أنّه لا يجتمع مع الثلثين؛ لاستلزامه العَوْلَ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يجتمع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 الثلث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كزوج وأُمّ، وككلالةِ الأُمّ المتعدّدة مع أُخت لأب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كزوج وواحد من كلالة الأُمّ، وكبنت مع أُمّ، وكأخت لأب مع</w:t>
      </w:r>
    </w:p>
    <w:p>
      <w:pPr>
        <w:pStyle w:val="BookText"/>
        <w:rPr/>
      </w:pPr>
      <w:r>
        <w:rPr>
          <w:rFonts w:ascii="Amiri" w:hAnsi="Amiri" w:eastAsia="Amiri" w:cs="Amiri"/>
          <w:color w:val="111111"/>
          <w:sz w:val="28"/>
          <w:sz w:val="28"/>
          <w:szCs w:val="28"/>
          <w:rtl w:val="true"/>
          <w:lang w:bidi="ar-SA"/>
        </w:rPr>
        <w:t>واحد من كلالة الأم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ويجتمع الربع والثمنُ مع الثلثين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فالأول كزوج وابنتين وكزوجة وأُختين لأب، والثاني كزوجة وابنتين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ويجتمع الربع مع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الثلث كزوجة وأم وزوجة مع متعدّد من كلالة الأُم، ومع السدس كزوجة وواحد من كلالة الأم، وكزوج وأحد الأبوين مع ابن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ويجتمع الثمن مع السدس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كزوجة وابن وأحَدِ الأبوين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ويجتمع الثلثان مع الثلث كإخوة لأُمّ مع أختين فصاعداً لأب، ومع السدس كبنتين وأَحَدِ الأبوين، وكأختين لأب مع واحد من كلالة الأم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ويجتمع السدس مع السدس كأبوين مع الولد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فهذه جملة الصور التي يمكن اجتماعها بالفرض ثنائياً وهي ثلاث عشرة</w:t>
      </w:r>
      <w:r>
        <w:rPr>
          <w:rFonts w:eastAsia="Amiri" w:cs="Amiri" w:ascii="Amiri" w:hAnsi="Amiri"/>
          <w:color w:val="111111"/>
          <w:sz w:val="28"/>
          <w:szCs w:val="28"/>
          <w:rtl w:val="true"/>
          <w:lang w:bidi="ar-SA"/>
        </w:rPr>
        <w:t>.</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الاجتماع لا بحسب الفرض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بالقرابة اتفاقاً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 حصر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لاختلافه باختلاف الوارث كثرةً وقِلَةٌ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ويمكن معه فرضُ ما امتنع لغير العول فيجتمع الربع مع مثله في بنتين وابن، ومع الثمن في زوجة وبنت وثلاث بنين والثلث مع </w:t>
      </w:r>
    </w:p>
    <w:p>
      <w:pPr>
        <w:pStyle w:val="BookText"/>
        <w:rPr/>
      </w:pPr>
      <w:r>
        <w:rPr>
          <w:rFonts w:ascii="Amiri" w:hAnsi="Amiri" w:eastAsia="Amiri" w:cs="Amiri"/>
          <w:color w:val="111111"/>
          <w:sz w:val="28"/>
          <w:sz w:val="28"/>
          <w:szCs w:val="28"/>
          <w:rtl w:val="true"/>
          <w:lang w:bidi="ar-SA"/>
        </w:rPr>
        <w:t>السدس في زوج وأبوين، وعلى هذا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وإذا خَلَّف الميّتُ ذا فرض أَخَذ فرْضَه، فإن تعدد في طبقته أَخَذَ كلُّ فرضَه، فإن فَضَل من التركة شيء عن فُروضهم رُدَّ عليهم على نسبة الفروض مع تساويهم في الوُصلة، عدا الزوج والزوجة والمحجوب عن الزيادة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ميراث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للعَصَبَة</w:t>
      </w:r>
      <w:r>
        <w:rPr>
          <w:rStyle w:val="FootnoteAnchor"/>
          <w:rtl w:val="true"/>
        </w:rPr>
        <w:footnoteReference w:id="71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تقدير زيادة الفريضة عن السهام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مع عدم القريب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الأقرب منهم؛ لعموم آية أولي الأرحام</w:t>
      </w:r>
      <w:r>
        <w:rPr>
          <w:rStyle w:val="FootnoteAnchor"/>
          <w:rtl w:val="true"/>
        </w:rPr>
        <w:footnoteReference w:id="714"/>
      </w:r>
      <w:r>
        <w:rPr>
          <w:rFonts w:ascii="Amiri" w:hAnsi="Amiri" w:eastAsia="Amiri" w:cs="Amiri"/>
          <w:color w:val="111111"/>
          <w:sz w:val="28"/>
          <w:sz w:val="28"/>
          <w:szCs w:val="28"/>
          <w:rtl w:val="true"/>
          <w:lang w:bidi="ar-SA"/>
        </w:rPr>
        <w:t>، وإجماع أهل البيت وتواتر أخبارهم</w:t>
      </w:r>
      <w:r>
        <w:rPr>
          <w:rStyle w:val="FootnoteAnchor"/>
          <w:rtl w:val="true"/>
        </w:rPr>
        <w:footnoteReference w:id="715"/>
      </w:r>
      <w:r>
        <w:rPr>
          <w:rFonts w:ascii="Amiri" w:hAnsi="Amiri" w:eastAsia="Amiri" w:cs="Amiri"/>
          <w:color w:val="111111"/>
          <w:sz w:val="28"/>
          <w:sz w:val="28"/>
          <w:szCs w:val="28"/>
          <w:rtl w:val="true"/>
          <w:lang w:bidi="ar-SA"/>
        </w:rPr>
        <w:t xml:space="preserve">بذلك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فاضل الفريضة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على البنت والبنات، والأختِ والأخوات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للأب والأم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للأب مع فقدهم، وعلى الأُمّ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وعلى كلالة الأُمّ مع عدم وارث في درجتهم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وإلّا اختَصَّ غيرُهم من الإخوة للأبوين أو للأب بالردّ دونهم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يُرَدّ على الزوج والزوجة إلا مع عدم كلّ وارث عدا الإمام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بل الفاضل عن نصيبهما لغيرهما من الوُرّاث، ولو ضامن الجريرة</w:t>
      </w:r>
      <w:r>
        <w:rPr>
          <w:rFonts w:eastAsia="Amiri" w:cs="Amiri" w:ascii="Amiri" w:hAnsi="Amiri"/>
          <w:color w:val="111111"/>
          <w:sz w:val="28"/>
          <w:szCs w:val="28"/>
          <w:rtl w:val="true"/>
          <w:lang w:bidi="ar-SA"/>
        </w:rPr>
        <w:t>.</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ولو فُقد من عدا الإمام من الوراث ففي الردّ عليهما مطلقاً </w:t>
      </w:r>
      <w:r>
        <w:rPr>
          <w:rStyle w:val="FootnoteAnchor"/>
          <w:rtl w:val="true"/>
        </w:rPr>
        <w:footnoteReference w:id="716"/>
      </w:r>
      <w:r>
        <w:rPr>
          <w:rFonts w:ascii="IRNazanin" w:hAnsi="IRNazanin" w:eastAsia="IRNazanin"/>
          <w:color w:val="111111"/>
          <w:sz w:val="28"/>
          <w:sz w:val="28"/>
          <w:szCs w:val="28"/>
          <w:rtl w:val="true"/>
          <w:lang w:bidi="fa-IR"/>
        </w:rPr>
        <w:t xml:space="preserve">، أو عدمه مطلقاً </w:t>
      </w:r>
      <w:r>
        <w:rPr>
          <w:rStyle w:val="FootnoteAnchor"/>
          <w:rtl w:val="true"/>
        </w:rPr>
        <w:footnoteReference w:id="717"/>
      </w:r>
      <w:r>
        <w:rPr>
          <w:rFonts w:ascii="Amiri" w:hAnsi="Amiri" w:eastAsia="Amiri" w:cs="Amiri"/>
          <w:color w:val="111111"/>
          <w:sz w:val="28"/>
          <w:sz w:val="28"/>
          <w:szCs w:val="28"/>
          <w:rtl w:val="true"/>
          <w:lang w:bidi="ar-SA"/>
        </w:rPr>
        <w:t xml:space="preserve">، أو عليه مطلقاً دونها مطلقاً </w:t>
      </w:r>
      <w:r>
        <w:rPr>
          <w:rStyle w:val="FootnoteAnchor"/>
          <w:rtl w:val="true"/>
        </w:rPr>
        <w:footnoteReference w:id="718"/>
      </w:r>
      <w:r>
        <w:rPr>
          <w:rFonts w:ascii="Amiri" w:hAnsi="Amiri" w:eastAsia="Amiri" w:cs="Amiri"/>
          <w:color w:val="111111"/>
          <w:sz w:val="28"/>
          <w:sz w:val="28"/>
          <w:szCs w:val="28"/>
          <w:rtl w:val="true"/>
          <w:lang w:bidi="ar-SA"/>
        </w:rPr>
        <w:t>أو عليهما إلا حال حضور الإمام فلا يُرَدّ عليها خاصة</w:t>
      </w:r>
      <w:r>
        <w:rPr>
          <w:rStyle w:val="FootnoteAnchor"/>
          <w:rtl w:val="true"/>
        </w:rPr>
        <w:footnoteReference w:id="719"/>
      </w:r>
      <w:r>
        <w:rPr>
          <w:rFonts w:ascii="IRNazanin" w:hAnsi="IRNazanin" w:eastAsia="IRNazanin"/>
          <w:color w:val="111111"/>
          <w:sz w:val="28"/>
          <w:sz w:val="28"/>
          <w:szCs w:val="28"/>
          <w:rtl w:val="true"/>
          <w:lang w:bidi="fa-IR"/>
        </w:rPr>
        <w:t>، أقوال؛ مستندها ظواهر الأخبار</w:t>
      </w:r>
      <w:r>
        <w:rPr>
          <w:rStyle w:val="FootnoteAnchor"/>
          <w:rtl w:val="true"/>
        </w:rPr>
        <w:footnoteReference w:id="720"/>
      </w:r>
      <w:r>
        <w:rPr>
          <w:rFonts w:ascii="Amiri" w:hAnsi="Amiri" w:eastAsia="Amiri" w:cs="Amiri"/>
          <w:color w:val="111111"/>
          <w:sz w:val="28"/>
          <w:sz w:val="28"/>
          <w:szCs w:val="28"/>
          <w:rtl w:val="true"/>
          <w:lang w:bidi="ar-SA"/>
        </w:rPr>
        <w:t>المختلفة ظاهراً، أو الجمع بينها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والمصنف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اختار </w:t>
      </w:r>
    </w:p>
    <w:p>
      <w:pPr>
        <w:pStyle w:val="BookText"/>
        <w:rPr/>
      </w:pPr>
      <w:r>
        <w:rPr>
          <w:rFonts w:ascii="Amiri" w:hAnsi="Amiri" w:eastAsia="Amiri" w:cs="Amiri"/>
          <w:color w:val="111111"/>
          <w:sz w:val="28"/>
          <w:sz w:val="28"/>
          <w:szCs w:val="28"/>
          <w:rtl w:val="true"/>
          <w:lang w:bidi="ar-SA"/>
        </w:rPr>
        <w:t xml:space="preserve">هنا القول الأخير كما يُستفاد من استثنائه من المنفي المقتضي لإثبات الردّ عليهما دون الإمام مع قوله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والأقرب إرثُه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 الزوجة إن كان حاضراً</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أمّا الردُّ على الزوج مطلقاً فهو المشهور، بل ادَّعَى جماعة</w:t>
      </w:r>
      <w:r>
        <w:rPr>
          <w:rStyle w:val="FootnoteAnchor"/>
          <w:rtl w:val="true"/>
        </w:rPr>
        <w:footnoteReference w:id="721"/>
      </w:r>
      <w:r>
        <w:rPr>
          <w:rFonts w:ascii="Amiri" w:hAnsi="Amiri" w:eastAsia="Amiri" w:cs="Amiri"/>
          <w:color w:val="111111"/>
          <w:sz w:val="28"/>
          <w:sz w:val="28"/>
          <w:szCs w:val="28"/>
          <w:rtl w:val="true"/>
          <w:lang w:bidi="ar-SA"/>
        </w:rPr>
        <w:t xml:space="preserve">عليه الإجماع، وبه أخبار كثيرة كصحيحة أبي بصير 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قرأ عليه فرائضَ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الزوج يحوز المالَ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لم يكن غيره</w:t>
      </w:r>
      <w:r>
        <w:rPr>
          <w:rFonts w:eastAsia="Amiri" w:cs="Amiri" w:ascii="Amiri" w:hAnsi="Amiri"/>
          <w:color w:val="111111"/>
          <w:sz w:val="28"/>
          <w:szCs w:val="28"/>
          <w:rtl w:val="true"/>
          <w:lang w:bidi="ar-SA"/>
        </w:rPr>
        <w:t xml:space="preserve">) </w:t>
      </w:r>
      <w:r>
        <w:rPr>
          <w:rStyle w:val="FootnoteAnchor"/>
          <w:rtl w:val="true"/>
        </w:rPr>
        <w:footnoteReference w:id="72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وأما التفصيل في الزوجة، فللجمع بين رواية أبي بصير عن الباقر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سأله عن امرأة ماتت وتركت زوجها ولا وارث لها غيره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لم يكن غيره فله المال والمرأة لها الربع وما بقى فللإمام</w:t>
      </w:r>
      <w:r>
        <w:rPr>
          <w:rFonts w:eastAsia="Amiri" w:cs="Amiri" w:ascii="Amiri" w:hAnsi="Amiri"/>
          <w:color w:val="111111"/>
          <w:sz w:val="28"/>
          <w:szCs w:val="28"/>
          <w:rtl w:val="true"/>
          <w:lang w:bidi="ar-SA"/>
        </w:rPr>
        <w:t>»</w:t>
      </w:r>
      <w:r>
        <w:rPr>
          <w:rStyle w:val="FootnoteAnchor"/>
          <w:rtl w:val="true"/>
        </w:rPr>
        <w:footnoteReference w:id="72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ومثلها رواية محمد بن مروان عن الباقر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Style w:val="FootnoteAnchor"/>
          <w:rtl w:val="true"/>
        </w:rPr>
        <w:footnoteReference w:id="724"/>
      </w:r>
      <w:r>
        <w:rPr>
          <w:rFonts w:ascii="Amiri" w:hAnsi="Amiri" w:eastAsia="Amiri" w:cs="Amiri"/>
          <w:color w:val="111111"/>
          <w:sz w:val="28"/>
          <w:sz w:val="28"/>
          <w:szCs w:val="28"/>
          <w:rtl w:val="true"/>
          <w:lang w:bidi="ar-SA"/>
        </w:rPr>
        <w:t>، وبين صحيحة أبي بصير عن الباقر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رجل مات وترك امرأته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المال لها </w:t>
      </w:r>
      <w:r>
        <w:rPr>
          <w:rFonts w:eastAsia="Amiri" w:cs="Amiri" w:ascii="Amiri" w:hAnsi="Amiri"/>
          <w:color w:val="111111"/>
          <w:sz w:val="28"/>
          <w:szCs w:val="28"/>
          <w:rtl w:val="true"/>
          <w:lang w:bidi="ar-SA"/>
        </w:rPr>
        <w:t>»</w:t>
      </w:r>
      <w:r>
        <w:rPr>
          <w:rStyle w:val="FootnoteAnchor"/>
          <w:rtl w:val="true"/>
        </w:rPr>
        <w:footnoteReference w:id="725"/>
      </w:r>
      <w:r>
        <w:rPr>
          <w:rFonts w:ascii="Amiri" w:hAnsi="Amiri" w:eastAsia="Amiri" w:cs="Amiri"/>
          <w:color w:val="111111"/>
          <w:sz w:val="28"/>
          <w:sz w:val="28"/>
          <w:szCs w:val="28"/>
          <w:rtl w:val="true"/>
          <w:lang w:bidi="ar-SA"/>
        </w:rPr>
        <w:t>بحمل هذه على حالة الغَيبة وذَيْنِك على حالة الحضور حذراً من التناقض</w:t>
      </w:r>
      <w:r>
        <w:rPr>
          <w:rFonts w:eastAsia="Amiri" w:cs="Amiri" w:ascii="Amiri" w:hAnsi="Amiri"/>
          <w:color w:val="111111"/>
          <w:sz w:val="28"/>
          <w:szCs w:val="28"/>
          <w:rtl w:val="true"/>
          <w:lang w:bidi="ar-SA"/>
        </w:rPr>
        <w:t>.</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والمصنّف في الشرح </w:t>
      </w:r>
      <w:r>
        <w:rPr>
          <w:rStyle w:val="FootnoteAnchor"/>
          <w:rtl w:val="true"/>
        </w:rPr>
        <w:footnoteReference w:id="726"/>
      </w:r>
      <w:r>
        <w:rPr>
          <w:rFonts w:ascii="Amiri" w:hAnsi="Amiri" w:eastAsia="Amiri" w:cs="Amiri"/>
          <w:color w:val="111111"/>
          <w:sz w:val="28"/>
          <w:sz w:val="28"/>
          <w:szCs w:val="28"/>
          <w:rtl w:val="true"/>
          <w:lang w:bidi="ar-SA"/>
        </w:rPr>
        <w:t>اختار القول الثالث المشتمل على عدم الردّ عليها مطلقاً، محتجاً بما سبق؛ فإنّ ترك الاستفصال دليل العموم، وللأصل الدال على عدم الزيادة على المفروض، وخبرُ الردّ عليها مطلقاً وإن كان صحيحاً، إلّا أنّ في العمل به مطلقاً ا طراحاً لتلك الأخبار والقائلُ به نادر جداً، وتخصيصه بحالة الغيبة بعيد جداً؛ لأنّ السؤال فيه للباقر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رجل مات بصيغة الماضي، وأمرهم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حينئذ ظاهر، والدفع إليهم ممكن، فحمله على حالة الغَيبة المتأخّرةِ عن زمن السؤال عن ميّتٍ بالفعل بأزيد </w:t>
      </w:r>
    </w:p>
    <w:p>
      <w:pPr>
        <w:pStyle w:val="BookText"/>
        <w:rPr/>
      </w:pPr>
      <w:r>
        <w:rPr>
          <w:rFonts w:ascii="Amiri" w:hAnsi="Amiri" w:eastAsia="Amiri" w:cs="Amiri"/>
          <w:color w:val="111111"/>
          <w:sz w:val="28"/>
          <w:sz w:val="28"/>
          <w:szCs w:val="28"/>
          <w:rtl w:val="true"/>
          <w:lang w:bidi="ar-SA"/>
        </w:rPr>
        <w:t xml:space="preserve">من مائة وخمسين سنةً أبعد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قال ابن إدريس</w:t>
      </w:r>
      <w:r>
        <w:rPr>
          <w:rStyle w:val="FootnoteAnchor"/>
          <w:rtl w:val="true"/>
        </w:rPr>
        <w:footnoteReference w:id="72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ممّا بين المشرق والمغرب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وربما حُمِل على كون المرأة قريبة للزوج</w:t>
      </w:r>
      <w:r>
        <w:rPr>
          <w:rStyle w:val="FootnoteAnchor"/>
          <w:rtl w:val="true"/>
        </w:rPr>
        <w:footnoteReference w:id="728"/>
      </w:r>
      <w:r>
        <w:rPr>
          <w:rFonts w:ascii="Amiri" w:hAnsi="Amiri" w:eastAsia="Amiri" w:cs="Amiri"/>
          <w:color w:val="111111"/>
          <w:sz w:val="28"/>
          <w:sz w:val="28"/>
          <w:szCs w:val="28"/>
          <w:rtl w:val="true"/>
          <w:lang w:bidi="ar-SA"/>
        </w:rPr>
        <w:t>، وهو بعيد عن الإطلاق، إلا أنه وجه في الجمع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هذه الأخبار ظهر وجه القول بالردّ عليهما مطلقاً، كما هو ظاهر المفيد</w:t>
      </w:r>
      <w:r>
        <w:rPr>
          <w:rStyle w:val="FootnoteAnchor"/>
          <w:rtl w:val="true"/>
        </w:rPr>
        <w:footnoteReference w:id="72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ورَوَى جميل في الموثق عن الصادق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لا يكون الرد على زوج ولا زوجة</w:t>
      </w:r>
      <w:r>
        <w:rPr>
          <w:rFonts w:eastAsia="Amiri" w:cs="Amiri" w:ascii="Amiri" w:hAnsi="Amiri"/>
          <w:color w:val="111111"/>
          <w:sz w:val="28"/>
          <w:szCs w:val="28"/>
          <w:rtl w:val="true"/>
          <w:lang w:bidi="ar-SA"/>
        </w:rPr>
        <w:t>»</w:t>
      </w:r>
      <w:r>
        <w:rPr>
          <w:rStyle w:val="FootnoteAnchor"/>
          <w:rtl w:val="true"/>
        </w:rPr>
        <w:footnoteReference w:id="73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دليل القول الثاني، وأشهرها الثالث</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عَوْلَ في الفرائض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لا زيادة في السهام عليها على وجه يحصل النقص على الجميع بالنسبة وذلك بدخول الزوج والزوجة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تقدير الزيادة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يدخُل النقصُ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الأب والبنت والبنات، والأخوات للأب والأم أو للأب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خلافاً للجمهور</w:t>
      </w:r>
      <w:r>
        <w:rPr>
          <w:rStyle w:val="FootnoteAnchor"/>
          <w:rtl w:val="true"/>
        </w:rPr>
        <w:footnoteReference w:id="731"/>
      </w:r>
      <w:r>
        <w:rPr>
          <w:rFonts w:ascii="Amiri" w:hAnsi="Amiri" w:eastAsia="Amiri" w:cs="Amiri"/>
          <w:color w:val="111111"/>
          <w:sz w:val="28"/>
          <w:sz w:val="28"/>
          <w:szCs w:val="28"/>
          <w:rtl w:val="true"/>
          <w:lang w:bidi="ar-SA"/>
        </w:rPr>
        <w:t>حيث جعلوه مُوَزَّعاً على الجميع بإلحاقِ السهم الزائد للفريضة وقسمتها على الجميع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سُمِّي هذا القسم عولاً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إما من الميل، ومنه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ذَلِكَ أَدْنَى أَلَّا تَعُولُوا</w:t>
      </w:r>
      <w:r>
        <w:rPr>
          <w:rStyle w:val="FootnoteAnchor"/>
          <w:rtl w:val="true"/>
        </w:rPr>
        <w:footnoteReference w:id="732"/>
      </w:r>
      <w:r>
        <w:rPr>
          <w:rFonts w:ascii="Amiri" w:hAnsi="Amiri" w:eastAsia="Amiri" w:cs="Amiri"/>
          <w:color w:val="111111"/>
          <w:sz w:val="28"/>
          <w:sz w:val="28"/>
          <w:szCs w:val="28"/>
          <w:rtl w:val="true"/>
          <w:lang w:bidi="ar-SA"/>
        </w:rPr>
        <w:t xml:space="preserve">وسُمِّيت الفريضة عائلةً على أهلها لميلها بالجور عليهم بنقصان سِهامهم، أو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عَالَ الرجلُ، إذا كَثر عِيالُه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لكثرة السهام فيها، أو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عالَ إذا غَلَب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لغلبة أهل السهام بالنقص، أو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عالت الناقةُ ذَنَبَها إذا رَفَعَتْه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لارتفاع الفرائض على أصلها بزيادة السهام</w:t>
      </w:r>
      <w:r>
        <w:rPr>
          <w:rFonts w:eastAsia="Amiri" w:cs="Amiri" w:ascii="Amiri" w:hAnsi="Amiri"/>
          <w:color w:val="111111"/>
          <w:sz w:val="28"/>
          <w:szCs w:val="28"/>
          <w:rtl w:val="true"/>
          <w:lang w:bidi="ar-SA"/>
        </w:rPr>
        <w:t>.</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وعلى ما ذكرناه إجماع أهل البيت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وأخبار هم به متظافرة، قال الباقر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كان 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الذي أَحْصَى رَمْلَ عالج لَيَعلَمُ أنّ السِهامَ لا تَعُول على ستّة، </w:t>
      </w:r>
    </w:p>
    <w:p>
      <w:pPr>
        <w:pStyle w:val="BookText"/>
        <w:rPr/>
      </w:pPr>
      <w:r>
        <w:rPr>
          <w:rFonts w:ascii="Amiri" w:hAnsi="Amiri" w:eastAsia="Amiri" w:cs="Amiri"/>
          <w:color w:val="111111"/>
          <w:sz w:val="28"/>
          <w:sz w:val="28"/>
          <w:szCs w:val="28"/>
          <w:rtl w:val="true"/>
          <w:lang w:bidi="ar-SA"/>
        </w:rPr>
        <w:t>لو يَبصُرون وجهَها لم تَجُز سنّةً</w:t>
      </w:r>
      <w:r>
        <w:rPr>
          <w:rFonts w:eastAsia="Amiri" w:cs="Amiri" w:ascii="Amiri" w:hAnsi="Amiri"/>
          <w:color w:val="111111"/>
          <w:sz w:val="28"/>
          <w:szCs w:val="28"/>
          <w:rtl w:val="true"/>
          <w:lang w:bidi="ar-SA"/>
        </w:rPr>
        <w:t>»</w:t>
      </w:r>
      <w:r>
        <w:rPr>
          <w:rStyle w:val="FootnoteAnchor"/>
          <w:rtl w:val="true"/>
        </w:rPr>
        <w:footnoteReference w:id="73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ابن عبّاس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شاء باهَلْتُهُ عند الحجر الأسود، إنّ الله لم يذكر في كتابه نصفين وثلثاً</w:t>
      </w:r>
      <w:r>
        <w:rPr>
          <w:rStyle w:val="FootnoteAnchor"/>
          <w:rtl w:val="true"/>
        </w:rPr>
        <w:footnoteReference w:id="73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سبحان الله العظيم، أترون أن الذي أحصى رمل عالج عدداً جعل في مال نصفاً ونصفاً وثلثاً، فهذان النصفان قد ذهبا بالمال فأين موضع الثلث فقال له زُفَر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العبّاس فمَن أوّلُ ما أعال الفرائض ؟ فقال عمر لما التفت الفرائضَ عنده، ودَفَع بعضها بعضاً،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ما أدري أيكم قدَّم الله وأيكم أخَر وما أَجِدُ شيئاً هو أوسع من أن أُقسم عليكم هذا المال بالحصص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وأَيْمُ اللهِ لو قدَّمتم من قدَّم اللهُ وأَخَّرتم مَن أخَّرَ اللهُ ما عَالَتْ الفريضةً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 زُفَر وأتها قدَّم وأتِها أَخَر؟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فريضة لم يُهبطها الله إلا إلى فريضة؛ فهذا ما قدَّم الله، وأما ما أَخَّر فكلّ فريضة إذا زالت عن فرضها لم يكن لها إلا ما بقي فتلك التي أخَّر، فأما التي قدَّم فالزوج له النصف فإذا دَخَل عليه ما يُزيله عنه رجع إلى الربع ولا يزيله عنه شيء، ومثله الزوجة والأُمّ</w:t>
      </w:r>
      <w:r>
        <w:rPr>
          <w:rStyle w:val="FootnoteAnchor"/>
          <w:rtl w:val="true"/>
        </w:rPr>
        <w:footnoteReference w:id="73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التى أخر، ففريضة البنات والأخوات لها النصف والثلثان، فإذا أَزالَتْهُنَّ الفرائضُ عن ذلك لم يكن لهنّ إلا ما بَقِي، فإذا اجتَمَع ما قدَّم الله وما أَخَر بُدِئَ بما قدّم الله وأُعطِي حقه كاملاً، فإن بَقِيَ شيء كان لما أخر الله</w:t>
      </w:r>
      <w:r>
        <w:rPr>
          <w:rStyle w:val="FootnoteAnchor"/>
          <w:rtl w:val="true"/>
        </w:rPr>
        <w:footnoteReference w:id="736"/>
      </w:r>
      <w:r>
        <w:rPr>
          <w:rFonts w:ascii="Amiri" w:hAnsi="Amiri" w:eastAsia="Amiri" w:cs="Amiri"/>
          <w:color w:val="111111"/>
          <w:sz w:val="28"/>
          <w:sz w:val="28"/>
          <w:szCs w:val="28"/>
          <w:rtl w:val="true"/>
          <w:lang w:bidi="ar-SA"/>
        </w:rPr>
        <w:t>، 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وإنما ذكرناه مع طوله لاشتماله على أمور مهمة منها بيان علة حدوث النقص على مَن ذُكِر</w:t>
      </w:r>
      <w:r>
        <w:rPr>
          <w:rFonts w:eastAsia="Amiri" w:cs="Amiri" w:ascii="Amiri" w:hAnsi="Amiri"/>
          <w:color w:val="111111"/>
          <w:sz w:val="28"/>
          <w:szCs w:val="28"/>
          <w:rtl w:val="true"/>
          <w:lang w:bidi="ar-SA"/>
        </w:rPr>
        <w:t>.</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واعلم أنّ الوارث مطلقاً إمّا أن يَرِثَ بالفرض خاصةً وهو مَن سمّى الله تعالى له في كتابه سهماً بخصوصه، وهو الأُمُّ والإخوة من قبلها والزوج والزوجة حيث لا ردّ؛ أو </w:t>
      </w:r>
    </w:p>
    <w:p>
      <w:pPr>
        <w:pStyle w:val="BookText"/>
        <w:rPr/>
      </w:pPr>
      <w:r>
        <w:rPr>
          <w:rFonts w:ascii="Amiri" w:hAnsi="Amiri" w:eastAsia="Amiri" w:cs="Amiri"/>
          <w:color w:val="111111"/>
          <w:sz w:val="28"/>
          <w:sz w:val="28"/>
          <w:szCs w:val="28"/>
          <w:rtl w:val="true"/>
          <w:lang w:bidi="ar-SA"/>
        </w:rPr>
        <w:t>بالقرابة خاصةً، وهو مَن دَخَل في الإرث بعموم الكتاب، في آية أُولي الأرحام كالأخوال والأعمام؛ أو يَرِثُ بالفرض تارةً وبالقرابة أُخرى، وهو الأبُ والبنتُ وإنْ تعددت، والأُختُ للأب كذلك فالأب مع الولد يرث بالفرض ومع غيره أو منفرداً بالقرابة، والبنات يرثن مع الولد بالقرابة ومع الأبوين بالفرض، والأخوات يرثن مع</w:t>
      </w:r>
    </w:p>
    <w:p>
      <w:pPr>
        <w:pStyle w:val="BookText"/>
        <w:rPr/>
      </w:pPr>
      <w:r>
        <w:rPr>
          <w:rFonts w:ascii="Amiri" w:hAnsi="Amiri" w:eastAsia="Amiri" w:cs="Amiri"/>
          <w:color w:val="111111"/>
          <w:sz w:val="28"/>
          <w:sz w:val="28"/>
          <w:szCs w:val="28"/>
          <w:rtl w:val="true"/>
          <w:lang w:bidi="ar-SA"/>
        </w:rPr>
        <w:t>يَرِثْنَ الإخوة بالقرابة ومع كلالة الأم بالفرض؛ أو يرث بالفرض والقرابة معاً وهو ذو الفرض على تقدير الردّ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هذا التقسيم يظهر أنّ ذِكْرَ المصنّف الأب مع مَن يَدخُل النقصُ عليهم من ذوي الفروض ليس بجيّد؛ لأنه مع الولد لا ينقص عن السدس، ومع عدمه ليس من ذوي الفروض ومسألة العول مختصة بهم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تنبه لذلك المصنف في الدروس</w:t>
      </w:r>
      <w:r>
        <w:rPr>
          <w:rStyle w:val="FootnoteAnchor"/>
          <w:rtl w:val="true"/>
        </w:rPr>
        <w:footnoteReference w:id="737"/>
      </w:r>
      <w:r>
        <w:rPr>
          <w:rFonts w:ascii="Amiri" w:hAnsi="Amiri" w:eastAsia="Amiri" w:cs="Amiri"/>
          <w:color w:val="111111"/>
          <w:sz w:val="28"/>
          <w:sz w:val="28"/>
          <w:szCs w:val="28"/>
          <w:rtl w:val="true"/>
          <w:lang w:bidi="ar-SA"/>
        </w:rPr>
        <w:t>فترك ذكرَه، وقَبْلَه العلّامة في القواعد</w:t>
      </w:r>
      <w:r>
        <w:rPr>
          <w:rStyle w:val="FootnoteAnchor"/>
          <w:rtl w:val="true"/>
        </w:rPr>
        <w:footnoteReference w:id="738"/>
      </w:r>
      <w:r>
        <w:rPr>
          <w:rFonts w:ascii="Amiri" w:hAnsi="Amiri" w:eastAsia="Amiri" w:cs="Amiri"/>
          <w:color w:val="111111"/>
          <w:sz w:val="28"/>
          <w:sz w:val="28"/>
          <w:szCs w:val="28"/>
          <w:rtl w:val="true"/>
          <w:lang w:bidi="ar-SA"/>
        </w:rPr>
        <w:t>، وذكره في غيرها</w:t>
      </w:r>
      <w:r>
        <w:rPr>
          <w:rStyle w:val="FootnoteAnchor"/>
          <w:rtl w:val="true"/>
        </w:rPr>
        <w:footnoteReference w:id="739"/>
      </w:r>
      <w:r>
        <w:rPr>
          <w:rFonts w:ascii="Amiri" w:hAnsi="Amiri" w:eastAsia="Amiri" w:cs="Amiri"/>
          <w:color w:val="111111"/>
          <w:sz w:val="28"/>
          <w:sz w:val="28"/>
          <w:szCs w:val="28"/>
          <w:rtl w:val="true"/>
          <w:lang w:bidi="ar-SA"/>
        </w:rPr>
        <w:t>، والمحقق في كتابيه</w:t>
      </w:r>
      <w:r>
        <w:rPr>
          <w:rStyle w:val="FootnoteAnchor"/>
          <w:rtl w:val="true"/>
        </w:rPr>
        <w:footnoteReference w:id="740"/>
      </w:r>
      <w:r>
        <w:rPr>
          <w:rFonts w:ascii="Amiri" w:hAnsi="Amiri" w:eastAsia="Amiri" w:cs="Amiri"/>
          <w:color w:val="111111"/>
          <w:sz w:val="28"/>
          <w:sz w:val="28"/>
          <w:szCs w:val="28"/>
          <w:rtl w:val="true"/>
          <w:lang w:bidi="ar-SA"/>
        </w:rPr>
        <w:t>، والصواب تركه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مسائل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خمش</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المسألة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انفرد كلُّ واحدٍ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الأبوين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 يترك الميت قريباً في مرتبته سواه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فالمال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 لكن للأُمّ ثُلث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بالتسمية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لأنّه فرضُها حينئذ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والباقي بالردّ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الأب فإرثه للجميع بالقرابة إذ لا فرضَ له حينئذ، كما مرّ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ولو اجتَمَعا فللام الثلث مع عدم الحاجب من الإخوة والسدس مع الحاجب والباقي من التركة عن الثلث أو السدس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للأب</w:t>
      </w:r>
      <w:r>
        <w:rPr>
          <w:rFonts w:eastAsia="Amiri" w:cs="Amiri" w:ascii="Amiri" w:hAnsi="Amiri"/>
          <w:color w:val="111111"/>
          <w:sz w:val="28"/>
          <w:szCs w:val="28"/>
          <w:rtl w:val="true"/>
          <w:lang w:bidi="ar-SA"/>
        </w:rPr>
        <w:t>).</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المسألة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للابن المنفرِدِ المالُ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وكذا للزائد عن الواحد من الأبناء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بينهم بالسوية، وللبنتِ المنفردة النصفُ تسميةً والباقي ردّاً، وللبنتين فصاعداً الثلثان تسميةً والباقي رداً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اجتمع الذكور والإناث فللذكَرِ مِثْلُ حَظِّ الأُنْثَيَين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اجتمع مع الولد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ذكراً كان أم أنثى متحداً أم متعدّداً</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الأبوان فلكلّ واحدٍ منهما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السدسُ، والباقي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المال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للابن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كان الولد المفروض ابناً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البنين أو الذكور والإناث على ما قلناه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للذكر منهم مثل حظ الأنثيين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الأبوين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 البنتِ الواحدة السدسان ولها النصف، والباقي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السدس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الأبوين والبنتِ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أخماساً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نسبة الفريضة، فيكون جميع التركة بينهم أخماساً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للبنت ثلاثة أخماس ولكلّ واحد منهما خُمس، والفريضة حينئذٍ من ثلاثين؛ لأنّ أصلها</w:t>
      </w:r>
    </w:p>
    <w:p>
      <w:pPr>
        <w:pStyle w:val="BookText"/>
        <w:rPr/>
      </w:pPr>
      <w:r>
        <w:rPr>
          <w:rFonts w:ascii="Amiri" w:hAnsi="Amiri" w:eastAsia="Amiri" w:cs="Amiri"/>
          <w:color w:val="111111"/>
          <w:sz w:val="28"/>
          <w:sz w:val="28"/>
          <w:szCs w:val="28"/>
          <w:rtl w:val="true"/>
          <w:lang w:bidi="ar-SA"/>
        </w:rPr>
        <w:t>ستةٌ مَخرَجُ السدسِ والنصف، ثمّ يرتقي بالضرب في مخرج الكسر إلى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إذا لم يكن للأم حاجب عن الزيادة على السدس،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ومع الحاجب يُرَدّ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الفاضل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البنت والأب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خاصةً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أرباعاً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والفريضة حينئذ من أربعة وعشرين للأُمّ سدسُها أربعة، وللبنت اثنا عشر بالأصل وثلاثة بالردّ، وللأب أربعة بالأصل وواحد بالرد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ولو كان بنتان فصاعداً، مع الأبوين فلا ردّ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لأنّ الفريضة حينئذ بقدر السهام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كان البنتان فصاعداً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 أحد الأبوين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خاصةً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يُرَدّ السدسُ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الفاضل عن سيهامهم عليهم جميعاً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أخماساً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نسبة السهام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ولو 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الأبوين أو أحدهما والبنت أو البنتين فصاعداً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زوج أو زوجةٌ أَخَذ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واحد من الزوج والزوجة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نصيبه الأدنى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الربع أو الثمن،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وللأبوين السدسان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كانا،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ولأحدهما السدس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والباقي للأولاد</w:t>
      </w:r>
      <w:r>
        <w:rPr>
          <w:rFonts w:eastAsia="Amiri" w:cs="Amiri" w:ascii="Amiri" w:hAnsi="Amiri"/>
          <w:color w:val="111111"/>
          <w:sz w:val="28"/>
          <w:szCs w:val="28"/>
          <w:rtl w:val="true"/>
          <w:lang w:bidi="ar-SA"/>
        </w:rPr>
        <w:t>.</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وحيثُ يَفضُل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الفريضة شيء بأن كان الوارث بنتاً واحدةً وأبوين وزوجةً، أو بنتين وأحَدَ الأبوين وزوجةً، أو بنتاً وأَحَدَهما وزوجاً أو زوجةً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البنت، أو البنتين فصاعداً، وعلى الأبوين أو أحدهما مع عدم الحاجب، أو على الأب خاصةً معه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بالنسبة دون الزوج والزوجة</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ولو دخل نقص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كان الوارث أبوين وبنتين مع الزوج أو الزوجة، أو بنتاً وأبوين مع الزوج، أو بنتين وأحد الأبوين معه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النقصُ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البنتين فصاعداً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البنتِ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دون الأبوين والزوج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تقدم</w:t>
      </w:r>
      <w:r>
        <w:rPr>
          <w:rStyle w:val="FootnoteAnchor"/>
          <w:rtl w:val="true"/>
        </w:rPr>
        <w:footnoteReference w:id="74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ولو كان مع الأبوين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خاصةً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زوج أو زوجةً فله نصيبه الأعلى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لفقد الولد،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وللأُمّ ثلث الأصل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عدم الحاجب، وسدسه معه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والباقي للأب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يصدق اسم النقص عليه هنا لأنه حينئذٍ لا تسمية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هو الذي أوجب إدخال الأب فيمن يَنقُص عليه، كما سلف</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المسألة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أولاد الأولاد يقومون مقامَ آبائهم عند عدمهم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سواء كان الأبوان موجودين أم أحدهما أم لا، على أصح القولين، خلافاً للصدوق</w:t>
      </w:r>
      <w:r>
        <w:rPr>
          <w:rStyle w:val="FootnoteAnchor"/>
          <w:rtl w:val="true"/>
        </w:rPr>
        <w:footnoteReference w:id="742"/>
      </w:r>
      <w:r>
        <w:rPr>
          <w:rFonts w:ascii="Amiri" w:hAnsi="Amiri" w:eastAsia="Amiri" w:cs="Amiri"/>
          <w:color w:val="111111"/>
          <w:sz w:val="28"/>
          <w:sz w:val="28"/>
          <w:szCs w:val="28"/>
          <w:rtl w:val="true"/>
          <w:lang w:bidi="ar-SA"/>
        </w:rPr>
        <w:t>حيث شرط في توريثهم عدم الأبوين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ويأخذ كلُّ منهم نصيبَ مَن يَتَقَرَّب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فلابن البنت ثلث، ولبنت الابن ثلثان، وكذا مع التعدد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هو المشهور ؛ بين الأصحاب روايةً </w:t>
      </w:r>
      <w:r>
        <w:rPr>
          <w:rStyle w:val="FootnoteAnchor"/>
          <w:rtl w:val="true"/>
        </w:rPr>
        <w:footnoteReference w:id="743"/>
      </w:r>
      <w:r>
        <w:rPr>
          <w:rFonts w:ascii="IRNazanin" w:hAnsi="IRNazanin" w:eastAsia="IRNazanin"/>
          <w:color w:val="111111"/>
          <w:sz w:val="28"/>
          <w:sz w:val="28"/>
          <w:szCs w:val="28"/>
          <w:rtl w:val="true"/>
          <w:lang w:bidi="fa-IR"/>
        </w:rPr>
        <w:t xml:space="preserve">وفتوى </w:t>
      </w:r>
      <w:r>
        <w:rPr>
          <w:rStyle w:val="FootnoteAnchor"/>
          <w:rtl w:val="true"/>
        </w:rPr>
        <w:footnoteReference w:id="744"/>
      </w:r>
      <w:r>
        <w:rPr>
          <w:rFonts w:eastAsia="Times New Roman" w:cs="Times New Roman" w:ascii="Times New Roman" w:hAnsi="Times New Roman"/>
          <w:color w:val="111111"/>
          <w:sz w:val="28"/>
          <w:szCs w:val="28"/>
          <w:rtl w:val="true"/>
          <w:lang w:val="en-US" w:bidi="en-US"/>
        </w:rPr>
        <w:t>.</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وقال المرتضى</w:t>
      </w:r>
      <w:r>
        <w:rPr>
          <w:rStyle w:val="FootnoteAnchor"/>
          <w:rtl w:val="true"/>
        </w:rPr>
        <w:footnoteReference w:id="745"/>
      </w:r>
      <w:r>
        <w:rPr>
          <w:rFonts w:ascii="Amiri" w:hAnsi="Amiri" w:eastAsia="Amiri" w:cs="Amiri"/>
          <w:color w:val="111111"/>
          <w:sz w:val="28"/>
          <w:sz w:val="28"/>
          <w:szCs w:val="28"/>
          <w:rtl w:val="true"/>
          <w:lang w:bidi="ar-SA"/>
        </w:rPr>
        <w:t>وجماعةٌ</w:t>
      </w:r>
      <w:r>
        <w:rPr>
          <w:rStyle w:val="FootnoteAnchor"/>
          <w:rtl w:val="true"/>
        </w:rPr>
        <w:footnoteReference w:id="74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يُعتبر أولاد الأولاد بأنفسهم، فللذكر ضعفُ الأُنثى وإنْ كان يَتَقَرَّب بأُمِّه وتَتَقَرَّبُ الأُنثى بأبيها؛ لأنهم أولاد حقيقةً فيدخلون في عموميُوصِيكُمُ اللَّهُ فِي أَوْلَادِكُمْ لِلذَّكَرِ مِثْلُ حَظِّ الْأُنثَيَيْنِ</w:t>
      </w:r>
      <w:r>
        <w:rPr>
          <w:rStyle w:val="FootnoteAnchor"/>
          <w:rtl w:val="true"/>
        </w:rPr>
        <w:footnoteReference w:id="747"/>
      </w:r>
      <w:r>
        <w:rPr>
          <w:rFonts w:ascii="Amiri" w:hAnsi="Amiri" w:eastAsia="Amiri" w:cs="Amiri"/>
          <w:color w:val="111111"/>
          <w:sz w:val="28"/>
          <w:sz w:val="28"/>
          <w:szCs w:val="28"/>
          <w:rtl w:val="true"/>
          <w:lang w:bidi="ar-SA"/>
        </w:rPr>
        <w:t>إذ لا شبهة في كون أولاد الأولاد وإنْ كُنَّ إناثاً أولاداً، ولهذا حُرِّمَت حَلائِلُهم بآية وَحَلَبِلُ أَبْنَابِكُمُ</w:t>
      </w:r>
      <w:r>
        <w:rPr>
          <w:rStyle w:val="FootnoteAnchor"/>
          <w:rtl w:val="true"/>
        </w:rPr>
        <w:footnoteReference w:id="748"/>
      </w:r>
      <w:r>
        <w:rPr>
          <w:rFonts w:ascii="Amiri" w:hAnsi="Amiri" w:eastAsia="Amiri" w:cs="Amiri"/>
          <w:color w:val="111111"/>
          <w:sz w:val="28"/>
          <w:sz w:val="28"/>
          <w:szCs w:val="28"/>
          <w:rtl w:val="true"/>
          <w:lang w:bidi="ar-SA"/>
        </w:rPr>
        <w:t xml:space="preserve">، وحُرِّمَت </w:t>
      </w:r>
    </w:p>
    <w:p>
      <w:pPr>
        <w:pStyle w:val="BookText"/>
        <w:rPr/>
      </w:pPr>
      <w:r>
        <w:rPr>
          <w:rFonts w:ascii="IRNazanin" w:hAnsi="IRNazanin" w:eastAsia="IRNazanin"/>
          <w:color w:val="111111"/>
          <w:sz w:val="28"/>
          <w:sz w:val="28"/>
          <w:szCs w:val="28"/>
          <w:rtl w:val="true"/>
          <w:lang w:bidi="fa-IR"/>
        </w:rPr>
        <w:t>بنات الابن والبنت بقوله تعالى</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وَبَنَاتُكُمْ</w:t>
      </w:r>
      <w:r>
        <w:rPr>
          <w:rStyle w:val="FootnoteAnchor"/>
          <w:rtl w:val="true"/>
        </w:rPr>
        <w:footnoteReference w:id="749"/>
      </w:r>
      <w:r>
        <w:rPr>
          <w:rFonts w:ascii="Amiri" w:hAnsi="Amiri" w:eastAsia="Amiri" w:cs="Amiri"/>
          <w:color w:val="111111"/>
          <w:sz w:val="28"/>
          <w:sz w:val="28"/>
          <w:szCs w:val="28"/>
          <w:rtl w:val="true"/>
          <w:lang w:bidi="ar-SA"/>
        </w:rPr>
        <w:t>، وأُحِلّ رؤية زينتهن لأبناء أولادهن مطلقاً بقوله تعالى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أَبْنَابِهِنَّ أَوْ أَبْنَاءِ بُعُولَتِهِنَّ</w:t>
      </w:r>
      <w:r>
        <w:rPr>
          <w:rStyle w:val="FootnoteAnchor"/>
          <w:rtl w:val="true"/>
        </w:rPr>
        <w:footnoteReference w:id="75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كذلك، إلى غير ذلك من الأدلة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كله حقٌّ لولا دلالة الأخبار الصحيحة على خلافه هنا، كصحيحة عبد الرحمن بن الحجاج عن الصادق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بَناتُ البنات يَقُمْنَ َمقامَ البنت إذا لم يكن للميت ولد ولا وارتٌ غيرَهنّ</w:t>
      </w:r>
      <w:r>
        <w:rPr>
          <w:rFonts w:eastAsia="Amiri" w:cs="Amiri" w:ascii="Amiri" w:hAnsi="Amiri"/>
          <w:color w:val="111111"/>
          <w:sz w:val="28"/>
          <w:szCs w:val="28"/>
          <w:rtl w:val="true"/>
          <w:lang w:bidi="ar-SA"/>
        </w:rPr>
        <w:t>»</w:t>
      </w:r>
      <w:r>
        <w:rPr>
          <w:rStyle w:val="FootnoteAnchor"/>
          <w:rtl w:val="true"/>
        </w:rPr>
        <w:footnoteReference w:id="751"/>
      </w:r>
      <w:r>
        <w:rPr>
          <w:rFonts w:ascii="Amiri" w:hAnsi="Amiri" w:eastAsia="Amiri" w:cs="Amiri"/>
          <w:color w:val="111111"/>
          <w:sz w:val="28"/>
          <w:sz w:val="28"/>
          <w:szCs w:val="28"/>
          <w:rtl w:val="true"/>
          <w:lang w:bidi="ar-SA"/>
        </w:rPr>
        <w:t>، وصحيحةِ سعد بن أبي خَلَف عن الكاظم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بَناتُ البنت يَقُمْنَ مقام البنات إذا لم يكن للميت بنات ولا وارث غيرهنّ، وبنات الابن يَقُمْنَ مقامَ الابن إذا لم يكن للميت ولد ولا وارت غيرهنّ</w:t>
      </w:r>
      <w:r>
        <w:rPr>
          <w:rFonts w:eastAsia="Amiri" w:cs="Amiri" w:ascii="Amiri" w:hAnsi="Amiri"/>
          <w:color w:val="111111"/>
          <w:sz w:val="28"/>
          <w:szCs w:val="28"/>
          <w:rtl w:val="true"/>
          <w:lang w:bidi="ar-SA"/>
        </w:rPr>
        <w:t>»</w:t>
      </w:r>
      <w:r>
        <w:rPr>
          <w:rStyle w:val="FootnoteAnchor"/>
          <w:rtl w:val="true"/>
        </w:rPr>
        <w:footnoteReference w:id="75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وغيرهما</w:t>
      </w:r>
      <w:r>
        <w:rPr>
          <w:rStyle w:val="FootnoteAnchor"/>
          <w:rtl w:val="true"/>
        </w:rPr>
        <w:footnoteReference w:id="753"/>
      </w:r>
      <w:r>
        <w:rPr>
          <w:rFonts w:ascii="Amiri" w:hAnsi="Amiri" w:eastAsia="Amiri" w:cs="Amiri"/>
          <w:color w:val="111111"/>
          <w:sz w:val="28"/>
          <w:sz w:val="28"/>
          <w:szCs w:val="28"/>
          <w:rtl w:val="true"/>
          <w:lang w:bidi="ar-SA"/>
        </w:rPr>
        <w:t>، وهذا هو المخصص لآية الإرث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دَلالة للروايات على المشهور لأنّ قيامهنّ مقامهم ثابت على كل حال في أصل ،الإرث ولا يلزم منه القيام في كيفيته وإن احتمله ، وإذا قام الاحتمال لم يصلح؛ لمعارضة الآية الدالة بالقطع على أنّ لِلذَّكَرِ مِثْلُ حَظِّ الْأُنثَيَيْنِ</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الظاهرُ من قيام الأولاد مقامَ الآباء والأمهات تنزيلهم منزلتهم لو كانوا موجودین مطلقاً، وذلك يدلّ على المطلوب، مضافاً إلى عمل الأكثر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تعدَّدَ أولاد الأولاد في كلّ مرتبة أو في بعضها فسَهُمُ كل فريق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يقتسمونه بينهم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كما اقتَسَم آباؤُهم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للذكر مثل حظ الأنثيين وإن كانوا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الأولاد المتعدّدون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أولادَ بنتٍ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أصح القولين</w:t>
      </w:r>
      <w:r>
        <w:rPr>
          <w:rStyle w:val="FootnoteAnchor"/>
          <w:rtl w:val="true"/>
        </w:rPr>
        <w:footnoteReference w:id="754"/>
      </w:r>
      <w:r>
        <w:rPr>
          <w:rFonts w:ascii="IRNazanin" w:hAnsi="IRNazanin" w:eastAsia="IRNazanin"/>
          <w:color w:val="111111"/>
          <w:sz w:val="28"/>
          <w:sz w:val="28"/>
          <w:szCs w:val="28"/>
          <w:rtl w:val="true"/>
          <w:lang w:bidi="fa-IR"/>
        </w:rPr>
        <w:t>لعموم قوله تعالى</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لِلذَّكَرِ مِثْلُ حَظِّ الْأُنثَيَيْنِ</w:t>
      </w:r>
      <w:r>
        <w:rPr>
          <w:rStyle w:val="FootnoteAnchor"/>
          <w:rtl w:val="true"/>
        </w:rPr>
        <w:footnoteReference w:id="755"/>
      </w:r>
      <w:r>
        <w:rPr>
          <w:rFonts w:ascii="IRNazanin" w:hAnsi="IRNazanin" w:eastAsia="IRNazanin"/>
          <w:color w:val="111111"/>
          <w:sz w:val="28"/>
          <w:sz w:val="28"/>
          <w:szCs w:val="28"/>
          <w:rtl w:val="true"/>
          <w:lang w:bidi="fa-IR"/>
        </w:rPr>
        <w:t>ولا معارض لها هنا</w:t>
      </w:r>
      <w:r>
        <w:rPr>
          <w:rFonts w:eastAsia="IRNazanin" w:cs="IRNazanin"/>
          <w:color w:val="111111"/>
          <w:sz w:val="28"/>
          <w:szCs w:val="28"/>
          <w:rtl w:val="true"/>
          <w:lang w:bidi="fa-IR"/>
        </w:rPr>
        <w:t>.</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يقتسم أولاد البنت بالسوية كاقتسام من ينتسب إلى الأُمّ كالخالةِ والإخوةِ </w:t>
      </w:r>
    </w:p>
    <w:p>
      <w:pPr>
        <w:pStyle w:val="BookText"/>
        <w:rPr/>
      </w:pPr>
      <w:r>
        <w:rPr>
          <w:rFonts w:ascii="Amiri" w:hAnsi="Amiri" w:eastAsia="Amiri" w:cs="Amiri"/>
          <w:color w:val="111111"/>
          <w:sz w:val="28"/>
          <w:sz w:val="28"/>
          <w:szCs w:val="28"/>
          <w:rtl w:val="true"/>
          <w:lang w:bidi="ar-SA"/>
        </w:rPr>
        <w:t xml:space="preserve">للأُم </w:t>
      </w:r>
      <w:r>
        <w:rPr>
          <w:rStyle w:val="FootnoteAnchor"/>
          <w:rtl w:val="true"/>
        </w:rPr>
        <w:footnoteReference w:id="756"/>
      </w:r>
      <w:r>
        <w:rPr>
          <w:rFonts w:ascii="Amiri" w:hAnsi="Amiri" w:eastAsia="Amiri" w:cs="Amiri"/>
          <w:color w:val="111111"/>
          <w:sz w:val="28"/>
          <w:sz w:val="28"/>
          <w:szCs w:val="28"/>
          <w:rtl w:val="true"/>
          <w:lang w:bidi="ar-SA"/>
        </w:rPr>
        <w:t xml:space="preserve">، ويُعارَض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بحكمهم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باقتسام أولاد الأخت للأب متفاوتين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المسألة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يُحْبَى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يُعطَى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الولدُ الأكبر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أكبر الذكور إن تعدَّدوا وإلا فالذكر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تركة أبيه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زيادةً على غيره من الوراث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بثيابه وخاتمه وسيفه ومُصْحَفِه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الحباء من متفردات ،علمائنا، ومستنده روايات كثيرة عن أئمّة الهُدَى</w:t>
      </w:r>
      <w:r>
        <w:rPr>
          <w:rStyle w:val="FootnoteAnchor"/>
          <w:rtl w:val="true"/>
        </w:rPr>
        <w:footnoteReference w:id="75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والأظهر أنّه على سبيل الاستحقاق،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الاستحباب</w:t>
      </w:r>
      <w:r>
        <w:rPr>
          <w:rStyle w:val="FootnoteAnchor"/>
          <w:rtl w:val="true"/>
        </w:rPr>
        <w:footnoteReference w:id="758"/>
      </w:r>
      <w:r>
        <w:rPr>
          <w:rFonts w:ascii="Amiri" w:hAnsi="Amiri" w:eastAsia="Amiri" w:cs="Amiri"/>
          <w:color w:val="111111"/>
          <w:sz w:val="28"/>
          <w:sz w:val="28"/>
          <w:szCs w:val="28"/>
          <w:rtl w:val="true"/>
          <w:lang w:bidi="ar-SA"/>
        </w:rPr>
        <w:t>، وفي الروايات ما يدلّ على الأوّل؛ لأنّه جَعَلَها فيها له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المفيدة للملك أو الاختصاص أو الاستحقاق والأشهر اختصاصه بها مجاناً؛ لإطلاق النصوص به،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بالقيمة </w:t>
      </w:r>
      <w:r>
        <w:rPr>
          <w:rStyle w:val="FootnoteAnchor"/>
          <w:rtl w:val="true"/>
        </w:rPr>
        <w:footnoteReference w:id="759"/>
      </w:r>
      <w:r>
        <w:rPr>
          <w:rFonts w:ascii="Amiri" w:hAnsi="Amiri" w:eastAsia="Amiri" w:cs="Amiri"/>
          <w:color w:val="111111"/>
          <w:sz w:val="28"/>
          <w:sz w:val="28"/>
          <w:szCs w:val="28"/>
          <w:rtl w:val="true"/>
          <w:lang w:bidi="ar-SA"/>
        </w:rPr>
        <w:t>اقتصاراً فيما خالَفَ الأصل ونصَّ الكتاب</w:t>
      </w:r>
      <w:r>
        <w:rPr>
          <w:rStyle w:val="FootnoteAnchor"/>
          <w:rtl w:val="true"/>
        </w:rPr>
        <w:footnoteReference w:id="760"/>
      </w:r>
      <w:r>
        <w:rPr>
          <w:rFonts w:ascii="IRNazanin" w:hAnsi="IRNazanin" w:eastAsia="IRNazanin"/>
          <w:color w:val="111111"/>
          <w:sz w:val="28"/>
          <w:sz w:val="28"/>
          <w:szCs w:val="28"/>
          <w:rtl w:val="true"/>
          <w:lang w:bidi="fa-IR"/>
        </w:rPr>
        <w:t>على موضع الوفاق</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والمراد بثيابه ما كان يلبسها أو أَعَدَّها للبس وإنْ لم يكن لَبِسَها؛ لدلالة العرف على كونها ثيابه ولباسه، وثيابُ جِلْده، على ما وَرَد في الأخبار </w:t>
      </w:r>
      <w:r>
        <w:rPr>
          <w:rStyle w:val="FootnoteAnchor"/>
          <w:rtl w:val="true"/>
        </w:rPr>
        <w:footnoteReference w:id="76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ولو فُصِّلَتْ ولم تُكمَل خياطتها ففي دخولها وجهان من إضافتها إليه بذلك، ومن عدم صدق كونها ثياباً بالإضافاتِ المذكورة عرفاً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والأقوى أنّ العِمَامَةَ منها وإن تعددت أو لم تُلبس إذا اتَّخَذها له، وكذا السراويل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دخول شدّ الوسط نظر، أما الحِذاء ونحوه ممّا يُتَّخذ للرجل فلا ، وكذا لو كان المتَّخَذُ لشدّ الوسط غير ثوب</w:t>
      </w:r>
      <w:r>
        <w:rPr>
          <w:rFonts w:eastAsia="Amiri" w:cs="Amiri" w:ascii="Amiri" w:hAnsi="Amiri"/>
          <w:color w:val="111111"/>
          <w:sz w:val="28"/>
          <w:szCs w:val="28"/>
          <w:rtl w:val="true"/>
          <w:lang w:bidi="ar-SA"/>
        </w:rPr>
        <w:t>.</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 بعض الأخبار إضافة السلاح والدرع والكُتُبِ والرَّحْلِ والراحلة</w:t>
      </w:r>
      <w:r>
        <w:rPr>
          <w:rStyle w:val="FootnoteAnchor"/>
          <w:rtl w:val="true"/>
        </w:rPr>
        <w:footnoteReference w:id="762"/>
      </w:r>
      <w:r>
        <w:rPr>
          <w:rFonts w:ascii="Amiri" w:hAnsi="Amiri" w:eastAsia="Amiri" w:cs="Amiri"/>
          <w:color w:val="111111"/>
          <w:sz w:val="28"/>
          <w:sz w:val="28"/>
          <w:szCs w:val="28"/>
          <w:rtl w:val="true"/>
          <w:lang w:bidi="ar-SA"/>
        </w:rPr>
        <w:t xml:space="preserve">، ولكن الأصحاب أعرضوا عنه وخَصُّوها بالأربعة، مع أنّها لم تُذكر في خبر مجتمعة وإنما </w:t>
      </w:r>
    </w:p>
    <w:p>
      <w:pPr>
        <w:pStyle w:val="BookText"/>
        <w:rPr/>
      </w:pPr>
      <w:r>
        <w:rPr>
          <w:rFonts w:ascii="Amiri" w:hAnsi="Amiri" w:eastAsia="Amiri" w:cs="Amiri"/>
          <w:color w:val="111111"/>
          <w:sz w:val="28"/>
          <w:sz w:val="28"/>
          <w:szCs w:val="28"/>
          <w:rtl w:val="true"/>
          <w:lang w:bidi="ar-SA"/>
        </w:rPr>
        <w:t>اجتمعت في أخبار والرواية</w:t>
      </w:r>
      <w:r>
        <w:rPr>
          <w:rStyle w:val="FootnoteAnchor"/>
          <w:rtl w:val="true"/>
        </w:rPr>
        <w:footnoteReference w:id="763"/>
      </w:r>
      <w:r>
        <w:rPr>
          <w:rFonts w:ascii="Amiri" w:hAnsi="Amiri" w:eastAsia="Amiri" w:cs="Amiri"/>
          <w:color w:val="111111"/>
          <w:sz w:val="28"/>
          <w:sz w:val="28"/>
          <w:szCs w:val="28"/>
          <w:rtl w:val="true"/>
          <w:lang w:bidi="ar-SA"/>
        </w:rPr>
        <w:t>الجامعة لهذه الأشياء صحيحة، وظاهرُ الصدوق اختيارها لأنه ذكرها في الفقيه</w:t>
      </w:r>
      <w:r>
        <w:rPr>
          <w:rStyle w:val="FootnoteAnchor"/>
          <w:rtl w:val="true"/>
        </w:rPr>
        <w:footnoteReference w:id="764"/>
      </w:r>
      <w:r>
        <w:rPr>
          <w:rFonts w:ascii="Amiri" w:hAnsi="Amiri" w:eastAsia="Amiri" w:cs="Amiri"/>
          <w:color w:val="111111"/>
          <w:sz w:val="28"/>
          <w:sz w:val="28"/>
          <w:szCs w:val="28"/>
          <w:rtl w:val="true"/>
          <w:lang w:bidi="ar-SA"/>
        </w:rPr>
        <w:t>مع التزامه أن لا يَروِيَ فيه إلّا ما يَعمَلُ به</w:t>
      </w:r>
      <w:r>
        <w:rPr>
          <w:rStyle w:val="FootnoteAnchor"/>
          <w:rtl w:val="true"/>
        </w:rPr>
        <w:footnoteReference w:id="76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يذكر الأصحابُ الدِرْعَ مع أنّه ذُكر في عدة أخبار</w:t>
      </w:r>
      <w:r>
        <w:rPr>
          <w:rStyle w:val="FootnoteAnchor"/>
          <w:rtl w:val="true"/>
        </w:rPr>
        <w:footnoteReference w:id="766"/>
      </w:r>
      <w:r>
        <w:rPr>
          <w:rFonts w:ascii="Amiri" w:hAnsi="Amiri" w:eastAsia="Amiri" w:cs="Amiri"/>
          <w:color w:val="111111"/>
          <w:sz w:val="28"/>
          <w:sz w:val="28"/>
          <w:szCs w:val="28"/>
          <w:rtl w:val="true"/>
          <w:lang w:bidi="ar-SA"/>
        </w:rPr>
        <w:t xml:space="preserve">والاقتصار على ما ذكروه أولى إن لم يُنافِ الأُولوية أمرُ آخَرُ أمّا غيرُ الدرع من آلات الحرب كالبيضة فلا يدخُل قطعاً؛ لعدم دخوله في مفهوم شيء مما ذكر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دخول القَلَنْسُوَةِ والثوب من اللبد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نظر من عدم دخولهما في مفهوم الشياب وتناول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الكسوة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المذكورة في بعض الأخبار</w:t>
      </w:r>
      <w:r>
        <w:rPr>
          <w:rStyle w:val="FootnoteAnchor"/>
          <w:rtl w:val="true"/>
        </w:rPr>
        <w:footnoteReference w:id="767"/>
      </w:r>
      <w:r>
        <w:rPr>
          <w:rFonts w:ascii="Amiri" w:hAnsi="Amiri" w:eastAsia="Amiri" w:cs="Amiri"/>
          <w:color w:val="111111"/>
          <w:sz w:val="28"/>
          <w:sz w:val="28"/>
          <w:szCs w:val="28"/>
          <w:rtl w:val="true"/>
          <w:lang w:bidi="ar-SA"/>
        </w:rPr>
        <w:t>لهما، ويمكن الفرقُ ودخول الثاني دون الأوّل، بمنع كون القَلَنْسُوة من الكسوة ، ومِن ثَمَّ لم يُجْزِ في كفّارة اليمين المُجزئ فيها ما يُعد كسوة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تعدّدت هذه الأجناس فما كان منها بلفظ الجمع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كالثياب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تدخل أجمعُ، وما كان بلفظ الوحدة كالسيف والمصحفِ يَتناول واحداً، ويختص ما كان يغلب نسبته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تساوَتْ تَخيَّر الوارث واحداً منها على الأقوى، ويُحتمل القرعة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والعمامة من جملة الثياب فتدخُل المتعدّدةُ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دخول حِليةِ السيف وجِفْنِه وسُيُورِه وبيتِ المصحف وجهان من تبعيتها لهما عرفاً، وانتفائها عنهما حقيقةً، والأقوى دخولها</w:t>
      </w:r>
      <w:r>
        <w:rPr>
          <w:rFonts w:eastAsia="Amiri" w:cs="Amiri" w:ascii="Amiri" w:hAnsi="Amiri"/>
          <w:color w:val="111111"/>
          <w:sz w:val="28"/>
          <w:szCs w:val="28"/>
          <w:rtl w:val="true"/>
          <w:lang w:bidi="ar-SA"/>
        </w:rPr>
        <w:t>.</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ولا يُشترط بلوغ الولد؛ للإطلاق، وعدم ظهور الملازمة بين الحبوة والقضاء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اشتراط انفصاله حال موت أبيه نظر من عدم صدق الولد الذكر حينئذ، ومن تحققه في نفس الأمر وإن لم يكن ظاهراً، ومِن ثَمَّ عُزل له نصيبه من الميراث، ويمكن الفرق بين كونه جنيناً تاماً متحقق الذكورية في الواقع حين الموت، وبين كونه عَلَقَةً أو مُضْغَةً أو غيرهما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والأقوى الأوّلُ، وعدم اشتراط انتفاء قصور نصيب كلّ وارث </w:t>
      </w:r>
    </w:p>
    <w:p>
      <w:pPr>
        <w:pStyle w:val="BookText"/>
        <w:rPr/>
      </w:pPr>
      <w:r>
        <w:rPr>
          <w:rFonts w:ascii="Amiri" w:hAnsi="Amiri" w:eastAsia="Amiri" w:cs="Amiri"/>
          <w:color w:val="111111"/>
          <w:sz w:val="28"/>
          <w:sz w:val="28"/>
          <w:szCs w:val="28"/>
          <w:rtl w:val="true"/>
          <w:lang w:bidi="ar-SA"/>
        </w:rPr>
        <w:t>عن قدرها، وزيادتها عن الثلث؛ للعموم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اشتراط خُلُوِّ الميت عن دين أو عن دين مستغرق للتركة وجهان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انتفاء الإرث على تقدير الاستغراق، وتوزيع الدين على جميع التركة؛ لعدم الترجيح فيَخُصُّها منه شيء وتبطل بنسبته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إطلاق النصّ</w:t>
      </w:r>
      <w:r>
        <w:rPr>
          <w:rStyle w:val="FootnoteAnchor"/>
          <w:rtl w:val="true"/>
        </w:rPr>
        <w:footnoteReference w:id="768"/>
      </w:r>
      <w:r>
        <w:rPr>
          <w:rFonts w:ascii="Amiri" w:hAnsi="Amiri" w:eastAsia="Amiri" w:cs="Amiri"/>
          <w:color w:val="111111"/>
          <w:sz w:val="28"/>
          <w:sz w:val="28"/>
          <w:szCs w:val="28"/>
          <w:rtl w:val="true"/>
          <w:lang w:bidi="ar-SA"/>
        </w:rPr>
        <w:t>، والقول بانتقال التركة إلى الوارث وإِنْ لَزِمَ المَحْبُو ما قابلها من الدين إن أراد فكها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ويلزم على المنع من مقابل الدين إن لم يَفُكّه المنعُ من مقابل الوصية النافذة إذا لم تكن بعينٍ مخصوصةٍ خارجةٍ عنها، ومِن مقابل الكفنِ الواجب وما في معناه لعين ما ذُكِر، ويُبَعَّدُ ذلك بإطلاق النص</w:t>
      </w:r>
      <w:r>
        <w:rPr>
          <w:rStyle w:val="FootnoteAnchor"/>
          <w:rtl w:val="true"/>
        </w:rPr>
        <w:footnoteReference w:id="769"/>
      </w:r>
      <w:r>
        <w:rPr>
          <w:rFonts w:ascii="IRNazanin" w:hAnsi="IRNazanin" w:eastAsia="IRNazanin"/>
          <w:color w:val="111111"/>
          <w:sz w:val="28"/>
          <w:sz w:val="28"/>
          <w:szCs w:val="28"/>
          <w:rtl w:val="true"/>
          <w:lang w:bidi="fa-IR"/>
        </w:rPr>
        <w:t>والفتوى بثبوتها</w:t>
      </w:r>
      <w:r>
        <w:rPr>
          <w:rStyle w:val="FootnoteAnchor"/>
          <w:rtl w:val="true"/>
        </w:rPr>
        <w:footnoteReference w:id="770"/>
      </w:r>
      <w:r>
        <w:rPr>
          <w:rFonts w:ascii="Amiri" w:hAnsi="Amiri" w:eastAsia="Amiri" w:cs="Amiri"/>
          <w:color w:val="111111"/>
          <w:sz w:val="28"/>
          <w:sz w:val="28"/>
          <w:szCs w:val="28"/>
          <w:rtl w:val="true"/>
          <w:lang w:bidi="ar-SA"/>
        </w:rPr>
        <w:t>، مع عدم انفكاك الميت عن ذلك غالباً وعن الكفن حتماً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والموافق للأُصول الشرعيّة البطلان في مقابلة ذلك كله إن لم يفكه المَحْبُو بما يَخُصُّه؛ لأنّ الحبوة نوع من الإرث واختصاص فيه والدين والوصية والكفن ونحوها تُخرج من جميع التركة ونسبة الورثة إليه على السواء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لو كانت الوصية بعين من أعيان التركة خارجة عن الحبوة فلا منع كما لو كانت تلك العين معدومةً</w:t>
      </w:r>
      <w:r>
        <w:rPr>
          <w:rFonts w:eastAsia="Amiri" w:cs="Amiri" w:ascii="Amiri" w:hAnsi="Amiri"/>
          <w:color w:val="111111"/>
          <w:sz w:val="28"/>
          <w:szCs w:val="28"/>
          <w:rtl w:val="true"/>
          <w:lang w:bidi="ar-SA"/>
        </w:rPr>
        <w:t>.</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ولو كانت الوصيّةُ ببعض الحبوة اعتبرت من الثلث كغيرها من ضُروب الإرث إلا أنّها تتوقف على إجازة المحبة خاصةً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ويُفهم من الدروس </w:t>
      </w:r>
      <w:r>
        <w:rPr>
          <w:rStyle w:val="FootnoteAnchor"/>
          <w:rtl w:val="true"/>
        </w:rPr>
        <w:footnoteReference w:id="771"/>
      </w:r>
      <w:r>
        <w:rPr>
          <w:rFonts w:ascii="Amiri" w:hAnsi="Amiri" w:eastAsia="Amiri" w:cs="Amiri"/>
          <w:color w:val="111111"/>
          <w:sz w:val="28"/>
          <w:sz w:val="28"/>
          <w:szCs w:val="28"/>
          <w:rtl w:val="true"/>
          <w:lang w:bidi="ar-SA"/>
        </w:rPr>
        <w:t>أن الدين غير المستغرق غيرُ مانع لتخصيصه المنع بالمستغرق، واستقرب ثبوتها حينئذٍ لو قَضَى الورثةُ الدِّينَ من غير التركة لثبوت الإرث حينئذ، ويَلزَم مثله في غير المستغرق بطريق 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وكذا الحكم لو تَبَرَّع متبرّع بقضاء الدين أو أبْرَأه المُدِين، مع احتمال انتفائها حينئذ مطلقاً لبطلانها حين الوفاة بسبب الدين وفيه أنه بطلانٌ مُراعى لا مطلقاً</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على المحبة قضاءُ ما فاته أي فات الميت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صلاة وصيام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تقدَّم تفصيله وشرائطه في بابه</w:t>
      </w:r>
      <w:r>
        <w:rPr>
          <w:rStyle w:val="FootnoteAnchor"/>
          <w:rtl w:val="true"/>
        </w:rPr>
        <w:footnoteReference w:id="772"/>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المشهور 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يُشترط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المحبة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لا يكون سفيها ولا فاسد الرأي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الاعتقاد بأن يكون مخالفاً للحق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ذكر ذلك ابن إدريس </w:t>
      </w:r>
      <w:r>
        <w:rPr>
          <w:rStyle w:val="FootnoteAnchor"/>
          <w:rtl w:val="true"/>
        </w:rPr>
        <w:footnoteReference w:id="773"/>
      </w:r>
      <w:r>
        <w:rPr>
          <w:rFonts w:ascii="Amiri" w:hAnsi="Amiri" w:eastAsia="Amiri" w:cs="Amiri"/>
          <w:color w:val="111111"/>
          <w:sz w:val="28"/>
          <w:sz w:val="28"/>
          <w:szCs w:val="28"/>
          <w:rtl w:val="true"/>
          <w:lang w:bidi="ar-SA"/>
        </w:rPr>
        <w:t>وابن حمزة</w:t>
      </w:r>
      <w:r>
        <w:rPr>
          <w:rStyle w:val="FootnoteAnchor"/>
          <w:rtl w:val="true"/>
        </w:rPr>
        <w:footnoteReference w:id="774"/>
      </w:r>
      <w:r>
        <w:rPr>
          <w:rFonts w:ascii="Amiri" w:hAnsi="Amiri" w:eastAsia="Amiri" w:cs="Amiri"/>
          <w:color w:val="111111"/>
          <w:sz w:val="28"/>
          <w:sz w:val="28"/>
          <w:szCs w:val="28"/>
          <w:rtl w:val="true"/>
          <w:lang w:bidi="ar-SA"/>
        </w:rPr>
        <w:t>وتبعهما الجماعة</w:t>
      </w:r>
      <w:r>
        <w:rPr>
          <w:rStyle w:val="FootnoteAnchor"/>
          <w:rtl w:val="true"/>
        </w:rPr>
        <w:footnoteReference w:id="775"/>
      </w:r>
      <w:r>
        <w:rPr>
          <w:rFonts w:ascii="Amiri" w:hAnsi="Amiri" w:eastAsia="Amiri" w:cs="Amiri"/>
          <w:color w:val="111111"/>
          <w:sz w:val="28"/>
          <w:sz w:val="28"/>
          <w:szCs w:val="28"/>
          <w:rtl w:val="true"/>
          <w:lang w:bidi="ar-SA"/>
        </w:rPr>
        <w:t>، ولم نقف له على مستند، وفي الدروس نَسَب الشرط إلى قائله مشعراً بتمريضه</w:t>
      </w:r>
      <w:r>
        <w:rPr>
          <w:rStyle w:val="FootnoteAnchor"/>
          <w:rtl w:val="true"/>
        </w:rPr>
        <w:footnoteReference w:id="77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وإطلاق النصوص يدفعه، ويمكن إثبات الشرط الثاني خاصةً؛ إلزاماً للمخالف بمعتقده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يُلزَم بغيره من الأحكام التي تثبت عنده لا عندنا كأخذ سهم العَصَبة منه، وحِلٌ مطلقته ثلاثاً لنا، وغيرهما، وهو حسن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المختلف </w:t>
      </w:r>
      <w:r>
        <w:rPr>
          <w:rStyle w:val="FootnoteAnchor"/>
          <w:rtl w:val="true"/>
        </w:rPr>
        <w:footnoteReference w:id="777"/>
      </w:r>
      <w:r>
        <w:rPr>
          <w:rFonts w:ascii="Amiri" w:hAnsi="Amiri" w:eastAsia="Amiri" w:cs="Amiri"/>
          <w:color w:val="111111"/>
          <w:sz w:val="28"/>
          <w:sz w:val="28"/>
          <w:szCs w:val="28"/>
          <w:rtl w:val="true"/>
          <w:lang w:bidi="ar-SA"/>
        </w:rPr>
        <w:t>اختار استحباب الحبوة كمذهب ابن الجنيد</w:t>
      </w:r>
      <w:r>
        <w:rPr>
          <w:rStyle w:val="FootnoteAnchor"/>
          <w:rtl w:val="true"/>
        </w:rPr>
        <w:footnoteReference w:id="778"/>
      </w:r>
      <w:r>
        <w:rPr>
          <w:rFonts w:ascii="Amiri" w:hAnsi="Amiri" w:eastAsia="Amiri" w:cs="Amiri"/>
          <w:color w:val="111111"/>
          <w:sz w:val="28"/>
          <w:sz w:val="28"/>
          <w:szCs w:val="28"/>
          <w:rtl w:val="true"/>
          <w:lang w:bidi="ar-SA"/>
        </w:rPr>
        <w:t>وجماعة</w:t>
      </w:r>
      <w:r>
        <w:rPr>
          <w:rStyle w:val="FootnoteAnchor"/>
          <w:rtl w:val="true"/>
        </w:rPr>
        <w:footnoteReference w:id="779"/>
      </w:r>
    </w:p>
    <w:p>
      <w:p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387</w:t>
      </w:r>
    </w:p>
    <w:p>
      <w:pPr>
        <w:pStyle w:val="BookText"/>
        <w:rPr/>
      </w:pPr>
      <w:r>
        <w:rPr>
          <w:rFonts w:ascii="Amiri" w:hAnsi="Amiri" w:eastAsia="Amiri" w:cs="Amiri"/>
          <w:color w:val="111111"/>
          <w:sz w:val="28"/>
          <w:sz w:val="28"/>
          <w:szCs w:val="28"/>
          <w:rtl w:val="true"/>
          <w:lang w:bidi="ar-SA"/>
        </w:rPr>
        <w:t>، ومال إلى قول السيد باحتسابها بالقيمة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9</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واختار في غيره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10</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362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الاستحقاق مجاناً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كذا يُشترط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يُخلّف الميّتُ مالاً غيرها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قل؛ لئلا يلزم الإجحاف بالورثة والنصوص خالية عن هذا القيد، إلا أن يُدَّعَى أن الحباء يدلّ بظاهره عليه</w:t>
      </w:r>
      <w:r>
        <w:rPr>
          <w:rFonts w:eastAsia="Amiri" w:cs="Amiri" w:ascii="Amiri" w:hAnsi="Amiri"/>
          <w:color w:val="111111"/>
          <w:sz w:val="28"/>
          <w:szCs w:val="28"/>
          <w:rtl w:val="true"/>
          <w:lang w:bidi="ar-SA"/>
        </w:rPr>
        <w:t>.</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ولو كان الأكبرُ أُنثى أُعطِي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الحبوة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أكبر الذكور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تعددوا، وإلا فالذكر وإنْ </w:t>
      </w:r>
    </w:p>
    <w:p>
      <w:pPr>
        <w:pStyle w:val="BookText"/>
        <w:rPr/>
      </w:pPr>
      <w:r>
        <w:rPr>
          <w:rFonts w:ascii="Amiri" w:hAnsi="Amiri" w:eastAsia="Amiri" w:cs="Amiri"/>
          <w:color w:val="111111"/>
          <w:sz w:val="28"/>
          <w:sz w:val="28"/>
          <w:szCs w:val="28"/>
          <w:rtl w:val="true"/>
          <w:lang w:bidi="ar-SA"/>
        </w:rPr>
        <w:t>كان أصغر منها، وهو مصرَّح في صحيحة ربعي عن الصادق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Style w:val="FootnoteAnchor"/>
          <w:rtl w:val="true"/>
        </w:rPr>
        <w:footnoteReference w:id="78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المسألة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الخامسة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يَرِث الأجداد مع الأبوين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مع أحدهما، ولا مع من هو في مرتبتهما، وهو موضعُ وِفاقٍ إلّا من ابن الجنيد</w:t>
      </w:r>
      <w:r>
        <w:rPr>
          <w:rStyle w:val="FootnoteAnchor"/>
          <w:rtl w:val="true"/>
        </w:rPr>
        <w:footnoteReference w:id="781"/>
      </w:r>
      <w:r>
        <w:rPr>
          <w:rFonts w:ascii="Amiri" w:hAnsi="Amiri" w:eastAsia="Amiri" w:cs="Amiri"/>
          <w:color w:val="111111"/>
          <w:sz w:val="28"/>
          <w:sz w:val="28"/>
          <w:szCs w:val="28"/>
          <w:rtl w:val="true"/>
          <w:lang w:bidi="ar-SA"/>
        </w:rPr>
        <w:t xml:space="preserve">في بعض الموارد،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يُستحَبّ لهما الطُعْمَةُ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لأبويهما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يفضل لأحدهما سدش فصاعداً فوق السدس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المعيّن لهما على تقدير مجامعتهما للولد، فيُستحب لهما إطعام هذا السدس الزائد، ولو زاد نصيبهما عنه فالمستحبُّ إطعام السدس خاصّةً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وربّما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والقائل ابنُ الجُنيد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يُستحَبّ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يُطعِم حيث يزيد نصيبه عن السدس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لم تبلغ الزيادة سدساً </w:t>
      </w:r>
      <w:r>
        <w:rPr>
          <w:rStyle w:val="FootnoteAnchor"/>
          <w:rtl w:val="true"/>
        </w:rPr>
        <w:footnoteReference w:id="782"/>
      </w:r>
      <w:r>
        <w:rPr>
          <w:rFonts w:ascii="IRNazanin" w:hAnsi="IRNazanin" w:eastAsia="IRNazanin"/>
          <w:color w:val="111111"/>
          <w:sz w:val="28"/>
          <w:sz w:val="28"/>
          <w:szCs w:val="28"/>
          <w:rtl w:val="true"/>
          <w:lang w:bidi="fa-IR"/>
        </w:rPr>
        <w:t>، والأشهر الأول</w:t>
      </w:r>
      <w:r>
        <w:rPr>
          <w:rStyle w:val="FootnoteAnchor"/>
          <w:rtl w:val="true"/>
        </w:rPr>
        <w:footnoteReference w:id="78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وتظهر الفائدة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بين القولين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اجتماعهما مع البنت أو أحدهما مع البنتين فإنّ الفاضل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نصيب أحد الأبوين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يَنقُص عن سدس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الأصل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فيُستحب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الطعمة على القول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دون الأول؛ لفقد الشرط وهو زيادة نصيبه عن السدس بسدس والمشهور أنّ قذَرَ الطعمة حيث يُستحَبّ سدسُ الأصل</w:t>
      </w:r>
      <w:r>
        <w:rPr>
          <w:rStyle w:val="FootnoteAnchor"/>
          <w:rtl w:val="true"/>
        </w:rPr>
        <w:footnoteReference w:id="784"/>
      </w:r>
      <w:r>
        <w:rPr>
          <w:rFonts w:ascii="Amiri" w:hAnsi="Amiri" w:eastAsia="Amiri" w:cs="Amiri"/>
          <w:color w:val="111111"/>
          <w:sz w:val="28"/>
          <w:sz w:val="28"/>
          <w:szCs w:val="28"/>
          <w:rtl w:val="true"/>
          <w:lang w:bidi="ar-SA"/>
        </w:rPr>
        <w:t>،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سدس ما حَصَل للولد الذي تَقَرَّبَ به</w:t>
      </w:r>
      <w:r>
        <w:rPr>
          <w:rStyle w:val="FootnoteAnchor"/>
          <w:rtl w:val="true"/>
        </w:rPr>
        <w:footnoteReference w:id="785"/>
      </w:r>
      <w:r>
        <w:rPr>
          <w:rFonts w:ascii="Amiri" w:hAnsi="Amiri" w:eastAsia="Amiri" w:cs="Amiri"/>
          <w:color w:val="111111"/>
          <w:sz w:val="28"/>
          <w:sz w:val="28"/>
          <w:szCs w:val="28"/>
          <w:rtl w:val="true"/>
          <w:lang w:bidi="ar-SA"/>
        </w:rPr>
        <w:t>،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يُستحَبّ مع زيادة النصيب عن السدس إطعام أقل الأمرين من سدسِ الأصل والزيادة؛ بناءً على عدم اشتراط بلوغ الزيادة سدساً </w:t>
      </w:r>
      <w:r>
        <w:rPr>
          <w:rStyle w:val="FootnoteAnchor"/>
          <w:rtl w:val="true"/>
        </w:rPr>
        <w:footnoteReference w:id="78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والأخبارُ </w:t>
      </w:r>
      <w:r>
        <w:rPr>
          <w:rStyle w:val="FootnoteAnchor"/>
          <w:rtl w:val="true"/>
        </w:rPr>
        <w:footnoteReference w:id="787"/>
      </w:r>
      <w:r>
        <w:rPr>
          <w:rFonts w:ascii="Amiri" w:hAnsi="Amiri" w:eastAsia="Amiri" w:cs="Amiri"/>
          <w:color w:val="111111"/>
          <w:sz w:val="28"/>
          <w:sz w:val="28"/>
          <w:szCs w:val="28"/>
          <w:rtl w:val="true"/>
          <w:lang w:bidi="ar-SA"/>
        </w:rPr>
        <w:t>ناطقة باستحباب طعمة السدس، وهي تنافي ذلك</w:t>
      </w:r>
      <w:r>
        <w:rPr>
          <w:rFonts w:eastAsia="Amiri" w:cs="Amiri" w:ascii="Amiri" w:hAnsi="Amiri"/>
          <w:color w:val="111111"/>
          <w:sz w:val="28"/>
          <w:szCs w:val="28"/>
          <w:rtl w:val="true"/>
          <w:lang w:bidi="ar-SA"/>
        </w:rPr>
        <w:t>.</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والاستحبابُ مختص بمَن يَزِيد نصيبه كذلك لأبويه، دون أبوي الآخر، فلو كانت </w:t>
      </w:r>
      <w:bookmarkStart w:id="102" w:name="pg11049_88501"/>
    </w:p>
    <w:p>
      <w:pPr>
        <w:pStyle w:val="BookText"/>
        <w:rPr/>
      </w:pPr>
      <w:bookmarkEnd w:id="102"/>
      <w:r>
        <w:rPr>
          <w:rFonts w:ascii="Amiri" w:hAnsi="Amiri" w:eastAsia="Amiri" w:cs="Amiri"/>
          <w:color w:val="111111"/>
          <w:sz w:val="28"/>
          <w:sz w:val="28"/>
          <w:szCs w:val="28"/>
          <w:rtl w:val="true"/>
          <w:lang w:bidi="ar-SA"/>
        </w:rPr>
        <w:t>الأُمّ محجوبةً بالإخوة فالمستحبّ إطعام الأب خاصةً، ولو كان معهما زوج من غير حاجب فالمستحبُّ لها خاصةً، ولو لم يكن سواهما ولا حاجب استُحِبّ لهما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وإنما يُستحَبّ طعمةُ الأجداد من الأبوين فلا يُستحَبّ للأولاد طعمة الأجداد؛ للأصل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كان أحد الجدين مفقوداً فالطعمة للآخر، فإن وُجدا فهي بينهما بالسوية</w:t>
      </w:r>
      <w:r>
        <w:rPr>
          <w:rFonts w:eastAsia="Amiri" w:cs="Amiri" w:ascii="Amiri" w:hAnsi="Amiri"/>
          <w:color w:val="111111"/>
          <w:sz w:val="28"/>
          <w:szCs w:val="28"/>
          <w:rtl w:val="true"/>
          <w:lang w:bidi="ar-SA"/>
        </w:rPr>
        <w:t>.</w:t>
      </w:r>
    </w:p>
    <w:p>
      <w:pPr>
        <w:pStyle w:val="Heading4"/>
        <w:numPr>
          <w:ilvl w:val="3"/>
          <w:numId w:val="1"/>
        </w:numPr>
        <w:rPr/>
      </w:pPr>
      <w:bookmarkStart w:id="103" w:name="__RefHeading___Toc1446133_1067777946"/>
      <w:bookmarkStart w:id="104" w:name="_Toc30"/>
      <w:bookmarkEnd w:id="103"/>
      <w:r>
        <w:rPr>
          <w:rtl w:val="true"/>
        </w:rPr>
        <w:t>القول في ميراث الأجداد والإخوة</w:t>
      </w:r>
      <w:bookmarkEnd w:id="10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وفيه مسائل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المسألة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الأولى للجد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انفرد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وحده المالُ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لأُمّ، وكذا للأخ للأب والأم أو الأب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تقدير انفراده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ولو اجتمعا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الأخ والجد وكانا معاً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للأب فالمال بينهما نصفان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وللجدّة المنفردة لأب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لأمّ المال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كان جداً أو جدّةً أو كليهما لأب مع جدٍ واحدٍ أو جدة أو كليهما لأُمّ فللمتقرّب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الأجداد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بالأب الثلثان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اتحد أم تعدَّدَ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للذكر مثل حظ الأنثيين على تقدير التعدد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وللمتقرّب بالأم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الأجداد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اتحد أم تعددَ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بالسوية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تقدير التعدد</w:t>
      </w:r>
      <w:r>
        <w:rPr>
          <w:rFonts w:eastAsia="Amiri" w:cs="Amiri" w:ascii="Amiri" w:hAnsi="Amiri"/>
          <w:color w:val="111111"/>
          <w:sz w:val="28"/>
          <w:szCs w:val="28"/>
          <w:rtl w:val="true"/>
          <w:lang w:bidi="ar-SA"/>
        </w:rPr>
        <w:t>.</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هذا هو المشهور بين الأصحاب، وفي المسألة أقوال نادرة منها قول الصدوق للجدّ من الأُمّ مع الجدّ للأب أو الأخ للأب السدس والباقي للجدّ للأب أو الأخ</w:t>
      </w:r>
      <w:r>
        <w:rPr>
          <w:rStyle w:val="FootnoteAnchor"/>
          <w:rtl w:val="true"/>
        </w:rPr>
        <w:footnoteReference w:id="788"/>
      </w:r>
      <w:r>
        <w:rPr>
          <w:rFonts w:ascii="Amiri" w:hAnsi="Amiri" w:eastAsia="Amiri" w:cs="Amiri"/>
          <w:color w:val="111111"/>
          <w:sz w:val="28"/>
          <w:sz w:val="28"/>
          <w:szCs w:val="28"/>
          <w:rtl w:val="true"/>
          <w:lang w:bidi="ar-SA"/>
        </w:rPr>
        <w:t>، 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لو ترك جدّتَه أُمَّ أُمِّه ، وأخته للأبوين فللجدّة السدس</w:t>
      </w:r>
      <w:r>
        <w:rPr>
          <w:rStyle w:val="FootnoteAnchor"/>
          <w:rtl w:val="true"/>
        </w:rPr>
        <w:footnoteReference w:id="789"/>
      </w:r>
      <w:r>
        <w:rPr>
          <w:rFonts w:ascii="Amiri" w:hAnsi="Amiri" w:eastAsia="Amiri" w:cs="Amiri"/>
          <w:color w:val="111111"/>
          <w:sz w:val="28"/>
          <w:sz w:val="28"/>
          <w:szCs w:val="28"/>
          <w:rtl w:val="true"/>
          <w:lang w:bidi="ar-SA"/>
        </w:rPr>
        <w:t>، 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لو ترك جدته، أُمَّ أُمه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وجدته أُمَّ أبيه فلأُمّ الأُمّ السدس ولأُمّ الأب النصف، والباقي يُردّ عليهما بالنسبة </w:t>
      </w:r>
      <w:r>
        <w:rPr>
          <w:rStyle w:val="FootnoteAnchor"/>
          <w:rtl w:val="true"/>
        </w:rPr>
        <w:footnoteReference w:id="79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والأظهر الأول</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المسألة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للأخت للأبوين أو للأب منفردة النصف تسمية والباقي ردّاً، وللأختين فصاعداً الثلثان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تسمية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والباقي رداً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تقدم</w:t>
      </w:r>
      <w:r>
        <w:rPr>
          <w:rStyle w:val="FootnoteAnchor"/>
          <w:rtl w:val="true"/>
        </w:rPr>
        <w:footnoteReference w:id="79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وللإخوة والأخوات من الأبوين أو من الأب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 عدم المتقرّب بالأبوين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أجمعُ؛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للذكر الضعف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ضعفُ الأُنثى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المسألة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للواحد من الإخوة أو الأخوات للأم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على تقدير انفراده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تسمية،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وللأكثر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واحد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الثلث بالسوية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ذكوراً كانوا أم إناثاً أم متفرقين،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والباقي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السدس في الواحد، وعن الثلث في الأزيد يُرَدّ عليهم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ردّاً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المسألة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الرابعة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اجتمع الإخوة من الكلالاتِ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الثلاثِ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سَقَط كلالةُ الأب وحده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بكلالة الأبوين،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ولكلالة الأمّ السدسُ إن كان واحداً، والثلث إن كان أكثر بالسويّة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مرّ،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ولكلالة الأبوين الباقي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اتحدت أم تعددت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بالتفاوت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للذكر مثل حظ الأنثيين على تقدير التعدّد مختلفاً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المسألة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الخامسة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اجتمع أُختُ للأبوين مع واحد من كلالة الأم أو جماعة، أو أختان لأبوين مع واحد 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كلالة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 فالمردود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الفاضل عن الفروض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قرابة الأبوين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الأُخت أو الأختان على الأشهر</w:t>
      </w:r>
      <w:r>
        <w:rPr>
          <w:rFonts w:eastAsia="Amiri" w:cs="Amiri" w:ascii="Amiri" w:hAnsi="Amiri"/>
          <w:color w:val="111111"/>
          <w:sz w:val="28"/>
          <w:szCs w:val="28"/>
          <w:rtl w:val="true"/>
          <w:lang w:bidi="ar-SA"/>
        </w:rPr>
        <w:t>.</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وتَفَرَّدَ الحسنُ بنُ أبي عقيل</w:t>
      </w:r>
      <w:r>
        <w:rPr>
          <w:rStyle w:val="FootnoteAnchor"/>
          <w:rtl w:val="true"/>
        </w:rPr>
        <w:footnoteReference w:id="792"/>
      </w:r>
      <w:r>
        <w:rPr>
          <w:rFonts w:ascii="IRNazanin" w:hAnsi="IRNazanin" w:eastAsia="IRNazanin"/>
          <w:color w:val="111111"/>
          <w:sz w:val="28"/>
          <w:sz w:val="28"/>
          <w:szCs w:val="28"/>
          <w:rtl w:val="true"/>
          <w:lang w:bidi="fa-IR"/>
        </w:rPr>
        <w:t>والفضل بن شاذان</w:t>
      </w:r>
      <w:r>
        <w:rPr>
          <w:rStyle w:val="FootnoteAnchor"/>
          <w:rtl w:val="true"/>
        </w:rPr>
        <w:footnoteReference w:id="793"/>
      </w:r>
      <w:r>
        <w:rPr>
          <w:rFonts w:ascii="Amiri" w:hAnsi="Amiri" w:eastAsia="Amiri" w:cs="Amiri"/>
          <w:color w:val="111111"/>
          <w:sz w:val="28"/>
          <w:sz w:val="28"/>
          <w:szCs w:val="28"/>
          <w:rtl w:val="true"/>
          <w:lang w:bidi="ar-SA"/>
        </w:rPr>
        <w:t>بأن الباقي يُرَدّ على الجميع بالنسبة أرباعاً أو أخماساً</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المسألة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السادسة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الصورة بحالها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اجتمع كلالةُ الأُمّ مع الأخت أو الأُختين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لكن كان الأخت أو الأخوات للأب وحده، ففي الردّ على قرابة الأب هنا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خاصةً أو عليهما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مشهوران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أحدهما قول الشيخين</w:t>
      </w:r>
      <w:r>
        <w:rPr>
          <w:rStyle w:val="FootnoteAnchor"/>
          <w:rtl w:val="true"/>
        </w:rPr>
        <w:footnoteReference w:id="794"/>
      </w:r>
      <w:r>
        <w:rPr>
          <w:rFonts w:ascii="IRNazanin" w:hAnsi="IRNazanin" w:eastAsia="IRNazanin"/>
          <w:color w:val="111111"/>
          <w:sz w:val="28"/>
          <w:sz w:val="28"/>
          <w:szCs w:val="28"/>
          <w:rtl w:val="true"/>
          <w:lang w:bidi="fa-IR"/>
        </w:rPr>
        <w:t xml:space="preserve">وأتباعهما </w:t>
      </w:r>
      <w:r>
        <w:rPr>
          <w:rStyle w:val="FootnoteAnchor"/>
          <w:rtl w:val="true"/>
        </w:rPr>
        <w:footnoteReference w:id="79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يَختَصّ به كلالةُ الأب؛ لرواية محمّد بن مسلم عن الباقر في ابن أخت لأب وابن أخت لأم،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لابن الأُخت للأُمّ السدس ولابن الأخت للأب الباقي</w:t>
      </w:r>
      <w:r>
        <w:rPr>
          <w:rFonts w:eastAsia="Amiri" w:cs="Amiri" w:ascii="Amiri" w:hAnsi="Amiri"/>
          <w:color w:val="111111"/>
          <w:sz w:val="28"/>
          <w:szCs w:val="28"/>
          <w:rtl w:val="true"/>
          <w:lang w:bidi="ar-SA"/>
        </w:rPr>
        <w:t>»</w:t>
      </w:r>
      <w:r>
        <w:rPr>
          <w:rStyle w:val="FootnoteAnchor"/>
          <w:rtl w:val="true"/>
        </w:rPr>
        <w:footnoteReference w:id="796"/>
      </w:r>
      <w:r>
        <w:rPr>
          <w:rFonts w:ascii="Amiri" w:hAnsi="Amiri" w:eastAsia="Amiri" w:cs="Amiri"/>
          <w:color w:val="111111"/>
          <w:sz w:val="28"/>
          <w:sz w:val="28"/>
          <w:szCs w:val="28"/>
          <w:rtl w:val="true"/>
          <w:lang w:bidi="ar-SA"/>
        </w:rPr>
        <w:t xml:space="preserve">وهو يستلزم كونَ الأمّ كذلك؛ لأنّ الولد إنما يرث بواسطتها، ولأنّ النقص يدخُل على قرابة الأب دون الأخرى،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كان عليه الغُرْم فله الغنم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وثبوته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ثبوت الردّ على قرابة الأب خاصةً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للرواية</w:t>
      </w:r>
      <w:r>
        <w:rPr>
          <w:rStyle w:val="FootnoteAnchor"/>
          <w:rtl w:val="true"/>
        </w:rPr>
        <w:footnoteReference w:id="797"/>
      </w:r>
      <w:r>
        <w:rPr>
          <w:rFonts w:ascii="IRNazanin" w:hAnsi="IRNazanin" w:eastAsia="IRNazanin"/>
          <w:color w:val="111111"/>
          <w:sz w:val="28"/>
          <w:sz w:val="28"/>
          <w:szCs w:val="28"/>
          <w:rtl w:val="true"/>
          <w:lang w:bidi="fa-IR"/>
        </w:rPr>
        <w:t>، والاعتبار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والثاني قول الشيخ</w:t>
      </w:r>
      <w:r>
        <w:rPr>
          <w:rStyle w:val="FootnoteAnchor"/>
          <w:rtl w:val="true"/>
        </w:rPr>
        <w:footnoteReference w:id="798"/>
      </w:r>
      <w:r>
        <w:rPr>
          <w:rFonts w:ascii="Amiri" w:hAnsi="Amiri" w:eastAsia="Amiri" w:cs="Amiri"/>
          <w:color w:val="111111"/>
          <w:sz w:val="28"/>
          <w:sz w:val="28"/>
          <w:szCs w:val="28"/>
          <w:rtl w:val="true"/>
          <w:lang w:bidi="ar-SA"/>
        </w:rPr>
        <w:t>أيضاً وابن إدريس</w:t>
      </w:r>
      <w:r>
        <w:rPr>
          <w:rStyle w:val="FootnoteAnchor"/>
          <w:rtl w:val="true"/>
        </w:rPr>
        <w:footnoteReference w:id="799"/>
      </w:r>
      <w:r>
        <w:rPr>
          <w:rFonts w:ascii="IRNazanin" w:hAnsi="IRNazanin" w:eastAsia="IRNazanin"/>
          <w:color w:val="111111"/>
          <w:sz w:val="28"/>
          <w:sz w:val="28"/>
          <w:szCs w:val="28"/>
          <w:rtl w:val="true"/>
          <w:lang w:bidi="fa-IR"/>
        </w:rPr>
        <w:t>، والمحقق</w:t>
      </w:r>
      <w:r>
        <w:rPr>
          <w:rStyle w:val="FootnoteAnchor"/>
          <w:rtl w:val="true"/>
        </w:rPr>
        <w:footnoteReference w:id="800"/>
      </w:r>
      <w:r>
        <w:rPr>
          <w:rFonts w:ascii="Amiri" w:hAnsi="Amiri" w:eastAsia="Amiri" w:cs="Amiri"/>
          <w:color w:val="111111"/>
          <w:sz w:val="28"/>
          <w:sz w:val="28"/>
          <w:szCs w:val="28"/>
          <w:rtl w:val="true"/>
          <w:lang w:bidi="ar-SA"/>
        </w:rPr>
        <w:t xml:space="preserve">، وأحد قولي العلامة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يُرَدّ عليهما لتساويهما في المرتبة </w:t>
      </w:r>
      <w:r>
        <w:rPr>
          <w:rStyle w:val="FootnoteAnchor"/>
          <w:rtl w:val="true"/>
        </w:rPr>
        <w:footnoteReference w:id="801"/>
      </w:r>
      <w:r>
        <w:rPr>
          <w:rFonts w:ascii="Amiri" w:hAnsi="Amiri" w:eastAsia="Amiri" w:cs="Amiri"/>
          <w:color w:val="111111"/>
          <w:sz w:val="28"/>
          <w:sz w:val="28"/>
          <w:szCs w:val="28"/>
          <w:rtl w:val="true"/>
          <w:lang w:bidi="ar-SA"/>
        </w:rPr>
        <w:t>وفَقْدِ المخصص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استضعافاً للرواية</w:t>
      </w:r>
      <w:r>
        <w:rPr>
          <w:rStyle w:val="FootnoteAnchor"/>
          <w:rtl w:val="true"/>
        </w:rPr>
        <w:footnoteReference w:id="802"/>
      </w:r>
      <w:r>
        <w:rPr>
          <w:rFonts w:ascii="Amiri" w:hAnsi="Amiri" w:eastAsia="Amiri" w:cs="Amiri"/>
          <w:color w:val="111111"/>
          <w:sz w:val="28"/>
          <w:sz w:val="28"/>
          <w:szCs w:val="28"/>
          <w:rtl w:val="true"/>
          <w:lang w:bidi="ar-SA"/>
        </w:rPr>
        <w:t>، فإنّ في طريقها علي بن فَضَال وهو فَطَحِي، ومنع اقتضاء دخول النقص الاختصاص؛ لتخلّفه في البنت مع الأبوين</w:t>
      </w:r>
      <w:r>
        <w:rPr>
          <w:rFonts w:eastAsia="Amiri" w:cs="Amiri" w:ascii="Amiri" w:hAnsi="Amiri"/>
          <w:color w:val="111111"/>
          <w:sz w:val="28"/>
          <w:szCs w:val="28"/>
          <w:rtl w:val="true"/>
          <w:lang w:bidi="ar-SA"/>
        </w:rPr>
        <w:t>.</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وأجاب المصنّف عنهما بأنّ ابن فضال ثقةٌ وإن كان فاسد العقيدة، وتخلُّفُ الحكم في البنت لمانع وهو وجود معارِض يَدخُل النقصُ عليه أعني الأبوين</w:t>
      </w:r>
      <w:r>
        <w:rPr>
          <w:rStyle w:val="FootnoteAnchor"/>
          <w:rtl w:val="true"/>
        </w:rPr>
        <w:footnoteReference w:id="803"/>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المسألة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السابعة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تقوم كلالة الأب مقام كلالة الأبوين عند عدمهم في كلّ موضع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انفردت أو جامَعَتْ كلالةَ الأُم أو الأجداد أو هما فلها مع كلالة الأُمّ ما زاد عن السدس أو الثلث، ومع الأجداد ما فُصِّل في كلالة الأبوين من المساواة والتفضيل والاستحقاق بالقرابة، إلا أن تكون إناثاً فتستحق النصف أو الثلثين تسمية والباقي رداً، إلى آخر ما ذُكِر فى كلالة الأبوين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المسألة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الثامنة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اجتمع الإخوة والأجداد فلقرابة الأم من الإخوة والأجداد الثلث بينهم بالسويّة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ذكوراً كانوا أم إناثاً أم ذكوراً وإناثاً، متعدّدِينَ فى الطرفين أم متحدِينَ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ولقرابة الأب من الإخوة والأجداد الثلثان بينهم للذكر ضعف الأنثى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فلو كان المجتمعون فيهما جدّاً وجدةً للأم، وأخاً وأُختاً لها، وجدّاً وجدةً للأب، وأخاً وأُختاً له، فلأقرباء الأم التلتُ واحد من ثلاثة أصل الفريضة وسهامهم أربعةً، ولأقرباء الأب اثنان منها وسهامهم ستة، فيُطرح المُتَداخِلُ، والعددان يتوافقان بالنصف فيُضرب الوِفْقُ وهو اثنان في ستة، ثمّ المرتفعُ في أصل الفريضة يبلغ ستة وثلاثين؛ ثلثها لأقرباء الأم الأربعة لكلّ ثلاثة وثلثاها لأقرباء الأب الأربعة بالتفاوت فلكلّ أُنثى أربعة ولكلّ ذَكَرٍ ثمانية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وكذا الحكم لو كان من طرف الأمّ أخ وجد ومثلهما من طرف الأب وإن اختلفت الفريضة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كان المجتمع من طرف الجدودة للأُمّ جداً واحداً أو جدّةً مع الأجداد والإخوة المتعدّدين من طرف الأب، فللجدّ أو الجدّة للأُمّ الثلث، والباقي للإخوة والأجداد للأب بالسوية مع تساويهم ذكورية وأنوثية، وبالاختلاف مع الاختلاف</w:t>
      </w:r>
      <w:r>
        <w:rPr>
          <w:rFonts w:eastAsia="Amiri" w:cs="Amiri" w:ascii="Amiri" w:hAnsi="Amiri"/>
          <w:color w:val="111111"/>
          <w:sz w:val="28"/>
          <w:szCs w:val="28"/>
          <w:rtl w:val="true"/>
          <w:lang w:bidi="ar-SA"/>
        </w:rPr>
        <w:t>.</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ولو فُرِض جدة لأم وجد لأب وأخ لأب فلكل واحد منهم ثلث، ولو كان بدل الجد للأب جدّةً فلها ثلث الثلثين اثنان من تسعة وكذا لو كان بدل الأخ أختاً فلها ثلثهما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ولو خَلَّف أخاً أو أختاً لأم مع الأجداد مطلقاً</w:t>
      </w:r>
      <w:r>
        <w:rPr>
          <w:rStyle w:val="FootnoteAnchor"/>
          <w:rtl w:val="true"/>
        </w:rPr>
        <w:footnoteReference w:id="804"/>
      </w:r>
      <w:r>
        <w:rPr>
          <w:rFonts w:ascii="Amiri" w:hAnsi="Amiri" w:eastAsia="Amiri" w:cs="Amiri"/>
          <w:color w:val="111111"/>
          <w:sz w:val="28"/>
          <w:sz w:val="28"/>
          <w:szCs w:val="28"/>
          <w:rtl w:val="true"/>
          <w:lang w:bidi="ar-SA"/>
        </w:rPr>
        <w:t>للأب فللأخ أو الأخت السدس والباقي للأجداد، ولو تعدد الإخوة للأُمّ فلهم الثلث، وهذا بخلاف الجد والجدة للأُم، فإن له الثلث وإن أتحد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خَلَّف الجدين للأُم أو أحدهما مع الإخوة للأُمّ وجداً أو جدّةً للأب، فللمتقرب بالأُمّ من الجُدُودَة والإخوة الثلث وللجدّة للأب الثلثان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وعلى هذا قش ما يَرِدُ عليك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المسألة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التاسعة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الجد وإنْ علا يُقاسِم الإخوة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يَمنَع بُعْدُ الجد الأعلى بالنسبة إلى الجدّ الأسفل المساوي للإخوة؛ لإطلاق النصوص</w:t>
      </w:r>
      <w:r>
        <w:rPr>
          <w:rStyle w:val="FootnoteAnchor"/>
          <w:rtl w:val="true"/>
        </w:rPr>
        <w:footnoteReference w:id="805"/>
      </w:r>
      <w:r>
        <w:rPr>
          <w:rFonts w:ascii="Amiri" w:hAnsi="Amiri" w:eastAsia="Amiri" w:cs="Amiri"/>
          <w:color w:val="111111"/>
          <w:sz w:val="28"/>
          <w:sz w:val="28"/>
          <w:szCs w:val="28"/>
          <w:rtl w:val="true"/>
          <w:lang w:bidi="ar-SA"/>
        </w:rPr>
        <w:t xml:space="preserve">بتساوي الإخوة والأجدادِ الصادق بذلك،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الأخ وإن نزل يقاسم الأجداد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الدنيا وإن كانوا مُساوِينَ للإخوة المتقدمين رتبةً على أولادهم؛ لما ذُكِر</w:t>
      </w:r>
      <w:r>
        <w:rPr>
          <w:rFonts w:eastAsia="Amiri" w:cs="Amiri" w:ascii="Amiri" w:hAnsi="Amiri"/>
          <w:color w:val="111111"/>
          <w:sz w:val="28"/>
          <w:szCs w:val="28"/>
          <w:rtl w:val="true"/>
          <w:lang w:bidi="ar-SA"/>
        </w:rPr>
        <w:t>.</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وإنّما يَمنَع الجد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بالرفع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الأدنى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والجدة وإن كانا للأُمّ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بالنصب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كان للأب، دون أولاد الإخوة مطلقاً،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كذا يَمنَع كلُّ طبقة من الأجداد من فوقها، ولا يمنعهم الإخوة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يمنع الأخ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كان للأُم، ومثله الأُختُ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الأخ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كان للأبوين؛ لأنّهما جهةً واحدة يمنع الأقرب منها الأبعد،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كذا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يمنع ابنُ الأخ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مطلقاً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ابنِه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مطلقاً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وعلى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القياسُ يَمنَع كلَّ أقرب بمرتبة وإن كان الأبعد وإن كان للأبوين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خلافاً للفضل بن شاذان من قدمائنا حيث جَعَل للأخ من الأُمّ السدس والباقي لابن الأخ للأبوين كأبيه، وكذا الحكم في الأولاد المترتبين؛ محتجاً باجتماع السببين</w:t>
      </w:r>
      <w:r>
        <w:rPr>
          <w:rStyle w:val="FootnoteAnchor"/>
          <w:rtl w:val="true"/>
        </w:rPr>
        <w:footnoteReference w:id="80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ويُضعف بتفاوتِ الدرجتين المُسقِطِ لاعتبار السبب</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المسألة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العاشرة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الزوج والزوجة مع الإخوة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وأولادهم،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والأجداد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مطلقاً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يأخذان نصيبهما الأعلى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النصف والربع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ولأجدادِ الأُمّ أو الإخوةِ للأُمّ أو القبيلتين ثلث الأصل، والباقي لقرابة الأبوين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الأجداد والإخوة،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لإخوة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الأب مع عدمهم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فلو فرض أن قرابةَ الأُمّ جد وجدّةٌ وأخ وأخت، وقرابة الأب كذلك الزوج، فللزوج النصفُ ثلاثة من ستة أصل الفريضة؛ لأنّها المجتمع من ضرب أحدِ مخرجي النصف والثلث في الآخر، ولقرابة الأمّ الثلث اثنان وعددهم أربعة، ولقرابة الأب واحد وعددهم ستّةٌ، يَنكسر على الفريقين ويدخُل النصيب في السهام وتَتَوَافَقُ فيُضَرَب وفقُ أحدِهما في الآخر، ثمّ المجتمع في أصل الفريضة تبلغ اثنين وسبعين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المسألة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الحادية عشرة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تَرَك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ثمانية أجداد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الأجداد الأربعة لأبيه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أى جد أبيه وجدته لأبيه وجده وجدته لأُمّه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ومثلهم لأمه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وهذه الثمانية أجداد الميت في المرتبة الثانية، فإنّ كلَّ مرتبة تزيد عن السابقة بمثلها، فكما أنّ له في الأُولى أربعةً ففي الثانية ثمانيةً، وفي الثالثة ستة عشر، وهكذا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فالمسألة</w:t>
      </w:r>
      <w:r>
        <w:rPr>
          <w:rFonts w:eastAsia="Amiri" w:cs="Amiri" w:ascii="Amiri" w:hAnsi="Amiri"/>
          <w:color w:val="111111"/>
          <w:sz w:val="28"/>
          <w:szCs w:val="28"/>
          <w:rtl w:val="true"/>
          <w:lang w:bidi="ar-SA"/>
        </w:rPr>
        <w:t>)</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يعني أصل مسألة الأجداد الثمانية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ثلاثة أَشْهُم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هي مخرج ما فيها من الفروض وهو الثلث، وذلك هو ضابط أصل كلّ مسألة في هذا الباب،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الثلاثة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لأقرباء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ثلثها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ينقسم 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عددهم وهو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أربعة، وسهمان لأقرباء الأب لا ينقسم 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سهامهم وهى تسعة؛ لأنّ تُلقي الثلثين لجد أبيه وجدته لأبيه بينهما أثلاثاً، وثلثه لجدّ أبيه وجدَّتِه لأُمّه أثلاثاً أيضاً، فتَرتقِي سِهامُ الأربعة إلى تسعة، فقد انكسرت على الفريقين، وبين عدد كل فريق ونصيبه مباينة، وكذا بين العددين، فتطرح النصيبَ وتَضْرِبُ أحد العددين في الآخر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ومضروبهما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مضروب الأربعة في التسعة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ست وثلاثون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تضرب المرتفع في أصل الفريضة وهو الثلاثة،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مضروبها في الأصل مائة وثمانيةً، ثُلثها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ستة وثلاثون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ينقسم 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أجدادِ أُمّه </w:t>
      </w:r>
    </w:p>
    <w:p>
      <w:pPr>
        <w:pStyle w:val="BookText"/>
        <w:rPr/>
      </w:pPr>
      <w:r>
        <w:rPr>
          <w:rFonts w:ascii="Amiri" w:hAnsi="Amiri" w:eastAsia="Amiri" w:cs="Amiri"/>
          <w:color w:val="111111"/>
          <w:sz w:val="28"/>
          <w:sz w:val="28"/>
          <w:szCs w:val="28"/>
          <w:rtl w:val="true"/>
          <w:lang w:bidi="ar-SA"/>
        </w:rPr>
        <w:t>لكل سهم</w:t>
      </w:r>
    </w:p>
    <w:p>
      <w:pPr>
        <w:pStyle w:val="BookText"/>
        <w:rPr/>
      </w:pPr>
      <w:r>
        <w:rPr>
          <w:rFonts w:ascii="Amiri" w:hAnsi="Amiri" w:eastAsia="Amiri" w:cs="Amiri"/>
          <w:color w:val="111111"/>
          <w:sz w:val="28"/>
          <w:sz w:val="28"/>
          <w:szCs w:val="28"/>
          <w:rtl w:val="true"/>
          <w:lang w:bidi="ar-SA"/>
        </w:rPr>
        <w:t>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بالسويّة؛ لكلِّ واحدٍ تسعة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وثلثاها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اثنان وسبعون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تنقسم على تسعة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ثمانية، فلجدّ الأب وجدّتِه لأبيه ثلثا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ثمانية وأربعون ثلثه للجدّة سيّةَ عشر، وثلثاه للجدّ اثنان وثلاثون، ولجد الأب وجدّتِه لأُمّه أربعة وعشرون؛ ثلثا ذلك للجدّ ستَّةَ عشرَ ، وثُلثه للجدّة ثمانية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هو المشهور بين الأصحاب، ذهب إليه الشيخ </w:t>
      </w:r>
      <w:r>
        <w:rPr>
          <w:rStyle w:val="FootnoteAnchor"/>
          <w:rtl w:val="true"/>
        </w:rPr>
        <w:footnoteReference w:id="807"/>
      </w:r>
      <w:r>
        <w:rPr>
          <w:rFonts w:ascii="Amiri" w:hAnsi="Amiri" w:eastAsia="Amiri" w:cs="Amiri"/>
          <w:color w:val="111111"/>
          <w:sz w:val="28"/>
          <w:sz w:val="28"/>
          <w:szCs w:val="28"/>
          <w:rtl w:val="true"/>
          <w:lang w:bidi="ar-SA"/>
        </w:rPr>
        <w:t>وتبعه الأكثر</w:t>
      </w:r>
      <w:r>
        <w:rPr>
          <w:rStyle w:val="FootnoteAnchor"/>
          <w:rtl w:val="true"/>
        </w:rPr>
        <w:footnoteReference w:id="80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 المسألة قولان آخران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أحدهما للشيخ معين الدين المصري</w:t>
      </w:r>
      <w:r>
        <w:rPr>
          <w:rStyle w:val="FootnoteAnchor"/>
          <w:rtl w:val="true"/>
        </w:rPr>
        <w:footnoteReference w:id="80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ثلث الثلث لأبوي أُمّ الأُمّ بالسوية، وثلثاه لأبوي أبيها بالسوية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وثلث الثلثين لأبوي أُمّ الأب بالسوية، وثلثاهما لأبوي أبيه أثلاثاً؛ فسِهامُ قرابة الأُم ستة وسهام قرابة الأب ثمانية عشر، فيُجْتَزَأُ بها لدخول الأخرى فيها، وتُضرب في أصل المسألة تبلغ أربعة وخمسين، ثلثها ثمانية عشر لأجداد الأم؛ منها اثنا عشر لأبوي أبيها بالسوية، وستة لأبوي أمها كذلك، وستة وثلاثون لأجداد الأب منها اثنا عشر لأبوى أُمّه بالسوية، وأربعة وعشرون لأبوى أبيه أثلاثاً، وهو ظاهر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والثاني للشيخ زين الدين محمد بن القاسم البَرْزَهي</w:t>
      </w:r>
      <w:r>
        <w:rPr>
          <w:rStyle w:val="FootnoteAnchor"/>
          <w:rtl w:val="true"/>
        </w:rPr>
        <w:footnoteReference w:id="81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ثلث الثلث لأبوي أُمّ الأُمّ بالسوية، وثلثيه لأبوي أبيها ، أثلاثاً، وقسمة أجداد الأب كما ذكر الشيخ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وصحتها أيضاً من أربعة وخمسين لكن يختلف وجه الارتفاع؛ فإنّ سِهامَ أقرباء الأم هنا ثمانيةَ عشر، وأقرباء الأب تسعةٌ تُداخِلها، فيُجتَزَاً بضرب الثمانية عشر في الثلاثةِ أصل</w:t>
      </w:r>
    </w:p>
    <w:p>
      <w:pPr>
        <w:pStyle w:val="BookText"/>
        <w:rPr/>
      </w:pPr>
      <w:r>
        <w:rPr>
          <w:rFonts w:ascii="Amiri" w:hAnsi="Amiri" w:eastAsia="Amiri" w:cs="Amiri"/>
          <w:color w:val="111111"/>
          <w:sz w:val="28"/>
          <w:sz w:val="28"/>
          <w:szCs w:val="28"/>
          <w:rtl w:val="true"/>
          <w:lang w:bidi="ar-SA"/>
        </w:rPr>
        <w:t>الفريضة</w:t>
      </w:r>
      <w:r>
        <w:rPr>
          <w:rFonts w:eastAsia="Amiri" w:cs="Amiri" w:ascii="Amiri" w:hAnsi="Amiri"/>
          <w:color w:val="111111"/>
          <w:sz w:val="28"/>
          <w:szCs w:val="28"/>
          <w:rtl w:val="true"/>
          <w:lang w:bidi="ar-SA"/>
        </w:rPr>
        <w:t>.</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ومنشأ الاختلاف النظرُ إلى أنّ قسمة المنتسب الى الأُمّ بالسوية فمنهم من لاحَظَ الأمومة في جميع أجداد الأُم، ومنهم من أجداد الأُمّ، ومنهم من لاحظ الأصل، ومنهم من لاحَظَ الجهتين</w:t>
      </w:r>
      <w:r>
        <w:rPr>
          <w:rFonts w:eastAsia="Amiri" w:cs="Amiri" w:ascii="Amiri" w:hAnsi="Amiri"/>
          <w:color w:val="111111"/>
          <w:sz w:val="28"/>
          <w:szCs w:val="28"/>
          <w:rtl w:val="true"/>
          <w:lang w:bidi="ar-SA"/>
        </w:rPr>
        <w:t xml:space="preserve">. </w:t>
      </w:r>
      <w:bookmarkStart w:id="105" w:name="pg11049_88508"/>
    </w:p>
    <w:p>
      <w:pPr>
        <w:pStyle w:val="BookText"/>
        <w:rPr/>
      </w:pPr>
      <w:bookmarkEnd w:id="105"/>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المسألة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الثانية عشرة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أولاد الإخوة يقومون مقام آبائهم عند عدمهم ويأخذ كل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واحد من الأولاد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نصيبَ مَن يَتَقَرَّبُ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فلأولاد الأخت المنفردة للأبوين أو الأب النصفُ تسمية، والباقي ردّاً وإن كانوا ذكوراً، ولأولاد الأخ للأب المنفردِ المال وإن كان أنثى قرابة، ولولد الأخ أو الأخت للأُمّ السدس وإن تعدد الولد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ولأولاد الإخوة المتعددين لها الثلث، والباقي لأولاد المتقرب بالأبوين إن وُجِدوا وإلا فللمتقرّب بالأب، وإلا رُدَّ الباقي على ولد الأخ للأم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وعلى هذا القياس باقي الأقسام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واقتسام الأولاد مع تعددهم واختلافهم ذُكوريّةً وأُنونية كآبائهم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 كانوا أولادَ كلالة الأُمّ فبالسوية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الذكر والأنثى سواء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 كانوا أولادكلالة الأبوين أو الأب فبالتفاوت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للذكر مثل حظ الأنثيين</w:t>
      </w:r>
      <w:r>
        <w:rPr>
          <w:rFonts w:eastAsia="Amiri" w:cs="Amiri" w:ascii="Amiri" w:hAnsi="Amiri"/>
          <w:color w:val="111111"/>
          <w:sz w:val="28"/>
          <w:szCs w:val="28"/>
          <w:rtl w:val="true"/>
          <w:lang w:bidi="ar-SA"/>
        </w:rPr>
        <w:t>.</w:t>
      </w:r>
    </w:p>
    <w:p>
      <w:pPr>
        <w:pStyle w:val="Heading4"/>
        <w:numPr>
          <w:ilvl w:val="3"/>
          <w:numId w:val="1"/>
        </w:numPr>
        <w:rPr/>
      </w:pPr>
      <w:bookmarkStart w:id="106" w:name="__RefHeading___Toc1446135_1067777946"/>
      <w:bookmarkStart w:id="107" w:name="_Toc31"/>
      <w:bookmarkEnd w:id="106"/>
      <w:r>
        <w:rPr>
          <w:rtl w:val="true"/>
        </w:rPr>
        <w:t>القول في ميراث الأعمام والأخوال وأولادهم</w:t>
      </w:r>
      <w:bookmarkEnd w:id="107"/>
    </w:p>
    <w:p>
      <w:pPr>
        <w:pStyle w:val="BookText"/>
        <w:rPr/>
      </w:pPr>
      <w:r>
        <w:rPr>
          <w:rFonts w:ascii="Amiri" w:hAnsi="Amiri" w:eastAsia="Amiri" w:cs="Amiri"/>
          <w:color w:val="111111"/>
          <w:sz w:val="28"/>
          <w:sz w:val="28"/>
          <w:szCs w:val="28"/>
          <w:rtl w:val="true"/>
          <w:lang w:bidi="ar-SA"/>
        </w:rPr>
        <w:t>وهم أولو الأرحام؛ إذ لم يَرِدْ على إرثهم في القرآن نص بخصوصهم، وإنما دخلوا في آية أولي الأرحام</w:t>
      </w:r>
      <w:r>
        <w:rPr>
          <w:rStyle w:val="FootnoteAnchor"/>
          <w:rtl w:val="true"/>
        </w:rPr>
        <w:footnoteReference w:id="81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وإنما يرثون مع فقد الإخوة وبنيهم، والأجداد فصاعداً على الأشهر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ونُقل عن الفضل أنه لو خَلَّفَ خالاً وجدةً لأم اقتسما المال نصفين</w:t>
      </w:r>
      <w:r>
        <w:rPr>
          <w:rStyle w:val="FootnoteAnchor"/>
          <w:rtl w:val="true"/>
        </w:rPr>
        <w:footnoteReference w:id="81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وفيه مسائل</w:t>
      </w:r>
      <w:r>
        <w:rPr>
          <w:rFonts w:eastAsia="Amiri" w:cs="Amiri" w:ascii="Amiri" w:hAnsi="Amiri"/>
          <w:color w:val="111111"/>
          <w:sz w:val="28"/>
          <w:szCs w:val="28"/>
          <w:rtl w:val="true"/>
          <w:lang w:bidi="ar-SA"/>
        </w:rPr>
        <w:t>:)</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المسألة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المنفرد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يرث المال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أجمع لأب كان أم لأُمّ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وكذا العمّةُ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المنفردة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وللأعمام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العمَّيْن فصاعداً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بينهم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بالسوية، وكذا العمّات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مطلقاً فيهما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ولو اجتمعوا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الأعمام والعمات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اقتسموه بالسوية إن كانوا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جميعاً أعماماً وعمّاتٍ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إخوة أب الميت من أُمّه خاصةً،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يكونوا لأُمّ خاصةً بل للأبوين أو للأب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فبالتفاوت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للذكر مثل حظ الأنثيين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والكلام في قرابة الأب وحده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الأعمام والأخوال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سلف في الإخوة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أنّها لا ترث إلا مع فقد قرابة الأبوين مع تساويهما في الدرجة، واستحقاقِ الفاضل عن حق قرابة الأُمّ من السدس والثلث وغير ذلك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المسألة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للعمّ الواحد للأُمّ أو العمّة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الواحدة لها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 قرابة الأب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العمّ أو العمّة للأبِ الشامل للأبوين، وللأب وحده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السدس، وللزائد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الواحد مطلقاً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بالسوية كما في الإخوة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والباقي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السدس والثلث من المال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لقرابة الأب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والأم، أو الأب مع فقده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 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قرابة الأب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واحداً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ذكراً وأُنثى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إن تعدد واختلف بالذكورة والأنوثة فللذكر مثل حظ الأنثيين، كما مرّ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المسألة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الثالثة للخال أو الخالة أو هما أو الأخوال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الخالاتِ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 الانفراد المالُ بالسويّة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لأب كانوا أم لأمّ أم لهما،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اجتمعوا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تفرَّقوا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خَلَّف خالاً لأبيه أي أخا أُمّه لأبيها، وخالاً لأُمّه أي أخاها لأُمّها خاصةً، وخالاً لأبويه أي أخاها لأبويها أو خالاتٍ كذلك أو مجتمعين،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سقط كلالة الأب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وحده بكلالة الأبوين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وكان لكلالة الأمّ السدس إن كان واحداً ، والثلث إن كان أكثر بالسوية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w:t>
      </w:r>
    </w:p>
    <w:p>
      <w:pPr>
        <w:pStyle w:val="BookText"/>
        <w:rPr/>
      </w:pPr>
      <w:r>
        <w:rPr>
          <w:rFonts w:ascii="Amiri" w:hAnsi="Amiri" w:eastAsia="Amiri" w:cs="Amiri"/>
          <w:color w:val="111111"/>
          <w:sz w:val="28"/>
          <w:sz w:val="28"/>
          <w:szCs w:val="28"/>
          <w:rtl w:val="true"/>
          <w:lang w:bidi="ar-SA"/>
        </w:rPr>
        <w:t xml:space="preserve">اختلفوا في الذكورة والأنوثة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ولكلالة الأب الباقي بالسوية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أيضاً على الأظهر؛ لاشتراك الجميع في التقرب بالأم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ونقل الشيخ في الخلاف عن بعض الأصحاب أنّهم يقتسمونه للذكر ضِعْفُ الأُنثى</w:t>
      </w:r>
      <w:r>
        <w:rPr>
          <w:rStyle w:val="FootnoteAnchor"/>
          <w:rtl w:val="true"/>
        </w:rPr>
        <w:footnoteReference w:id="813"/>
      </w:r>
      <w:r>
        <w:rPr>
          <w:rFonts w:ascii="IRNazanin" w:hAnsi="IRNazanin" w:eastAsia="IRNazanin"/>
          <w:color w:val="111111"/>
          <w:sz w:val="28"/>
          <w:sz w:val="28"/>
          <w:szCs w:val="28"/>
          <w:rtl w:val="true"/>
          <w:lang w:bidi="fa-IR"/>
        </w:rPr>
        <w:t>، وهو نادر</w:t>
      </w:r>
      <w:r>
        <w:rPr>
          <w:rFonts w:eastAsia="IRNazanin" w:cs="IRNazanin"/>
          <w:color w:val="111111"/>
          <w:sz w:val="28"/>
          <w:szCs w:val="28"/>
          <w:rtl w:val="true"/>
          <w:lang w:bidi="fa-IR"/>
        </w:rPr>
        <w:t>.</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المسألة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الرابعة لو اجتمع الأعمامُ والأخوال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الجنسان ليشمل الواحد </w:t>
      </w:r>
    </w:p>
    <w:p>
      <w:pPr>
        <w:pStyle w:val="BookText"/>
        <w:rPr/>
      </w:pPr>
      <w:r>
        <w:rPr>
          <w:rFonts w:ascii="Amiri" w:hAnsi="Amiri" w:eastAsia="Amiri" w:cs="Amiri"/>
          <w:color w:val="111111"/>
          <w:sz w:val="28"/>
          <w:sz w:val="28"/>
          <w:szCs w:val="28"/>
          <w:rtl w:val="true"/>
          <w:lang w:bidi="ar-SA"/>
        </w:rPr>
        <w:t xml:space="preserve">منهما والمتعدد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فللأخوال الثلث وإن كان واحداً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الأصح وللأعمام الثلثان وإنْ كان واحداً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لأنّ الأخوال يَرِثون نصيبَ مَن تَقَرَّبُوا به وهو الأُخت، ونصيبها الثلث، والأعمامَ يَرِثُون نصيبَ مَن يَتَقَرَّبون به وهو الأخ ونصيبه الثلثان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ومنه يظهر عدم الفرق بين اتحادِ الخال وتعدّده وذكوريّته وأنوثيته، والأخبار مع ذلك مُتظافرة به، ففي صحيحة أبي بصير عن أبي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في كتاب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رجل مات وترك عمَّةً وخالَةً،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للعمة الثلثان وللخالة الثلث</w:t>
      </w:r>
      <w:r>
        <w:rPr>
          <w:rFonts w:eastAsia="Amiri" w:cs="Amiri" w:ascii="Amiri" w:hAnsi="Amiri"/>
          <w:color w:val="111111"/>
          <w:sz w:val="28"/>
          <w:szCs w:val="28"/>
          <w:rtl w:val="true"/>
          <w:lang w:bidi="ar-SA"/>
        </w:rPr>
        <w:t>»</w:t>
      </w:r>
      <w:r>
        <w:rPr>
          <w:rStyle w:val="FootnoteAnchor"/>
          <w:rtl w:val="true"/>
        </w:rPr>
        <w:footnoteReference w:id="814"/>
      </w:r>
      <w:r>
        <w:rPr>
          <w:rFonts w:ascii="Amiri" w:hAnsi="Amiri" w:eastAsia="Amiri" w:cs="Amiri"/>
          <w:color w:val="111111"/>
          <w:sz w:val="28"/>
          <w:sz w:val="28"/>
          <w:szCs w:val="28"/>
          <w:rtl w:val="true"/>
          <w:lang w:bidi="ar-SA"/>
        </w:rPr>
        <w:t xml:space="preserve">، وأن فيه أيضاً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العمّةَ بمنزلة الأب والخالة بمنزلة الأم، وبنت الأخ بمنزلة الأخ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وكلّ ذي رحم فهو بمنزلة الرحم الذي يُجَرّ به إلّا أن يكون وارث أقرب إلى الميت منه فيَحجُبه</w:t>
      </w:r>
      <w:r>
        <w:rPr>
          <w:rFonts w:eastAsia="Amiri" w:cs="Amiri" w:ascii="Amiri" w:hAnsi="Amiri"/>
          <w:color w:val="111111"/>
          <w:sz w:val="28"/>
          <w:szCs w:val="28"/>
          <w:rtl w:val="true"/>
          <w:lang w:bidi="ar-SA"/>
        </w:rPr>
        <w:t>»</w:t>
      </w:r>
      <w:r>
        <w:rPr>
          <w:rStyle w:val="FootnoteAnchor"/>
          <w:rtl w:val="true"/>
        </w:rPr>
        <w:footnoteReference w:id="81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ومقابل الأصح قول ابن أبي عقيل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للخال المتحد السدس وللعمّ النصف حيث يجتمع العمُّ والخالُ، والباقي يُرَدّ عليهما بقدر سهامهما، وكذلك لو تَرَك عمّةً وخالةً للعمة النصفُ وللخالة السدس والباقي يُرَدّ عليهما بالنسبة </w:t>
      </w:r>
      <w:r>
        <w:rPr>
          <w:rStyle w:val="FootnoteAnchor"/>
          <w:rtl w:val="true"/>
        </w:rPr>
        <w:footnoteReference w:id="81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وهو نادر ومستنده غير واضح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تقدَّم</w:t>
      </w:r>
      <w:r>
        <w:rPr>
          <w:rStyle w:val="FootnoteAnchor"/>
          <w:rtl w:val="true"/>
        </w:rPr>
        <w:footnoteReference w:id="817"/>
      </w:r>
      <w:r>
        <w:rPr>
          <w:rFonts w:ascii="Amiri" w:hAnsi="Amiri" w:eastAsia="Amiri" w:cs="Amiri"/>
          <w:color w:val="111111"/>
          <w:sz w:val="28"/>
          <w:sz w:val="28"/>
          <w:szCs w:val="28"/>
          <w:rtl w:val="true"/>
          <w:lang w:bidi="ar-SA"/>
        </w:rPr>
        <w:t>، ما يدلّ على قدر الاستحقاق وكيفية القسمة لو تعدّدوا، فلو كانوا متفرقين فللأخوال من جهة الأم ثلث الثلث، ومع الاتحاد سدشه، والباقي من الثلث للأخوال من جهة الأب وإنْ كان واحداً، والثلثان للأعمام سدسُهما للمتقرب منهم بالأم إن كان واحداً، وثلثهما إن كان أكثر بالسوية وإن اختلفوا في الذكورية والأنوثية، والباقي للأعمام المتقرّبين بالأب بالتفاوت</w:t>
      </w:r>
      <w:r>
        <w:rPr>
          <w:rFonts w:eastAsia="Amiri" w:cs="Amiri" w:ascii="Amiri" w:hAnsi="Amiri"/>
          <w:color w:val="111111"/>
          <w:sz w:val="28"/>
          <w:szCs w:val="28"/>
          <w:rtl w:val="true"/>
          <w:lang w:bidi="ar-SA"/>
        </w:rPr>
        <w:t>.</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المسألة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الخامسة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للزوج والزوجة مع الأعمام والأخوال نصيبه الأعلى</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النصفُ أو الربع،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وللأخوال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اتحدوا أو كانوا لأُمّ كما مر</w:t>
      </w:r>
      <w:r>
        <w:rPr>
          <w:rStyle w:val="FootnoteAnchor"/>
          <w:rtl w:val="true"/>
        </w:rPr>
        <w:footnoteReference w:id="818"/>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الثلث من الأصل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من الباقي،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وللأعمام الباقي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السدس على تقدير الزوج، وهو مع الربع على تقدير الزوجة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تفرَّقَ الأعمامُ والأخوال مع أحد الزوجين أخَذَ نصيبه الأعلى، وللأخوال الثلث، سدسه لمن تقرب بالأم منهم إن كان واحداً، وثلثه إن كان أكثر، والباقي من الثلث للأخوال من قبل الأبوين أو الأب، والباقي بعد نصيب أحد الزوجين والأخوال للأعمام ؛ سدسه للمتقرب منهم بالأُم إن كان واحداً، وثلثه إن كان أكثر بالسويّة، والباقي للمتقرّب منهم بالأبوين أو بالأب بالتفاوت</w:t>
      </w:r>
      <w:r>
        <w:rPr>
          <w:rFonts w:eastAsia="Amiri" w:cs="Amiri" w:ascii="Amiri" w:hAnsi="Amiri"/>
          <w:color w:val="111111"/>
          <w:sz w:val="28"/>
          <w:szCs w:val="28"/>
          <w:rtl w:val="true"/>
          <w:lang w:bidi="ar-SA"/>
        </w:rPr>
        <w:t>.</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ولو اجتمع الزوجان مع الأعمام خاصةً أو الأخوال فلكل منهما نصيبه الأعلى كذلك، والباقي للأعمام أو للأخوال وإنْ اتَّحدوا، ومع التعدّدِ واتفاق الجهة كالأعمام من الأب خاصةً أو من الأم أو الأخوال كذلك، يقتسمون الباقي كما فُضِّل</w:t>
      </w:r>
      <w:r>
        <w:rPr>
          <w:rStyle w:val="FootnoteAnchor"/>
          <w:rtl w:val="true"/>
        </w:rPr>
        <w:footnoteReference w:id="81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اختلفت كما لو خَلَّفَتْ زوجاً وخالاً من الأم وخالاً من الأبوين أو الأب، فللزوج النصفُ وللخال من الأُمّ سدسُ الأصل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نقله المصنّف في الدروس</w:t>
      </w:r>
      <w:r>
        <w:rPr>
          <w:rStyle w:val="FootnoteAnchor"/>
          <w:rtl w:val="true"/>
        </w:rPr>
        <w:footnoteReference w:id="820"/>
      </w:r>
      <w:r>
        <w:rPr>
          <w:rFonts w:ascii="Amiri" w:hAnsi="Amiri" w:eastAsia="Amiri" w:cs="Amiri"/>
          <w:color w:val="111111"/>
          <w:sz w:val="28"/>
          <w:sz w:val="28"/>
          <w:szCs w:val="28"/>
          <w:rtl w:val="true"/>
          <w:lang w:bidi="ar-SA"/>
        </w:rPr>
        <w:t xml:space="preserve">عن ظاهر كلام الأصحاب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لو لم يكن هناك زوج؛ لأنّ الزوج لا يُزاحم المتقرّبَ بالأُمّ، وأشار إليه هنا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للخال من الأُمّ مع الخال من الأب والزوج ثلث الباقي</w:t>
      </w:r>
      <w:r>
        <w:rPr>
          <w:rStyle w:val="FootnoteAnchor"/>
          <w:rtl w:val="true"/>
        </w:rPr>
        <w:footnoteReference w:id="821"/>
      </w:r>
      <w:r>
        <w:rPr>
          <w:rFonts w:ascii="Amiri" w:hAnsi="Amiri" w:eastAsia="Amiri" w:cs="Amiri"/>
          <w:color w:val="111111"/>
          <w:sz w:val="28"/>
          <w:sz w:val="28"/>
          <w:szCs w:val="28"/>
          <w:rtl w:val="true"/>
          <w:lang w:bidi="ar-SA"/>
        </w:rPr>
        <w:t>،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سدسه</w:t>
      </w:r>
      <w:r>
        <w:rPr>
          <w:rFonts w:eastAsia="Amiri" w:cs="Amiri" w:ascii="Amiri" w:hAnsi="Amiri"/>
          <w:color w:val="111111"/>
          <w:sz w:val="28"/>
          <w:szCs w:val="28"/>
          <w:rtl w:val="true"/>
          <w:lang w:bidi="ar-SA"/>
        </w:rPr>
        <w:t>)</w:t>
      </w:r>
      <w:r>
        <w:rPr>
          <w:rStyle w:val="FootnoteAnchor"/>
          <w:rtl w:val="true"/>
        </w:rPr>
        <w:footnoteReference w:id="822"/>
      </w:r>
      <w:r>
        <w:rPr>
          <w:rFonts w:ascii="Amiri" w:hAnsi="Amiri" w:eastAsia="Amiri" w:cs="Amiri"/>
          <w:color w:val="111111"/>
          <w:sz w:val="28"/>
          <w:sz w:val="28"/>
          <w:szCs w:val="28"/>
          <w:rtl w:val="true"/>
          <w:lang w:bidi="ar-SA"/>
        </w:rPr>
        <w:t xml:space="preserve">أي سدس الباقي، وهذا القول نقله المصنّف في الدروس </w:t>
      </w:r>
      <w:r>
        <w:rPr>
          <w:rStyle w:val="FootnoteAnchor"/>
          <w:rtl w:val="true"/>
        </w:rPr>
        <w:footnoteReference w:id="823"/>
      </w:r>
      <w:r>
        <w:rPr>
          <w:rFonts w:ascii="Amiri" w:hAnsi="Amiri" w:eastAsia="Amiri" w:cs="Amiri"/>
          <w:color w:val="111111"/>
          <w:sz w:val="28"/>
          <w:sz w:val="28"/>
          <w:szCs w:val="28"/>
          <w:rtl w:val="true"/>
          <w:lang w:bidi="ar-SA"/>
        </w:rPr>
        <w:t>والعلّامة في القواعد والتحرير</w:t>
      </w:r>
      <w:r>
        <w:rPr>
          <w:rStyle w:val="FootnoteAnchor"/>
          <w:rtl w:val="true"/>
        </w:rPr>
        <w:footnoteReference w:id="824"/>
      </w:r>
    </w:p>
    <w:p>
      <w:pPr>
        <w:pStyle w:val="BookText"/>
        <w:rPr/>
      </w:pPr>
      <w:r>
        <w:rPr>
          <w:rFonts w:ascii="Amiri" w:hAnsi="Amiri" w:eastAsia="Amiri" w:cs="Amiri"/>
          <w:color w:val="111111"/>
          <w:sz w:val="28"/>
          <w:sz w:val="28"/>
          <w:szCs w:val="28"/>
          <w:rtl w:val="true"/>
          <w:lang w:bidi="ar-SA"/>
        </w:rPr>
        <w:t>عن بعض الأصحاب ولم يُعيّنُوا قائله واختار المصنف في الدروس</w:t>
      </w:r>
      <w:r>
        <w:rPr>
          <w:rStyle w:val="FootnoteAnchor"/>
          <w:rtl w:val="true"/>
        </w:rPr>
        <w:footnoteReference w:id="825"/>
      </w:r>
      <w:r>
        <w:rPr>
          <w:rFonts w:ascii="Amiri" w:hAnsi="Amiri" w:eastAsia="Amiri" w:cs="Amiri"/>
          <w:color w:val="111111"/>
          <w:sz w:val="28"/>
          <w:sz w:val="28"/>
          <w:szCs w:val="28"/>
          <w:rtl w:val="true"/>
          <w:lang w:bidi="ar-SA"/>
        </w:rPr>
        <w:t>والعلّامة</w:t>
      </w:r>
      <w:r>
        <w:rPr>
          <w:rStyle w:val="FootnoteAnchor"/>
          <w:rtl w:val="true"/>
        </w:rPr>
        <w:footnoteReference w:id="826"/>
      </w:r>
      <w:r>
        <w:rPr>
          <w:rFonts w:ascii="Amiri" w:hAnsi="Amiri" w:eastAsia="Amiri" w:cs="Amiri"/>
          <w:color w:val="111111"/>
          <w:sz w:val="28"/>
          <w:sz w:val="28"/>
          <w:szCs w:val="28"/>
          <w:rtl w:val="true"/>
          <w:lang w:bidi="ar-SA"/>
        </w:rPr>
        <w:t>وولده السعيد أنّ له سدسَ الثلث؛ لأنّ الثلث نصيبُ الخُؤولة فللمتقرّب بالأمّ منهم سدسه مع اتحاده وثلثه مع تعدّده</w:t>
      </w:r>
      <w:r>
        <w:rPr>
          <w:rStyle w:val="FootnoteAnchor"/>
          <w:rtl w:val="true"/>
        </w:rPr>
        <w:footnoteReference w:id="82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ويُشكل بأنّ الثلث إنّما يكون نصيبهم مع مجامعة الأعمام، وإلا فجميع المال لهم فإذا زاحَمَهم أحد الزوجين زاحَمَ المتقرب منهم بالأب، وبَقِيَتْ حصّةُ المستقرّب بالأُمّ وهو السدس مع وحدته، والثلث مع تعدّده خالية عن المعارض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كان مع أحد الزوجين أعمام متفرّقون فلِمَن تَقَرَّب منهم بالأُمّ سدسُ الأصل أو ثلثه بلا خلاف على ما يظهر منهم، والباقي للمتقرّب بالأب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ويُحتمل على ما ذكروه في الحؤولة أن يكون للعمّ للأُم سدسُ الباقى خاصةً أو ثلثه، أو سدس الثلثين خاصةً أو ثلثهما بتقريب ما سبق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المسألة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السادسة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عُمومة الميت وعماتُه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لأب وأم أو لأحدهما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وخؤولتُه وخالاته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كذلك، وأولادهم وإن نزلوا عند عدمهم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أولى من عُمومةِ أبيه وعمّاتِه وخؤوليه وخالاته، ومن عمومةِ أُمّه وعمّاتِها وخؤولتِها وخالاتها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لأنهم أقرب منهم بدرجة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ويقومون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عُمومةُ الأب والأمّ وخُؤولتهما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مقامهم عند عدمِهم وعدم أولادهم وإن نزلوا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ويُقدَّم الأقرب منهم إلى الميت وأولاده فالأقربُ ، فابنُ العمّ مطلقاً أولى من عم الأب وابن عمّ الأب أولى من عمّ الجد، وعم الجد أولى من عم أبي الجد، وهكذا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وكذا الخؤولة، وكذلك الخال للأُم أولى من عمّ الأب</w:t>
      </w:r>
      <w:r>
        <w:rPr>
          <w:rFonts w:eastAsia="Amiri" w:cs="Amiri" w:ascii="Amiri" w:hAnsi="Amiri"/>
          <w:color w:val="111111"/>
          <w:sz w:val="28"/>
          <w:szCs w:val="28"/>
          <w:rtl w:val="true"/>
          <w:lang w:bidi="ar-SA"/>
        </w:rPr>
        <w:t>.</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ويُقاسِم كلُّ منهم الآخَرَ مع تساويهم في الدرجة، فلو ترك الميتُ عمَّ أبيه وعمته وخاله وخالته وعمَّ أُمِّه وعمتها وخالها وخالتها وَرِثوا جميعاً لاستواء درجتهم، فالثلث </w:t>
      </w:r>
    </w:p>
    <w:p>
      <w:pPr>
        <w:pStyle w:val="BookText"/>
        <w:rPr/>
      </w:pPr>
      <w:r>
        <w:rPr>
          <w:rFonts w:ascii="Amiri" w:hAnsi="Amiri" w:eastAsia="Amiri" w:cs="Amiri"/>
          <w:color w:val="111111"/>
          <w:sz w:val="28"/>
          <w:sz w:val="28"/>
          <w:szCs w:val="28"/>
          <w:rtl w:val="true"/>
          <w:lang w:bidi="ar-SA"/>
        </w:rPr>
        <w:t>القرابة الأمّ بالسوية على المشهور، والثلثان لقرابة الأب عُمومةً وخؤولة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ثلثهما للخال والخالة بالسوية، وثلثاهما للعم والعمّة أثلاثاً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وصحتها من مائة وثمانية كمسألة الأجدادِ الثمانية، إلّا أنّ الطريق هنا أنّ سهام أقرباء الأب ثمانية عشر توافق سهام أقرباء الأُمّ الأربعة بالنصف، فيُضرب نصفُ أحدهما في الآخر، ثمّ المجتمع في أصل الفريضة وهو ثلاثة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وقيل</w:t>
      </w:r>
      <w:r>
        <w:rPr>
          <w:rStyle w:val="FootnoteAnchor"/>
          <w:rtl w:val="true"/>
        </w:rPr>
        <w:footnoteReference w:id="82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لخالِ الأُمّ وخالتها ثلث الثلث بالسوية، وثلثاه لعتها وعمتها بالسوية، فهي كمسألة الأجداد على مذهب معين الدين المصري</w:t>
      </w:r>
      <w:r>
        <w:rPr>
          <w:rStyle w:val="FootnoteAnchor"/>
          <w:rtl w:val="true"/>
        </w:rPr>
        <w:footnoteReference w:id="82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للأخوال الأربعةِ الثلتُ بالسوية، وللأعمام الثلثان ثلثه لعم الأم وعمتها بالسوية أيضاً، وثلثاه لعم الأب وعمته أثلاثاً، وصحتها من مائة وثمانية كالأوّل</w:t>
      </w:r>
      <w:r>
        <w:rPr>
          <w:rStyle w:val="FootnoteAnchor"/>
          <w:rtl w:val="true"/>
        </w:rPr>
        <w:footnoteReference w:id="83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المسألة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السابعة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أولاد العمومة والخؤولة يقومون مقامَ آبائِهم وأُمّهاتِهم عند عدمهم، ويأخذ كلَّ منهم نصيبَ مَن يتقرب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فيأخذ ولد العمّة وإنْ كان أُنثى الثلثين، وولد الخال وإن كان ذكراً الثلث وابنُ العمّة مع بنت العم الثلث كذلك، ويَتَساوَى ابن الخال وابنُ الخالة، ويأخذ أولاد العم للأُمّ السدس إن كان واحداً والثلث إن كان أكثر، والباقي لأولاد العم للأبوين أو للأب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وكذا القول في أولاد الخؤولة المتفرقين، ولو اجتمعوا جميعاً فلأولاد الخالِ الواحدِ أو الخالة للأُمّ سدس الثلث، ولأولاد الخالين أو الخالتين أو هما ثلث الثلث، وباقيه للمتقرّب منهم بالأب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وكذا القول في أولاد العمومة المتفرقين بالنظر الى الثلثين، وهكذا</w:t>
      </w:r>
      <w:r>
        <w:rPr>
          <w:rFonts w:eastAsia="Amiri" w:cs="Amiri" w:ascii="Amiri" w:hAnsi="Amiri"/>
          <w:color w:val="111111"/>
          <w:sz w:val="28"/>
          <w:szCs w:val="28"/>
          <w:rtl w:val="true"/>
          <w:lang w:bidi="ar-SA"/>
        </w:rPr>
        <w:t>.</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ويقتسم أولادُ العُمومة من الأبوين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كانوا إخوة مختلفين بالذكورية والأنوثية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بالتفاوت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للذكر مثل حظ الأنثيين،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أولاد العمومة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الأب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يرثون مع فقد المتقرب بالأبوين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يقتسم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أولاد العمومة من الأُمّ بالتساوي، وكذا أولاد الخؤولة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مطلقاً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جامَعَهم زوج أو زوجةً فكمجامعته لآبائهم، فيأخذ النصف أو الربع، ومَن تقرَّبَ بالأم نصيبه الأصلي من أصل التركة، والباقي لقرابة الأبوين أو الأب</w:t>
      </w:r>
      <w:r>
        <w:rPr>
          <w:rFonts w:eastAsia="Amiri" w:cs="Amiri" w:ascii="Amiri" w:hAnsi="Amiri"/>
          <w:color w:val="111111"/>
          <w:sz w:val="28"/>
          <w:szCs w:val="28"/>
          <w:rtl w:val="true"/>
          <w:lang w:bidi="ar-SA"/>
        </w:rPr>
        <w:t>.</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المسألة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الثامنة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يَرِث الأبعد مع الأقرب في الأعمام والأخوال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لم يكن من صنفه، فلا يرث ابن الخال ولو للأبوين مع الخال ولو للأُم، ولا مع العمّ مطلقاً، ولا ابن العم مطلقاً مع العمة كذلك، ولا مع الخال مطلقاً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كذا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أولادهم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يرث الأبعد منهم عن الميت مع الأقرب إليه، كابن ابن العم مع ابن العم أو ابنِ الخال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إلّا في مسألة ابن العم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للأبوين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للأب؛ فإنها خارجة من القاعدة بالإجماع، وقد تقدمت</w:t>
      </w:r>
      <w:r>
        <w:rPr>
          <w:rStyle w:val="FootnoteAnchor"/>
          <w:rtl w:val="true"/>
        </w:rPr>
        <w:footnoteReference w:id="831"/>
      </w:r>
      <w:r>
        <w:rPr>
          <w:rFonts w:ascii="Amiri" w:hAnsi="Amiri" w:eastAsia="Amiri" w:cs="Amiri"/>
          <w:color w:val="111111"/>
          <w:sz w:val="28"/>
          <w:sz w:val="28"/>
          <w:szCs w:val="28"/>
          <w:rtl w:val="true"/>
          <w:lang w:bidi="ar-SA"/>
        </w:rPr>
        <w:t>، وهذا بخلاف ما تقدَّم</w:t>
      </w:r>
      <w:r>
        <w:rPr>
          <w:rStyle w:val="FootnoteAnchor"/>
          <w:rtl w:val="true"/>
        </w:rPr>
        <w:footnoteReference w:id="832"/>
      </w:r>
      <w:r>
        <w:rPr>
          <w:rFonts w:ascii="Amiri" w:hAnsi="Amiri" w:eastAsia="Amiri" w:cs="Amiri"/>
          <w:color w:val="111111"/>
          <w:sz w:val="28"/>
          <w:sz w:val="28"/>
          <w:szCs w:val="28"/>
          <w:rtl w:val="true"/>
          <w:lang w:bidi="ar-SA"/>
        </w:rPr>
        <w:t>في الإخوة والأجداد؛ فإن قريب كل من الصنفين لا يمنع بعيد 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والفرقُ أن ميراث الأعمام والأخوال ثبت بعموم آية أُولي الأرحام</w:t>
      </w:r>
      <w:r>
        <w:rPr>
          <w:rStyle w:val="FootnoteAnchor"/>
          <w:rtl w:val="true"/>
        </w:rPr>
        <w:footnoteReference w:id="833"/>
      </w:r>
      <w:r>
        <w:rPr>
          <w:rFonts w:ascii="Amiri" w:hAnsi="Amiri" w:eastAsia="Amiri" w:cs="Amiri"/>
          <w:color w:val="111111"/>
          <w:sz w:val="28"/>
          <w:sz w:val="28"/>
          <w:szCs w:val="28"/>
          <w:rtl w:val="true"/>
          <w:lang w:bidi="ar-SA"/>
        </w:rPr>
        <w:t>، وقاعدتها تقديم الأقرب فالأقرب مطلقاً، بخلاف الإخوة والأجداد فإنّ كلَّ واحد ثبت بخصوصه من غير اعتبار الآخر فيُشارك البعيدُ القريب، مضافاً إلى النصوص الدالّة عليه، فرَوَى سَلمةُ بنُ مُحرز عن أبي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في ابنِ عمّ وخالة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المال للخالة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ابنِ عمّ وخالٍ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المالُ للخال</w:t>
      </w:r>
      <w:r>
        <w:rPr>
          <w:rFonts w:eastAsia="Amiri" w:cs="Amiri" w:ascii="Amiri" w:hAnsi="Amiri"/>
          <w:color w:val="111111"/>
          <w:sz w:val="28"/>
          <w:szCs w:val="28"/>
          <w:rtl w:val="true"/>
          <w:lang w:bidi="ar-SA"/>
        </w:rPr>
        <w:t>»</w:t>
      </w:r>
      <w:r>
        <w:rPr>
          <w:rStyle w:val="FootnoteAnchor"/>
          <w:rtl w:val="true"/>
        </w:rPr>
        <w:footnoteReference w:id="83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النصوص الدالة على مشاركة الأبعد من أولاد الإخوة للأقرب من الأجداد فكثيرة جداً، ففي صحيحة محمّد بن مسلم،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نظرتُ إلى صحيفة ينظر فيها أبو جعفر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وقرأت فيها مكتوباً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ابن أخ وجد المالُ بينهما سواء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 لأبي جعفر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من عندنا لا يقضي بهذا القضاء، لا يجعلون </w:t>
      </w:r>
      <w:bookmarkStart w:id="108" w:name="pg11049_88515"/>
    </w:p>
    <w:p>
      <w:pPr>
        <w:pStyle w:val="BookText"/>
        <w:rPr/>
      </w:pPr>
      <w:bookmarkEnd w:id="108"/>
      <w:r>
        <w:rPr>
          <w:rFonts w:ascii="IRNazanin" w:hAnsi="IRNazanin" w:eastAsia="IRNazanin"/>
          <w:color w:val="111111"/>
          <w:sz w:val="28"/>
          <w:sz w:val="28"/>
          <w:szCs w:val="28"/>
          <w:rtl w:val="true"/>
          <w:lang w:bidi="fa-IR"/>
        </w:rPr>
        <w:t>لابن الأخ مع الجدّ شيئاً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أبو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 xml:space="preserve">إنه إملاء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وخط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Style w:val="FootnoteAnchor"/>
          <w:rtl w:val="true"/>
        </w:rPr>
        <w:footnoteReference w:id="83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وعن محمّد بن مسلم عن أبي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حدثني جابر عن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ولم يكن يَكذِب جابرٌ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ابنَ الأخ يُقاسِم الجدَّ</w:t>
      </w:r>
      <w:r>
        <w:rPr>
          <w:rFonts w:eastAsia="IRNazanin" w:cs="IRNazanin"/>
          <w:color w:val="111111"/>
          <w:sz w:val="28"/>
          <w:szCs w:val="28"/>
          <w:rtl w:val="true"/>
          <w:lang w:bidi="fa-IR"/>
        </w:rPr>
        <w:t>»</w:t>
      </w:r>
      <w:r>
        <w:rPr>
          <w:rStyle w:val="FootnoteAnchor"/>
          <w:rtl w:val="true"/>
        </w:rPr>
        <w:footnoteReference w:id="83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المسألة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التاسعة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له سببان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موجبان للإرث أعم من السبب السابق فإنّ هذا يشمل النسب</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يرث بهما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تَسَاوَيا في المرتبة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كعم هو خالٌ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إذا تزوّج أخوه لأبيه أُختَه لأُمّه، فإنّه يصير عمّاً لولدهما للأب خالاً للأُم، فيرث نصيبهما لو جامعه غيرُه، كعمّ آخَرَ أو خالٍ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مثال للنسبين، أما السببان بالمعنى الأخص فيتفقان كذلك في زوج هو مُعتِق أو ضامن جريرةٍ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ولو كان 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السببان بالمعنى الأعم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يحجب الآخَرَ، وَرِثَ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جَمَعَهما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جهة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السبب</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الحاجب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خاصة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كابن عمّ هو أخٌ لأُمّ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فيرث بالأُخُوَّة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في النسبين وأمّا في السببين اللذَيْنِ يَحجُب أحدهما الآخر، كالإمام إذا مات عتيقه فإنّه يرث بالعتق لا بالإمامة، وكمُعتق هو ضامن جريرة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ويمكن فرضُ أنساب متعدّدةٍ لا يحجب أحدُها الباقي، كابن ابن عمّ لأب هو ابنُ ابنِ خالٍ لأُمّ، هو ابنُ بنتٍ عمة هو ابن بنت خالةٍ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يتعدَّد كذلك مع حَجْبِ بعضها لبعض كأخ لأم هو ابنُ عمّ وابنُ خالٍ</w:t>
      </w:r>
      <w:r>
        <w:rPr>
          <w:rFonts w:eastAsia="Amiri" w:cs="Amiri" w:ascii="Amiri" w:hAnsi="Amiri"/>
          <w:color w:val="111111"/>
          <w:sz w:val="28"/>
          <w:szCs w:val="28"/>
          <w:rtl w:val="true"/>
          <w:lang w:bidi="ar-SA"/>
        </w:rPr>
        <w:t>.</w:t>
      </w:r>
    </w:p>
    <w:p>
      <w:pPr>
        <w:pStyle w:val="Heading4"/>
        <w:numPr>
          <w:ilvl w:val="3"/>
          <w:numId w:val="1"/>
        </w:numPr>
        <w:rPr/>
      </w:pPr>
      <w:bookmarkStart w:id="109" w:name="__RefHeading___Toc1446137_1067777946"/>
      <w:bookmarkStart w:id="110" w:name="_Toc32"/>
      <w:bookmarkEnd w:id="109"/>
      <w:r>
        <w:rPr>
          <w:rtl w:val="true"/>
        </w:rPr>
        <w:t>القول في ميراث الأزواج</w:t>
      </w:r>
      <w:bookmarkEnd w:id="110"/>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والزوجان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يَتَوارَثان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ويُصاحبان جميع الورثة مع خُلُوهما من الموانع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 لم يَدخُل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الزوج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 في المريض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يَتَزَوَّج في مرضه فإنّه لا يَرِتُها ولا ترثه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يَدخُل 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يَبرَأَ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مرضه فيتوارثان بعده وإن مات قبل الدخول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كانت المريضةُ هي الزوجة تَوَارَثا وإنْ لم يَدخُل على الأقرب كالصحيحة؛ عملاً بالأصل، وتخلفه في الزوج لدليل خارج لا يُوجب إلحاقها به لأنه قياس</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والطلاقُ الرَجْعيُّ لا يَمنَع من الإرث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الطرفين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مات أحدهما في العدّة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الرجعية؛ لأنّ المطلقة رجعيّاً بحكم الزوجة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بخلاف البائن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فإنه لا يقع بعده توارث في عدته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 في المريض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فإنّها ترثه إلى سنة، ولا يرثها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ما سلف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كتاب الطلاق</w:t>
      </w:r>
      <w:r>
        <w:rPr>
          <w:rStyle w:val="FootnoteAnchor"/>
          <w:rtl w:val="true"/>
        </w:rPr>
        <w:footnoteReference w:id="83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ئم الزوجة إن كانت ذاتَ وَلَدٍ من الزوج وَرِثَتْ من جميع ما تركه كغيرها من الورثة على المشهور خصوصاً بين المتأخرين</w:t>
      </w:r>
      <w:r>
        <w:rPr>
          <w:rStyle w:val="FootnoteAnchor"/>
          <w:rtl w:val="true"/>
        </w:rPr>
        <w:footnoteReference w:id="838"/>
      </w:r>
      <w:r>
        <w:rPr>
          <w:rFonts w:ascii="Amiri" w:hAnsi="Amiri" w:eastAsia="Amiri" w:cs="Amiri"/>
          <w:color w:val="111111"/>
          <w:sz w:val="28"/>
          <w:sz w:val="28"/>
          <w:szCs w:val="28"/>
          <w:rtl w:val="true"/>
          <w:lang w:bidi="ar-SA"/>
        </w:rPr>
        <w:t>، وكذا يرثها الزوج مطلقاً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وتُمنَع الزوجة غيرُ ذات الولد من 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مطلقاً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عيناً وقيمةً، 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تُمنَع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الآلات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آلاتِ البناء من الأخشاب والأبواب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والأبنية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الأحجار والطُّوبِ وغيرها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عيناً لا قيمةً </w:t>
      </w:r>
      <w:r>
        <w:rPr>
          <w:rStyle w:val="FootnoteAnchor"/>
          <w:rtl w:val="true"/>
        </w:rPr>
        <w:footnoteReference w:id="83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فيُقَوَّم البناء والدورُ في أرض المتوفَّى خاليةً عن الأرض باقيةً فيها إلى أن تفنى بغير عوض، على الأظهر، وتُعطى من القيمة الربعَ أو الثُمنَ</w:t>
      </w:r>
      <w:r>
        <w:rPr>
          <w:rFonts w:eastAsia="Amiri" w:cs="Amiri" w:ascii="Amiri" w:hAnsi="Amiri"/>
          <w:color w:val="111111"/>
          <w:sz w:val="28"/>
          <w:szCs w:val="28"/>
          <w:rtl w:val="true"/>
          <w:lang w:bidi="ar-SA"/>
        </w:rPr>
        <w:t>.</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ويظهر من العبارة أنها ترث من عين الأشجار المثمرة وغيرها؛ لعدم استثنائها فتَدخُل في عموم الإرث؛ لأنّ كلَّ ما خرج عن المستثنى تَرتُ من عينه كغيرها، وهو أحد الأقوال في المسألة</w:t>
      </w:r>
      <w:r>
        <w:rPr>
          <w:rStyle w:val="FootnoteAnchor"/>
          <w:rtl w:val="true"/>
        </w:rPr>
        <w:footnoteReference w:id="840"/>
      </w:r>
      <w:r>
        <w:rPr>
          <w:rFonts w:ascii="Amiri" w:hAnsi="Amiri" w:eastAsia="Amiri" w:cs="Amiri"/>
          <w:color w:val="111111"/>
          <w:sz w:val="28"/>
          <w:sz w:val="28"/>
          <w:szCs w:val="28"/>
          <w:rtl w:val="true"/>
          <w:lang w:bidi="ar-SA"/>
        </w:rPr>
        <w:t xml:space="preserve">، إلا أن المصنّف لا يُعهد ذلك من مذهبه، وإنما المعروف منه ومن المتأخرين حرمانها من عين الأشجار كالأبنية، دون قيمتها </w:t>
      </w:r>
      <w:r>
        <w:rPr>
          <w:rStyle w:val="FootnoteAnchor"/>
          <w:rtl w:val="true"/>
        </w:rPr>
        <w:footnoteReference w:id="841"/>
      </w:r>
      <w:r>
        <w:rPr>
          <w:rFonts w:ascii="Amiri" w:hAnsi="Amiri" w:eastAsia="Amiri" w:cs="Amiri"/>
          <w:color w:val="111111"/>
          <w:sz w:val="28"/>
          <w:sz w:val="28"/>
          <w:szCs w:val="28"/>
          <w:rtl w:val="true"/>
          <w:lang w:bidi="ar-SA"/>
        </w:rPr>
        <w:t xml:space="preserve">ويمكن حمل </w:t>
      </w:r>
    </w:p>
    <w:p>
      <w:pPr>
        <w:pStyle w:val="BookText"/>
        <w:rPr/>
      </w:pPr>
      <w:r>
        <w:rPr>
          <w:rFonts w:ascii="Amiri" w:hAnsi="Amiri" w:eastAsia="Amiri" w:cs="Amiri"/>
          <w:color w:val="111111"/>
          <w:sz w:val="28"/>
          <w:sz w:val="28"/>
          <w:szCs w:val="28"/>
          <w:rtl w:val="true"/>
          <w:lang w:bidi="ar-SA"/>
        </w:rPr>
        <w:t>الآلات على ما يَشمل الأشجار، كما حَمَل هو وغيره</w:t>
      </w:r>
      <w:r>
        <w:rPr>
          <w:rStyle w:val="FootnoteAnchor"/>
          <w:rtl w:val="true"/>
        </w:rPr>
        <w:footnoteReference w:id="842"/>
      </w:r>
      <w:r>
        <w:rPr>
          <w:rFonts w:ascii="Amiri" w:hAnsi="Amiri" w:eastAsia="Amiri" w:cs="Amiri"/>
          <w:color w:val="111111"/>
          <w:sz w:val="28"/>
          <w:sz w:val="28"/>
          <w:szCs w:val="28"/>
          <w:rtl w:val="true"/>
          <w:lang w:bidi="ar-SA"/>
        </w:rPr>
        <w:t>كلام الشيخ في النهاية</w:t>
      </w:r>
      <w:r>
        <w:rPr>
          <w:rStyle w:val="FootnoteAnchor"/>
          <w:rtl w:val="true"/>
        </w:rPr>
        <w:footnoteReference w:id="843"/>
      </w:r>
      <w:r>
        <w:rPr>
          <w:rFonts w:ascii="IRNazanin" w:hAnsi="IRNazanin" w:eastAsia="IRNazanin"/>
          <w:color w:val="111111"/>
          <w:sz w:val="28"/>
          <w:sz w:val="28"/>
          <w:szCs w:val="28"/>
          <w:rtl w:val="true"/>
          <w:lang w:bidi="fa-IR"/>
        </w:rPr>
        <w:t>على ذلك، مع أنّه لم يتعرّض للأشجار، وجعلوا كلامه كقول المتأخرين في حرمانها من عين الأشجار حيث ذكر الآلات وهو حمل بعيد على خلاف الظاهر، ومع ذلك يبقى فرق بینالآلات هنا وبينها في عبارته في الدروس</w:t>
      </w:r>
      <w:r>
        <w:rPr>
          <w:rStyle w:val="FootnoteAnchor"/>
          <w:rtl w:val="true"/>
        </w:rPr>
        <w:footnoteReference w:id="844"/>
      </w:r>
      <w:r>
        <w:rPr>
          <w:rFonts w:ascii="Amiri" w:hAnsi="Amiri" w:eastAsia="Amiri" w:cs="Amiri"/>
          <w:color w:val="111111"/>
          <w:sz w:val="28"/>
          <w:sz w:val="28"/>
          <w:szCs w:val="28"/>
          <w:rtl w:val="true"/>
          <w:lang w:bidi="ar-SA"/>
        </w:rPr>
        <w:t>وعبارة المتأخرين حيث ضَمُّوا إليها ذكر الأشجار</w:t>
      </w:r>
      <w:r>
        <w:rPr>
          <w:rStyle w:val="FootnoteAnchor"/>
          <w:rtl w:val="true"/>
        </w:rPr>
        <w:footnoteReference w:id="845"/>
      </w:r>
      <w:r>
        <w:rPr>
          <w:rFonts w:ascii="Amiri" w:hAnsi="Amiri" w:eastAsia="Amiri" w:cs="Amiri"/>
          <w:color w:val="111111"/>
          <w:sz w:val="28"/>
          <w:sz w:val="28"/>
          <w:szCs w:val="28"/>
          <w:rtl w:val="true"/>
          <w:lang w:bidi="ar-SA"/>
        </w:rPr>
        <w:t>؛ فإنّ المراد بالآلات في كلامهم ما هو الظاهر منها وهي آلات البناء والدور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ولو حُمِل كلام المصنّف هنا وكلامُ الشيخ ومَن تَبِعه على ما يظهر من معنى الآلات، ويُجعل قولاً برأسه في حرمانها من الأرض مطلقاً ومن آلات البناء عيناً لا قيمة وإرثها من الشجر كغيره كان أجود بل النصوص الصحيحة </w:t>
      </w:r>
      <w:r>
        <w:rPr>
          <w:rStyle w:val="FootnoteAnchor"/>
          <w:rtl w:val="true"/>
        </w:rPr>
        <w:footnoteReference w:id="846"/>
      </w:r>
      <w:r>
        <w:rPr>
          <w:rFonts w:ascii="Amiri" w:hAnsi="Amiri" w:eastAsia="Amiri" w:cs="Amiri"/>
          <w:color w:val="111111"/>
          <w:sz w:val="28"/>
          <w:sz w:val="28"/>
          <w:szCs w:val="28"/>
          <w:rtl w:val="true"/>
          <w:lang w:bidi="ar-SA"/>
        </w:rPr>
        <w:t>وغيرُها دالّة عليه أكثر من دلالتها على القول المشهور بين المتأخرين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والظاهر عدم الفرق في الأبنية بين ما اتَّخِذ للسكنى وغيرها من المصالح كالرَّحَى والحمّامِ ومِعْصَرةِ الزيت والسمسم والعنب والاصطبل والمُراحِ وغيرِها؛ لشمول الأبنية لذلك كله وإن لم يدخُل في الرباع المعبر به في كثير من الأخبار</w:t>
      </w:r>
      <w:r>
        <w:rPr>
          <w:rStyle w:val="FootnoteAnchor"/>
          <w:rtl w:val="true"/>
        </w:rPr>
        <w:footnoteReference w:id="847"/>
      </w:r>
      <w:r>
        <w:rPr>
          <w:rFonts w:ascii="Amiri" w:hAnsi="Amiri" w:eastAsia="Amiri" w:cs="Amiri"/>
          <w:color w:val="111111"/>
          <w:sz w:val="28"/>
          <w:sz w:val="28"/>
          <w:szCs w:val="28"/>
          <w:rtl w:val="true"/>
          <w:lang w:bidi="ar-SA"/>
        </w:rPr>
        <w:t>لأنّه جمعُ رَبْعٍ وهو الدار</w:t>
      </w:r>
      <w:r>
        <w:rPr>
          <w:rFonts w:eastAsia="Amiri" w:cs="Amiri" w:ascii="Amiri" w:hAnsi="Amiri"/>
          <w:color w:val="111111"/>
          <w:sz w:val="28"/>
          <w:szCs w:val="28"/>
          <w:rtl w:val="true"/>
          <w:lang w:bidi="ar-SA"/>
        </w:rPr>
        <w:t>.</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ولو اجتمع ذاتُ الولد والخالية عنه فالأقوى اختصاص ذات الولد بتمن الأرض أجمع وتُمْنِ ما حُرِمَتْ الأُخرى من عينه واختصاصها بدفع القيمة دون سائر الورثة؛ لأنّ سهم الزوجية منحصر فيهما، فإذا حُرمت إحداهما من بعضه اختَصَّ بالأُخرى؛ وأن </w:t>
      </w:r>
    </w:p>
    <w:p>
      <w:pPr>
        <w:pStyle w:val="BookText"/>
        <w:rPr/>
      </w:pPr>
      <w:r>
        <w:rPr>
          <w:rFonts w:ascii="Amiri" w:hAnsi="Amiri" w:eastAsia="Amiri" w:cs="Amiri"/>
          <w:color w:val="111111"/>
          <w:sz w:val="28"/>
          <w:sz w:val="28"/>
          <w:szCs w:val="28"/>
          <w:rtl w:val="true"/>
          <w:lang w:bidi="ar-SA"/>
        </w:rPr>
        <w:t>دفع القيمة على وجه القهر لا الاختيار فهو كالدين لا يُفرق فيه بين بذل الوارث العين وعدمه، ولا بين امتناعه من القيمة ،وعدمه، فيبقى في ذمته إلى أن يُمكن الحاكم إجباره على أدائها أو البيع عليه قهراً كغيره من الممتنعين من أداء 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تعذر ذلك كلُّه بَقِي في ذمته إلى أن يمكن الزوجة تخليصه ولوْ مُقاصةً، سواء في ذلك الحصّة وغيرها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واعلم أنّ النصوص </w:t>
      </w:r>
      <w:r>
        <w:rPr>
          <w:rStyle w:val="FootnoteAnchor"/>
          <w:rtl w:val="true"/>
        </w:rPr>
        <w:footnoteReference w:id="848"/>
      </w:r>
      <w:r>
        <w:rPr>
          <w:rFonts w:ascii="Amiri" w:hAnsi="Amiri" w:eastAsia="Amiri" w:cs="Amiri"/>
          <w:color w:val="111111"/>
          <w:sz w:val="28"/>
          <w:sz w:val="28"/>
          <w:szCs w:val="28"/>
          <w:rtl w:val="true"/>
          <w:lang w:bidi="ar-SA"/>
        </w:rPr>
        <w:t>مع كثرتها في هذا الباب خالية عن الفرق بين الزوجتين، بل تدلّ على اشتراكهما في الحِرمان، وعليه جماعة من الأصحاب</w:t>
      </w:r>
      <w:r>
        <w:rPr>
          <w:rStyle w:val="FootnoteAnchor"/>
          <w:rtl w:val="true"/>
        </w:rPr>
        <w:footnoteReference w:id="849"/>
      </w:r>
      <w:r>
        <w:rPr>
          <w:rFonts w:ascii="Amiri" w:hAnsi="Amiri" w:eastAsia="Amiri" w:cs="Amiri"/>
          <w:color w:val="111111"/>
          <w:sz w:val="28"/>
          <w:sz w:val="28"/>
          <w:szCs w:val="28"/>
          <w:rtl w:val="true"/>
          <w:lang w:bidi="ar-SA"/>
        </w:rPr>
        <w:t xml:space="preserve">، والتعليل الوارد فيها له، وهو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الخوف من إدخال المرأة على الورثة من يكرهون</w:t>
      </w:r>
      <w:r>
        <w:rPr>
          <w:rFonts w:eastAsia="Amiri" w:cs="Amiri" w:ascii="Amiri" w:hAnsi="Amiri"/>
          <w:color w:val="111111"/>
          <w:sz w:val="28"/>
          <w:szCs w:val="28"/>
          <w:rtl w:val="true"/>
          <w:lang w:bidi="ar-SA"/>
        </w:rPr>
        <w:t>»</w:t>
      </w:r>
      <w:r>
        <w:rPr>
          <w:rStyle w:val="FootnoteAnchor"/>
          <w:rtl w:val="true"/>
        </w:rPr>
        <w:footnoteReference w:id="850"/>
      </w:r>
      <w:r>
        <w:rPr>
          <w:rFonts w:ascii="Amiri" w:hAnsi="Amiri" w:eastAsia="Amiri" w:cs="Amiri"/>
          <w:color w:val="111111"/>
          <w:sz w:val="28"/>
          <w:sz w:val="28"/>
          <w:szCs w:val="28"/>
          <w:rtl w:val="true"/>
          <w:lang w:bidi="ar-SA"/>
        </w:rPr>
        <w:t>، شامل لهما أيضاً، وإن كان في الخالية من الولد أقوى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ووجه فرقِ المصنّف وغيره بينهما وروده في رواية ابن أُذينة</w:t>
      </w:r>
      <w:r>
        <w:rPr>
          <w:rStyle w:val="FootnoteAnchor"/>
          <w:rtl w:val="true"/>
        </w:rPr>
        <w:footnoteReference w:id="851"/>
      </w:r>
      <w:r>
        <w:rPr>
          <w:rFonts w:ascii="Amiri" w:hAnsi="Amiri" w:eastAsia="Amiri" w:cs="Amiri"/>
          <w:color w:val="111111"/>
          <w:sz w:val="28"/>
          <w:sz w:val="28"/>
          <w:szCs w:val="28"/>
          <w:rtl w:val="true"/>
          <w:lang w:bidi="ar-SA"/>
        </w:rPr>
        <w:t>، وهي مقطوعةٌ تَقصُر عن تخصيص تلك الأخبار الكثيرة وفيها الصحيح</w:t>
      </w:r>
      <w:r>
        <w:rPr>
          <w:rStyle w:val="FootnoteAnchor"/>
          <w:rtl w:val="true"/>
        </w:rPr>
        <w:footnoteReference w:id="852"/>
      </w:r>
      <w:r>
        <w:rPr>
          <w:rFonts w:ascii="IRNazanin" w:hAnsi="IRNazanin" w:eastAsia="IRNazanin"/>
          <w:color w:val="111111"/>
          <w:sz w:val="28"/>
          <w:sz w:val="28"/>
          <w:szCs w:val="28"/>
          <w:rtl w:val="true"/>
          <w:lang w:bidi="fa-IR"/>
        </w:rPr>
        <w:t>والحسن</w:t>
      </w:r>
      <w:r>
        <w:rPr>
          <w:rStyle w:val="FootnoteAnchor"/>
          <w:rtl w:val="true"/>
        </w:rPr>
        <w:footnoteReference w:id="853"/>
      </w:r>
      <w:r>
        <w:rPr>
          <w:rFonts w:ascii="Amiri" w:hAnsi="Amiri" w:eastAsia="Amiri" w:cs="Amiri"/>
          <w:color w:val="111111"/>
          <w:sz w:val="28"/>
          <w:sz w:val="28"/>
          <w:szCs w:val="28"/>
          <w:rtl w:val="true"/>
          <w:lang w:bidi="ar-SA"/>
        </w:rPr>
        <w:t xml:space="preserve">، إلّا أنّ في الفرق تقليلاً لتخصيص آية إرث الزوجة </w:t>
      </w:r>
      <w:r>
        <w:rPr>
          <w:rStyle w:val="FootnoteAnchor"/>
          <w:rtl w:val="true"/>
        </w:rPr>
        <w:footnoteReference w:id="85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وقوع الشبهة بما ذكر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عموم الأخبار، فلعله أولى من تقليل تخصيص الأخبار، مضافاً إلى ذهاب الأكثر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المسألة أقوال أُخَرُ ومباحث طويلةً، حققناها في رسالة مفردة </w:t>
      </w:r>
      <w:r>
        <w:rPr>
          <w:rStyle w:val="FootnoteAnchor"/>
          <w:rtl w:val="true"/>
        </w:rPr>
        <w:footnoteReference w:id="855"/>
      </w:r>
      <w:r>
        <w:rPr>
          <w:rFonts w:ascii="Amiri" w:hAnsi="Amiri" w:eastAsia="Amiri" w:cs="Amiri"/>
          <w:color w:val="111111"/>
          <w:sz w:val="28"/>
          <w:sz w:val="28"/>
          <w:szCs w:val="28"/>
          <w:rtl w:val="true"/>
          <w:lang w:bidi="ar-SA"/>
        </w:rPr>
        <w:t>تشتمل على فوائد مهمةٍ، فمن أراد تحقيق الحال فلْيَقِفٌ عليها</w:t>
      </w:r>
      <w:r>
        <w:rPr>
          <w:rFonts w:eastAsia="Amiri" w:cs="Amiri" w:ascii="Amiri" w:hAnsi="Amiri"/>
          <w:color w:val="111111"/>
          <w:sz w:val="28"/>
          <w:szCs w:val="28"/>
          <w:rtl w:val="true"/>
          <w:lang w:bidi="ar-SA"/>
        </w:rPr>
        <w:t>.</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ولو طلق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ذو الأربع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إحدى الأربع، وتزوج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بخامسة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قبل تعيين </w:t>
      </w:r>
    </w:p>
    <w:p>
      <w:pPr>
        <w:pStyle w:val="BookText"/>
        <w:rPr/>
      </w:pPr>
      <w:r>
        <w:rPr>
          <w:rFonts w:ascii="Amiri" w:hAnsi="Amiri" w:eastAsia="Amiri" w:cs="Amiri"/>
          <w:color w:val="111111"/>
          <w:sz w:val="28"/>
          <w:sz w:val="28"/>
          <w:szCs w:val="28"/>
          <w:rtl w:val="true"/>
          <w:lang w:bidi="ar-SA"/>
        </w:rPr>
        <w:t xml:space="preserve">المطلقة أو بعده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اشتبهت المطلَّقةُ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الأربع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فللمعلومة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بالزوجية وهي التي تزوج بها أخيراً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ربعُ النصيب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الثابتِ للزوجات وهو الربع أو الثمن،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وثلاثة أرباعه 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الأربع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الباقيات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 اشتبهت المطلقة فيهنَّ بحيث احتمل أن يكون كلُّ واحدة هي المطلقة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بالسويّة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هو المشهور بين الأصحاب لا نعلم فيه مخالفاً غير ابن إدريس</w:t>
      </w:r>
      <w:r>
        <w:rPr>
          <w:rStyle w:val="FootnoteAnchor"/>
          <w:rtl w:val="true"/>
        </w:rPr>
        <w:footnoteReference w:id="856"/>
      </w:r>
      <w:r>
        <w:rPr>
          <w:rFonts w:ascii="Amiri" w:hAnsi="Amiri" w:eastAsia="Amiri" w:cs="Amiri"/>
          <w:color w:val="111111"/>
          <w:sz w:val="28"/>
          <w:sz w:val="28"/>
          <w:szCs w:val="28"/>
          <w:rtl w:val="true"/>
          <w:lang w:bidi="ar-SA"/>
        </w:rPr>
        <w:t>، ومستنده رواية أبي بصير عن الباقر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Style w:val="FootnoteAnchor"/>
          <w:rtl w:val="true"/>
        </w:rPr>
        <w:footnoteReference w:id="857"/>
      </w:r>
      <w:r>
        <w:rPr>
          <w:rFonts w:ascii="Amiri" w:hAnsi="Amiri" w:eastAsia="Amiri" w:cs="Amiri"/>
          <w:color w:val="111111"/>
          <w:sz w:val="28"/>
          <w:sz w:val="28"/>
          <w:szCs w:val="28"/>
          <w:rtl w:val="true"/>
          <w:lang w:bidi="ar-SA"/>
        </w:rPr>
        <w:t>، ومحصولها ما ذكرناه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طريق الرواية علي بن فَضّال وحاله مشهور، ومع ذلك في الحكم مخالفة للأصل من توريث مَن يُعلَم عدمُ إرثه؛ للقطع بأنّ إحدى الأربع غيرُ وارثةٍ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ثُمَّ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والقائل ابن إدريس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بالقرعة </w:t>
      </w:r>
      <w:r>
        <w:rPr>
          <w:rFonts w:eastAsia="Amiri" w:cs="Amiri" w:ascii="Amiri" w:hAnsi="Amiri"/>
          <w:color w:val="111111"/>
          <w:sz w:val="28"/>
          <w:szCs w:val="28"/>
          <w:rtl w:val="true"/>
          <w:lang w:bidi="ar-SA"/>
        </w:rPr>
        <w:t>)</w:t>
      </w:r>
      <w:r>
        <w:rPr>
          <w:rStyle w:val="FootnoteAnchor"/>
          <w:rtl w:val="true"/>
        </w:rPr>
        <w:footnoteReference w:id="85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لأنها لكلّ أمرٍ مشتَبِه أو مشتبه في الظاهر مع تعينه في نفس الأمر، وهو هنا كذلك ؛ لأنّ إحدى الأربع في نفس الأمر ليست وارثةً فمَن أَخرَجَتْها القرعةُ بالطلاق مُنِعَت من الإرث وحُكم بالنصيب للباقيات بالسويّة، وسَقَط عنها الاعتداد أيضاً ؛ لأنّ المفروض انقضاء عدتها قبل الموت من حيث إنه قد تزوج بالخامسة</w:t>
      </w:r>
      <w:r>
        <w:rPr>
          <w:rFonts w:eastAsia="Amiri" w:cs="Amiri" w:ascii="Amiri" w:hAnsi="Amiri"/>
          <w:color w:val="111111"/>
          <w:sz w:val="28"/>
          <w:szCs w:val="28"/>
          <w:rtl w:val="true"/>
          <w:lang w:bidi="ar-SA"/>
        </w:rPr>
        <w:t>.</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وعلى المشهور هل يَتَعَدَّى الحكم إلى غير المنصوص، كما لو اشتبهت المطلقة اثنتين أو ثلاث خاصةً أو في جملة الخمس أو كان للمطلق دون أربع زوجات فطلق واحدةً وتزوج بأخرى وحصل الاشتباه بواحدة أو بأكثر، أو لم يتزوج واشتبهت المطلقه بالباقيات أو ببعضهن، أو طلق أزيد من واحدة وتزوج كذلك حتى لو طلق الأربع وتزوج بأربع واسْتَبَهنَ، أو فَسَخ نكاح واحدة لعيب وغيره أو أزيد وتزوج غيرَها أو لم يتزوج؟ وجهان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القرعة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ذهب إليه ابن إدريس في المنصوص</w:t>
      </w:r>
      <w:r>
        <w:rPr>
          <w:rStyle w:val="FootnoteAnchor"/>
          <w:rtl w:val="true"/>
        </w:rPr>
        <w:footnoteReference w:id="85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لأنّه غيرُ </w:t>
      </w:r>
    </w:p>
    <w:p>
      <w:pPr>
        <w:pStyle w:val="BookText"/>
        <w:rPr/>
      </w:pPr>
      <w:r>
        <w:rPr>
          <w:rFonts w:ascii="Amiri" w:hAnsi="Amiri" w:eastAsia="Amiri" w:cs="Amiri"/>
          <w:color w:val="111111"/>
          <w:sz w:val="28"/>
          <w:sz w:val="28"/>
          <w:szCs w:val="28"/>
          <w:rtl w:val="true"/>
          <w:lang w:bidi="ar-SA"/>
        </w:rPr>
        <w:t xml:space="preserve">منصوص مع عموم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أنّها لكلّ أمر مشتبه</w:t>
      </w:r>
      <w:r>
        <w:rPr>
          <w:rFonts w:eastAsia="Amiri" w:cs="Amiri" w:ascii="Amiri" w:hAnsi="Amiri"/>
          <w:color w:val="111111"/>
          <w:sz w:val="28"/>
          <w:szCs w:val="28"/>
          <w:rtl w:val="true"/>
          <w:lang w:bidi="ar-SA"/>
        </w:rPr>
        <w:t>»</w:t>
      </w:r>
      <w:r>
        <w:rPr>
          <w:rStyle w:val="FootnoteAnchor"/>
          <w:rtl w:val="true"/>
        </w:rPr>
        <w:footnoteReference w:id="860"/>
      </w:r>
      <w:r>
        <w:rPr>
          <w:rFonts w:ascii="Amiri" w:hAnsi="Amiri" w:eastAsia="Amiri" w:cs="Amiri"/>
          <w:color w:val="111111"/>
          <w:sz w:val="28"/>
          <w:sz w:val="28"/>
          <w:szCs w:val="28"/>
          <w:rtl w:val="true"/>
          <w:lang w:bidi="ar-SA"/>
        </w:rPr>
        <w:t>، وانسحاب الحكم السابق في جميع هذه الفروع؛ لمشاركتها للمنصوص في المقتضي وهو اشتباه المقتضي وهو اشتباه المطلقة بغيرها من الزوجات، وتَساوِي الكلّ في الاستحقاق فلا ترجيح، ولأنه لا خصوصية ظاهرةً في قلة الاشتباه وكثرته، فالنص على عين لا يفيد التخصيص بالحكم، بل التنبية على مأخذ الحكم، وإلحاقه بكلّ ما حَصَل فيه الاشتباه فعلى الأوّل إذا استخرجت المطلقة قسم النصيبُ بين الأربع أو ما ألحق بها بالسوية، وعلى الثاني يُقسم نصيب المشتبهة، وهو ربعُ النصيب إن اشتبهت بواحدة ونصفه إن اشتبهت باثنتين بين الاثنتين أو الثلاث بالسوية ويكون للمعيَّنتَين نصفُ ،النصيب، وللثلاث ثلاثة أرباعه، وهكذا</w:t>
      </w:r>
      <w:r>
        <w:rPr>
          <w:rFonts w:eastAsia="Amiri" w:cs="Amiri" w:ascii="Amiri" w:hAnsi="Amiri"/>
          <w:color w:val="111111"/>
          <w:sz w:val="28"/>
          <w:szCs w:val="28"/>
          <w:rtl w:val="true"/>
          <w:lang w:bidi="ar-SA"/>
        </w:rPr>
        <w:t>.</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ولا يخفى أنّ القول بالقرعة في غير موضع النص هو الأقوى، بل فيه إن لم يحصل الإجماع، والصلحُ في الكلّ خيرٌ</w:t>
      </w:r>
      <w:r>
        <w:rPr>
          <w:rFonts w:eastAsia="Amiri" w:cs="Amiri" w:ascii="Amiri" w:hAnsi="Amiri"/>
          <w:color w:val="111111"/>
          <w:sz w:val="28"/>
          <w:szCs w:val="28"/>
          <w:rtl w:val="true"/>
          <w:lang w:bidi="ar-SA"/>
        </w:rPr>
        <w:t xml:space="preserve">. </w:t>
      </w:r>
      <w:bookmarkStart w:id="111" w:name="pg11049_88521"/>
    </w:p>
    <w:p>
      <w:pPr>
        <w:pStyle w:val="Heading3"/>
        <w:numPr>
          <w:ilvl w:val="2"/>
          <w:numId w:val="1"/>
        </w:numPr>
        <w:rPr/>
      </w:pPr>
      <w:bookmarkStart w:id="112" w:name="__RefHeading___Toc1446139_1067777946"/>
      <w:bookmarkStart w:id="113" w:name="_Toc33"/>
      <w:bookmarkEnd w:id="111"/>
      <w:bookmarkEnd w:id="112"/>
      <w:r>
        <w:rPr>
          <w:rtl w:val="true"/>
        </w:rPr>
        <w:t>الفصل الثالث في الولاء</w:t>
      </w:r>
      <w:bookmarkEnd w:id="113"/>
    </w:p>
    <w:p>
      <w:pPr>
        <w:pStyle w:val="BookText"/>
        <w:rPr/>
      </w:pPr>
      <w:r>
        <w:rPr>
          <w:rStyle w:val="FootnoteAnchor"/>
          <w:rtl w:val="true"/>
        </w:rPr>
        <w:footnoteReference w:id="86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بفتح الواو، وأصله القُرْبُ والدُنُو، والمراد هنا قُربُ أحدِ شخصين فصاعداً الى آخَرَ على وجه يُوجِب الإرث بغير نسب ولا زوجية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وأقسامه ثلاثة، كما سبق</w:t>
      </w:r>
      <w:r>
        <w:rPr>
          <w:rStyle w:val="FootnoteAnchor"/>
          <w:rtl w:val="true"/>
        </w:rPr>
        <w:footnoteReference w:id="86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ولاء العنق وضمان الجريرة والإمامة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يَرِث المعتِقُ عتيقه إذا تبرع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بعثقِه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ولم يَتَبَرَّأ</w:t>
      </w:r>
      <w:r>
        <w:rPr>
          <w:rStyle w:val="FootnoteAnchor"/>
          <w:rtl w:val="true"/>
        </w:rPr>
        <w:footnoteReference w:id="86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المعتق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ضمان جريرته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 العتق مقارناً له لا بعده على الأقوى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ولم يُخَلّف العتيق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وارثاً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مناسباً، فالمعتَقُ في واجب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كالكفّارةِ والنذرِ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سائبةٌ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لا عَقْلَ بينه وبين معتقه ولا ميراث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ابن الأثير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قد تَكَبَّرَ في الحديث ذكر السائبة والسوائب، كان الرجلُ إذا أعتق عبداً،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سائبة فلا عقل بينهما ولا ميراث</w:t>
      </w:r>
      <w:r>
        <w:rPr>
          <w:rStyle w:val="FootnoteAnchor"/>
          <w:rtl w:val="true"/>
        </w:rPr>
        <w:footnoteReference w:id="86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إلحاق انعتاق أُمّ الولد بالاستيلاد وانعتاق القرابة وشراء العبد نفسَه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أَجَزْناه بالعتق الواجب أو التبرع قولان</w:t>
      </w:r>
      <w:r>
        <w:rPr>
          <w:rStyle w:val="FootnoteAnchor"/>
          <w:rtl w:val="true"/>
        </w:rPr>
        <w:footnoteReference w:id="865"/>
      </w:r>
      <w:r>
        <w:rPr>
          <w:rFonts w:ascii="Amiri" w:hAnsi="Amiri" w:eastAsia="Amiri" w:cs="Amiri"/>
          <w:color w:val="111111"/>
          <w:sz w:val="28"/>
          <w:sz w:val="28"/>
          <w:szCs w:val="28"/>
          <w:rtl w:val="true"/>
          <w:lang w:bidi="ar-SA"/>
        </w:rPr>
        <w:t>أجودهما الأول؛ لعدم تحقق الإعتاق الذي هو شرط ثبوتِ الوَلاء</w:t>
      </w:r>
      <w:r>
        <w:rPr>
          <w:rFonts w:eastAsia="Amiri" w:cs="Amiri" w:ascii="Amiri" w:hAnsi="Amiri"/>
          <w:color w:val="111111"/>
          <w:sz w:val="28"/>
          <w:szCs w:val="28"/>
          <w:rtl w:val="true"/>
          <w:lang w:bidi="ar-SA"/>
        </w:rPr>
        <w:t>.</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وكذا لو تبرّأ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المعتق تبرّعاً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ضمان الجريرة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حالة الإعتاق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وإنْ لم يُشهد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على التبري شاهدين، على أصح القولين</w:t>
      </w:r>
      <w:r>
        <w:rPr>
          <w:rStyle w:val="FootnoteAnchor"/>
          <w:rtl w:val="true"/>
        </w:rPr>
        <w:footnoteReference w:id="866"/>
      </w:r>
      <w:r>
        <w:rPr>
          <w:rFonts w:ascii="Amiri" w:hAnsi="Amiri" w:eastAsia="Amiri" w:cs="Amiri"/>
          <w:color w:val="111111"/>
          <w:sz w:val="28"/>
          <w:sz w:val="28"/>
          <w:szCs w:val="28"/>
          <w:rtl w:val="true"/>
          <w:lang w:bidi="ar-SA"/>
        </w:rPr>
        <w:t>للأصل، ولأنّ المراد من الإشهاد الإثبات عند الحاكم لا الثبوتُ في 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وذهب الشيخ</w:t>
      </w:r>
      <w:r>
        <w:rPr>
          <w:rStyle w:val="FootnoteAnchor"/>
          <w:rtl w:val="true"/>
        </w:rPr>
        <w:footnoteReference w:id="867"/>
      </w:r>
      <w:r>
        <w:rPr>
          <w:rFonts w:ascii="Amiri" w:hAnsi="Amiri" w:eastAsia="Amiri" w:cs="Amiri"/>
          <w:color w:val="111111"/>
          <w:sz w:val="28"/>
          <w:sz w:val="28"/>
          <w:szCs w:val="28"/>
          <w:rtl w:val="true"/>
          <w:lang w:bidi="ar-SA"/>
        </w:rPr>
        <w:t>وجماعة</w:t>
      </w:r>
      <w:r>
        <w:rPr>
          <w:rStyle w:val="FootnoteAnchor"/>
          <w:rtl w:val="true"/>
        </w:rPr>
        <w:footnoteReference w:id="868"/>
      </w:r>
      <w:r>
        <w:rPr>
          <w:rFonts w:ascii="Amiri" w:hAnsi="Amiri" w:eastAsia="Amiri" w:cs="Amiri"/>
          <w:color w:val="111111"/>
          <w:sz w:val="28"/>
          <w:sz w:val="28"/>
          <w:szCs w:val="28"/>
          <w:rtl w:val="true"/>
          <w:lang w:bidi="ar-SA"/>
        </w:rPr>
        <w:t>إلى اشتراطه؛ لصحيحة ابن سنان عن الصادق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 أعتق رجلاً سائبةً فليس عليه من جريرته شيء، وليس له من الميراث شيء، وليشهد على ذلك</w:t>
      </w:r>
      <w:r>
        <w:rPr>
          <w:rFonts w:eastAsia="Amiri" w:cs="Amiri" w:ascii="Amiri" w:hAnsi="Amiri"/>
          <w:color w:val="111111"/>
          <w:sz w:val="28"/>
          <w:szCs w:val="28"/>
          <w:rtl w:val="true"/>
          <w:lang w:bidi="ar-SA"/>
        </w:rPr>
        <w:t>»</w:t>
      </w:r>
      <w:r>
        <w:rPr>
          <w:rStyle w:val="FootnoteAnchor"/>
          <w:rtl w:val="true"/>
        </w:rPr>
        <w:footnoteReference w:id="86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دلالة لها على الاشتراط، وفي رواية</w:t>
      </w:r>
      <w:r>
        <w:rPr>
          <w:rStyle w:val="FootnoteAnchor"/>
          <w:rtl w:val="true"/>
        </w:rPr>
        <w:footnoteReference w:id="870"/>
      </w:r>
      <w:r>
        <w:rPr>
          <w:rFonts w:ascii="Amiri" w:hAnsi="Amiri" w:eastAsia="Amiri" w:cs="Amiri"/>
          <w:color w:val="111111"/>
          <w:sz w:val="28"/>
          <w:sz w:val="28"/>
          <w:szCs w:val="28"/>
          <w:rtl w:val="true"/>
          <w:lang w:bidi="ar-SA"/>
        </w:rPr>
        <w:t>أبي الربيع عنه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يُؤذن بالاشتراط، وهو قاصر من حيثُ السند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والمُنَكَّلُ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مِن مولاه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أيضاً سائبةٌ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ولاء له عليه؛ لأنه لم يُعتقه وإنّما أعتقه الله تعالى قهراً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ومثله من انعتق بإقعادٍ أو عَمى أو جُذام أو بَرَصٍ عند القائل به</w:t>
      </w:r>
      <w:r>
        <w:rPr>
          <w:rStyle w:val="FootnoteAnchor"/>
          <w:rtl w:val="true"/>
        </w:rPr>
        <w:footnoteReference w:id="871"/>
      </w:r>
      <w:r>
        <w:rPr>
          <w:rFonts w:ascii="IRNazanin" w:hAnsi="IRNazanin" w:eastAsia="IRNazanin"/>
          <w:color w:val="111111"/>
          <w:sz w:val="28"/>
          <w:sz w:val="28"/>
          <w:szCs w:val="28"/>
          <w:rtl w:val="true"/>
          <w:lang w:bidi="fa-IR"/>
        </w:rPr>
        <w:t>لاشتراك الجميع في العلة وهي عدم إعتاق المولى، وقد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الولاء لمن أعتق</w:t>
      </w:r>
      <w:r>
        <w:rPr>
          <w:rFonts w:eastAsia="IRNazanin" w:cs="IRNazanin"/>
          <w:color w:val="111111"/>
          <w:sz w:val="28"/>
          <w:szCs w:val="28"/>
          <w:rtl w:val="true"/>
          <w:lang w:bidi="fa-IR"/>
        </w:rPr>
        <w:t>»</w:t>
      </w:r>
      <w:r>
        <w:rPr>
          <w:rStyle w:val="FootnoteAnchor"/>
          <w:rtl w:val="true"/>
        </w:rPr>
        <w:footnoteReference w:id="872"/>
      </w:r>
      <w:r>
        <w:rPr>
          <w:rFonts w:eastAsia="Times New Roman" w:cs="Times New Roman" w:ascii="Times New Roman" w:hAnsi="Times New Roman"/>
          <w:color w:val="111111"/>
          <w:sz w:val="28"/>
          <w:szCs w:val="28"/>
          <w:rtl w:val="true"/>
          <w:lang w:val="en-US" w:bidi="en-US"/>
        </w:rPr>
        <w:t>.</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وللزوج والزوجة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 المعتق ومن بحكمه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نصيبهما الأعلى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النصفُ أو الربع، والباقي للمُنعِم أو مَن في حكمه،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ومع عدم المُنعِم فالولاء للأولاد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أولادِ المُنعِم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الذكور والإناث على المشهور بين الأصحاب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الولاء لُحْمَةٌ كلحمة النسب</w:t>
      </w:r>
      <w:r>
        <w:rPr>
          <w:rFonts w:eastAsia="IRNazanin" w:cs="IRNazanin"/>
          <w:color w:val="111111"/>
          <w:sz w:val="28"/>
          <w:szCs w:val="28"/>
          <w:rtl w:val="true"/>
          <w:lang w:bidi="fa-IR"/>
        </w:rPr>
        <w:t>»</w:t>
      </w:r>
      <w:r>
        <w:rPr>
          <w:rStyle w:val="FootnoteAnchor"/>
          <w:rtl w:val="true"/>
        </w:rPr>
        <w:footnoteReference w:id="873"/>
      </w:r>
      <w:r>
        <w:rPr>
          <w:rFonts w:ascii="Amiri" w:hAnsi="Amiri" w:eastAsia="Amiri" w:cs="Amiri"/>
          <w:color w:val="111111"/>
          <w:sz w:val="28"/>
          <w:sz w:val="28"/>
          <w:szCs w:val="28"/>
          <w:rtl w:val="true"/>
          <w:lang w:bidi="ar-SA"/>
        </w:rPr>
        <w:t>، والذكور والإناتُ يَشتركون في إرث النسب فيكون كذلك في الولاء سواء كان المعتق رجلاً أم امرأةً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جعل المصنّف هذا القول هو المشهور نظر، والذي صرَّح به هو في شرح الإرشاد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هذا قول المفيد واستحسنه المحقق</w:t>
      </w:r>
      <w:r>
        <w:rPr>
          <w:rStyle w:val="FootnoteAnchor"/>
          <w:rtl w:val="true"/>
        </w:rPr>
        <w:footnoteReference w:id="874"/>
      </w:r>
      <w:r>
        <w:rPr>
          <w:rFonts w:ascii="Amiri" w:hAnsi="Amiri" w:eastAsia="Amiri" w:cs="Amiri"/>
          <w:color w:val="111111"/>
          <w:sz w:val="28"/>
          <w:sz w:val="28"/>
          <w:szCs w:val="28"/>
          <w:rtl w:val="true"/>
          <w:lang w:bidi="ar-SA"/>
        </w:rPr>
        <w:t xml:space="preserve">وفيهما معاً نظر، والحق أنه قول الصدوق خاصةً </w:t>
      </w:r>
      <w:r>
        <w:rPr>
          <w:rStyle w:val="FootnoteAnchor"/>
          <w:rtl w:val="true"/>
        </w:rPr>
        <w:footnoteReference w:id="875"/>
      </w:r>
      <w:r>
        <w:rPr>
          <w:rFonts w:ascii="Amiri" w:hAnsi="Amiri" w:eastAsia="Amiri" w:cs="Amiri"/>
          <w:color w:val="111111"/>
          <w:sz w:val="28"/>
          <w:sz w:val="28"/>
          <w:szCs w:val="28"/>
          <w:rtl w:val="true"/>
          <w:lang w:bidi="ar-SA"/>
        </w:rPr>
        <w:t>، وكيف كان فليس بمشهور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المسألة أقوال </w:t>
      </w:r>
    </w:p>
    <w:p>
      <w:pPr>
        <w:pStyle w:val="BookText"/>
        <w:rPr/>
      </w:pPr>
      <w:r>
        <w:rPr>
          <w:rFonts w:ascii="Amiri" w:hAnsi="Amiri" w:eastAsia="Amiri" w:cs="Amiri"/>
          <w:color w:val="111111"/>
          <w:sz w:val="28"/>
          <w:sz w:val="28"/>
          <w:szCs w:val="28"/>
          <w:rtl w:val="true"/>
          <w:lang w:bidi="ar-SA"/>
        </w:rPr>
        <w:t xml:space="preserve">كثيرة، أجودها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الذي دَلَّت عليه الروايات الصحيحة </w:t>
      </w:r>
      <w:r>
        <w:rPr>
          <w:rStyle w:val="FootnoteAnchor"/>
          <w:rtl w:val="true"/>
        </w:rPr>
        <w:footnoteReference w:id="876"/>
      </w:r>
      <w:r>
        <w:rPr>
          <w:rFonts w:ascii="Amiri" w:hAnsi="Amiri" w:eastAsia="Amiri" w:cs="Amiri"/>
          <w:color w:val="111111"/>
          <w:sz w:val="28"/>
          <w:sz w:val="28"/>
          <w:szCs w:val="28"/>
          <w:rtl w:val="true"/>
          <w:lang w:bidi="ar-SA"/>
        </w:rPr>
        <w:t>ما اختاره الشيخ في النهاية</w:t>
      </w:r>
      <w:r>
        <w:rPr>
          <w:rStyle w:val="FootnoteAnchor"/>
          <w:rtl w:val="true"/>
        </w:rPr>
        <w:footnoteReference w:id="877"/>
      </w:r>
      <w:r>
        <w:rPr>
          <w:rFonts w:ascii="Amiri" w:hAnsi="Amiri" w:eastAsia="Amiri" w:cs="Amiri"/>
          <w:color w:val="111111"/>
          <w:sz w:val="28"/>
          <w:sz w:val="28"/>
          <w:szCs w:val="28"/>
          <w:rtl w:val="true"/>
          <w:lang w:bidi="ar-SA"/>
        </w:rPr>
        <w:t xml:space="preserve">وجماعةُ </w:t>
      </w:r>
      <w:r>
        <w:rPr>
          <w:rStyle w:val="FootnoteAnchor"/>
          <w:rtl w:val="true"/>
        </w:rPr>
        <w:footnoteReference w:id="87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المعتق إن كان رجلاً وَرِتَه أولاده الذكور دون الإناث، فإن لم يكن ولدٌ ذُكورٌ وَرِتَه عَصَبَته دون غيرهم، وإن كان امرأةٌ وَرِتَه عَصَبَتُها مطلقاً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والمصنّف في الدروس</w:t>
      </w:r>
      <w:r>
        <w:rPr>
          <w:rStyle w:val="FootnoteAnchor"/>
          <w:rtl w:val="true"/>
        </w:rPr>
        <w:footnoteReference w:id="879"/>
      </w:r>
      <w:r>
        <w:rPr>
          <w:rFonts w:ascii="Amiri" w:hAnsi="Amiri" w:eastAsia="Amiri" w:cs="Amiri"/>
          <w:color w:val="111111"/>
          <w:sz w:val="28"/>
          <w:sz w:val="28"/>
          <w:szCs w:val="28"/>
          <w:rtl w:val="true"/>
          <w:lang w:bidi="ar-SA"/>
        </w:rPr>
        <w:t>اختار مذهب الشيخ في الخلاف</w:t>
      </w:r>
      <w:r>
        <w:rPr>
          <w:rStyle w:val="FootnoteAnchor"/>
          <w:rtl w:val="true"/>
        </w:rPr>
        <w:footnoteReference w:id="880"/>
      </w:r>
      <w:r>
        <w:rPr>
          <w:rFonts w:ascii="Amiri" w:hAnsi="Amiri" w:eastAsia="Amiri" w:cs="Amiri"/>
          <w:color w:val="111111"/>
          <w:sz w:val="28"/>
          <w:sz w:val="28"/>
          <w:szCs w:val="28"/>
          <w:rtl w:val="true"/>
          <w:lang w:bidi="ar-SA"/>
        </w:rPr>
        <w:t>وهو كقول النهاية</w:t>
      </w:r>
      <w:r>
        <w:rPr>
          <w:rStyle w:val="FootnoteAnchor"/>
          <w:rtl w:val="true"/>
        </w:rPr>
        <w:footnoteReference w:id="881"/>
      </w:r>
      <w:r>
        <w:rPr>
          <w:rFonts w:ascii="IRNazanin" w:hAnsi="IRNazanin" w:eastAsia="IRNazanin"/>
          <w:color w:val="111111"/>
          <w:sz w:val="28"/>
          <w:sz w:val="28"/>
          <w:szCs w:val="28"/>
          <w:rtl w:val="true"/>
          <w:lang w:bidi="fa-IR"/>
        </w:rPr>
        <w:t xml:space="preserve">إلا أنه جَعَل الوارث للرجل ذكور أولاده وإنائهم؛ استناداً في إدخال الإناث إلى رواية عبد الرحمن بن الحَجّاج عن الصادق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دَفَع ميراث مولى حمزة إلى ابنته</w:t>
      </w:r>
      <w:r>
        <w:rPr>
          <w:rStyle w:val="FootnoteAnchor"/>
          <w:rtl w:val="true"/>
        </w:rPr>
        <w:footnoteReference w:id="882"/>
      </w:r>
      <w:r>
        <w:rPr>
          <w:rFonts w:ascii="IRNazanin" w:hAnsi="IRNazanin" w:eastAsia="IRNazanin"/>
          <w:color w:val="111111"/>
          <w:sz w:val="28"/>
          <w:sz w:val="28"/>
          <w:szCs w:val="28"/>
          <w:rtl w:val="true"/>
          <w:lang w:bidi="fa-IR"/>
        </w:rPr>
        <w:t>، وإلى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الولاء لحمة كلحمة النسب</w:t>
      </w:r>
      <w:r>
        <w:rPr>
          <w:rFonts w:eastAsia="IRNazanin" w:cs="IRNazanin"/>
          <w:color w:val="111111"/>
          <w:sz w:val="28"/>
          <w:szCs w:val="28"/>
          <w:rtl w:val="true"/>
          <w:lang w:bidi="fa-IR"/>
        </w:rPr>
        <w:t>»</w:t>
      </w:r>
      <w:r>
        <w:rPr>
          <w:rStyle w:val="FootnoteAnchor"/>
          <w:rtl w:val="true"/>
        </w:rPr>
        <w:footnoteReference w:id="88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والروايتان ضعيفتا السند، الأولى بالحسن بن سماعة، والثانية بالسكوني، مع أنها عمدة القول الذي اختاره هنا وجَعَله المشهور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والعجب من المصنّف كيف يجعله هنا مشهوراً وفي الدروس قول الصدوق خاصةً </w:t>
      </w:r>
      <w:r>
        <w:rPr>
          <w:rStyle w:val="FootnoteAnchor"/>
          <w:rtl w:val="true"/>
        </w:rPr>
        <w:footnoteReference w:id="884"/>
      </w:r>
    </w:p>
    <w:p>
      <w:pPr>
        <w:pStyle w:val="BookText"/>
        <w:rPr/>
      </w:pPr>
      <w:r>
        <w:rPr>
          <w:rFonts w:ascii="Amiri" w:hAnsi="Amiri" w:eastAsia="Amiri" w:cs="Amiri"/>
          <w:color w:val="111111"/>
          <w:sz w:val="28"/>
          <w:sz w:val="28"/>
          <w:szCs w:val="28"/>
          <w:rtl w:val="true"/>
          <w:lang w:bidi="ar-SA"/>
        </w:rPr>
        <w:t>ميراث الموالي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الشرح قول المفيد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10</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و</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وأعجب منه أن ابن إدريس مع اطراحه لخبر الواحد الصحيحِ تَمَسَّك هنا بخبر السكوني؛ محتجاً بالإجماع عليه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12</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مع كثرة</w:t>
      </w:r>
    </w:p>
    <w:p>
      <w:pPr>
        <w:pStyle w:val="BookText"/>
        <w:rPr/>
      </w:pPr>
      <w:r>
        <w:rPr>
          <w:rFonts w:ascii="Amiri" w:hAnsi="Amiri" w:eastAsia="Amiri" w:cs="Amiri"/>
          <w:color w:val="111111"/>
          <w:sz w:val="28"/>
          <w:sz w:val="28"/>
          <w:szCs w:val="28"/>
          <w:rtl w:val="true"/>
          <w:lang w:bidi="ar-SA"/>
        </w:rPr>
        <w:t>الخلاف وتباين الأقوال والروايات</w:t>
      </w:r>
      <w:r>
        <w:rPr>
          <w:rStyle w:val="FootnoteAnchor"/>
          <w:rtl w:val="true"/>
        </w:rPr>
        <w:footnoteReference w:id="88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ولو اجتمع مع الأولاد الوارثين أب شارَكَهم على الأقوى،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الابن أولى</w:t>
      </w:r>
      <w:r>
        <w:rPr>
          <w:rStyle w:val="FootnoteAnchor"/>
          <w:rtl w:val="true"/>
        </w:rPr>
        <w:footnoteReference w:id="88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وكذا يشترك الجد للأب والأخُ من قبله، أمّا الأُمّ فيُبنى إرتها على ما سلف، والأقوى أنّها تُشاركهم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عُدِم الأولاد اختَصَّ الإرتُ بالأب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عدمهم أجمع يرثه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الإخوة والأخواتُ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قِبَل الأبِ والأُم أو الأب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يرثه المتقرّب بالأم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الإخوة وغيرهم؛ كالأجداد والجدات والأعمام والعمّاتِ والأخوال والخالات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ومستند ذلك كلّه رواية السكوني</w:t>
      </w:r>
      <w:r>
        <w:rPr>
          <w:rStyle w:val="FootnoteAnchor"/>
          <w:rtl w:val="true"/>
        </w:rPr>
        <w:footnoteReference w:id="887"/>
      </w:r>
      <w:r>
        <w:rPr>
          <w:rFonts w:ascii="Amiri" w:hAnsi="Amiri" w:eastAsia="Amiri" w:cs="Amiri"/>
          <w:color w:val="111111"/>
          <w:sz w:val="28"/>
          <w:sz w:val="28"/>
          <w:szCs w:val="28"/>
          <w:rtl w:val="true"/>
          <w:lang w:bidi="ar-SA"/>
        </w:rPr>
        <w:t>في اللحمة خُصَّ بما ذكرناه؛ للأخبار الصحيحة</w:t>
      </w:r>
      <w:r>
        <w:rPr>
          <w:rStyle w:val="FootnoteAnchor"/>
          <w:rtl w:val="true"/>
        </w:rPr>
        <w:footnoteReference w:id="888"/>
      </w:r>
      <w:r>
        <w:rPr>
          <w:rFonts w:ascii="Amiri" w:hAnsi="Amiri" w:eastAsia="Amiri" w:cs="Amiri"/>
          <w:color w:val="111111"/>
          <w:sz w:val="28"/>
          <w:sz w:val="28"/>
          <w:szCs w:val="28"/>
          <w:rtl w:val="true"/>
          <w:lang w:bidi="ar-SA"/>
        </w:rPr>
        <w:t>فيبقى الباقي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والأقوى أن الإناث منهم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جميع ما ذُكِر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يَرثْنَ لخبر العَصبة</w:t>
      </w:r>
      <w:r>
        <w:rPr>
          <w:rStyle w:val="FootnoteAnchor"/>
          <w:rtl w:val="true"/>
        </w:rPr>
        <w:footnoteReference w:id="889"/>
      </w:r>
      <w:r>
        <w:rPr>
          <w:rFonts w:ascii="Amiri" w:hAnsi="Amiri" w:eastAsia="Amiri" w:cs="Amiri"/>
          <w:color w:val="111111"/>
          <w:sz w:val="28"/>
          <w:sz w:val="28"/>
          <w:szCs w:val="28"/>
          <w:rtl w:val="true"/>
          <w:lang w:bidi="ar-SA"/>
        </w:rPr>
        <w:t>، وعلى هذا فيستوى إخوة الأب وإخوة الأبوين لسقوط نسبة الأم؛ إذ لا يرث من يتقرب بها وإنما المقتضي التقرُّبُ بالأب وهو مشترك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عُدِم قَرابةُ المولى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أجمعُ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فمولى المولى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الوارث إن اتفق،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عدمه فالوارث قرابة مولى المولى على ما فُضِّل، فإن عُدِم فمولى مولى المولى ثمّ قرابته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وعلى هذا فإن عُدِموا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أجمعُ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فضامنُ الجريرة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الجناية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وإنّما يَضمَن سائبةً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كالمعتَقِ في واجب وحُرَّ الأصل حيث لا يُعلَم له قريب، فلو علم له قريب وارتٌ أو كان له معتق أو وارث معتقٍ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يصح ضَمانه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يَرِثُ المضمونُ الضامنَ إلَّا أن يَشترِك الضمان بينهما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يُشترط في الضامن عدم الوارث بل في</w:t>
      </w:r>
    </w:p>
    <w:p>
      <w:pPr>
        <w:pStyle w:val="BookText"/>
        <w:rPr/>
      </w:pPr>
      <w:r>
        <w:rPr>
          <w:rFonts w:ascii="Amiri" w:hAnsi="Amiri" w:eastAsia="Amiri" w:cs="Amiri"/>
          <w:color w:val="111111"/>
          <w:sz w:val="28"/>
          <w:sz w:val="28"/>
          <w:szCs w:val="28"/>
          <w:rtl w:val="true"/>
          <w:lang w:bidi="ar-SA"/>
        </w:rPr>
        <w:t>المضمون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كان للمضمون زوج أو زوجة فله نصيبه الأعلى والباقي للضامن</w:t>
      </w:r>
      <w:r>
        <w:rPr>
          <w:rFonts w:eastAsia="Amiri" w:cs="Amiri" w:ascii="Amiri" w:hAnsi="Amiri"/>
          <w:color w:val="111111"/>
          <w:sz w:val="28"/>
          <w:szCs w:val="28"/>
          <w:rtl w:val="true"/>
          <w:lang w:bidi="ar-SA"/>
        </w:rPr>
        <w:t>.</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وصورة عقد ضمان الجريرة أن يقول المضمون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عاقَدْتُكَ على أَن تَنصُرَني وتَدْفَعَ عنّي وتَعقِلَ عنِّي وتَرِتَني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قبلتُ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اشتَرَك العقد بينهما قال أحدهما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على </w:t>
      </w:r>
    </w:p>
    <w:p>
      <w:pPr>
        <w:pStyle w:val="BookText"/>
        <w:rPr/>
      </w:pPr>
      <w:r>
        <w:rPr>
          <w:rFonts w:ascii="Amiri" w:hAnsi="Amiri" w:eastAsia="Amiri" w:cs="Amiri"/>
          <w:color w:val="111111"/>
          <w:sz w:val="28"/>
          <w:sz w:val="28"/>
          <w:szCs w:val="28"/>
          <w:rtl w:val="true"/>
          <w:lang w:bidi="ar-SA"/>
        </w:rPr>
        <w:t>أن تنصرني وأنصُرَكَ وتَعقِلَ عنّي وأعقِلَ عنك وتَرتَني وأَرتَكَ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ما أدى هذا المعنى فيقبل 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من العقود اللازمة فيُعتبر فيه ما يُعتبر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يتعدى الحكم الضامن وإن كان له وارت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تجدد للمضمون وارث بعد العقد، ففي بطلانه أو مراعاته بموت المضمون كذلك وجهان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أجودُهما الأول؛ لفقد شرط الصحة، فيقدح طارئاً كما يقدح ابتداءً</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فقد الضامن فالوارث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الإمام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حضوره، لا بيت المال على الأصح فيُدفَع إليه يَصنَع به ما شاء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اجتمع معه أحد الزوجين فله نصيبه الأعلى، كما سلف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كان يفعله أمير المؤمنين من قسمته في فقراء بلد الميت وضعفاء جيرانه </w:t>
      </w:r>
      <w:r>
        <w:rPr>
          <w:rStyle w:val="FootnoteAnchor"/>
          <w:rtl w:val="true"/>
        </w:rPr>
        <w:footnoteReference w:id="890"/>
      </w:r>
      <w:r>
        <w:rPr>
          <w:rFonts w:ascii="IRNazanin" w:hAnsi="IRNazanin" w:eastAsia="IRNazanin"/>
          <w:color w:val="111111"/>
          <w:sz w:val="28"/>
          <w:sz w:val="28"/>
          <w:szCs w:val="28"/>
          <w:rtl w:val="true"/>
          <w:lang w:bidi="fa-IR"/>
        </w:rPr>
        <w:t xml:space="preserve">فهو تبرع منه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ومع غيبته يُصرف في الفقراء والمساكين من بلد الميت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شاهد لهذا التخصيص إلا ما رُوِيَ من فعل أمير المؤمنين</w:t>
      </w:r>
      <w:r>
        <w:rPr>
          <w:rStyle w:val="FootnoteAnchor"/>
          <w:rtl w:val="true"/>
        </w:rPr>
        <w:footnoteReference w:id="891"/>
      </w:r>
      <w:r>
        <w:rPr>
          <w:rFonts w:ascii="Amiri" w:hAnsi="Amiri" w:eastAsia="Amiri" w:cs="Amiri"/>
          <w:color w:val="111111"/>
          <w:sz w:val="28"/>
          <w:sz w:val="28"/>
          <w:szCs w:val="28"/>
          <w:rtl w:val="true"/>
          <w:lang w:bidi="ar-SA"/>
        </w:rPr>
        <w:t>، وهو مع ضعف سنده لا يدل على ثبوته في غيبته، والمروي صحيحاً عن الباقر و الصادق أن مالَ مَن لا وارث له من الأنفال</w:t>
      </w:r>
      <w:r>
        <w:rPr>
          <w:rStyle w:val="FootnoteAnchor"/>
          <w:rtl w:val="true"/>
        </w:rPr>
        <w:footnoteReference w:id="89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وهي لا تختص ببلد المال فالقول بجواز صَرْفِها إلى الفقراء والمساكين من المؤمنين مطلقاً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اختاره جماعة</w:t>
      </w:r>
      <w:r>
        <w:rPr>
          <w:rStyle w:val="FootnoteAnchor"/>
          <w:rtl w:val="true"/>
        </w:rPr>
        <w:footnoteReference w:id="893"/>
      </w:r>
      <w:r>
        <w:rPr>
          <w:rFonts w:ascii="Amiri" w:hAnsi="Amiri" w:eastAsia="Amiri" w:cs="Amiri"/>
          <w:color w:val="111111"/>
          <w:sz w:val="28"/>
          <w:sz w:val="28"/>
          <w:szCs w:val="28"/>
          <w:rtl w:val="true"/>
          <w:lang w:bidi="ar-SA"/>
        </w:rPr>
        <w:t>منهم المصنّف في الدروس</w:t>
      </w:r>
      <w:r>
        <w:rPr>
          <w:rStyle w:val="FootnoteAnchor"/>
          <w:rtl w:val="true"/>
        </w:rPr>
        <w:footnoteReference w:id="89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أقوى إن لم نُجِزْ صرفه في غيرهم من مصرف الأنفال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يجب حفظه له كمستحقه في الخمس</w:t>
      </w:r>
      <w:r>
        <w:rPr>
          <w:rStyle w:val="FootnoteAnchor"/>
          <w:rtl w:val="true"/>
        </w:rPr>
        <w:footnoteReference w:id="895"/>
      </w:r>
      <w:r>
        <w:rPr>
          <w:rFonts w:ascii="IRNazanin" w:hAnsi="IRNazanin" w:eastAsia="IRNazanin"/>
          <w:color w:val="111111"/>
          <w:sz w:val="28"/>
          <w:sz w:val="28"/>
          <w:szCs w:val="28"/>
          <w:rtl w:val="true"/>
          <w:lang w:bidi="fa-IR"/>
        </w:rPr>
        <w:t>، وهو أحوط</w:t>
      </w:r>
      <w:r>
        <w:rPr>
          <w:rFonts w:eastAsia="IRNazanin" w:cs="IRNazanin"/>
          <w:color w:val="111111"/>
          <w:sz w:val="28"/>
          <w:szCs w:val="28"/>
          <w:rtl w:val="true"/>
          <w:lang w:bidi="fa-IR"/>
        </w:rPr>
        <w:t>.</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يجوز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يُدفَع إلى سلطان الجور مع القدرة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منعه منه؛ لأنّه غيرُ مستحق له عندنا، فلو دَفَعه إليه دافع اختياراً كان ضامناً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أمكنه دفعه عنه ببعضه وجب، فإن لم يَفعَل ضَمِن ما كان يُمكنه منعه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أخذه الظالم قهراً فلا ضمان على مَن كان بيده </w:t>
      </w:r>
      <w:r>
        <w:rPr>
          <w:rFonts w:eastAsia="Amiri" w:cs="Amiri" w:ascii="Amiri" w:hAnsi="Amiri"/>
          <w:color w:val="111111"/>
          <w:sz w:val="28"/>
          <w:szCs w:val="28"/>
          <w:rtl w:val="true"/>
          <w:lang w:bidi="ar-SA"/>
        </w:rPr>
        <w:t xml:space="preserve">. </w:t>
      </w:r>
      <w:bookmarkStart w:id="114" w:name="pg11049_88526"/>
    </w:p>
    <w:p>
      <w:pPr>
        <w:pStyle w:val="Heading3"/>
        <w:numPr>
          <w:ilvl w:val="2"/>
          <w:numId w:val="1"/>
        </w:numPr>
        <w:rPr/>
      </w:pPr>
      <w:bookmarkStart w:id="115" w:name="__RefHeading___Toc1446141_1067777946"/>
      <w:bookmarkStart w:id="116" w:name="_Toc34"/>
      <w:bookmarkEnd w:id="114"/>
      <w:bookmarkEnd w:id="115"/>
      <w:r>
        <w:rPr>
          <w:rtl w:val="true"/>
        </w:rPr>
        <w:t>الفصل الرابع في التوابع</w:t>
      </w:r>
      <w:bookmarkEnd w:id="116"/>
    </w:p>
    <w:p>
      <w:pPr>
        <w:pStyle w:val="BookText"/>
        <w:rPr/>
      </w:pPr>
      <w:r>
        <w:rPr>
          <w:rStyle w:val="FootnoteAnchor"/>
          <w:rtl w:val="true"/>
        </w:rPr>
        <w:footnoteReference w:id="896"/>
      </w:r>
      <w:r>
        <w:rPr>
          <w:rFonts w:eastAsia="Amiri" w:cs="Amiri" w:ascii="Amiri" w:hAnsi="Amiri"/>
          <w:color w:val="111111"/>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وفيه مسائل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المسألة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فى ميراث الخنثى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له فَرْجُ الرجال والنساء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وحكمه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يُوَرَّث على 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الفرج الذي يبول منه فإن بال منهما فعلى الذي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سبق منه البولُ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بمعنى إلحاقه بلازمه من ذكورية وأنونية، سواءٌ تَقَارَنا في الانقطاع أم اختلفا، وسواء كان الخارج من السابق أكثر من الخارج من المتأخر أم أقل على الأشهر وقيل</w:t>
      </w:r>
      <w:r>
        <w:rPr>
          <w:rStyle w:val="FootnoteAnchor"/>
          <w:rtl w:val="true"/>
        </w:rPr>
        <w:footnoteReference w:id="89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يُحكم للأكثر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الخروج منهما دفعةً يُوَرَّث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على ما ينقطع منه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أخيراً، على الأشهر، وقيل</w:t>
      </w:r>
      <w:r>
        <w:rPr>
          <w:rStyle w:val="FootnoteAnchor"/>
          <w:rtl w:val="true"/>
        </w:rPr>
        <w:footnoteReference w:id="89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ومع وجود أحد هذه الأوصافِ يَلحَقه جميعُ أحكام مَن لُحِق به، ويُسمَّى واضحاً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التساوي في البول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أخذاً وانقطاعاً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يصير مشكلاً، وقد اختلف الأصحاب في حكمه حينئذٍ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تُعدّ أَضلاعُه فإن كانت ثماني عشرة فهو أُنثى، وإن كانت سبع عشرة من الجانب الأيمن تسع ومن الأيسر ثمانٍ فهو ذَكَر، وكذا لو تَسَاوَيا وكان في الأيسر ضلع صغير ناقص</w:t>
      </w:r>
      <w:r>
        <w:rPr>
          <w:rStyle w:val="FootnoteAnchor"/>
          <w:rtl w:val="true"/>
        </w:rPr>
        <w:footnoteReference w:id="899"/>
      </w:r>
      <w:r>
        <w:rPr>
          <w:rFonts w:eastAsia="Times New Roman" w:cs="Times New Roman" w:ascii="Times New Roman" w:hAnsi="Times New Roman"/>
          <w:color w:val="111111"/>
          <w:sz w:val="28"/>
          <w:szCs w:val="28"/>
          <w:rtl w:val="true"/>
          <w:lang w:val="en-US" w:bidi="en-US"/>
        </w:rPr>
        <w:t>.</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مستند هذا القول ما رُوِيَ من قضاء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معللاً بأنّ حوّاءَ خُلِقَت من ضلع آدم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Style w:val="FootnoteAnchor"/>
          <w:rtl w:val="true"/>
        </w:rPr>
        <w:footnoteReference w:id="900"/>
      </w:r>
    </w:p>
    <w:p>
      <w:pPr>
        <w:pStyle w:val="BookText"/>
        <w:rPr/>
      </w:pPr>
      <w:r>
        <w:rPr>
          <w:rFonts w:ascii="Amiri" w:hAnsi="Amiri" w:eastAsia="Amiri" w:cs="Amiri"/>
          <w:color w:val="111111"/>
          <w:sz w:val="28"/>
          <w:sz w:val="28"/>
          <w:szCs w:val="28"/>
          <w:rtl w:val="true"/>
          <w:lang w:bidi="ar-SA"/>
        </w:rPr>
        <w:t>وإن خالَفَتْ في عدد الأضلاع وانحصارُ أمره في الذكورة والأنوثة بمعنى أنه ليس بطبيعة ثالثة؛ لمفهوم الحصر في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يَهَبُ لِمَن يَشَاءُ إِنَنا وَيَهَبُ لِمَن يَشَاءُ الذُّكُورَ</w:t>
      </w:r>
      <w:r>
        <w:rPr>
          <w:rStyle w:val="FootnoteAnchor"/>
          <w:rtl w:val="true"/>
        </w:rPr>
        <w:footnoteReference w:id="90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الرواية ضعف، وفي الحصر منع، وجاز خروجه مخرج الأغلب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يُورث بالقرعة؛ لأنها لكلّ أمر مشتبه</w:t>
      </w:r>
      <w:r>
        <w:rPr>
          <w:rStyle w:val="FootnoteAnchor"/>
          <w:rtl w:val="true"/>
        </w:rPr>
        <w:footnoteReference w:id="90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والمشهور بين الأصحاب أنّه حينئذٍ يُورَّث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نصف النصيبين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نصيب الذكر ونصيب الأنثى؛ لموثقة هشام بن سالم 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قضى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الخنثى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 ما للرجال، وله ما للنساء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يُوَرَّث من حيث يبول فإن خَرَج منهما جميعاً فمن حيث سبق، فإن خرج سواءً فمِن حيث يَنْبَعِث، فإن كانا سواءٌ وُرّثَ ميراث الرجال والنساء</w:t>
      </w:r>
      <w:r>
        <w:rPr>
          <w:rFonts w:eastAsia="Amiri" w:cs="Amiri" w:ascii="Amiri" w:hAnsi="Amiri"/>
          <w:color w:val="111111"/>
          <w:sz w:val="28"/>
          <w:szCs w:val="28"/>
          <w:rtl w:val="true"/>
          <w:lang w:bidi="ar-SA"/>
        </w:rPr>
        <w:t>»</w:t>
      </w:r>
      <w:r>
        <w:rPr>
          <w:rStyle w:val="FootnoteAnchor"/>
          <w:rtl w:val="true"/>
        </w:rPr>
        <w:footnoteReference w:id="90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وليس المراد الجمع بين الفريضتين إجماعاً فهو نصفهما؛ ولأنّ المعهود في الشرع قسمةً ما يقع فيه التنازع بين الخصمين مع تساويهما، وهو هنا كذلك؛ ولاستحالة الترجيح من غير مرجّح</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فله مع الذكر خمسةٌ من اثني عشر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لأنّ الفريضة على تقدير ذكوريته من اثنين، وعلى تقدير الأنونية ثلاثة، وهما متباينان فتضرب إحداهما في الأُخرى ثمّ تَضرب المرتفع في اثنين، وهو قاعدةٌ مُطَّرِدةٌ في مسألة الخُناثى؛ للافتقار إلى تنصيف 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 نصيب، وذلك اثنا عشر له منها على تقدير الذكورية ستة، وعلى تقدير الأنوثية أربعة فله نصفهما خمسة، والباقي للذكر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ومع الأنثى سبعة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بتقريب ما سبق، إلا أن له على تقدير الذكورية ثمانية وعلى تقدير الأنوثية سنّةً، ونصفهما سبعة</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ومعهما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ثلاثةَ عشر من أربعين سهماً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لأنّ الفريضةً على تقدير أنوثيته من أربعة، وعلى تقدير الذكورية من خمسة، ومضروب إحداهما في الأخرى عشرون، ومضروب المرتفع في اثنين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أربعون، فله على تقدير فرضه ذكراً ستة عشر، وعلى تقديره أنثى عشرة </w:t>
      </w:r>
    </w:p>
    <w:p>
      <w:pPr>
        <w:pStyle w:val="BookText"/>
        <w:rPr/>
      </w:pPr>
      <w:r>
        <w:rPr>
          <w:rFonts w:ascii="Amiri" w:hAnsi="Amiri" w:eastAsia="Amiri" w:cs="Amiri"/>
          <w:color w:val="111111"/>
          <w:sz w:val="28"/>
          <w:sz w:val="28"/>
          <w:szCs w:val="28"/>
          <w:rtl w:val="true"/>
          <w:lang w:bidi="ar-SA"/>
        </w:rPr>
        <w:t>ونصفهما ثلاثة عشر، والباقي بين الذكر والأنثى أثلاثاً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والضابط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مسألة الخنثى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أنّك تعمل المسألةَ تارةً أُنوثيَةً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تَفْرِضُه أُنتى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وتارةً ذكوريّةً، وتُعطي كلَّ وارث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منه وممن اجتمع معه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نصف ما اجتمع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المسألتين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مضافاً إلى ضرب المرتفع في اثنين، كما قرَّرناه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فعلى هذا لو كان مع الخنثى أحد الأبوين فالفريضة على تقدير الذكورية سنّة، وعلى تقدير الأنوثية أربعة، وهما متوافقتان بالنصف، فتضرب ثلاثةٌ في أربعة، ثمّ المجتمعَ في اثنين تَبلُغ أربعةً وعشرين، فلأحد الأبوين خمسة، وللخنثى تسعة عشر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اجتمع معه الأبوان ففريضة الذكورية ستة وفريضةُ الأُنوثية خمسة، وهما متباينتان فتضرب إحداهما في الأخرى ثم المرتفع في اثنين تبلغ ستين، فللأبوين اثنان وعشرون وللخنثى ثمانية وثلاثون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ولو اجتمع مع خنثى وأنثى أحد الأبوين ضَرَبْتَ خمسة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الأُنوثة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ثمانية عشر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الذكورة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لتباينهما تَبلُغ تسعين، ثمّ تَضرِبُها في الاثنين تبلغ مائةً وثمانين لأحد الأبوين ثلاثة وثلاثون؛ لأنّ له سنّةً وثلاثين تارةً وثلاثين أخرى فله نصفهما، وللأُنثى أحد وستون وللخنثى ستة وثمانون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سَقَط من سهام أحد الأبوين نصفُ الردّ؛ لأنّ المردود على تقدير أنوثيتها ستة، وهي فاضلة على تقدير الذكورية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اجتمع معه في معه في أحد الفروض أحد الزوجين، ضَرَبتَ مخرج نصيبه في الفريضة، ثم أخذت منها نصيبه وقسمت الباقي، كما سلف، إلّا أنّك هنا تقسمه على ثلاثة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استَحَق بدون أحد الزوجين من الفريضة شيئاً أخذ قدره ثلاث مرّاتٍ إن كان زوجاً، وسبع مرّاتٍ إن كان زوجةً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وعلى هذا قش ما يَرِدُ عليك من الفروض</w:t>
      </w:r>
      <w:r>
        <w:rPr>
          <w:rFonts w:eastAsia="Amiri" w:cs="Amiri" w:ascii="Amiri" w:hAnsi="Amiri"/>
          <w:color w:val="111111"/>
          <w:sz w:val="28"/>
          <w:szCs w:val="28"/>
          <w:rtl w:val="true"/>
          <w:lang w:bidi="ar-SA"/>
        </w:rPr>
        <w:t>.</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المسألة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ليس له فرج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الذكر ولا الأُنثى إما بأن تخرج الفضلة من دُبُره، أو يفقد الدُبُرَ ويكون له تُقْبَةٌ بين المخرجين تخرج منه الفضلتان، أو البول مع وجود الدبر، أو بأن يَتَقَيَّاً ما يأكله، أو بأن يكون له لحمة رابية تخرج منها الفضلتان، </w:t>
      </w:r>
    </w:p>
    <w:p>
      <w:pPr>
        <w:pStyle w:val="BookText"/>
        <w:rPr/>
      </w:pPr>
      <w:r>
        <w:rPr>
          <w:rFonts w:ascii="Amiri" w:hAnsi="Amiri" w:eastAsia="Amiri" w:cs="Amiri"/>
          <w:color w:val="111111"/>
          <w:sz w:val="28"/>
          <w:sz w:val="28"/>
          <w:szCs w:val="28"/>
          <w:rtl w:val="true"/>
          <w:lang w:bidi="ar-SA"/>
        </w:rPr>
        <w:t xml:space="preserve">كما نُقِل ذلك كلَّه </w:t>
      </w:r>
      <w:r>
        <w:rPr>
          <w:rStyle w:val="FootnoteAnchor"/>
          <w:rtl w:val="true"/>
        </w:rPr>
        <w:footnoteReference w:id="904"/>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يُوَرَّث بالقرعة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الأشهر، وعليه شواهد من الأخبار،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صحيحة الفضيل بن يسار عن الصادق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 xml:space="preserve">عبد الله على سهم وأمة الله على سهم ويُجْعَلُ في سهام مُبْهَمةٍ، وتقول ما رواه الفضيل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أنت الله لا إله إلا أنت عالم الغيب والشهادة أنت تحكم بين عبادك فيما كانوا فيه يختلفون، فبيّن لنا أمرَ هذا المولود كيف يُوَرَّث ما فرضت له في كتابك، ثمّ تُجِيل السهام، ويُوَرَّث على ما يخرُج</w:t>
      </w:r>
      <w:r>
        <w:rPr>
          <w:rFonts w:eastAsia="Amiri" w:cs="Amiri" w:ascii="Amiri" w:hAnsi="Amiri"/>
          <w:color w:val="111111"/>
          <w:sz w:val="28"/>
          <w:szCs w:val="28"/>
          <w:rtl w:val="true"/>
          <w:lang w:bidi="ar-SA"/>
        </w:rPr>
        <w:t>»</w:t>
      </w:r>
      <w:r>
        <w:rPr>
          <w:rStyle w:val="FootnoteAnchor"/>
          <w:rtl w:val="true"/>
        </w:rPr>
        <w:footnoteReference w:id="90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والظاهر أنّ الدعاء مستحب؛ لخلق باقي الأخبار منه، وكذا نظائره مما فيه القرعة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مرسلة عبد الله بن بُكَير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لم يكن له إلّا تُقب يخرج منه البولُ، فَنَحَّى بوله عند خروجه عن مباله، فهو ذَكَر، وإن كان لا يُنَحّي بوله بل يبول على مباله فهو أُنثى</w:t>
      </w:r>
      <w:r>
        <w:rPr>
          <w:rStyle w:val="FootnoteAnchor"/>
          <w:rtl w:val="true"/>
        </w:rPr>
        <w:footnoteReference w:id="90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وعَمِل بها ابن الجنيد</w:t>
      </w:r>
      <w:r>
        <w:rPr>
          <w:rStyle w:val="FootnoteAnchor"/>
          <w:rtl w:val="true"/>
        </w:rPr>
        <w:footnoteReference w:id="907"/>
      </w:r>
      <w:r>
        <w:rPr>
          <w:rFonts w:ascii="IRNazanin" w:hAnsi="IRNazanin" w:eastAsia="IRNazanin"/>
          <w:color w:val="111111"/>
          <w:sz w:val="28"/>
          <w:sz w:val="28"/>
          <w:szCs w:val="28"/>
          <w:rtl w:val="true"/>
          <w:lang w:bidi="fa-IR"/>
        </w:rPr>
        <w:t>والأوّل مع شهرته أصح سنداً وأوضحه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 له رأسان وبدنان على حقو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بفتح الحاء فسكون القاف معقد الإزار عند الخضر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سواء كان ما تحت الحَقو ذكراً أم غيره؛ لأنّ الكلام هنا في اتحادِ ما فوق الحقو وتعدّدِه؛ ليترتب عليه الإرث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وحكمه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يُوَرَّث بحسب الانتباه، فإذا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كانا نائمين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نُبِّه أحدهما فانتَبَه الآخَرُ ،فواحدٌ ، وإلّا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يَنتَبِهِ الآخَرُ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فائنان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قَضَى به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Style w:val="FootnoteAnchor"/>
          <w:rtl w:val="true"/>
        </w:rPr>
        <w:footnoteReference w:id="90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وعلى التقديرين يَرِثان إرث ذي الفَرْج الموجود، فيُحكم بكونهما أنثى واحدةً أو أنتيين، أو ذكراً واحداً أو ذكرين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لم يكن له فَرْجٌ أو كانا معاً حُكم لهما</w:t>
      </w:r>
    </w:p>
    <w:p>
      <w:pPr>
        <w:pStyle w:val="BookText"/>
        <w:rPr/>
      </w:pPr>
      <w:r>
        <w:rPr>
          <w:rFonts w:ascii="IRNazanin" w:hAnsi="IRNazanin" w:eastAsia="IRNazanin"/>
          <w:color w:val="111111"/>
          <w:sz w:val="28"/>
          <w:sz w:val="28"/>
          <w:szCs w:val="28"/>
          <w:rtl w:val="true"/>
          <w:lang w:bidi="fa-IR"/>
        </w:rPr>
        <w:t>بما سبق</w:t>
      </w:r>
      <w:r>
        <w:rPr>
          <w:rFonts w:eastAsia="IRNazanin" w:cs="IRNazanin"/>
          <w:color w:val="111111"/>
          <w:sz w:val="28"/>
          <w:szCs w:val="28"/>
          <w:rtl w:val="true"/>
          <w:lang w:bidi="fa-IR"/>
        </w:rPr>
        <w:t>.</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هذا من جهة الإرث، ومثله الشهادة والحَجْبُ لو كان أخاً، أما في جهة العبادة فائنان مطلقاً، فيجب عليه غَسلُ أعضائه كلّها ومسحُها، فيغسل كلُّ منهما وجهه ويديه ويمسح رأسه ويمسحان معاً على الرجلين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ولو لم يتوضأ أحدهما ففي صحة صلاة الآخر نظر، من الشك في ارتفاع حدثه؛ لاحتمال الوحدة فيُستصحب المانعُ إلى أن يَتَطَهَّر 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أمكن الآخَرَ إجبارُ الممتنع أو تَوَلّي طهارته ففي الإجزاء نظر من الشك المذكور المقتضي لعدم الإجزاء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وكذا القول لو امتنع من الصلاة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والأقوى أنّ لكلّ واحدٍ حكمُ نفسه في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وكذا القول في الغُسل والتيتُم والصوم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في النكاح فهما واحد من حيث الذكورة والأنوثة، أما من جهة العقد ففي توقف صحته على رضاهما معاً نظر، ويقوى توقفه، فلو لم يرضيا معاً لم يقع النكاح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اكتفينا برضى الواحد ففي صحة نكاح الآخر لو كان أنثى إشكال، وكذا يقع الإشكال في الطلاق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العقود كالبيع فهما اثنان، مع احتمال الاتحاد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جَنّى أحدُهما لم يقتص منه وإن كان عمداً؛ لما يَتَضَمَّنُ من إيلام الآخر أو إتلافه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لو اشتركا في الجناية اقتصَّ منهما، وهل يُحتسبان بواحد أو باثنين؟ نظر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وتظهر الفائدة في توقف قتلهما على ردّ ما فَضَل عن ديةِ واحدٍ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ارتدّ أحدهما لم يقتل ولم يُحبَس ولم يُضرَب؛ لأدائه إلى ضرر 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يُحكم بنجاسة العضو المختص بالمرتد دون المختص بغيره، وفي المشترك نظر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فتَبِينُ الزوجة بارتداده مطلقاً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ارتدا معاً لَزِمهما حكمه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وهذه الفروض ليس فيها شيء مُحَرَّرٌ ، وللتوقف فيها مجال وإن كان الفرض نادراً</w:t>
      </w:r>
      <w:r>
        <w:rPr>
          <w:rFonts w:eastAsia="Amiri" w:cs="Amiri" w:ascii="Amiri" w:hAnsi="Amiri"/>
          <w:color w:val="111111"/>
          <w:sz w:val="28"/>
          <w:szCs w:val="28"/>
          <w:rtl w:val="true"/>
          <w:lang w:bidi="ar-SA"/>
        </w:rPr>
        <w:t>.</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المسألة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الحملُ يُوَرَّث إذا انفصل حيّاً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مستقر الحياة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تَحَرَّك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خروجه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حركة الأحياء ثم مات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اعتبار بالتقلص الطبيعي، وكذا لو خرج بعضه ميناً، ولا يُشترط الاستهلال لأنه قد يكون أخرس بل تكفي الحركة الدالة على الحياة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رُوي </w:t>
      </w:r>
      <w:r>
        <w:rPr>
          <w:rStyle w:val="FootnoteAnchor"/>
          <w:rtl w:val="true"/>
        </w:rPr>
        <w:footnoteReference w:id="909"/>
      </w:r>
      <w:r>
        <w:rPr>
          <w:rFonts w:ascii="Amiri" w:hAnsi="Amiri" w:eastAsia="Amiri" w:cs="Amiri"/>
          <w:color w:val="111111"/>
          <w:sz w:val="28"/>
          <w:sz w:val="28"/>
          <w:szCs w:val="28"/>
          <w:rtl w:val="true"/>
          <w:lang w:bidi="ar-SA"/>
        </w:rPr>
        <w:t>من اشتراط سَماع صوته حُمِل على التقية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واعلم أنّ الاحتمالات الممكنة عادةً بأن يفرض ما لا يزيد عن اثنين عشرة، أكثرُها نصيباً فرضُه ذَكَرَيْن، فإذا طلب الولد الوارث نصيبه من التركة أُعطي منها على ذلك التقدير، وقد تقدَّم الكلام </w:t>
      </w:r>
      <w:r>
        <w:rPr>
          <w:rStyle w:val="FootnoteAnchor"/>
          <w:rtl w:val="true"/>
        </w:rPr>
        <w:footnoteReference w:id="910"/>
      </w:r>
      <w:r>
        <w:rPr>
          <w:rFonts w:ascii="Amiri" w:hAnsi="Amiri" w:eastAsia="Amiri" w:cs="Amiri"/>
          <w:color w:val="111111"/>
          <w:sz w:val="28"/>
          <w:sz w:val="28"/>
          <w:szCs w:val="28"/>
          <w:rtl w:val="true"/>
          <w:lang w:bidi="ar-SA"/>
        </w:rPr>
        <w:t>في باقي أحكامه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المسألة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الرابعة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دية الجنين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الولد مادام في البطن، فإذا جَنَى عليه جانٍ فأسقطه فديتُه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يَرِثُها أبواه، ومن يتقرب بهما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عديهما؛ كما لو ماتا معه أو مات أبوه قبله وأنه معه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يتقرب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بالأب بالنسب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كالإخوة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والسبب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كمعتق الأب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ويفهم من تخصيص الإرث بالمتقرب بالأب عدم إرث المتقرب بالأُمّ مطلقاً، وقد تقدَّم الخِلافُ فيه، وتَوَقُفُ المصنّف في الحكم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المسألة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الخامسة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ولد الملاعنة تَرِثُه أُمه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دون أبيه؛ لانتفائه عنه باللعان حيث كان اللعان لنفيه،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كذا يرثه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ولده وزوجته على ما سلف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موانع الإرث من أنّ الأبَ لا يرثه أو في باب اللعان من انتفائه عنه باللعان وعدم إرثه الولد وبالعكس إلّا أن يُكَذِّب الأب نفسه، أمّا حكم إرث أُمه وزوجته وولده فلم يتقدَّم التصريح به ويمكن أن يكون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ما سلف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إشارة إلى كيفية إرث المذكورين بمعنى أنّ ميراث أُمِّه وولده وزوجته يكون على حدّ ما فُصِّل في ميراث أمثالهم من الأُمهات والأولاد والزوجات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ومع عدمهم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عدم الأم والولد والزوجة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فلقرابة أُمّه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الذكر والأنثى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بالسوية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في إرث غيرهم من المتقرب بها كالخؤولةِ وأولادهم،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ويَترتَّبون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الإرث على حسب قربهم إلى المورث فيرته</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الأقرب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إليه منهم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فالأقربُ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كغيرهم</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ويرث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أيضاً قرابة أُمّه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كان في مرتبة الوارث، دون قرابة أبيه إلا أن يُكَذِّبوا الأب في لعانه، على قول</w:t>
      </w:r>
      <w:r>
        <w:rPr>
          <w:rStyle w:val="FootnoteAnchor"/>
          <w:rtl w:val="true"/>
        </w:rPr>
        <w:footnoteReference w:id="91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المسألة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السادسة ولد الزنى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الطرفين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يَرِثه ولده وزوجته، لا أبواه ولا مَن يتقرَّب بهما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لانتفائه عنهما شرعاً فلا يَرِثانه ولا يرتُهما، ولو اختص الزنى بأحد الطرفين انتفى عنه خاصةً ووَرِثه الآخَرُ ومَن يتقرب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ومع العدم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عدم الوارث له من الولد والزوجة ومن بحكمهما على ما ذكرناه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فالضامن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لجريرته، ومع عدمه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فالإمام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وما رُوي</w:t>
      </w:r>
      <w:r>
        <w:rPr>
          <w:rStyle w:val="FootnoteAnchor"/>
          <w:rtl w:val="true"/>
        </w:rPr>
        <w:footnoteReference w:id="912"/>
      </w:r>
      <w:r>
        <w:rPr>
          <w:rFonts w:ascii="Amiri" w:hAnsi="Amiri" w:eastAsia="Amiri" w:cs="Amiri"/>
          <w:color w:val="111111"/>
          <w:sz w:val="28"/>
          <w:sz w:val="28"/>
          <w:szCs w:val="28"/>
          <w:rtl w:val="true"/>
          <w:lang w:bidi="ar-SA"/>
        </w:rPr>
        <w:t>خلاف ذلك من أن ولد الزنى ترته أمه وإخوته منها أو عصبتها، وذهب إليه جماعة كالصدوق</w:t>
      </w:r>
      <w:r>
        <w:rPr>
          <w:rStyle w:val="FootnoteAnchor"/>
          <w:rtl w:val="true"/>
        </w:rPr>
        <w:footnoteReference w:id="913"/>
      </w:r>
      <w:r>
        <w:rPr>
          <w:rFonts w:ascii="Amiri" w:hAnsi="Amiri" w:eastAsia="Amiri" w:cs="Amiri"/>
          <w:color w:val="111111"/>
          <w:sz w:val="28"/>
          <w:sz w:val="28"/>
          <w:szCs w:val="28"/>
          <w:rtl w:val="true"/>
          <w:lang w:bidi="ar-SA"/>
        </w:rPr>
        <w:t>والتقي</w:t>
      </w:r>
      <w:r>
        <w:rPr>
          <w:rStyle w:val="FootnoteAnchor"/>
          <w:rtl w:val="true"/>
        </w:rPr>
        <w:footnoteReference w:id="914"/>
      </w:r>
      <w:r>
        <w:rPr>
          <w:rFonts w:ascii="Amiri" w:hAnsi="Amiri" w:eastAsia="Amiri" w:cs="Amiri"/>
          <w:color w:val="111111"/>
          <w:sz w:val="28"/>
          <w:sz w:val="28"/>
          <w:szCs w:val="28"/>
          <w:rtl w:val="true"/>
          <w:lang w:bidi="ar-SA"/>
        </w:rPr>
        <w:t>، وابن الجنيد</w:t>
      </w:r>
      <w:r>
        <w:rPr>
          <w:rStyle w:val="FootnoteAnchor"/>
          <w:rtl w:val="true"/>
        </w:rPr>
        <w:footnoteReference w:id="915"/>
      </w:r>
      <w:r>
        <w:rPr>
          <w:rFonts w:ascii="Amiri" w:hAnsi="Amiri" w:eastAsia="Amiri" w:cs="Amiri"/>
          <w:color w:val="111111"/>
          <w:sz w:val="28"/>
          <w:sz w:val="28"/>
          <w:szCs w:val="28"/>
          <w:rtl w:val="true"/>
          <w:lang w:bidi="ar-SA"/>
        </w:rPr>
        <w:t>فشاةً، ونسب الشيخ الراوي إلى الوهم بأنه كولد الملاعنة</w:t>
      </w:r>
      <w:r>
        <w:rPr>
          <w:rStyle w:val="FootnoteAnchor"/>
          <w:rtl w:val="true"/>
        </w:rPr>
        <w:footnoteReference w:id="91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المسألة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السابعة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عبرة بالتبرّي من النسب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عند السلطان في المنع من إرث المتبري، على الأشهر؛ للأصل، وعموم القرآن</w:t>
      </w:r>
      <w:r>
        <w:rPr>
          <w:rStyle w:val="FootnoteAnchor"/>
          <w:rtl w:val="true"/>
        </w:rPr>
        <w:footnoteReference w:id="917"/>
      </w:r>
      <w:r>
        <w:rPr>
          <w:rFonts w:ascii="IRNazanin" w:hAnsi="IRNazanin" w:eastAsia="IRNazanin"/>
          <w:color w:val="111111"/>
          <w:sz w:val="28"/>
          <w:sz w:val="28"/>
          <w:szCs w:val="28"/>
          <w:rtl w:val="true"/>
          <w:lang w:bidi="fa-IR"/>
        </w:rPr>
        <w:t>الدال على التوارث مطلقاً</w:t>
      </w:r>
      <w:r>
        <w:rPr>
          <w:rFonts w:eastAsia="IRNazanin" w:cs="IRNazanin"/>
          <w:color w:val="111111"/>
          <w:sz w:val="28"/>
          <w:szCs w:val="28"/>
          <w:rtl w:val="true"/>
          <w:lang w:bidi="fa-IR"/>
        </w:rPr>
        <w:t>.</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وفيه قول شاذ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للشيخ في النهاية </w:t>
      </w:r>
      <w:r>
        <w:rPr>
          <w:rStyle w:val="FootnoteAnchor"/>
          <w:rtl w:val="true"/>
        </w:rPr>
        <w:footnoteReference w:id="918"/>
      </w:r>
      <w:r>
        <w:rPr>
          <w:rFonts w:ascii="Amiri" w:hAnsi="Amiri" w:eastAsia="Amiri" w:cs="Amiri"/>
          <w:color w:val="111111"/>
          <w:sz w:val="28"/>
          <w:sz w:val="28"/>
          <w:szCs w:val="28"/>
          <w:rtl w:val="true"/>
          <w:lang w:bidi="ar-SA"/>
        </w:rPr>
        <w:t>وابن البَرَّاج</w:t>
      </w:r>
      <w:r>
        <w:rPr>
          <w:rStyle w:val="FootnoteAnchor"/>
          <w:rtl w:val="true"/>
        </w:rPr>
        <w:footnoteReference w:id="919"/>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المتبرى مِن نَسَبِه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تَرثُه عصبةُ أُمّه، دون أبيه لو تبراً أبوه من نسبه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استناداً الى رواية أبي بصير عن </w:t>
      </w:r>
    </w:p>
    <w:p>
      <w:pPr>
        <w:pStyle w:val="BookText"/>
        <w:rPr/>
      </w:pPr>
      <w:r>
        <w:rPr>
          <w:rFonts w:ascii="IRNazanin" w:hAnsi="IRNazanin" w:eastAsia="IRNazanin"/>
          <w:color w:val="111111"/>
          <w:sz w:val="28"/>
          <w:sz w:val="28"/>
          <w:szCs w:val="28"/>
          <w:rtl w:val="true"/>
          <w:lang w:bidi="fa-IR"/>
        </w:rPr>
        <w:t>أحدهما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سألته عن المخلوع تَبَرَّأ منه أبوه عند السلطان ومن ميراثه وجريرته، لِمَن ميراتُه؟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الأقرب الناس إليه </w:t>
      </w:r>
      <w:r>
        <w:rPr>
          <w:rFonts w:eastAsia="IRNazanin" w:cs="IRNazanin"/>
          <w:color w:val="111111"/>
          <w:sz w:val="28"/>
          <w:szCs w:val="28"/>
          <w:rtl w:val="true"/>
          <w:lang w:bidi="fa-IR"/>
        </w:rPr>
        <w:t>»</w:t>
      </w:r>
      <w:r>
        <w:rPr>
          <w:rStyle w:val="FootnoteAnchor"/>
          <w:rtl w:val="true"/>
        </w:rPr>
        <w:footnoteReference w:id="92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دلالة لهذه الرواية على ما ذكروه؛ لأنّ أباه أقرب الناس إليه من عصبة أُمه، وقد رجع الشيخ عن هذا القول صريحاً في المسائل الحائرية</w:t>
      </w:r>
      <w:r>
        <w:rPr>
          <w:rStyle w:val="FootnoteAnchor"/>
          <w:rtl w:val="true"/>
        </w:rPr>
        <w:footnoteReference w:id="92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المسألة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الثامنة في ميراث الغَرْقَى والمهدوم عليهم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اعلم أنّ من شرط التوارث بين المتوارثين العلمُ بتأخر حياة الوارث عن حياة الموروث وإنْ قَلَّ، فلو ماتا دفعةً أو اشتبه المتقدّمُ منهما بالمتأخر أو اشتبه السبق والاقتران فلا إرث سواء كان الموتُ حَتَّف الأنف أم بسبب، إلا أن يكون السببُ الغَرَقُ أو الهدم على الأشهر، وفيهما يَتَوَارَثُ الغرقى والمهدومُ عليهم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كان بينهم نسب أو سبب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يُوجِبان التوارث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وكان بينهم 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ليتحقق به الإرث ولؤ من أحد الطرفين،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واشتَبَه المتقدّمُ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والمتأخّر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فلو عُلم اقترانُ الموت فلا إرث، أو علم المتقدّمُ من المتأخّر وَرِثَ المتأخّرُ المتقدّم دون العكس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وكان بينهم توارث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بحيث يكون كلُّ واحدٍ منهم يَرِثُ من الآخر ولؤ بمشاركةِ غيره، فلو انتفى كما لو غَرِق أَخَوان ولكلِّ منهما ولد أو لأحدهما فلا توارُتَ بينهما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إن كان لأحدهم مال دون الآخر صار المال لمن لا مال له ومنه إلى وارثه الحي، ولا شيء لورثة ذي المال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يرث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المفروض موتُه ثانياً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ممّا وَرِث منه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للنص</w:t>
      </w:r>
      <w:r>
        <w:rPr>
          <w:rStyle w:val="FootnoteAnchor"/>
          <w:rtl w:val="true"/>
        </w:rPr>
        <w:footnoteReference w:id="922"/>
      </w:r>
      <w:r>
        <w:rPr>
          <w:rFonts w:ascii="Amiri" w:hAnsi="Amiri" w:eastAsia="Amiri" w:cs="Amiri"/>
          <w:color w:val="111111"/>
          <w:sz w:val="28"/>
          <w:sz w:val="28"/>
          <w:szCs w:val="28"/>
          <w:rtl w:val="true"/>
          <w:lang w:bidi="ar-SA"/>
        </w:rPr>
        <w:t>، واستلزامه التسلسل والمُحالَ عادةً، وهو فرض الحياة بعد الموت؛ لأنّ التوريث منه يقتضي فرضَ ،موته، فلو وَرِثَ ما انتقل عنه لكان حيّاً بعد انتقال المال عنه وهو ممتنع عادةً</w:t>
      </w:r>
      <w:r>
        <w:rPr>
          <w:rFonts w:eastAsia="Amiri" w:cs="Amiri" w:ascii="Amiri" w:hAnsi="Amiri"/>
          <w:color w:val="111111"/>
          <w:sz w:val="28"/>
          <w:szCs w:val="28"/>
          <w:rtl w:val="true"/>
          <w:lang w:bidi="ar-SA"/>
        </w:rPr>
        <w:t>.</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وأُورد مثله في إرث الأوّل من الثاني</w:t>
      </w:r>
      <w:r>
        <w:rPr>
          <w:rStyle w:val="FootnoteAnchor"/>
          <w:rtl w:val="true"/>
        </w:rPr>
        <w:footnoteReference w:id="923"/>
      </w:r>
      <w:r>
        <w:rPr>
          <w:rFonts w:ascii="Amiri" w:hAnsi="Amiri" w:eastAsia="Amiri" w:cs="Amiri"/>
          <w:color w:val="111111"/>
          <w:sz w:val="28"/>
          <w:sz w:val="28"/>
          <w:szCs w:val="28"/>
          <w:rtl w:val="true"/>
          <w:lang w:bidi="ar-SA"/>
        </w:rPr>
        <w:t xml:space="preserve">، ورُدَّ بأنا نقطع النظر عمّا فُرِض أوّلاً ونَجعَل </w:t>
      </w:r>
    </w:p>
    <w:p>
      <w:pPr>
        <w:pStyle w:val="BookText"/>
        <w:rPr/>
      </w:pPr>
      <w:r>
        <w:rPr>
          <w:rFonts w:ascii="Amiri" w:hAnsi="Amiri" w:eastAsia="Amiri" w:cs="Amiri"/>
          <w:color w:val="111111"/>
          <w:sz w:val="28"/>
          <w:sz w:val="28"/>
          <w:szCs w:val="28"/>
          <w:rtl w:val="true"/>
          <w:lang w:bidi="ar-SA"/>
        </w:rPr>
        <w:t>الأوّلَ كأنه المتأخّرُ حياةً، بخلاف ما إذا وَرَّثنا الأوّلَ من الثاني ممّا كان قد وَرِثه الثاني منه، فإنّه يَلزَم فرضَ موتِ الأوّل وحياتِه في حالة واحدة</w:t>
      </w:r>
      <w:r>
        <w:rPr>
          <w:rStyle w:val="FootnoteAnchor"/>
          <w:rtl w:val="true"/>
        </w:rPr>
        <w:footnoteReference w:id="92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وفيه تكلُّفٌ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والمعتمد النص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عبد الرحمن بن الحَجّاج في الصحيح عن الصادق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أخوين ماتا لأحدهما مائة ألف درهم والآخرُ ليس له شيء، ركبا في سفينة ففرقا فلم يُدْرَ أيهما مات 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المال لورثة الذي ليس له شيء</w:t>
      </w:r>
      <w:r>
        <w:rPr>
          <w:rFonts w:eastAsia="Amiri" w:cs="Amiri" w:ascii="Amiri" w:hAnsi="Amiri"/>
          <w:color w:val="111111"/>
          <w:sz w:val="28"/>
          <w:szCs w:val="28"/>
          <w:rtl w:val="true"/>
          <w:lang w:bidi="ar-SA"/>
        </w:rPr>
        <w:t>»</w:t>
      </w:r>
      <w:r>
        <w:rPr>
          <w:rStyle w:val="FootnoteAnchor"/>
          <w:rtl w:val="true"/>
        </w:rPr>
        <w:footnoteReference w:id="92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وعن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قوم غَرِقوا جميعاً أهلَ بَيتٍ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يرث هؤلاء من هؤلاء وهؤلاء من هؤلاء، ولا يرث هؤلاء ممّا وَرِثوا من هؤلاء</w:t>
      </w:r>
      <w:r>
        <w:rPr>
          <w:rFonts w:eastAsia="Amiri" w:cs="Amiri" w:ascii="Amiri" w:hAnsi="Amiri"/>
          <w:color w:val="111111"/>
          <w:sz w:val="28"/>
          <w:szCs w:val="28"/>
          <w:rtl w:val="true"/>
          <w:lang w:bidi="ar-SA"/>
        </w:rPr>
        <w:t>»</w:t>
      </w:r>
      <w:r>
        <w:rPr>
          <w:rStyle w:val="FootnoteAnchor"/>
          <w:rtl w:val="true"/>
        </w:rPr>
        <w:footnoteReference w:id="92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حجّة على المفيد وسلار حيث ذهبا إلى توريث كلّ ممّا وُرِث منه أيضاً؛ استناداً إلى وجوب تقديم الأضعف في الإرث، ولا فائدة إلا التوريث ممّا وُرِثَ منه</w:t>
      </w:r>
      <w:r>
        <w:rPr>
          <w:rStyle w:val="FootnoteAnchor"/>
          <w:rtl w:val="true"/>
        </w:rPr>
        <w:footnoteReference w:id="927"/>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699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المراسم، ص </w:t>
      </w:r>
      <w:r>
        <w:rPr>
          <w:rFonts w:eastAsia="IRNazanin" w:cs="IRNazanin"/>
          <w:color w:val="111111"/>
          <w:sz w:val="28"/>
          <w:szCs w:val="28"/>
          <w:lang w:bidi="fa-IR"/>
        </w:rPr>
        <w:t>226</w:t>
      </w:r>
      <w:r>
        <w:rPr>
          <w:rFonts w:eastAsia="IRNazanin" w:cs="IRNazanin"/>
          <w:color w:val="111111"/>
          <w:sz w:val="28"/>
          <w:szCs w:val="28"/>
          <w:rtl w:val="true"/>
          <w:lang w:bidi="fa-IR"/>
        </w:rPr>
        <w:t xml:space="preserve"> - </w:t>
      </w:r>
      <w:r>
        <w:rPr>
          <w:rFonts w:eastAsia="IRNazanin" w:cs="IRNazanin"/>
          <w:color w:val="111111"/>
          <w:sz w:val="28"/>
          <w:szCs w:val="28"/>
          <w:lang w:bidi="fa-IR"/>
        </w:rPr>
        <w:t>227</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وأجيب بمنع وجوب تقديمه، بل هو على الاستحباب</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سُلّم فإنّما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يُقدَّم الأضعفُ تعبداً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لعلّة معقولة، فإن أكثر علل الشرع والمصالح المعتبرة في نظر الشارع خفيّةٌ عنا تعجز عقولنا عن إدراكها، والواجب اتباع النص من غير نظر إلى العلة ولتخلَّفه مع تساويهما في الاستحقاق كأخوين لأب فينتفي اعتبارُ التقديم ويصير مال كلّ منهما لوارثه الآخر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اعتبار تقديم الأضعف وجوباً، كما يظهر من العبارة، وظاهرُ الأخبار يدلّ</w:t>
      </w:r>
      <w:r>
        <w:rPr>
          <w:rStyle w:val="FootnoteAnchor"/>
          <w:rtl w:val="true"/>
        </w:rPr>
        <w:footnoteReference w:id="928"/>
      </w:r>
      <w:r>
        <w:rPr>
          <w:rFonts w:ascii="IRNazanin" w:hAnsi="IRNazanin" w:eastAsia="IRNazanin"/>
          <w:color w:val="111111"/>
          <w:sz w:val="28"/>
          <w:sz w:val="28"/>
          <w:szCs w:val="28"/>
          <w:rtl w:val="true"/>
          <w:lang w:bidi="fa-IR"/>
        </w:rPr>
        <w:t xml:space="preserve">عليه، ومنها صحيحة محمّد بن مسلم عن أحدهما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Style w:val="FootnoteAnchor"/>
          <w:rtl w:val="true"/>
        </w:rPr>
        <w:footnoteReference w:id="929"/>
      </w:r>
      <w:r>
        <w:rPr>
          <w:rFonts w:ascii="Amiri" w:hAnsi="Amiri" w:eastAsia="Amiri" w:cs="Amiri"/>
          <w:color w:val="111111"/>
          <w:sz w:val="28"/>
          <w:sz w:val="28"/>
          <w:szCs w:val="28"/>
          <w:rtl w:val="true"/>
          <w:lang w:bidi="ar-SA"/>
        </w:rPr>
        <w:t>، أو استحباباً على ما اختاره في الدروس</w:t>
      </w:r>
      <w:r>
        <w:rPr>
          <w:rFonts w:eastAsia="Amiri" w:cs="Amiri" w:ascii="Amiri" w:hAnsi="Amiri"/>
          <w:color w:val="111111"/>
          <w:sz w:val="28"/>
          <w:szCs w:val="28"/>
          <w:rtl w:val="true"/>
          <w:lang w:bidi="ar-SA"/>
        </w:rPr>
        <w:t>:</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لو غَرِق الأبُ وولده قدّم موت الابن، فيرث الأب نصيبه منه ثمّ يُفرَض موتُ </w:t>
      </w:r>
    </w:p>
    <w:p>
      <w:pPr>
        <w:pStyle w:val="BookText"/>
        <w:rPr/>
      </w:pPr>
      <w:r>
        <w:rPr>
          <w:rFonts w:ascii="Amiri" w:hAnsi="Amiri" w:eastAsia="Amiri" w:cs="Amiri"/>
          <w:color w:val="111111"/>
          <w:sz w:val="28"/>
          <w:sz w:val="28"/>
          <w:szCs w:val="28"/>
          <w:rtl w:val="true"/>
          <w:lang w:bidi="ar-SA"/>
        </w:rPr>
        <w:t>الأب فيرث الابنُ نصيبه منه، ويصيرُ مالُ كلّ إلى ورثة الآخر الأحياء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شارَكَهما مساء انتقل إلى وارثه الحيِّ ما وَرِثَه، ولو لم يكن لهما وارث صار مالهما للإمام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Style w:val="FootnoteAnchor"/>
          <w:rtl w:val="true"/>
        </w:rPr>
        <w:footnoteReference w:id="93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وذهب بعضُ الأصحاب إلى تعدي هذا الحكم إلى كلّ سبب يقع معه الاشتباه، كالقتل والحريق؛ لوجود العلة</w:t>
      </w:r>
      <w:r>
        <w:rPr>
          <w:rStyle w:val="FootnoteAnchor"/>
          <w:rtl w:val="true"/>
        </w:rPr>
        <w:footnoteReference w:id="931"/>
      </w:r>
      <w:r>
        <w:rPr>
          <w:rFonts w:ascii="Amiri" w:hAnsi="Amiri" w:eastAsia="Amiri" w:cs="Amiri"/>
          <w:color w:val="111111"/>
          <w:sz w:val="28"/>
          <w:sz w:val="28"/>
          <w:szCs w:val="28"/>
          <w:rtl w:val="true"/>
          <w:lang w:bidi="ar-SA"/>
        </w:rPr>
        <w:t>، وهو ضعيف؛ لمنع التعليل الموجب للتعدي، مع كونه على خلاف الأصل فيُقتصر فيه على موضع النص والوفاق</w:t>
      </w:r>
      <w:r>
        <w:rPr>
          <w:rStyle w:val="FootnoteAnchor"/>
          <w:rtl w:val="true"/>
        </w:rPr>
        <w:footnoteReference w:id="93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ولو كان الموتُ حتف الأنف فلا تَوَارُث مع الاشتباه إجماعاً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المسألة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التاسعة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ميراث المجوس إذا تَرَافَعوا إلى حُكّام الإسلام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وقد اختلف الأصحاب فيه، فقال يونس بن عبد الرحمن إنّهم يَتَوَارَثون بالنسب والسبب الصحيحين، دون الفاسدين</w:t>
      </w:r>
      <w:r>
        <w:rPr>
          <w:rStyle w:val="FootnoteAnchor"/>
          <w:rtl w:val="true"/>
        </w:rPr>
        <w:footnoteReference w:id="933"/>
      </w:r>
      <w:r>
        <w:rPr>
          <w:rFonts w:ascii="Amiri" w:hAnsi="Amiri" w:eastAsia="Amiri" w:cs="Amiri"/>
          <w:color w:val="111111"/>
          <w:sz w:val="28"/>
          <w:sz w:val="28"/>
          <w:szCs w:val="28"/>
          <w:rtl w:val="true"/>
          <w:lang w:bidi="ar-SA"/>
        </w:rPr>
        <w:t xml:space="preserve">، وتبعه التقيُّ </w:t>
      </w:r>
      <w:r>
        <w:rPr>
          <w:rStyle w:val="FootnoteAnchor"/>
          <w:rtl w:val="true"/>
        </w:rPr>
        <w:footnoteReference w:id="934"/>
      </w:r>
      <w:r>
        <w:rPr>
          <w:rFonts w:ascii="Amiri" w:hAnsi="Amiri" w:eastAsia="Amiri" w:cs="Amiri"/>
          <w:color w:val="111111"/>
          <w:sz w:val="28"/>
          <w:sz w:val="28"/>
          <w:szCs w:val="28"/>
          <w:rtl w:val="true"/>
          <w:lang w:bidi="ar-SA"/>
        </w:rPr>
        <w:t xml:space="preserve">وابن إدريس محتجاً ببطلان ما سواه في شرع الإسلام، فلا يجوز لحاكمهم أن يُرَتِّب عليه أثراً </w:t>
      </w:r>
      <w:r>
        <w:rPr>
          <w:rStyle w:val="FootnoteAnchor"/>
          <w:rtl w:val="true"/>
        </w:rPr>
        <w:footnoteReference w:id="935"/>
      </w:r>
      <w:r>
        <w:rPr>
          <w:rFonts w:eastAsia="Times New Roman" w:cs="Times New Roman" w:ascii="Times New Roman" w:hAnsi="Times New Roman"/>
          <w:color w:val="111111"/>
          <w:sz w:val="28"/>
          <w:szCs w:val="28"/>
          <w:rtl w:val="true"/>
          <w:lang w:val="en-US" w:bidi="en-US"/>
        </w:rPr>
        <w:t>.</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الشيخ </w:t>
      </w:r>
      <w:r>
        <w:rPr>
          <w:rStyle w:val="FootnoteAnchor"/>
          <w:rtl w:val="true"/>
        </w:rPr>
        <w:footnoteReference w:id="936"/>
      </w:r>
      <w:r>
        <w:rPr>
          <w:rFonts w:ascii="Amiri" w:hAnsi="Amiri" w:eastAsia="Amiri" w:cs="Amiri"/>
          <w:color w:val="111111"/>
          <w:sz w:val="28"/>
          <w:sz w:val="28"/>
          <w:szCs w:val="28"/>
          <w:rtl w:val="true"/>
          <w:lang w:bidi="ar-SA"/>
        </w:rPr>
        <w:t>وجماعة</w:t>
      </w:r>
      <w:r>
        <w:rPr>
          <w:rStyle w:val="FootnoteAnchor"/>
          <w:rtl w:val="true"/>
        </w:rPr>
        <w:footnoteReference w:id="93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يتوارثون بالصحيحين والفاسدين؛ لما رواه السكوني عن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أنه كان يُوَرّث المجوسي إذا تزوج بأمه وأخته وابنته من جهة أنّها أُمه وأنّها زوجته</w:t>
      </w:r>
      <w:r>
        <w:rPr>
          <w:rStyle w:val="FootnoteAnchor"/>
          <w:rtl w:val="true"/>
        </w:rPr>
        <w:footnoteReference w:id="93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وقول الصادق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لمن سب مجوسياً وقال إنه تزوج بأُمِّه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أما عَلِمتَ أنّ ذلك </w:t>
      </w:r>
    </w:p>
    <w:p>
      <w:pPr>
        <w:pStyle w:val="BookText"/>
        <w:rPr/>
      </w:pPr>
      <w:r>
        <w:rPr>
          <w:rFonts w:ascii="Amiri" w:hAnsi="Amiri" w:eastAsia="Amiri" w:cs="Amiri"/>
          <w:color w:val="111111"/>
          <w:sz w:val="28"/>
          <w:sz w:val="28"/>
          <w:szCs w:val="28"/>
          <w:rtl w:val="true"/>
          <w:lang w:bidi="ar-SA"/>
        </w:rPr>
        <w:t>عندهم هو النكاح</w:t>
      </w:r>
      <w:r>
        <w:rPr>
          <w:rFonts w:eastAsia="Amiri" w:cs="Amiri" w:ascii="Amiri" w:hAnsi="Amiri"/>
          <w:color w:val="111111"/>
          <w:sz w:val="28"/>
          <w:szCs w:val="28"/>
          <w:rtl w:val="true"/>
          <w:lang w:bidi="ar-SA"/>
        </w:rPr>
        <w:t>»</w:t>
      </w:r>
      <w:r>
        <w:rPr>
          <w:rStyle w:val="FootnoteAnchor"/>
          <w:rtl w:val="true"/>
        </w:rPr>
        <w:footnoteReference w:id="939"/>
      </w:r>
      <w:r>
        <w:rPr>
          <w:rFonts w:ascii="Amiri" w:hAnsi="Amiri" w:eastAsia="Amiri" w:cs="Amiri"/>
          <w:color w:val="111111"/>
          <w:sz w:val="28"/>
          <w:sz w:val="28"/>
          <w:szCs w:val="28"/>
          <w:rtl w:val="true"/>
          <w:lang w:bidi="ar-SA"/>
        </w:rPr>
        <w:t>بعد أن زبر الساب، وقوله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إنّ كلَّ قوم دانوا بشيء يلزمهم حكمه</w:t>
      </w:r>
      <w:r>
        <w:rPr>
          <w:rFonts w:eastAsia="Amiri" w:cs="Amiri" w:ascii="Amiri" w:hAnsi="Amiri"/>
          <w:color w:val="111111"/>
          <w:sz w:val="28"/>
          <w:szCs w:val="28"/>
          <w:rtl w:val="true"/>
          <w:lang w:bidi="ar-SA"/>
        </w:rPr>
        <w:t>»</w:t>
      </w:r>
      <w:r>
        <w:rPr>
          <w:rStyle w:val="FootnoteAnchor"/>
          <w:rtl w:val="true"/>
        </w:rPr>
        <w:footnoteReference w:id="94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 الفضل بن شاذان</w:t>
      </w:r>
      <w:r>
        <w:rPr>
          <w:rStyle w:val="FootnoteAnchor"/>
          <w:rtl w:val="true"/>
        </w:rPr>
        <w:footnoteReference w:id="941"/>
      </w:r>
      <w:r>
        <w:rPr>
          <w:rFonts w:ascii="Amiri" w:hAnsi="Amiri" w:eastAsia="Amiri" w:cs="Amiri"/>
          <w:color w:val="111111"/>
          <w:sz w:val="28"/>
          <w:sz w:val="28"/>
          <w:szCs w:val="28"/>
          <w:rtl w:val="true"/>
          <w:lang w:bidi="ar-SA"/>
        </w:rPr>
        <w:t>وجماعة</w:t>
      </w:r>
      <w:r>
        <w:rPr>
          <w:rStyle w:val="FootnoteAnchor"/>
          <w:rtl w:val="true"/>
        </w:rPr>
        <w:footnoteReference w:id="942"/>
      </w:r>
      <w:r>
        <w:rPr>
          <w:rFonts w:ascii="Amiri" w:hAnsi="Amiri" w:eastAsia="Amiri" w:cs="Amiri"/>
          <w:color w:val="111111"/>
          <w:sz w:val="28"/>
          <w:sz w:val="28"/>
          <w:szCs w:val="28"/>
          <w:rtl w:val="true"/>
          <w:lang w:bidi="ar-SA"/>
        </w:rPr>
        <w:t>، منهم المصنّف في هذا المختصر والشرح</w:t>
      </w:r>
      <w:r>
        <w:rPr>
          <w:rStyle w:val="FootnoteAnchor"/>
          <w:rtl w:val="true"/>
        </w:rPr>
        <w:footnoteReference w:id="94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المجوس يتوارثون بالنسب الصحيح والفاسد والسبب الصحيح لا الفاسد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أما الأوّل فلأنّ المسلمين يتوارثون بهما حيث تقع الشبهة وهي موجودة فيهم، وأما الثاني فلقوله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 احْكُم بَيْنَهُم بِمَا أَنزَلَ اللَّهُ</w:t>
      </w:r>
      <w:r>
        <w:rPr>
          <w:rStyle w:val="FootnoteAnchor"/>
          <w:rtl w:val="true"/>
        </w:rPr>
        <w:footnoteReference w:id="944"/>
      </w:r>
      <w:r>
        <w:rPr>
          <w:rFonts w:ascii="IRNazanin" w:hAnsi="IRNazanin" w:eastAsia="IRNazanin"/>
          <w:color w:val="111111"/>
          <w:sz w:val="28"/>
          <w:sz w:val="28"/>
          <w:szCs w:val="28"/>
          <w:rtl w:val="true"/>
          <w:lang w:bidi="fa-IR"/>
        </w:rPr>
        <w:t xml:space="preserve">، </w:t>
      </w:r>
      <w:r>
        <w:rPr>
          <w:rFonts w:ascii="Amiri" w:hAnsi="Amiri" w:eastAsia="Amiri" w:cs="Amiri"/>
          <w:color w:val="111111"/>
          <w:sz w:val="28"/>
          <w:sz w:val="28"/>
          <w:szCs w:val="28"/>
          <w:rtl w:val="true"/>
          <w:lang w:bidi="ar-SA"/>
        </w:rPr>
        <w:t>وَقُلِ الْحَقُّ مِن رَّبِّكُمْ</w:t>
      </w:r>
      <w:r>
        <w:rPr>
          <w:rStyle w:val="FootnoteAnchor"/>
          <w:rtl w:val="true"/>
        </w:rPr>
        <w:footnoteReference w:id="945"/>
      </w:r>
      <w:r>
        <w:rPr>
          <w:rFonts w:ascii="IRNazanin" w:hAnsi="IRNazanin" w:eastAsia="IRNazanin"/>
          <w:color w:val="111111"/>
          <w:sz w:val="28"/>
          <w:sz w:val="28"/>
          <w:szCs w:val="28"/>
          <w:rtl w:val="true"/>
          <w:lang w:bidi="fa-IR"/>
        </w:rPr>
        <w:t xml:space="preserve">، </w:t>
      </w:r>
      <w:r>
        <w:rPr>
          <w:rFonts w:ascii="Amiri" w:hAnsi="Amiri" w:eastAsia="Amiri" w:cs="Amiri"/>
          <w:color w:val="111111"/>
          <w:sz w:val="28"/>
          <w:sz w:val="28"/>
          <w:szCs w:val="28"/>
          <w:rtl w:val="true"/>
          <w:lang w:bidi="ar-SA"/>
        </w:rPr>
        <w:t>وَإِنْ حَكَمْتَ فَاحْكُم بَيْنَهُم بِالْقِسْطِ</w:t>
      </w:r>
      <w:r>
        <w:rPr>
          <w:rStyle w:val="FootnoteAnchor"/>
          <w:rtl w:val="true"/>
        </w:rPr>
        <w:footnoteReference w:id="946"/>
      </w:r>
      <w:r>
        <w:rPr>
          <w:rFonts w:ascii="Amiri" w:hAnsi="Amiri" w:eastAsia="Amiri" w:cs="Amiri"/>
          <w:color w:val="111111"/>
          <w:sz w:val="28"/>
          <w:sz w:val="28"/>
          <w:szCs w:val="28"/>
          <w:rtl w:val="true"/>
          <w:lang w:bidi="ar-SA"/>
        </w:rPr>
        <w:t>ولا شيء من الفاسد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أنزل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قسط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هو الأقوى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وبهذه الحجّة احتج أيضاً ابن إدريس </w:t>
      </w:r>
      <w:r>
        <w:rPr>
          <w:rStyle w:val="FootnoteAnchor"/>
          <w:rtl w:val="true"/>
        </w:rPr>
        <w:footnoteReference w:id="947"/>
      </w:r>
      <w:r>
        <w:rPr>
          <w:rFonts w:ascii="Amiri" w:hAnsi="Amiri" w:eastAsia="Amiri" w:cs="Amiri"/>
          <w:color w:val="111111"/>
          <w:sz w:val="28"/>
          <w:sz w:val="28"/>
          <w:szCs w:val="28"/>
          <w:rtl w:val="true"/>
          <w:lang w:bidi="ar-SA"/>
        </w:rPr>
        <w:t>على نفي الفاسد منهما، وقد عرفت فساده في فاسد النسب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أخبار</w:t>
      </w:r>
      <w:r>
        <w:rPr>
          <w:rStyle w:val="FootnoteAnchor"/>
          <w:rtl w:val="true"/>
        </w:rPr>
        <w:footnoteReference w:id="948"/>
      </w:r>
      <w:r>
        <w:rPr>
          <w:rFonts w:ascii="Amiri" w:hAnsi="Amiri" w:eastAsia="Amiri" w:cs="Amiri"/>
          <w:color w:val="111111"/>
          <w:sz w:val="28"/>
          <w:sz w:val="28"/>
          <w:szCs w:val="28"/>
          <w:rtl w:val="true"/>
          <w:lang w:bidi="ar-SA"/>
        </w:rPr>
        <w:t>الشيخ فعمدتها خبر السكوني</w:t>
      </w:r>
      <w:r>
        <w:rPr>
          <w:rStyle w:val="FootnoteAnchor"/>
          <w:rtl w:val="true"/>
        </w:rPr>
        <w:footnoteReference w:id="949"/>
      </w:r>
      <w:r>
        <w:rPr>
          <w:rFonts w:ascii="Amiri" w:hAnsi="Amiri" w:eastAsia="Amiri" w:cs="Amiri"/>
          <w:color w:val="111111"/>
          <w:sz w:val="28"/>
          <w:sz w:val="28"/>
          <w:szCs w:val="28"/>
          <w:rtl w:val="true"/>
          <w:lang w:bidi="ar-SA"/>
        </w:rPr>
        <w:t>، وأمره واضح، والباقي لا ينهض على مطلوبه</w:t>
      </w:r>
      <w:r>
        <w:rPr>
          <w:rFonts w:eastAsia="Amiri" w:cs="Amiri" w:ascii="Amiri" w:hAnsi="Amiri"/>
          <w:color w:val="111111"/>
          <w:sz w:val="28"/>
          <w:szCs w:val="28"/>
          <w:rtl w:val="true"/>
          <w:lang w:bidi="ar-SA"/>
        </w:rPr>
        <w:t>.</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وعلى ما اخترناه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فلو نكح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المجوسي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أمه فأولدها وَرِثَتُه بالأمومة ووَرِثَه ولدُها بالنسب الفاسد، ولا ترثه الأم بالزوجيّة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لأنه سبب فاسد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ولو نَكَح المسلم بعض محارمه شبهة وَقَع التوارث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بينه وبين أولاده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بالنسب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كان فاسداً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ويتفرع عليهما فروع كثيرة يظهر حكمُها ممّا تَقَوَّر في قواعد الإرث</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فلو أولد المجوسي بالنكاح أو المسلمُ بالشبهة من ابنته ابنتين وَرِثْنَ ماله بالسوية، فلو ماتت إحداهما فقد تَرَكَتْ أُمَّها وأُختها فالمال لأمها، فإن ماتت الأم دونهما ورثتها ابنتاها، فإن ماتت إحداهما وَرِثَتْها الأخرى، ولو أولَدَها بنتاً ثمّ أولَد الثانيةَ بنتاً فماله بينهنّ بالسوية، فإن ماتت العُليا ورثتها الوسطى دون السُفْلَى، وإن ماتت الوسطى فللعليا نصيبُ الأُمُّ وللسفلى نصيب البنت والباقي يُرَدّ أرباعاً، وإن ماتت السفلى ورثتها الوسطى لأنها أُمَّ، دون العليا لأنها جدةً وأخت، وهما محجوبتان بالأم، وقس على هذا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المسألة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العاشرة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مخارج الفروض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أقل عددٍ تخرج منه صحيحةً، وهي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خمسة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للفروض السنّة؛ لدخول مَخرَج الثلث في مخرج الثلثين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فمخرج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النصف من اثنين والثلث والثلثان من ثلاثة، والربع من أربعة، والثمن من ثمانية، والسدسُ من ستّة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فإذا كان في الفريضة نصفٌ لا غير كزوج مع المرتبة الثانية، فأصلُ الفريضة اثنان فإن انقسمت على جميع الورثة بغير كسر وإلا عَمِلْتَ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سيأتي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أن تُصحِّحَها من عدد ينتهي إليه الحساب، وكذا لو كان في الفريضة نصفان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اشتملت على ثلث أو ثلثين أو هما فهي من ثلاثة، أو على ربع فهي من أربعة، وهكذا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اجتمع في الفريضة فروض متعدّدة فأصلها أقلُّ عددٍ ينقسم على تلك الفروض صحيحاً، وطريقه أن تَنسِب بعضها إلى بعض فإن تَبايَنَتْ ضَرَبت بعضها في بعض فالفريضة ما ارتفع من ذلك، كما إذا اجتمع في الفريضة نصف وثلث فهي ستة، وإن توافَقَتْ ضَرَبتَ الوِفق من أحدها في الآخر كما لو اتفق فيها ربع وسدش فأصلُها اثنا عشر، وإن تماثَلَتْ اقتَصَرْتَ على أحدها كالسدسين، أو تداخلَتْ فعلى الأكثر كالنصف والربع، وهكذا</w:t>
      </w:r>
      <w:r>
        <w:rPr>
          <w:rFonts w:eastAsia="Amiri" w:cs="Amiri" w:ascii="Amiri" w:hAnsi="Amiri"/>
          <w:color w:val="111111"/>
          <w:sz w:val="28"/>
          <w:szCs w:val="28"/>
          <w:rtl w:val="true"/>
          <w:lang w:bidi="ar-SA"/>
        </w:rPr>
        <w:t>.</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ولو لم يكن في الورثة ذو فرض فأصل المال عدد رؤوسهم مع التساوي كأربعة أولاد ذكور، وإن اختلفوا بالذكورية والأنوثية فاجْعَلْ لكل ذَكَرٍ سهمين ولكلّ أُنثى سهماً </w:t>
      </w:r>
    </w:p>
    <w:p>
      <w:pPr>
        <w:pStyle w:val="BookText"/>
        <w:rPr/>
      </w:pPr>
      <w:r>
        <w:rPr>
          <w:rFonts w:ascii="Amiri" w:hAnsi="Amiri" w:eastAsia="Amiri" w:cs="Amiri"/>
          <w:color w:val="111111"/>
          <w:sz w:val="28"/>
          <w:sz w:val="28"/>
          <w:szCs w:val="28"/>
          <w:rtl w:val="true"/>
          <w:lang w:bidi="ar-SA"/>
        </w:rPr>
        <w:t>فما اجتمع فهو أصل المال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كان فيهم ذو فرض وغيره فالعبرة بذي الفرض خاصةً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سبق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ويبقى حكم تمامها وانكسارها، كما سيأتي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وحيث توقَّفَ البحث على معرفة النسبة بين العددين بالتساوي والاختلاف، وتأتي الحاجة إليه أيضاً، فلابد من الإشارة إلى معناها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فالمتماثلان هما المتساويان قدراً والمتباينان هما المختلفان اللذان إذا أُسقط أقلُّهما من الأكثر مرةً أو مراراً بَقِى 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يعدّهما سوى الواحد، سواءٌ تَجَاوَزَ أقلُّهما نصف الأكثر كثلاثة وخمسة، أم لا كثلاثة وسبعة، والمتوافقان هما اللذان يَعُدُّهما غيرُ الواحد، ويَلزَمُهما أنّه إذا أُسقِط أقلُّهما من الأكثر مرّةً أو مراراً بَقِى أكثر من واحد وتوافقهما بجزء ما يَعُدُّهما، فإن عدهما الاثنان خاصةً فهما متوافقان بالنصف أو الثلاثة فبالثلث، أو الأربعة فبالربع، وهكذا، ولو تعدد ما يَعُدّهما من الأعداد فالمعتبر أقلهما جزءاً؛ كالأربعة مع الاثنين فالمعتبر الأربعة ثمّ إن كان أقلهما لا يزيد عن نصف الأكثر ونفى الأكثر ولو مراراً كالثلاثة والستة والأربعة والاثني عشر، فهما المتوافقان بالمعنى الأعم والمتداخلان أيضاً، وإن تَجاوَزَه فهما المتوافقان بالمعنى الأخص كالستة والثمانية يعدّهما الاثنان، والتسعة والاثني عشر يَعُدّهما الثلاثةُ، والثمانية والاثني عشر يَعُدّهما الأربعةُ ولك هنا اعتبارُ كلّ من التوافقِ والتداخل وإنْ كان اعتبارُ ما تَقِل معه الفريضة 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ويُسمَّى المتوافقان مطلقاً بالمتشاركين؛ لاشتراكهما في جزء الوِفق فيُجتَزَاً عند اجتماعهما بضرب أحدهما في الكسر الذي ذلك العدد المشترك سَمِيٌّ له؛ كالنصف في الستة والثمانية والربع في الثمانية والاثني عشر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يَتَرامَى إلى الجزء من أحد عشر فصاعداً فيُقتصر عليه؛ كأحد عشر مع اثنين و عشرين، واثنين وعشرين مع ثلاثة وثلاثين، أو ستة وعشرين مع تسعة وثلاثين؛ فالوِفق في الأوّلين جزء من أحد عشر وفي الأخير من ثلاثة عشرة</w:t>
      </w:r>
      <w:r>
        <w:rPr>
          <w:rFonts w:eastAsia="Amiri" w:cs="Amiri" w:ascii="Amiri" w:hAnsi="Amiri"/>
          <w:color w:val="111111"/>
          <w:sz w:val="28"/>
          <w:szCs w:val="28"/>
          <w:rtl w:val="true"/>
          <w:lang w:bidi="ar-SA"/>
        </w:rPr>
        <w:t>.</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المسألة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الحادية عشرة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الفريضة إذا كانت بقدر السهام وانقسمت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w:t>
      </w:r>
    </w:p>
    <w:p>
      <w:pPr>
        <w:pStyle w:val="BookText"/>
        <w:rPr/>
      </w:pPr>
      <w:r>
        <w:rPr>
          <w:rFonts w:ascii="Amiri" w:hAnsi="Amiri" w:eastAsia="Amiri" w:cs="Amiri"/>
          <w:color w:val="111111"/>
          <w:sz w:val="28"/>
          <w:sz w:val="28"/>
          <w:szCs w:val="28"/>
          <w:rtl w:val="true"/>
          <w:lang w:bidi="ar-SA"/>
        </w:rPr>
        <w:t xml:space="preserve">مخارج السهام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بغير كسر فلا بحث، كزوج وأُخت لأبوين أو لأب فالمسألة من سهمين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لأنّ فيها نصفين ومخرجهما اثنان وينقسم على الزوج والأخت بغير كسر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لم تنقسم على السهام بغير كسر مع كونها مساويةً لها، فإما أن تنكسر على فريقٍ واحدٍ أو أكثر، ثمّ إمّا أن يكون بين عدد المنكسر عليه وسهامه وفق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بالمعنى الأعم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لا، فالأقسام أربعة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انكسرت على فريق واحد ضربت عدده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نصيبه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أصل الفريضة إن عُدم الوفقُ بين العدد والنصيب، كأبوين وخمس بناتٍ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أصل فريضتهم ستة لاشتمالها على السدس ومخرجه ستة، ونصيب الأبوين منها اثنان لا ينكسر عليهما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نصيب البنات أربعة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تنكسر عليهنّ وتُباين عددهن وهو خمسة؛ لأنك إذا أسقطت أقل العددين من الأكثر بقي واحد، 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تَضرب عددهنّ وهو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الخمسة في الستّةِ أصلِ الفريضة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تبلغ ثلاثين، فكلُّ من حصل له شيء من أصل الفريضة أخذه مضروباً في خمسة فهو نصيبه، فنصيبُ البنات منها عشرون لكلّ واحدةٍ أربعة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تَوافَقَ النصيبُ والعددُ كما لو كُن ستاً أو ثمانياً، فالتوافق بالنصفِ في الأول والربع في الثاني، فتضرب نصف عددهنّ أو رُبعه في أصل الفريضة تَبلُغ ثمانية عشر في الأوّل واثني عشر في الثاني، فللبنات اثنا عشر ينقسم عليهنّ بغير كسر أو ثمانية كذلك</w:t>
      </w:r>
      <w:r>
        <w:rPr>
          <w:rFonts w:eastAsia="Amiri" w:cs="Amiri" w:ascii="Amiri" w:hAnsi="Amiri"/>
          <w:color w:val="111111"/>
          <w:sz w:val="28"/>
          <w:szCs w:val="28"/>
          <w:rtl w:val="true"/>
          <w:lang w:bidi="ar-SA"/>
        </w:rPr>
        <w:t>.</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 انكسرتْ على أكثر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فريق فإما أن يكون بين كل فريق وعدده وفق أو تباين أو بالتفريق، فإن كان الأوّلَ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نسبت الأعداد بالوفق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ورددت كل فريق إلى جزء وفقه، وكذا لو كان لبعضهم وفق دون بعض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أى غير الوفق بأن كان بين كل فريق وعددِه تباين أو بين بعضها كذلك جعلت كل عدد بحاله ثم اعتبرت الأعداد، فإن كانت متماثلةً اقتصرت منها على واحد وضربته في أصل الفريضة، وإن كانت متداخلة اقتصرت على ضرب الأكثر، وإن كانت متوافقةً ضربت وفق أحدِ المتوافقين في عدد الآخر، وإن كانت متباينةً ضربت أحدها في الآخر ثمّ المجتمع في الآخر، وهكذا،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وضربت ما يحصل منها في أصل المسألة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فالمتباينة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مثلُ زوج </w:t>
      </w:r>
    </w:p>
    <w:p>
      <w:pPr>
        <w:pStyle w:val="BookText"/>
        <w:rPr/>
      </w:pPr>
      <w:r>
        <w:rPr>
          <w:rFonts w:ascii="Amiri" w:hAnsi="Amiri" w:eastAsia="Amiri" w:cs="Amiri"/>
          <w:color w:val="111111"/>
          <w:sz w:val="28"/>
          <w:sz w:val="28"/>
          <w:szCs w:val="28"/>
          <w:rtl w:val="true"/>
          <w:lang w:bidi="ar-SA"/>
        </w:rPr>
        <w:t>وخمسة إخوة لأُمّ وسبعة لأب، فأصلُها ستة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لأنّ فيها نصفاً وثلثاً ومخرجهما ستة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مَضروب اثنين مخرج النصف في ثلاثة مخرج الثلث، لتباينهما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للزوج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منها النصفُ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ثلاثةُ، وللإخوة للأمّ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الثلتُ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سهمان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ينكسر عليهم،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وفق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بينهما وبين الخمسة، وللإخوة للأب سهم واحد وهو ما بقي من الفريضة،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وفق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بينه وبين عددهم وهو السبعة، فاعتبر نسبة عدد الفريقين المنكسر عليهما وهو الخمسة والسبعة إلى الآخر تجدهما متباينين؛ إذ لا يَعُدّهما إلّا الواحد، ولأنك إذا أسقطت أقلهما من الأكثر بقي اثنان فإذا أسقطتهما من الخمسة مرتين بقي واحد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فتضرب الخمسة في السبعة يكون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المرتفعُ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خمسةً وثلاثين تضربها في ستة أصل الفريضة يكون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المرتفعُ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مائتين وعشرةً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ومنها تصح</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فمن كان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أصل الفريضة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سهم أَخَذَه مضروباً في خمسة وثلاثين، فللزوج ثلاثةٌ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الأصل يأخذها مضروبةً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في الخمسة والثلاثين يكون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مائةً وخمسةً، ولقرابة الأم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الخمسة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سهمان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أصلها، تأخذهما مضروبين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فى الخمسة والثلاثين، وذلك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سبعون لكلّ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واحد منهم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أربعةَ عشرَ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خُمْسُ السبعين،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لقرابة الأب سهم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الأصل ومضروبه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فيها خمسة وثلاثون، لكلّ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واحد منهم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خمسةٌ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سُبْع المجتمع</w:t>
      </w:r>
      <w:r>
        <w:rPr>
          <w:rFonts w:eastAsia="Amiri" w:cs="Amiri" w:ascii="Amiri" w:hAnsi="Amiri"/>
          <w:color w:val="111111"/>
          <w:sz w:val="28"/>
          <w:szCs w:val="28"/>
          <w:rtl w:val="true"/>
          <w:lang w:bidi="ar-SA"/>
        </w:rPr>
        <w:t>.</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وما ذكره مثال للمنكسر على أكثر من فريق مع التباين، لكنه لم ينكسر على الجميع، ولو أردتَ مثالاً لانكسارها على الجميع أبدلت الزوج بزوجتين ويَصِيرُ أصل الفريضة اثني عشرَ مَخرَجَ الثلث والربع؛ لأنّها المجتمع من ضرب إحداهما في الأخرى التباينهما، فللزوجتين الربع ثلاثة، وللإخوة للأم الثلث أربعة، وللإخوة للأب الباقي وهو خمسة، ولا وفق بين نصيب كلّ وعدده، والأعداد أيضاً متبائنة فتضرب أيّها شئتَ في الآخر ثمّ المرتفِعَ في الباقي ثمّ المجتمع في أصل الفريضة، فتضرب هنا اثنين في خمسة ثمّ المجتمع في سبعة يكون سبعين، ثم تضرب السبعين في اثني عشر تبلغ ثمانمائة وأربعين، فكلُّ مَن كان له سهم من اثني عشر أخَذَه مضروباً في سبعين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يُعتبر هنا توافق مضروب المخارج مع أصل المسألة ولا عدمه، فلا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العشرة توافق الاثني عشر </w:t>
      </w:r>
    </w:p>
    <w:p>
      <w:pPr>
        <w:pStyle w:val="BookText"/>
        <w:rPr/>
      </w:pPr>
      <w:r>
        <w:rPr>
          <w:rFonts w:ascii="Amiri" w:hAnsi="Amiri" w:eastAsia="Amiri" w:cs="Amiri"/>
          <w:color w:val="111111"/>
          <w:sz w:val="28"/>
          <w:sz w:val="28"/>
          <w:szCs w:val="28"/>
          <w:rtl w:val="true"/>
          <w:lang w:bidi="ar-SA"/>
        </w:rPr>
        <w:t>بالنصف فتَرُدّها إلى نصفها ولا السبعون توافق الاثني عشر بالنصف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إخوة الأُمّ ثلاثة صع الفرضُ أيضاً لكن هنا تضرب اثنين في ثلاثة ثم في سبعة تبلغ اثنين وأربعين ثمّ في أصل الفريضة تبلغ خمسمائة وأربعةٍ، ومن كان له سهم أَخَذَه مضروباً في اثنين وأربعين ولا يُلتفت إلى توافق الاثني عشر والاثنين والأربعين في السدس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ومثال المتوافقة مع الانكسار على أكثر من فريق ستُ زَوْجَاتٍ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يتفق في المريض يُطلق ثمّ يتزوج ويدخل ثمّ يموت قبل الحول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وثمانية من كلالة الأُمّ وعشرة كلالة الأب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فالفريضة اثنا عشر مَخرَجُ الربع والثلث، للزوجات ثلاثة وتوافق عددهن بالثلث، ولكلالة الأم أربعة وتوافق عددهم بالربع، ولكلالة الأب خمسة توافق عددَهم بالخُمس فتَرُدُّ كلّاً من الزوجاتِ والإخوة من الطرفين إلى اثنين؛ لأنهما تُلتُ الأوّل وربع الثاني وخمسُ الثالث فيتَمَائَلُ الأعداد فتجتزئ باثنين وتضربهما في اثني عشر تَبلُغ أربعةً وعشرين، فمَن كان له سهمُ أَخَذَه مضروباً في اثنين، فللزوجات ستة ولإخوة الأمّ ثمانية، ولإخوة الأب عشرة لكل سهم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ومثال المتماثلة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ثلاثة إخوةٍ من أب ومثلهم من أمّ، أصلُ الفريضة ثلاثة، والنسبةُ بين النصيب والعددِ متباينة، والعددان متماثلان فيُجتزاً بضرب أحدهما في أصل الفريضة تصير تسعة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ومثال المتداخلة كما ذكر، إلا أنّ إخوة الأُمّ ستّةٌ فَتَجْتَزِئ بها وتَضْرِبُها في أصل الفريضة تبلغ ثمانية عشر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لا تكون متداخلة ثم تؤول إليه كأربع زوجات وستة إخوة، أصل الفريضة أربعة مخرجُ الربع ينكسر على الفريقين وعدد الإخوة يوافق نصيبهم بالثلث فتَرُدُّهم إلى اثنين، وعدد الزوجات يباين نصيبَهنَّ فتُبْقِيهِنَّ بحالهنّ، فيدخُل ما بقي من عدد الإخوة في عددهن فتَجتزئ به وتَضرِبُه في الأربعة يكون ستَّةَ عشرَ</w:t>
      </w:r>
      <w:r>
        <w:rPr>
          <w:rFonts w:eastAsia="Amiri" w:cs="Amiri" w:ascii="Amiri" w:hAnsi="Amiri"/>
          <w:color w:val="111111"/>
          <w:sz w:val="28"/>
          <w:szCs w:val="28"/>
          <w:rtl w:val="true"/>
          <w:lang w:bidi="ar-SA"/>
        </w:rPr>
        <w:t>.</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وبما ذكرناه من الأمثلة يظهر حكم ما لو كان لبعضها وفق دون الباقي، أو بعضها متماثل أو متداخل دون بعض</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المسألة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الثانية عشرة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تَقصُر الفريضةُ عن السهام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وإنّما تَقصُر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بدخول أحد الزوجين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كبنتين وأبوين مع أحد الزوجين، وبنتين وأحد الأبوين مع زوج، وأُختين لأب وأختين لأم مع أحد الزوجين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وهذه مسألة العَوْل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فيدخُل النقص على البنت والبنات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اتَّفَقْنَ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قرابة الأب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الأخوات لا على الجميع، وقد تقدّم</w:t>
      </w:r>
      <w:r>
        <w:rPr>
          <w:rStyle w:val="FootnoteAnchor"/>
          <w:rtl w:val="true"/>
        </w:rPr>
        <w:footnoteReference w:id="95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وهذه العبارة أجودُ ممّا سلف، حيث لم يَذكُر الأب فيمن يَدخُل عليه النقص</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المسألة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الثالثة عشرة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تَزِيدَ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الفريضة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السهام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لو خَلَّف بنتاً واحدةً أو بناتٍ أو أُختاً أو أخوات أو بنتاً وأبوين أو أحدهما، أو بناتٍ وأحدهما،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فيُرَدّ الزائد على ذوي السهام عدا الزوج والزوجة، والأمّ مع الإخوة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مع عدمهم فيُرَدّ عليها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 يجتمع ذو سببين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كالأُخت من الأبوين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 ذي سبب واحد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كالإخوة من الأُم فيَختصّ الردُّ بذي السببين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شيء عندنا للعصبة، بل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فيه التراب</w:t>
      </w:r>
      <w:r>
        <w:rPr>
          <w:rFonts w:eastAsia="Amiri" w:cs="Amiri" w:ascii="Amiri" w:hAnsi="Amiri"/>
          <w:color w:val="111111"/>
          <w:sz w:val="28"/>
          <w:szCs w:val="28"/>
          <w:rtl w:val="true"/>
          <w:lang w:bidi="ar-SA"/>
        </w:rPr>
        <w:t>»</w:t>
      </w:r>
      <w:r>
        <w:rPr>
          <w:rStyle w:val="FootnoteAnchor"/>
          <w:rtl w:val="true"/>
        </w:rPr>
        <w:footnoteReference w:id="951"/>
      </w:r>
      <w:r>
        <w:rPr>
          <w:rFonts w:eastAsia="Times New Roman" w:cs="Times New Roman" w:ascii="Times New Roman" w:hAnsi="Times New Roman"/>
          <w:color w:val="111111"/>
          <w:sz w:val="28"/>
          <w:szCs w:val="28"/>
          <w:rtl w:val="true"/>
          <w:lang w:val="en-US" w:bidi="en-US"/>
        </w:rPr>
        <w:t>.</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المسألة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الرابعة عشرة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المناسخات وتتحقق بأن يموت شخص ثمّ يموت أحد ورائه قبل قسمة تركته؛ فإنّه يُعتبر حينئذٍ قسمه الفريضتين من أصل واحدٍ لو طلب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اتحد الوارث والاستحقاق، كإخوة ثلاثة وأخواتٍ ثلاث لميت فمات بعده أحد الإخوة ثم إحدى الأخوات، وهكذا حتى بَقِيَ أخ وأخت، فمالُ الجميع بينهما أثلاثاً إن تقربوا بالأب، وبالسوية إن تقربوا بالأم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اختلف الوارث خاصةً، كما لو تَرَك الأوّلُ ابنين ثمّ مات أحدهما وتَرَك ابناً، فإنّ جهة الاستحقاق في الفريضتين واحدة </w:t>
      </w:r>
    </w:p>
    <w:p>
      <w:pPr>
        <w:pStyle w:val="BookText"/>
        <w:rPr/>
      </w:pPr>
      <w:r>
        <w:rPr>
          <w:rFonts w:ascii="Amiri" w:hAnsi="Amiri" w:eastAsia="Amiri" w:cs="Amiri"/>
          <w:color w:val="111111"/>
          <w:sz w:val="28"/>
          <w:sz w:val="28"/>
          <w:szCs w:val="28"/>
          <w:rtl w:val="true"/>
          <w:lang w:bidi="ar-SA"/>
        </w:rPr>
        <w:t>وهي البُنُوَّة لكن الوارث مختلف، أو الاستحقاق خاصةً، كما لو مات رجلٌ وتَرَك ثلاثةَ أولادٍ ثمّ مات أحد الأولاد ولم يترك غير أخويه، فإنّ الوارث فيهما واحد لكن جهة الاستحقاق مختلفة، أو اختلفا معاً فقد تحتاج المسألة إلى عمل آخَرَ غير ما احتاجت إليه الأولى، وقد لا تحتاج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وتفصيله أن نقول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 مات بعضُ الورثة قبل قسمة التركةِ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الأُولى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صححنا الأولى، فإن نَهَض نصيبُ الميّت الثاني بالقسمة على ورثته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غير كسر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صحت المسألتان من المسألة الأولى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كزوجة ماتت عن ابن وبنت بعد زوجها وخَلَّف معها ابناً وبنتاً فالفريضة الأولى أربعة وعشرون ونصيب الزوجة منها ثلاثة تصح على ولديها، وهنا الوارث والاستحقاق مختلف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وكزوج مع أربعة إخوة لأب ثمّ يموت الزوج عن ابن وبنتين أو أربعة بنين فتصح المسألتان من الأُولى وهي ثمانية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وإن لم ينهض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نصيب الثاني بفريضته فانْظُرْ النسبة بين نصيب الميت الثاني وسهام ورثته، فإن كان بينهما وفق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فاضْرِب الوفق بين نصيبه وسهام ورثته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الفريضة لا من النصيب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المسألة الأولى فما بلغ صحت منه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مثل أبوين وابن ثمّ يموت الابن ويترك ابنين وبنتين، فالفريضة الأُولى ستة ونصيب الابن منها أربعة وسهام ورثته ستة توافق نصيبهم بالنصف فتضرب ثلاثةً وفق الفريضة الثانية في ستة تبلغ ثمانية عشر، ومنها تصح الفريضتان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وكأخوين من أُمّ ومثلهما من أب وزوج مات الزوج عن ابن وبنتين، فالفريضة الأولى اثنا عشر مَخرَجُ النصفِ والثلث، ثمّ مضروبه في اثنين؛ لانكسارها على فريقٍ واحدٍ وهو الأخوان للأب، وبين نصيب الزوج منها وبين نصيب الزوج منها وهو سنّة وفريضته وهي أربعة تَوافُق بالنصف، فتضرب الوفق من الفريضة وهو اثنان في اثني عشر تبلغ أربعةً وعشرين، ومنها تصح الفريضتان</w:t>
      </w:r>
      <w:r>
        <w:rPr>
          <w:rFonts w:eastAsia="Amiri" w:cs="Amiri" w:ascii="Amiri" w:hAnsi="Amiri"/>
          <w:color w:val="111111"/>
          <w:sz w:val="28"/>
          <w:szCs w:val="28"/>
          <w:rtl w:val="true"/>
          <w:lang w:bidi="ar-SA"/>
        </w:rPr>
        <w:t>.</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ولو لم يكن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بين نصيب الثاني وسهامه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وفق ضربت المسألة الثانية في </w:t>
      </w:r>
    </w:p>
    <w:p>
      <w:pPr>
        <w:pStyle w:val="BookText"/>
        <w:rPr/>
      </w:pPr>
      <w:r>
        <w:rPr>
          <w:rFonts w:ascii="Amiri" w:hAnsi="Amiri" w:eastAsia="Amiri" w:cs="Amiri"/>
          <w:color w:val="111111"/>
          <w:sz w:val="28"/>
          <w:sz w:val="28"/>
          <w:szCs w:val="28"/>
          <w:rtl w:val="true"/>
          <w:lang w:bidi="ar-SA"/>
        </w:rPr>
        <w:t>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ارتفع صحتْ منه المسألتان، كما لو كان ورثة الابن في المثال الأول ابنين وبنتاً، فإنّ سهامهم حينئذٍ خمسةٌ تُبايِنُ نصيب مورّثهم فتَضرب خمسةً في ستة تبلغ ثلاثين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وكذا لو كان ورثة الزوج في الثاني ابنين وبنتاً فتضرب خمسةً في اثني عشر</w:t>
      </w:r>
      <w:r>
        <w:rPr>
          <w:rFonts w:eastAsia="Amiri" w:cs="Amiri" w:ascii="Amiri" w:hAnsi="Amiri"/>
          <w:color w:val="111111"/>
          <w:sz w:val="28"/>
          <w:szCs w:val="28"/>
          <w:rtl w:val="true"/>
          <w:lang w:bidi="ar-SA"/>
        </w:rPr>
        <w:t>.</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كانت المناسخات أكثر من فريضتين بأن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مات بعض ورثة الميت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قبل القسمة أو بعضُ ورثة الأوّل، فإن انقَسَم نصيب الثالث على ورثته بصحةٍ وإلّا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عَمِلتَ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عَمِلتَ في الأولى، وهكذا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فرض كثرة التناسخ فإنّ العمل واحد</w:t>
      </w:r>
      <w:r>
        <w:rPr>
          <w:rFonts w:eastAsia="Amiri" w:cs="Amiri" w:ascii="Amiri" w:hAnsi="Amiri"/>
          <w:color w:val="111111"/>
          <w:sz w:val="28"/>
          <w:szCs w:val="28"/>
          <w:rtl w:val="true"/>
          <w:lang w:bidi="ar-SA"/>
        </w:rPr>
        <w:t xml:space="preserve">. </w:t>
      </w:r>
      <w:bookmarkStart w:id="117" w:name="pg11049_88545"/>
    </w:p>
    <w:p>
      <w:pPr>
        <w:pStyle w:val="Heading2"/>
        <w:numPr>
          <w:ilvl w:val="1"/>
          <w:numId w:val="1"/>
        </w:numPr>
        <w:rPr/>
      </w:pPr>
      <w:bookmarkStart w:id="118" w:name="__RefHeading___Toc1446143_1067777946"/>
      <w:bookmarkStart w:id="119" w:name="_Toc35"/>
      <w:bookmarkEnd w:id="117"/>
      <w:bookmarkEnd w:id="118"/>
      <w:r>
        <w:rPr>
          <w:rtl w:val="true"/>
        </w:rPr>
        <w:t>كتاب الحدود</w:t>
      </w:r>
      <w:bookmarkEnd w:id="119"/>
    </w:p>
    <w:p>
      <w:pPr>
        <w:pStyle w:val="Heading3"/>
        <w:numPr>
          <w:ilvl w:val="2"/>
          <w:numId w:val="1"/>
        </w:numPr>
        <w:rPr/>
      </w:pPr>
      <w:bookmarkStart w:id="120" w:name="__RefHeading___Toc1446145_1067777946"/>
      <w:bookmarkStart w:id="121" w:name="_Toc36"/>
      <w:bookmarkEnd w:id="120"/>
      <w:r>
        <w:rPr>
          <w:rtl w:val="true"/>
        </w:rPr>
        <w:t>اشارة</w:t>
      </w:r>
      <w:bookmarkEnd w:id="121"/>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وفيه فصول </w:t>
      </w:r>
      <w:r>
        <w:rPr>
          <w:rFonts w:eastAsia="Amiri" w:cs="Amiri" w:ascii="Amiri" w:hAnsi="Amiri"/>
          <w:color w:val="111111"/>
          <w:sz w:val="28"/>
          <w:szCs w:val="28"/>
          <w:rtl w:val="true"/>
          <w:lang w:bidi="ar-SA"/>
        </w:rPr>
        <w:t xml:space="preserve">:) </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22" w:name="pg11049_88547"/>
      <w:bookmarkStart w:id="123" w:name="pg11049_88547"/>
      <w:bookmarkEnd w:id="123"/>
    </w:p>
    <w:p>
      <w:pPr>
        <w:pStyle w:val="Heading3"/>
        <w:numPr>
          <w:ilvl w:val="2"/>
          <w:numId w:val="1"/>
        </w:numPr>
        <w:rPr/>
      </w:pPr>
      <w:bookmarkStart w:id="124" w:name="pg11049_88547"/>
      <w:bookmarkStart w:id="125" w:name="__RefHeading___Toc1446147_1067777946"/>
      <w:bookmarkStart w:id="126" w:name="_Toc37"/>
      <w:bookmarkEnd w:id="124"/>
      <w:bookmarkEnd w:id="125"/>
      <w:r>
        <w:rPr>
          <w:rtl w:val="true"/>
        </w:rPr>
        <w:t>الفصل الأول في حد الزنى</w:t>
      </w:r>
      <w:r>
        <w:rPr>
          <w:rtl w:val="true"/>
        </w:rPr>
        <w:t>)</w:t>
      </w:r>
      <w:bookmarkEnd w:id="126"/>
    </w:p>
    <w:p>
      <w:pPr>
        <w:pStyle w:val="BookText"/>
        <w:rPr/>
      </w:pPr>
      <w:r>
        <w:rPr>
          <w:rFonts w:ascii="Amiri" w:hAnsi="Amiri" w:eastAsia="Amiri" w:cs="Amiri"/>
          <w:color w:val="111111"/>
          <w:sz w:val="28"/>
          <w:sz w:val="28"/>
          <w:szCs w:val="28"/>
          <w:rtl w:val="true"/>
          <w:lang w:bidi="ar-SA"/>
        </w:rPr>
        <w:t xml:space="preserve">بالقصر لغة حجازية وبالمد تميميّة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الزنى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إيلاج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إدخالُ الذَّكَرِ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البالغ العاقل في فرج امرأةٍ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مطلق الأنثى قبلاً أو دُبُراً،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محرَّمةٍ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غيرِ عقد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نكاح بينهما،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مِلكِ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الفاعل للقابل،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شبهةٍ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مُوجِبةٍ لاعتقاد الحِلّ،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قدرَ الحَشَفة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مفعول المَصْدَرِ المُصَدَّرِ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ويَتَحقَّق قدرُها بإيلاجها نفسها أو إيلاج قدرها من مقطوعها، وإن كان تناولها للأوّل لا يخلو من تكلُّف في حالة كون المولج عالماً بالتحريم مختاراً في الفعل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فهنا قيود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الإيلاج، فلا يتحقق الزنى بدونه كالتفخيذ وغيره وإن كان محرَّماً يُوجِب التعزيز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وثانيها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كونه من البالغ، فلو أولج الصبي أدب خاصةً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وثالثها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كونه عاقلاً فلا يُحَدّ المجنون على الأقوى؛ لارتفاع القلم عنه، ويُستفاد من إطلاقه عدم الفرق بين الحر والعبد، وهو كذلك، وإن افترقا في كمّيّة الحد وكيفيته</w:t>
      </w:r>
      <w:r>
        <w:rPr>
          <w:rFonts w:eastAsia="Amiri" w:cs="Amiri" w:ascii="Amiri" w:hAnsi="Amiri"/>
          <w:color w:val="111111"/>
          <w:sz w:val="28"/>
          <w:szCs w:val="28"/>
          <w:rtl w:val="true"/>
          <w:lang w:bidi="ar-SA"/>
        </w:rPr>
        <w:t>.</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ورابعُها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كونُ الإيلاج في فرجها، فلا عبرة بإيلاجه في غيره من المنافذ وإنْ حَصَل به الشهوة والإنزال، والمراد بالفرج العورة، كما نَصَّ عليه الجوهري</w:t>
      </w:r>
      <w:r>
        <w:rPr>
          <w:rStyle w:val="FootnoteAnchor"/>
          <w:rtl w:val="true"/>
        </w:rPr>
        <w:footnoteReference w:id="952"/>
      </w:r>
      <w:r>
        <w:rPr>
          <w:rFonts w:ascii="Amiri" w:hAnsi="Amiri" w:eastAsia="Amiri" w:cs="Amiri"/>
          <w:color w:val="111111"/>
          <w:sz w:val="28"/>
          <w:sz w:val="28"/>
          <w:szCs w:val="28"/>
          <w:rtl w:val="true"/>
          <w:lang w:bidi="ar-SA"/>
        </w:rPr>
        <w:t xml:space="preserve">، فيَشقُل القُبُل </w:t>
      </w:r>
    </w:p>
    <w:p>
      <w:pPr>
        <w:pStyle w:val="BookText"/>
        <w:rPr/>
      </w:pPr>
      <w:r>
        <w:rPr>
          <w:rFonts w:ascii="Amiri" w:hAnsi="Amiri" w:eastAsia="Amiri" w:cs="Amiri"/>
          <w:color w:val="111111"/>
          <w:sz w:val="28"/>
          <w:sz w:val="28"/>
          <w:szCs w:val="28"/>
          <w:rtl w:val="true"/>
          <w:lang w:bidi="ar-SA"/>
        </w:rPr>
        <w:t>والدير، وإن كان إطلاقه على القُبل أغلب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وخامسها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كونها امرأةً، وهي البالغة تسع سنين؛ لأنها تأنيث المرء وهو الرجل، ولا فرق فيها بين العاقلة والمجنونة، الحرّة والأمة، الحيّة والميتة، وإن كان في الميتة أغلظ كما سيأتي وخرج بها إيلاجه في دبر الذكر فإنّه لا يُعد زنى وإنْ كان أفحش وأغلظ عقوبةً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وسادسها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كونها محرَّمةً عليه، فلو كانت حليلته بزوجيّة أو ملك لم يتحقق الزني وشَمَلت المحرَّمة الأجنبية المحصنة والخالية من بعل ومَحارِمَه وزوجته الحائض والمُظاهَرةَ والمُؤلَى منها والمُحْرِمة ،وغيرها وأَمَتَه المزوّجة والمعتدة والحائض ونحوها، وسيَخرُج بعضُ هذه المحرَّماتِ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وسابعُها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كونها غير معقودٍ عليها ولا مملوكةٍ ولا مأتيةٍ بشبهة؛ وبه يخرُج وطه الزوجة المحرَّمةِ لعارض ممّا ذُكر، وكذا الأمةُ، فلا يترتب عليه الحد وإنْ حَرُم، ولهذا احتيج إلى ذكره بعد المحرَّمة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لولاء لزم كونه زنى يُوجب الحد وإنْ كان بالثاني يُستغنى عن الأوّل إلّا أنّ بذلك لا يُستدرك القيد لتحقق الفائدة مع سبقه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والمراد بالعقد ما يَشمَل الدائم والمنقطع، وبالملك ما يشمل العين والمنفعة كالتحليل، وبالشبهة ما أوجب ظنَّ الإباحة، لا ما لولا المُحَرَّمِيَّةُ لَحُلَّلَتْ، كما زعمه بعض العامة</w:t>
      </w:r>
      <w:r>
        <w:rPr>
          <w:rStyle w:val="FootnoteAnchor"/>
          <w:rtl w:val="true"/>
        </w:rPr>
        <w:footnoteReference w:id="95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وثامنها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كونُ الإيلاج بقدر الحشفة فما زاد فلو أولج دون ذلك لم يتحقق الزني كما لا يتحقق الوطء لتلازمهما هنا، فإن كانت الحشفة صحيحةً اعتُبِر مجموعها، وإن كانت مقطوعةً أو بعضها اعتبر إيلاج قدرها ولؤ ملفّقاً منها ومن الباقي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الفرد أظهر في القدريّة منها نفسِها </w:t>
      </w:r>
      <w:r>
        <w:rPr>
          <w:rFonts w:eastAsia="Amiri" w:cs="Amiri" w:ascii="Amiri" w:hAnsi="Amiri"/>
          <w:color w:val="111111"/>
          <w:sz w:val="28"/>
          <w:szCs w:val="28"/>
          <w:rtl w:val="true"/>
          <w:lang w:bidi="ar-SA"/>
        </w:rPr>
        <w:t>.</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وتاسعُها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كونُه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عالماً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بتحريم الفعل، فلو جهل التحريم ابتداءً لقُرْبِ عهده بالدين </w:t>
      </w:r>
    </w:p>
    <w:p>
      <w:pPr>
        <w:pStyle w:val="BookText"/>
        <w:rPr/>
      </w:pPr>
      <w:r>
        <w:rPr>
          <w:rFonts w:ascii="Amiri" w:hAnsi="Amiri" w:eastAsia="Amiri" w:cs="Amiri"/>
          <w:color w:val="111111"/>
          <w:sz w:val="28"/>
          <w:sz w:val="28"/>
          <w:szCs w:val="28"/>
          <w:rtl w:val="true"/>
          <w:lang w:bidi="ar-SA"/>
        </w:rPr>
        <w:t xml:space="preserve">أو لشبهة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كما لو أحَلَّتْه نفسها فتَوَهَّمَ الحِلَّ مع إمكانه في حقه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يكن زانياً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ويمكن الغني عن هذا القيد بما سبق؛ لأنّ مَرجِعَه إلى طُرُوء شبهة، وقد تقدَّم اعتبار نفيها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والفرق بأنّ الشبهة السابقة تُجامِع العلم بتحريم الزنى كما لو وجد امرأةً على فراشه فاعتقدها زوجته مع علمه بتحريم وطء الأجنبية، وهنا لا يَعلَم أصل تحريم الزني، غيرُ كافٍ في الجمع بينهما مع إمكان إطلاق الشبهة على ما يَعُمّ الجاهل بالتحريم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وعاشرها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كونه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مختاراً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فلو أكره على الزنى لم يُحَدّ على أصح القولين</w:t>
      </w:r>
      <w:r>
        <w:rPr>
          <w:rStyle w:val="FootnoteAnchor"/>
          <w:rtl w:val="true"/>
        </w:rPr>
        <w:footnoteReference w:id="954"/>
      </w:r>
      <w:r>
        <w:rPr>
          <w:rFonts w:ascii="Amiri" w:hAnsi="Amiri" w:eastAsia="Amiri" w:cs="Amiri"/>
          <w:color w:val="111111"/>
          <w:sz w:val="28"/>
          <w:sz w:val="28"/>
          <w:szCs w:val="28"/>
          <w:rtl w:val="true"/>
          <w:lang w:bidi="ar-SA"/>
        </w:rPr>
        <w:t>في الفاعل، وإجماعاً في القابل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ويتحقق الإكراه بتَوَعُد القادر المظنونِ فِعْلُ ما تَوَعَّد به لو لم يَفعَل بما يَتَضَرَّرُ به في نفسه أو من يجري مجراه كما سبق تحقيقه في باب الطلاق</w:t>
      </w:r>
      <w:r>
        <w:rPr>
          <w:rStyle w:val="FootnoteAnchor"/>
          <w:rtl w:val="true"/>
        </w:rPr>
        <w:footnoteReference w:id="95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فهذه جملة قيود التعريف، ومع ذلك فيَرِدُ عليه أمور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لم يُقيّد المولج بكونه ذَكَراً، فيدخُل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إيلاجُ الخنثى قدرَ حشفته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آخره، مع أن الزنى لا يتحقق فيه بذلك لاحتمال زيادته، كما لا يتحقق به الغُسلُ، فلابد من التقييد بالذكر ليَخرُج الخنثى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اعتبار بلوغه وعقله إنما يتم في تحقق زنى الفاعل، أما في زنى المرأة فلا خصوصاً العقل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ولهذا يجب عليها الحد بوطئهما لها، وإن كان في وطء الصبيّ يجب عليها الجَلْد خاصةً لكنّه حد في الجملة، بل هو الحد المنصوص في القرآن الكريم</w:t>
      </w:r>
      <w:r>
        <w:rPr>
          <w:rStyle w:val="FootnoteAnchor"/>
          <w:rtl w:val="true"/>
        </w:rPr>
        <w:footnoteReference w:id="956"/>
      </w:r>
      <w:r>
        <w:rPr>
          <w:rFonts w:eastAsia="Times New Roman" w:cs="Times New Roman" w:ascii="Times New Roman" w:hAnsi="Times New Roman"/>
          <w:color w:val="111111"/>
          <w:sz w:val="28"/>
          <w:szCs w:val="28"/>
          <w:rtl w:val="true"/>
          <w:lang w:val="en-US" w:bidi="en-US"/>
        </w:rPr>
        <w:t>.</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اعتبارُ كون الموطوءة امرأةً، وهي كما عرفت مؤنث الرجل، وهذا إنّما يُعتبر في تحقق ،زناها، أمّا زنى الفاعل فيتحقق بوطء الصغيرة كالكبيرة وإن لم يجب به الرَّجْمُ لو كان محصناً؛ فإنّ ذلك لا ينافي كونه زنى يوجب الحد كالسابق</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إيلاج قدر الحشفة أعم من كونه من الذكر وغيره؛ لتحقق المقدار فيهما والمقصود هو الأوّل، فلابد من ذكر ما يدلّ عليه بأن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قدر الحشفة من الذكرِ ونحوه، إلا أن يُدْعَى أنّ التبادر هو ذلك، وهو محلُّ نظر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الجمعُ بين العلم وانتفاء الشبهة غير جيد في التعريف كما سبق إلا أن يُخَصَّصَ العالمُ بنحوه وطء العامل عن الشبهة كالسكران والنائم، لا العالم بالتحريم مع كونه حاضر العقل والذهن</w:t>
      </w:r>
      <w:r>
        <w:rPr>
          <w:rStyle w:val="FootnoteAnchor"/>
          <w:rtl w:val="true"/>
        </w:rPr>
        <w:footnoteReference w:id="95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السادس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يخرُج زنى المرأة العالمة بغير العالم، كما لو جلست على فراشه متعمدةً قاصدةً للزنى، مع جهله بالحال، فإنه يتحقق من طرفها وإن انتفى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ومثله ما لو أكرهته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التعريف لزنى الفاعل خاصةً سَلِم من كثير مما ذكر، لكن يبقى فيه الإخلال بما يتحقق به زناها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وحيث اعتبر في الزنى انتفاء الشبهة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فلو تزوّج الأُمّ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أُمَّ المتزوّج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المحصنة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المزوّجة بغيره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ظانّا الحِلَّ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لقرب عهده من المجوسية ونحوها من الكفر، أو سكناه في بادية بعيدة عن أحكام الدين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 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للشبهة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الحدودُ تُدْرَأُ بالشبهات</w:t>
      </w:r>
      <w:r>
        <w:rPr>
          <w:rFonts w:eastAsia="Amiri" w:cs="Amiri" w:ascii="Amiri" w:hAnsi="Amiri"/>
          <w:color w:val="111111"/>
          <w:sz w:val="28"/>
          <w:szCs w:val="28"/>
          <w:rtl w:val="true"/>
          <w:lang w:bidi="ar-SA"/>
        </w:rPr>
        <w:t>»</w:t>
      </w:r>
      <w:r>
        <w:rPr>
          <w:rStyle w:val="FootnoteAnchor"/>
          <w:rtl w:val="true"/>
        </w:rPr>
        <w:footnoteReference w:id="958"/>
      </w:r>
      <w:r>
        <w:rPr>
          <w:rFonts w:eastAsia="Times New Roman" w:cs="Times New Roman" w:ascii="Times New Roman" w:hAnsi="Times New Roman"/>
          <w:color w:val="111111"/>
          <w:sz w:val="28"/>
          <w:szCs w:val="28"/>
          <w:rtl w:val="true"/>
          <w:lang w:val="en-US" w:bidi="en-US"/>
        </w:rPr>
        <w:t>.</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يكفي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تحقق الشبهة الدارِئَةِ للحدّ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العقد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المحرَّمة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بمجرّده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غير أن يَظُنَّ الحِلَّ إجماعاً منّا لانتفاء معنى الشبهة حينئذ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ونبه بذلك على خلاف أبي حنيفة</w:t>
      </w:r>
      <w:r>
        <w:rPr>
          <w:rStyle w:val="FootnoteAnchor"/>
          <w:rtl w:val="true"/>
        </w:rPr>
        <w:footnoteReference w:id="959"/>
      </w:r>
      <w:r>
        <w:rPr>
          <w:rFonts w:ascii="Amiri" w:hAnsi="Amiri" w:eastAsia="Amiri" w:cs="Amiri"/>
          <w:color w:val="111111"/>
          <w:sz w:val="28"/>
          <w:sz w:val="28"/>
          <w:szCs w:val="28"/>
          <w:rtl w:val="true"/>
          <w:lang w:bidi="ar-SA"/>
        </w:rPr>
        <w:t>حيث اكتفى به في دَرْء الحد، وهو الموجِبُ لتخصيصه البحث عن قيد الشبهة دون غيرها من قيود التعريف</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ويتحقق الإكراه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الزنى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أصح القولين</w:t>
      </w:r>
      <w:r>
        <w:rPr>
          <w:rStyle w:val="FootnoteAnchor"/>
          <w:rtl w:val="true"/>
        </w:rPr>
        <w:footnoteReference w:id="96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فيُدْرَأُ الحد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يُدرَاً عن المرأة بالإكراه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لها؛ لاشتراكهما في المعنى الموجِبِ لرفع الحكم، ولاستلزام عدمه في حقه التكليف بما لا يُطاق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وربما قيل</w:t>
      </w:r>
      <w:r>
        <w:rPr>
          <w:rStyle w:val="FootnoteAnchor"/>
          <w:rtl w:val="true"/>
        </w:rPr>
        <w:footnoteReference w:id="961"/>
      </w:r>
      <w:r>
        <w:rPr>
          <w:rFonts w:ascii="Amiri" w:hAnsi="Amiri" w:eastAsia="Amiri" w:cs="Amiri"/>
          <w:color w:val="111111"/>
          <w:sz w:val="28"/>
          <w:sz w:val="28"/>
          <w:szCs w:val="28"/>
          <w:rtl w:val="true"/>
          <w:lang w:bidi="ar-SA"/>
        </w:rPr>
        <w:t>بعدم تحققه في حقه بناءً على أنّ الشهوة غيرُ مقدورة، وأنّ الخوف يمنع من انتشار العضو وانبعاث القوة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ويُضعف بأنّ القدر الموجب للزنى وهو تغييب الحشفة غير متوقف على ذلك كله غالباً لو سُلّم توقفه على الاختيار، ومنع الخوف منه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ويثبت الزنى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طرف الرجل والمرأةِ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بالإقرار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أربعَ مرّاتٍ مع كمال المُقرّ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ببلوغه وعقله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واختياره وحرّيّته، أو تصديق المولى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فيما أَقَرَّ به؛ لأنّ المانع من نفوذه كونه إقراراً في حق المولى، وفي حكم تصديقه انعتاقه؛ لزوال المانع من نفوذه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فرق في الصبيّ بين المُراهِق وغيره في نفي الحدّ عنه بالإقرار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يُؤَدَّب لكذبه أو صدورِ الفعل عنه لامتناع خلوّه منهما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في المجنون بين المُطبق ومن بعْتَورُه أدواراً إذا وقع الإقرار حالة الجنون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لو أقرَّ حال كماله حكم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فرق في المملوك بين القِن والمدبَّر والمكاتب بقسميه وإنْ تَحَرَّر بعضُه، ومُطْلَقِ المُبَعَّضِ، وأُمّ الولد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وكذا لا فرق في غير المختار بين من الجِيَّ إليه بالتوعد وبين مَن ضُرِب حتّى ارتفع قصده</w:t>
      </w:r>
      <w:r>
        <w:rPr>
          <w:rFonts w:eastAsia="Amiri" w:cs="Amiri" w:ascii="Amiri" w:hAnsi="Amiri"/>
          <w:color w:val="111111"/>
          <w:sz w:val="28"/>
          <w:szCs w:val="28"/>
          <w:rtl w:val="true"/>
          <w:lang w:bidi="ar-SA"/>
        </w:rPr>
        <w:t>.</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ومقتضى إطلاق اشتراط ذلك عدم اشتراط تعدّد مجالس الإقرار بحسب تعدّده وهو أصح القولين</w:t>
      </w:r>
      <w:r>
        <w:rPr>
          <w:rStyle w:val="FootnoteAnchor"/>
          <w:rtl w:val="true"/>
        </w:rPr>
        <w:footnoteReference w:id="962"/>
      </w:r>
      <w:r>
        <w:rPr>
          <w:rFonts w:ascii="Amiri" w:hAnsi="Amiri" w:eastAsia="Amiri" w:cs="Amiri"/>
          <w:color w:val="111111"/>
          <w:sz w:val="28"/>
          <w:sz w:val="28"/>
          <w:szCs w:val="28"/>
          <w:rtl w:val="true"/>
          <w:lang w:bidi="ar-SA"/>
        </w:rPr>
        <w:t>للأصل، وقول الصادق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خبر جميل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ولا يُرجم الزاني حتى </w:t>
      </w:r>
    </w:p>
    <w:p>
      <w:pPr>
        <w:pStyle w:val="BookText"/>
        <w:rPr/>
      </w:pPr>
      <w:r>
        <w:rPr>
          <w:rFonts w:ascii="Amiri" w:hAnsi="Amiri" w:eastAsia="Amiri" w:cs="Amiri"/>
          <w:color w:val="111111"/>
          <w:sz w:val="28"/>
          <w:sz w:val="28"/>
          <w:szCs w:val="28"/>
          <w:rtl w:val="true"/>
          <w:lang w:bidi="ar-SA"/>
        </w:rPr>
        <w:t xml:space="preserve">يُقر أربع مرات </w:t>
      </w:r>
      <w:r>
        <w:rPr>
          <w:rFonts w:eastAsia="Amiri" w:cs="Amiri" w:ascii="Amiri" w:hAnsi="Amiri"/>
          <w:color w:val="111111"/>
          <w:sz w:val="28"/>
          <w:szCs w:val="28"/>
          <w:rtl w:val="true"/>
          <w:lang w:bidi="ar-SA"/>
        </w:rPr>
        <w:t>»</w:t>
      </w:r>
      <w:r>
        <w:rPr>
          <w:rStyle w:val="FootnoteAnchor"/>
          <w:rtl w:val="true"/>
        </w:rPr>
        <w:footnoteReference w:id="963"/>
      </w:r>
      <w:r>
        <w:rPr>
          <w:rFonts w:ascii="Amiri" w:hAnsi="Amiri" w:eastAsia="Amiri" w:cs="Amiri"/>
          <w:color w:val="111111"/>
          <w:sz w:val="28"/>
          <w:sz w:val="28"/>
          <w:szCs w:val="28"/>
          <w:rtl w:val="true"/>
          <w:lang w:bidi="ar-SA"/>
        </w:rPr>
        <w:t>من غير شرط التعدّد، فلو اشترط تَأخَّرَ البيانُ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يُعتبر كونه في أربعة مجالس</w:t>
      </w:r>
      <w:r>
        <w:rPr>
          <w:rStyle w:val="FootnoteAnchor"/>
          <w:rtl w:val="true"/>
        </w:rPr>
        <w:footnoteReference w:id="964"/>
      </w:r>
      <w:r>
        <w:rPr>
          <w:rFonts w:ascii="Amiri" w:hAnsi="Amiri" w:eastAsia="Amiri" w:cs="Amiri"/>
          <w:color w:val="111111"/>
          <w:sz w:val="28"/>
          <w:sz w:val="28"/>
          <w:szCs w:val="28"/>
          <w:rtl w:val="true"/>
          <w:lang w:bidi="ar-SA"/>
        </w:rPr>
        <w:t>لظاهر خبر ماعز بن مالك الأنصاري حيث أتى النبي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أربعة مواضع والنبي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يُرَدِّدُه ويُوقِفُ عَزْمَه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العلك قَبَّلْتَ أو غَمَرْتَ أو نَظَرت</w:t>
      </w:r>
      <w:r>
        <w:rPr>
          <w:rFonts w:eastAsia="Amiri" w:cs="Amiri" w:ascii="Amiri" w:hAnsi="Amiri"/>
          <w:color w:val="111111"/>
          <w:sz w:val="28"/>
          <w:szCs w:val="28"/>
          <w:rtl w:val="true"/>
          <w:lang w:bidi="ar-SA"/>
        </w:rPr>
        <w:t>»</w:t>
      </w:r>
      <w:r>
        <w:rPr>
          <w:rStyle w:val="FootnoteAnchor"/>
          <w:rtl w:val="true"/>
        </w:rPr>
        <w:footnoteReference w:id="965"/>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وفيه أنه لا يدلّ على الاشتراط وإنما وقعت المجالس اتفاقاً، والغرض من تأخيره إتيانه بالعدد المعتبر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ويكفي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الإقرار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إشارة الأخرس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المُفهمة يقيناً كغيره، ويُعتبر تعدّدُها أربعاً كاللفظ بطريق 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لم يفهمها الحاكم اعتبر المترجم، ويكفي اثنان؛ لأنهما شاهدان على إقرار لا على زنى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ولو نسب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الزنى إلى امرأةٍ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معيَّنةٍ كأن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زَنَيْتُ بفلانة،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نَسَبَتْه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المرأة المقرّة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معيّن بأن 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زنيتُ بفلانٍ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المقر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 القذف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لمن نسبه 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بأوّل مرّةٍ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لأنه قذف صريح، وإيجابه الحد لا يتوقف على تعدده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يجب 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 الزنى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أقرَّ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إلّا بأربع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مراتٍ، كما لو لم ينسبه إلى معيَّن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موضع ،وفاق، إنما الخلافُ في الأوّل، ووجه ثبوته ما ذُكِر، فإنّه قد رَمَى المحصنة أي غير المشهورة بالزنى؛ لأنه المفروض، ومن أنه إنما نسبه إلى نفسه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زنيت وزناه ليس مستلزماً لزناها لجواز الاشتباء عليها أو الإكراه، كما يُحتمل المطاوعة وعدم الشبهة، والعام لا يستلزم الخاص </w:t>
      </w:r>
      <w:r>
        <w:rPr>
          <w:rFonts w:eastAsia="Amiri" w:cs="Amiri" w:ascii="Amiri" w:hAnsi="Amiri"/>
          <w:color w:val="111111"/>
          <w:sz w:val="28"/>
          <w:szCs w:val="28"/>
          <w:rtl w:val="true"/>
          <w:lang w:bidi="ar-SA"/>
        </w:rPr>
        <w:t>.</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وهذا هو الذي اختاره المصنف في الشرح </w:t>
      </w:r>
      <w:r>
        <w:rPr>
          <w:rStyle w:val="FootnoteAnchor"/>
          <w:rtl w:val="true"/>
        </w:rPr>
        <w:footnoteReference w:id="966"/>
      </w:r>
      <w:r>
        <w:rPr>
          <w:rFonts w:ascii="Amiri" w:hAnsi="Amiri" w:eastAsia="Amiri" w:cs="Amiri"/>
          <w:color w:val="111111"/>
          <w:sz w:val="28"/>
          <w:sz w:val="28"/>
          <w:szCs w:val="28"/>
          <w:rtl w:val="true"/>
          <w:lang w:bidi="ar-SA"/>
        </w:rPr>
        <w:t xml:space="preserve">، وهو متجه إلا أن الأوّل أقوى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أن يَدَّعِي ما يُوجِب انتفاءه عنها كالإكراه والشبهة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عملاً بالعموم</w:t>
      </w:r>
      <w:r>
        <w:rPr>
          <w:rStyle w:val="FootnoteAnchor"/>
          <w:rtl w:val="true"/>
        </w:rPr>
        <w:footnoteReference w:id="967"/>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ومثله القولُ فى المرأة، وقد رُوي عن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سألتُ الفاجرةَ مَن فَجَر بكِ،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فلانٌ، جَلَدْتُها حدين حداً لفجور، وحداً لفِرْيَتها على الرجل المسلم</w:t>
      </w:r>
      <w:r>
        <w:rPr>
          <w:rFonts w:eastAsia="Amiri" w:cs="Amiri" w:ascii="Amiri" w:hAnsi="Amiri"/>
          <w:color w:val="111111"/>
          <w:sz w:val="28"/>
          <w:szCs w:val="28"/>
          <w:rtl w:val="true"/>
          <w:lang w:bidi="ar-SA"/>
        </w:rPr>
        <w:t>»</w:t>
      </w:r>
      <w:r>
        <w:rPr>
          <w:rStyle w:val="FootnoteAnchor"/>
          <w:rtl w:val="true"/>
        </w:rPr>
        <w:footnoteReference w:id="96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كذا يثبت الزنى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بالبينة، كما سلف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الشهادات من التفصيل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ولو شهد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أقل من النصاب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المعتبر فيه، وهو أربعة رجال أو ثلاثة وامرأتان أو رجلان وأربع نسوة وإن ثبت بالأخير الجَلْد خاصةً،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مَن شَهِد وإِنْ كان واحداً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للفزية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الكِذْبَة العظيمة؛ لأنّ الله تعالى سَمَّى من قذف ولم يَأْتِ بتمام الشهداء كاذباً</w:t>
      </w:r>
      <w:r>
        <w:rPr>
          <w:rStyle w:val="FootnoteAnchor"/>
          <w:rtl w:val="true"/>
        </w:rPr>
        <w:footnoteReference w:id="969"/>
      </w:r>
      <w:r>
        <w:rPr>
          <w:rFonts w:ascii="Amiri" w:hAnsi="Amiri" w:eastAsia="Amiri" w:cs="Amiri"/>
          <w:color w:val="111111"/>
          <w:sz w:val="28"/>
          <w:sz w:val="28"/>
          <w:szCs w:val="28"/>
          <w:rtl w:val="true"/>
          <w:lang w:bidi="ar-SA"/>
        </w:rPr>
        <w:t>، فيلزمه كذبُ مَن نَسَبه وجَزَم به مِن غير أن يكون الشهداء كاملين وإنْ كان صادقاً في نفس الأمر، والمراد أنّهم يُحدّون للقذف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ويُشترط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قبول الشهادة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ذكرُ المشاهدة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للإيلاج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كالميل في المُكحلة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فلا يكفي الشهادة بالزنى مطلقاً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تقدم في حديث ماعز</w:t>
      </w:r>
      <w:r>
        <w:rPr>
          <w:rStyle w:val="FootnoteAnchor"/>
          <w:rtl w:val="true"/>
        </w:rPr>
        <w:footnoteReference w:id="970"/>
      </w:r>
      <w:r>
        <w:rPr>
          <w:rFonts w:ascii="Amiri" w:hAnsi="Amiri" w:eastAsia="Amiri" w:cs="Amiri"/>
          <w:color w:val="111111"/>
          <w:sz w:val="28"/>
          <w:sz w:val="28"/>
          <w:szCs w:val="28"/>
          <w:rtl w:val="true"/>
          <w:lang w:bidi="ar-SA"/>
        </w:rPr>
        <w:t xml:space="preserve">ما ينبه عليه ، ورَوَى أبو بصير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يُرجَم الرجل والمرأة حتى يشهد عليهما أربعة شهداء على الجماع والإيلاج والإدخال كالمِيل في المُكحلة</w:t>
      </w:r>
      <w:r>
        <w:rPr>
          <w:rFonts w:eastAsia="Amiri" w:cs="Amiri" w:ascii="Amiri" w:hAnsi="Amiri"/>
          <w:color w:val="111111"/>
          <w:sz w:val="28"/>
          <w:szCs w:val="28"/>
          <w:rtl w:val="true"/>
          <w:lang w:bidi="ar-SA"/>
        </w:rPr>
        <w:t>»</w:t>
      </w:r>
      <w:r>
        <w:rPr>
          <w:rStyle w:val="FootnoteAnchor"/>
          <w:rtl w:val="true"/>
        </w:rPr>
        <w:footnoteReference w:id="97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 صحيحة الحلبي عنه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حد الرجم أن يَشهَد أربعة أنّهم رَأَوْهُ يُدخِلُ ويُخرج</w:t>
      </w:r>
      <w:r>
        <w:rPr>
          <w:rFonts w:eastAsia="Amiri" w:cs="Amiri" w:ascii="Amiri" w:hAnsi="Amiri"/>
          <w:color w:val="111111"/>
          <w:sz w:val="28"/>
          <w:szCs w:val="28"/>
          <w:rtl w:val="true"/>
          <w:lang w:bidi="ar-SA"/>
        </w:rPr>
        <w:t xml:space="preserve">» </w:t>
      </w:r>
      <w:r>
        <w:rPr>
          <w:rStyle w:val="FootnoteAnchor"/>
          <w:rtl w:val="true"/>
        </w:rPr>
        <w:footnoteReference w:id="97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وكذا لا يكفي دعوى المعاينة حتَّى يَضُمّوا إليها قولهم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غير عقد ولا شبهة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 ما يُعتبر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تكفي شهادتهم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غير علم سبب التحليل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بناءً على أصالة عدمه</w:t>
      </w:r>
      <w:r>
        <w:rPr>
          <w:rFonts w:eastAsia="Amiri" w:cs="Amiri" w:ascii="Amiri" w:hAnsi="Amiri"/>
          <w:color w:val="111111"/>
          <w:sz w:val="28"/>
          <w:szCs w:val="28"/>
          <w:rtl w:val="true"/>
          <w:lang w:bidi="ar-SA"/>
        </w:rPr>
        <w:t>.</w:t>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فلو لم يذكروا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شهادتهم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المعاينة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الوجه المتقدّم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للقذف، دون المشهود عليه ، وكذا لو شهدوا بها ولم يُكملوها بقولهم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نعلم سبب التحليل ونحوه</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ولابد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ذلك كله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اتفاقهم على الفعل الواحدِ في الزمان الواحد والمكان الواحد، فلو اختلفوا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أحدها بأن شهد بعضُهم على وجه مخصوص والباقون على غيره، أو شهد بعضُهم بالزنى عُدْوَةً والآخَرون عَشِيَّةً، أو بعضُهم في زاويةٍ مخصوصةٍ أو بيتٍ والآخرون فى غيره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حُدُّوا للقذف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وظاهر كلام المصنفِ وغيره</w:t>
      </w:r>
      <w:r>
        <w:rPr>
          <w:rStyle w:val="FootnoteAnchor"/>
          <w:rtl w:val="true"/>
        </w:rPr>
        <w:footnoteReference w:id="973"/>
      </w:r>
      <w:r>
        <w:rPr>
          <w:rFonts w:ascii="Amiri" w:hAnsi="Amiri" w:eastAsia="Amiri" w:cs="Amiri"/>
          <w:color w:val="111111"/>
          <w:sz w:val="28"/>
          <w:sz w:val="28"/>
          <w:szCs w:val="28"/>
          <w:rtl w:val="true"/>
          <w:lang w:bidi="ar-SA"/>
        </w:rPr>
        <w:t xml:space="preserve">أنه لابد من ذكر الثلاثة في الشهادة والاتفاق عليها فلو أطلقوا أو بعضُهم حُدُّوا وإنْ لم يتحقق الاختلاف مع احتمال الاكتفاء بالإطلاق لإطلاق الأخبار السابقة وغيرها </w:t>
      </w:r>
      <w:r>
        <w:rPr>
          <w:rStyle w:val="FootnoteAnchor"/>
          <w:rtl w:val="true"/>
        </w:rPr>
        <w:footnoteReference w:id="974"/>
      </w:r>
      <w:r>
        <w:rPr>
          <w:rFonts w:ascii="Amiri" w:hAnsi="Amiri" w:eastAsia="Amiri" w:cs="Amiri"/>
          <w:color w:val="111111"/>
          <w:sz w:val="28"/>
          <w:sz w:val="28"/>
          <w:szCs w:val="28"/>
          <w:rtl w:val="true"/>
          <w:lang w:bidi="ar-SA"/>
        </w:rPr>
        <w:t>، واشتراط عدم الاختلاف حيث يُقيدون بأحد الثلاثة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وكذا يُشترط اجتماعهم حال إقامتها دفعةً، بمعنى أن لا يحصل بين الشهادات تراخ</w:t>
      </w:r>
      <w:r>
        <w:rPr>
          <w:rStyle w:val="FootnoteAnchor"/>
          <w:rtl w:val="true"/>
        </w:rPr>
        <w:footnoteReference w:id="975"/>
      </w:r>
      <w:r>
        <w:rPr>
          <w:rFonts w:ascii="Amiri" w:hAnsi="Amiri" w:eastAsia="Amiri" w:cs="Amiri"/>
          <w:color w:val="111111"/>
          <w:sz w:val="28"/>
          <w:sz w:val="28"/>
          <w:szCs w:val="28"/>
          <w:rtl w:val="true"/>
          <w:lang w:bidi="ar-SA"/>
        </w:rPr>
        <w:t>عرفاً، لا بمعنى تلفّظهم بها دفعةً وإن كان جائزاً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أقام بعضُهم الشهادة في غيبة الباقي حُدُّوا ولم يُرتَقَب الإتمام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تأخير في حد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وقد رُوِيَ عن علي في ثلاثة شهدوا على رجل بالزنى، فقال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أين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الآن يجيء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حُدُّوهم، فليس في الحدود نَظُرُ ساعةٍ</w:t>
      </w:r>
      <w:r>
        <w:rPr>
          <w:rFonts w:eastAsia="Amiri" w:cs="Amiri" w:ascii="Amiri" w:hAnsi="Amiri"/>
          <w:color w:val="111111"/>
          <w:sz w:val="28"/>
          <w:szCs w:val="28"/>
          <w:rtl w:val="true"/>
          <w:lang w:bidi="ar-SA"/>
        </w:rPr>
        <w:t>»</w:t>
      </w:r>
      <w:r>
        <w:rPr>
          <w:rStyle w:val="FootnoteAnchor"/>
          <w:rtl w:val="true"/>
        </w:rPr>
        <w:footnoteReference w:id="97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وهل يُشترط حضورُهم في مجلس الحكم دفعةً قبل اجتماعهم على الإقامة ؟ ،قولان اختار أوّلَهما العلّامة في القواعد</w:t>
      </w:r>
      <w:r>
        <w:rPr>
          <w:rStyle w:val="FootnoteAnchor"/>
          <w:rtl w:val="true"/>
        </w:rPr>
        <w:footnoteReference w:id="977"/>
      </w:r>
      <w:r>
        <w:rPr>
          <w:rFonts w:ascii="Amiri" w:hAnsi="Amiri" w:eastAsia="Amiri" w:cs="Amiri"/>
          <w:color w:val="111111"/>
          <w:sz w:val="28"/>
          <w:sz w:val="28"/>
          <w:szCs w:val="28"/>
          <w:rtl w:val="true"/>
          <w:lang w:bidi="ar-SA"/>
        </w:rPr>
        <w:t>وثانيهما في التحرير</w:t>
      </w:r>
      <w:r>
        <w:rPr>
          <w:rStyle w:val="FootnoteAnchor"/>
          <w:rtl w:val="true"/>
        </w:rPr>
        <w:footnoteReference w:id="978"/>
      </w:r>
      <w:r>
        <w:rPr>
          <w:rFonts w:ascii="Amiri" w:hAnsi="Amiri" w:eastAsia="Amiri" w:cs="Amiri"/>
          <w:color w:val="111111"/>
          <w:sz w:val="28"/>
          <w:sz w:val="28"/>
          <w:szCs w:val="28"/>
          <w:rtl w:val="true"/>
          <w:lang w:bidi="ar-SA"/>
        </w:rPr>
        <w:t>وهو الأجود؛ لتحقق الشهادةِ المُتَّفِقَةِ، وعدم ظهور المنافي مع الشكّ في اشتراط الحضور دفعة والنص لا يدلّ على أزيد من اعتبار عدم تراخي الشهادات</w:t>
      </w:r>
      <w:r>
        <w:rPr>
          <w:rFonts w:eastAsia="Amiri" w:cs="Amiri" w:ascii="Amiri" w:hAnsi="Amiri"/>
          <w:color w:val="111111"/>
          <w:sz w:val="28"/>
          <w:szCs w:val="28"/>
          <w:rtl w:val="true"/>
          <w:lang w:bidi="ar-SA"/>
        </w:rPr>
        <w:t>.</w:t>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ويتفرع عليهما ما لو تَلاحَقُوا واتصلت شهادتهم بحيث لم يحصل التأخير، فعلى الأوّل يُحدّون هنا بطريق أولى، وعلى الثاني يُحتمل القبول وعدمه؛ نظراً إلى فَقَدِ شرط </w:t>
      </w:r>
    </w:p>
    <w:p>
      <w:pPr>
        <w:pStyle w:val="BookText"/>
        <w:rPr/>
      </w:pPr>
      <w:r>
        <w:rPr>
          <w:rFonts w:ascii="Amiri" w:hAnsi="Amiri" w:eastAsia="Amiri" w:cs="Amiri"/>
          <w:color w:val="111111"/>
          <w:sz w:val="28"/>
          <w:sz w:val="28"/>
          <w:szCs w:val="28"/>
          <w:rtl w:val="true"/>
          <w:lang w:bidi="ar-SA"/>
        </w:rPr>
        <w:t>الاجتماع حالة الإقامة دفعةً، وانتفاء العلّةِ الموجبة للاجتماع وهي تأخير حدّ القاذف فإنّه لم يتحقق هنا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وحيث يُحدّ الشاهد أولاً قبل حضور أصحابه إما مطلقاً أو مع التراخي،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جاء الآخرون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وشهدوا حُدُّوا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لفقد شرط القبول في المتأخر كالسابق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يقدح تقادم الزنى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المشهود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صحة الشهادة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للأصل، وما رُوِيَ في بعض الأخبار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متى زاد عن ستة أشهر لا يُسْمَعُ</w:t>
      </w:r>
      <w:r>
        <w:rPr>
          <w:rFonts w:eastAsia="Amiri" w:cs="Amiri" w:ascii="Amiri" w:hAnsi="Amiri"/>
          <w:color w:val="111111"/>
          <w:sz w:val="28"/>
          <w:szCs w:val="28"/>
          <w:rtl w:val="true"/>
          <w:lang w:bidi="ar-SA"/>
        </w:rPr>
        <w:t>»</w:t>
      </w:r>
      <w:r>
        <w:rPr>
          <w:rStyle w:val="FootnoteAnchor"/>
          <w:rtl w:val="true"/>
        </w:rPr>
        <w:footnoteReference w:id="979"/>
      </w:r>
      <w:r>
        <w:rPr>
          <w:rFonts w:ascii="Amiri" w:hAnsi="Amiri" w:eastAsia="Amiri" w:cs="Amiri"/>
          <w:color w:val="111111"/>
          <w:sz w:val="28"/>
          <w:sz w:val="28"/>
          <w:szCs w:val="28"/>
          <w:rtl w:val="true"/>
          <w:lang w:bidi="ar-SA"/>
        </w:rPr>
        <w:t>شاذَّ</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يَسقُط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 ولا الشهادة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بتصديق الزاني الشهود ولا بتكذيبهم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أما مع التصديق فظاهر، وأما مع التكذيب فلأنّ تكذيب المشهود عليه لو أَثَر لَزِم تعطّلُ الأحكام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والتوبة قبل قيام البينة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على الزاني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تُسقط الحد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جلداً كان أم رجماً، على المشهور؛ لاشتراكهما في المقتضي للإسقاط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لا يسقط على المشهور للأصل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يتخيَّر الإمام في العفو عنه والإقامة</w:t>
      </w:r>
      <w:r>
        <w:rPr>
          <w:rStyle w:val="FootnoteAnchor"/>
          <w:rtl w:val="true"/>
        </w:rPr>
        <w:footnoteReference w:id="98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ولو كانت التوبةُ قبل الإقرار فأولى بالسقوط، وبعده يتخيَّر الإمام في إقامته، وسيأتي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ويَسقُط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بدعوى الجهالة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بالتحريم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الشبهة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ظننتُ أنّها حَلَّتْ بإجارتها نفسها أو تحليلها، أو نحو 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 إمكانهما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الجهالة والشبهة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حقه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فلو كان ممن لا يُحتمل جهله بمثل ذلك لم يُسمع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وإذا ثبت الزني على الوجه المذكور وجب الحدُّ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الزاني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وهو أقسام ثمانية </w:t>
      </w:r>
      <w:r>
        <w:rPr>
          <w:rFonts w:eastAsia="Amiri" w:cs="Amiri" w:ascii="Amiri" w:hAnsi="Amiri"/>
          <w:color w:val="111111"/>
          <w:sz w:val="28"/>
          <w:szCs w:val="28"/>
          <w:rtl w:val="true"/>
          <w:lang w:bidi="ar-SA"/>
        </w:rPr>
        <w:t>:)</w:t>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القتل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بالسيف ونحوه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وهو للزاني بالمَحرَم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النسبي من النساء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كالأُمّ والأختِ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والعمّة والخالة وبنت الأخ والأُختِ، أما غيره من المحارم بالمصاهرة كبنتِ </w:t>
      </w:r>
    </w:p>
    <w:p>
      <w:pPr>
        <w:pStyle w:val="BookText"/>
        <w:rPr/>
      </w:pPr>
      <w:r>
        <w:rPr>
          <w:rFonts w:ascii="Amiri" w:hAnsi="Amiri" w:eastAsia="Amiri" w:cs="Amiri"/>
          <w:color w:val="111111"/>
          <w:sz w:val="28"/>
          <w:sz w:val="28"/>
          <w:szCs w:val="28"/>
          <w:rtl w:val="true"/>
          <w:lang w:bidi="ar-SA"/>
        </w:rPr>
        <w:t>الزوجة وأُمِّها، فكغيرهنّ من الأجانب، على ما يظهر من الفتاوى والأخبار</w:t>
      </w:r>
      <w:r>
        <w:rPr>
          <w:rStyle w:val="FootnoteAnchor"/>
          <w:rtl w:val="true"/>
        </w:rPr>
        <w:footnoteReference w:id="981"/>
      </w:r>
      <w:r>
        <w:rPr>
          <w:rFonts w:ascii="Amiri" w:hAnsi="Amiri" w:eastAsia="Amiri" w:cs="Amiri"/>
          <w:color w:val="111111"/>
          <w:sz w:val="28"/>
          <w:sz w:val="28"/>
          <w:szCs w:val="28"/>
          <w:rtl w:val="true"/>
          <w:lang w:bidi="ar-SA"/>
        </w:rPr>
        <w:t>خالية من تخصيص النسبي، بل الحكم فيها معلق على ذات المَحرَم مطلقاً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مَن حُرِّمَت بالملاعنة والطلاقِ وأُختُ المُوقَب وبنته وأُمُّه، فلا وإنْ حَرُمْنَ مَؤبّداً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إلحاق المحرم للرضاع بالنسب وجه، مأخذه إلحاقه به في كثير من الأحكام؛ للخبر</w:t>
      </w:r>
      <w:r>
        <w:rPr>
          <w:rStyle w:val="FootnoteAnchor"/>
          <w:rtl w:val="true"/>
        </w:rPr>
        <w:footnoteReference w:id="982"/>
      </w:r>
      <w:r>
        <w:rPr>
          <w:rFonts w:ascii="Amiri" w:hAnsi="Amiri" w:eastAsia="Amiri" w:cs="Amiri"/>
          <w:color w:val="111111"/>
          <w:sz w:val="28"/>
          <w:sz w:val="28"/>
          <w:szCs w:val="28"/>
          <w:rtl w:val="true"/>
          <w:lang w:bidi="ar-SA"/>
        </w:rPr>
        <w:t>، لكن لم نَقِفْ على قائل به، والأخبار تَتَنَاوَلُه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إلحاق زوجة الأب والابن وموطوءة الأب بالملك بالمحرم النسبي قولان</w:t>
      </w:r>
      <w:r>
        <w:rPr>
          <w:rFonts w:eastAsia="Amiri" w:cs="Amiri" w:ascii="Amiri" w:hAnsi="Amiri"/>
          <w:color w:val="111111"/>
          <w:sz w:val="28"/>
          <w:szCs w:val="28"/>
          <w:rtl w:val="true"/>
          <w:lang w:bidi="ar-SA"/>
        </w:rPr>
        <w:t>:</w:t>
      </w:r>
      <w:r>
        <w:rPr>
          <w:rStyle w:val="FootnoteAnchor"/>
          <w:rtl w:val="true"/>
        </w:rPr>
        <w:footnoteReference w:id="983"/>
      </w:r>
      <w:r>
        <w:rPr>
          <w:rFonts w:ascii="Amiri" w:hAnsi="Amiri" w:eastAsia="Amiri" w:cs="Amiri"/>
          <w:color w:val="111111"/>
          <w:sz w:val="28"/>
          <w:sz w:val="28"/>
          <w:szCs w:val="28"/>
          <w:rtl w:val="true"/>
          <w:lang w:bidi="ar-SA"/>
        </w:rPr>
        <w:t>من دخولهنّ في ذات المحرم وأصالة العدم، ولا يخفى أن إلحاقهن بالمحرم دون غيرهنّ من المحارم بالمصاهرة تحكّم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يمكن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دلّت النصوص </w:t>
      </w:r>
      <w:r>
        <w:rPr>
          <w:rStyle w:val="FootnoteAnchor"/>
          <w:rtl w:val="true"/>
        </w:rPr>
        <w:footnoteReference w:id="984"/>
      </w:r>
      <w:r>
        <w:rPr>
          <w:rFonts w:ascii="Amiri" w:hAnsi="Amiri" w:eastAsia="Amiri" w:cs="Amiri"/>
          <w:color w:val="111111"/>
          <w:sz w:val="28"/>
          <w:sz w:val="28"/>
          <w:szCs w:val="28"/>
          <w:rtl w:val="true"/>
          <w:lang w:bidi="ar-SA"/>
        </w:rPr>
        <w:t>على ثبوت الحكم في ذات المحرم مطلقاً فيتناولهنّ، وخروجُ غيرهن بدليل آخَرَ كالإجماع لا ينفي الحكم فيهنّ مع ثبوت الخلاف، لكن يبقى الكلام في تحقق الإجماع في غيرهن</w:t>
      </w:r>
      <w:r>
        <w:rPr>
          <w:rFonts w:eastAsia="Amiri" w:cs="Amiri" w:ascii="Amiri" w:hAnsi="Amiri"/>
          <w:color w:val="111111"/>
          <w:sz w:val="28"/>
          <w:szCs w:val="28"/>
          <w:rtl w:val="true"/>
          <w:lang w:bidi="ar-SA"/>
        </w:rPr>
        <w:t>.</w:t>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كذا يثبت الحدُّ بالقتل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للذمّي إذا زَنَى بمسلمة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مطاوعة أو مكرهة، عاقداً عليها أم لا نعم لو اعتقده حلالاً بذلك لجهله بحكم الإسلام احتمل قبول عذره؛ لأنّ الحدَّ يُدْرَأُ بالشبهة، وعدمه؛ للعموم </w:t>
      </w:r>
      <w:r>
        <w:rPr>
          <w:rStyle w:val="FootnoteAnchor"/>
          <w:rtl w:val="true"/>
        </w:rPr>
        <w:footnoteReference w:id="985"/>
      </w:r>
      <w:r>
        <w:rPr>
          <w:rFonts w:ascii="Amiri" w:hAnsi="Amiri" w:eastAsia="Amiri" w:cs="Amiri"/>
          <w:color w:val="111111"/>
          <w:sz w:val="28"/>
          <w:sz w:val="28"/>
          <w:szCs w:val="28"/>
          <w:rtl w:val="true"/>
          <w:lang w:bidi="ar-SA"/>
        </w:rPr>
        <w:t>ولا يسقط عنه القتل بإسلامه والزاني مكرهاً للمرأة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والحكم فى الأخبار</w:t>
      </w:r>
      <w:r>
        <w:rPr>
          <w:rStyle w:val="FootnoteAnchor"/>
          <w:rtl w:val="true"/>
        </w:rPr>
        <w:footnoteReference w:id="986"/>
      </w:r>
      <w:r>
        <w:rPr>
          <w:rFonts w:ascii="Amiri" w:hAnsi="Amiri" w:eastAsia="Amiri" w:cs="Amiri"/>
          <w:color w:val="111111"/>
          <w:sz w:val="28"/>
          <w:sz w:val="28"/>
          <w:szCs w:val="28"/>
          <w:rtl w:val="true"/>
          <w:lang w:bidi="ar-SA"/>
        </w:rPr>
        <w:t xml:space="preserve">والفتوى معلق على المرأة، وهي كما سلف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تتناول الصغيرة، ففي إلحاقها بها هنا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نظر من فقدِ النصّ وأصالة العدم، ومن أنّ الفعل أفحش والتحريمَ فيها أقوى</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يُعتبر الإحصانُ هنا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المواضع الثلاثة؛ لإطلاق النصوص بقتله، وكذا لا فرق بين الشيخ والشاب ولا بين المسلم والكافر والحرّ والعبد ولا تلحق به المرأة لو أكرهته؛ للأصل مع احتماله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ويُجمع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للزاني في هذه الصور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بين الجَلدِ ثم القتل على الأقوى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جمعاً بين الأدلّة، فإنّ الآيةَ </w:t>
      </w:r>
      <w:r>
        <w:rPr>
          <w:rStyle w:val="FootnoteAnchor"/>
          <w:rtl w:val="true"/>
        </w:rPr>
        <w:footnoteReference w:id="987"/>
      </w:r>
      <w:r>
        <w:rPr>
          <w:rFonts w:ascii="Amiri" w:hAnsi="Amiri" w:eastAsia="Amiri" w:cs="Amiri"/>
          <w:color w:val="111111"/>
          <w:sz w:val="28"/>
          <w:sz w:val="28"/>
          <w:szCs w:val="28"/>
          <w:rtl w:val="true"/>
          <w:lang w:bidi="ar-SA"/>
        </w:rPr>
        <w:t>دَلَّتْ على جَلد مطلق الزاني والرواياتِ دلت على قتل مَن ذُكِر، ولا منافاة بينهما فيجب الجمع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ابن إدريس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هؤلاء إن كانوا محصنين جُلِدُوا ثمّ رُجِموا، وإن كانوا غير محصنين جُلِدوا ثمّ قتلوا بغير الرجم جمعاً بين الأدلة</w:t>
      </w:r>
      <w:r>
        <w:rPr>
          <w:rStyle w:val="FootnoteAnchor"/>
          <w:rtl w:val="true"/>
        </w:rPr>
        <w:footnoteReference w:id="98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 تحقق الجمع بذلك مطلقاً نظر؛ لأنّ النصوص دلّت على قتله بالسيف، والرجمُ يُغايره، إلا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الرجمَ أعظمُ عقوبةً والفعل هنا في الثلاثة أفحش فإذا ثبت الأقوى للزاني المحصَنِ بغير مَن ذُكِر، ففيه أولى مع صدق أصل القتل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اختاره المصنّف أوضح في الجمع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وثانيها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الرجم ويجب على المحصن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بفتح الصاد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زَنَى ببالغةٍ عاقلةٍ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حرّةً كانت أم أمةً مسلمة أم كافرة</w:t>
      </w:r>
      <w:r>
        <w:rPr>
          <w:rFonts w:eastAsia="Amiri" w:cs="Amiri" w:ascii="Amiri" w:hAnsi="Amiri"/>
          <w:color w:val="111111"/>
          <w:sz w:val="28"/>
          <w:szCs w:val="28"/>
          <w:rtl w:val="true"/>
          <w:lang w:bidi="ar-SA"/>
        </w:rPr>
        <w:t>.</w:t>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والإحصانُ إصابة البالغ العاقل الحرّ فرجاً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قبلاً مملوكاً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بالعقدِ الدائم أو الرق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متمكناً بعد ذلك منه بحيث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يَغْدُو عليه ويَرُوح</w:t>
      </w:r>
      <w:r>
        <w:rPr>
          <w:rStyle w:val="FootnoteAnchor"/>
          <w:rtl w:val="true"/>
        </w:rPr>
        <w:footnoteReference w:id="98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يتمكن منه أول النهار وآخِرَه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إصابةً معلومةً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بحيث غابت الحشفه أو قدرُها في القُبُل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فلو أَنكَر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يملك الفرج على الوجه المذكور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وط زوجته صُدِّق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بغير يمين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 كان له منها ولدٌ ؛ لأنّ الولد قد يخلق من استرسال المني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بغير وطء</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فهذه قيود ثمانية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الإصابة، أي الوطء قبلاً على وجه يُوجب الغسل، فلا يكفي مجرّد العقد ولا الخَلوةُ التامة ولا إصابةُ الدُبر ولا ما بين الفَخِذَين ولا في القُبُل على وجه لا يوجب الغسل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يُشترط الإنزالُ ولا سلامةُ الخُصْيَتَيْن فيتحقق من الخَصِيّ ونحوه، لا من المجبوب وإنْ ساحَق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وثانيها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الواطئ بالغاً، فلو أولج الصبي حتّى غُيِّبَ مقدار الحشفة لم يكن محصناً وإن كان مراهقاً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وثالثها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عاقلاً، فلو وَطِئَ مجنوناً وإنْ عَقَد عاقلاً لم يتحقق الإحصانُ، ويتحقق بوطئه عاقلاً وإن تجدد جنونه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ورابعها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الحرّية، فلو وَطِئَ العبد زوجته حرّةً وأمةً لم يكن محصناً وإنْ عَتَق ما لم يَطَأ بعده ولا فرق بين القِنّ والمدبَّر والمكاتب بقسميه والمبعض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وخامسها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يكون الوطء لفرج، فلا يكفي الدبر ولا التفخيذ ونحوه، كما سلف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دَلالة الفرج والإصابة على ذلك نظر؛ لما تقدّم من أنّ الفرجَ يُطلق لغةً على ما يَشقُل الدبر، وقد أطلقه عليه، فتخصيصه هنا مع الإطلاق وإن دلّ عليه العرفُ ليس بجيد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بعض نُسَخ الكتاب زيادة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قُبلاً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فرجاً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تقييد لما أطلق منه، ومعه يُوافِق ما سلف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وسادسُها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كونه مملوكاً له بالعقدِ الدائم أو مِلكِ اليمين، فلا يتحقق بوطء الزنى ولا الشبهة وإن كانت بعقد فاسد، ولا المتعة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إلحاق التحليل بملك اليمين وجه؛ لدخوله فيه من حيث الحِلّ وإلا لبطل الحصرُ المستفاد من الآية</w:t>
      </w:r>
      <w:r>
        <w:rPr>
          <w:rStyle w:val="FootnoteAnchor"/>
          <w:rtl w:val="true"/>
        </w:rPr>
        <w:footnoteReference w:id="99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أقف فيه هنا على شيء</w:t>
      </w:r>
      <w:r>
        <w:rPr>
          <w:rFonts w:eastAsia="Amiri" w:cs="Amiri" w:ascii="Amiri" w:hAnsi="Amiri"/>
          <w:color w:val="111111"/>
          <w:sz w:val="28"/>
          <w:szCs w:val="28"/>
          <w:rtl w:val="true"/>
          <w:lang w:bidi="ar-SA"/>
        </w:rPr>
        <w:t>.</w:t>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وسابعُها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كونه متمكناً منه غُدُوّاً ورواحاً، فلو كان بعيداً عنه لا يتمكن منه فيهما وإنْ تمكن في أحدهما أو فيما بينهما أو محبوساً لا يتمكن من الوصول إليه لم يكن محصناً وإن كان قد دَخَل قبل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فرق في البعيد بين كونه دون مسافة القصر وأزيد</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وثامنها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كون الإصابة معلومةً، ويتحقق العلم بإقراره بها أو بالبينة، لا بالخلوة ولا الولد؛ لأنهما أعمُّ كما ذُكِر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واعلم أنّ الإصابة أعم ممّا يُعتبر منها، وكذا الفرج، كما ذُكر، فلو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تَغَيُّبُ قدرِ حشفة البالغ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قبل مملوك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آخره، كان أوضح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وشمل إطلاق إصابة الفرج ما لو كانت صغيرة وكبيرةً، عاقلة ومجنونة، وليس كذلك، بل يُعتبر بلوغ الموطوءة كالواطئ ولا يتحقق فيهما بدونه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المذكور كلّه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تصير المرأة محصنةً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ومقتضى ذلك صيرورة الأمة والصغيرة محصنةً؛ لتحقق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إصابة البالغ</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إلخ فرجاً مملوكاً، وليس كذلك، بل يُعتبر فيها البلوغ والعقل والحرّية كالرجل، وفي الواطئ البلوغ دون العقل؛ فالمحصنة حينئذ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المصابة حرّةً بالغةً عاقلةً من زوج بالغ دائم في القُبل، بما يُوجب الغسل، إصابة معلومة فلو أنكرتْ ذاتُ الولد منه وطءه لم يثبت إحصانها وإن ادعاه، وثبت في حقه كعكسه، وأما التمكن من الوطء فإنّما يُعتبر في حقه خاصةً، فلابد من مراعاته في تعريفها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ويمكن أن يريد بقوله وبذلك تصير المرأة محصنة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الشروط المعتبرة فيه تُعتبر فيها بحيث تُجعَل بدله بنوع من التكلّف، فتَخرُج الصغيرة والمجنونة والأمة، وإن دخل حينئذٍ ما دخل في تعريفه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يُشترط في الإحصانِ الإسلام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فيثبت في حق الكافر والكافرة مطلقاً إذا حصلت الشرائط، فلو وَطِئَ الذمّي زوجته الدائمة تحقق الإحصانُ، وكذا لو وَطِئَ المسلم زوجته الذمّيّة حيث تكون دائمةً،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عدم الطلاق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فلو زَنَى المطلق، أو تزوجت المطلَّقة عالمةً بالتحريم أو زَنَتْ رُجمت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كانت العدة رجعيةً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لأنها في حكم الزوجة وإن لم تَتَمَكَّن هي من الرجعة كما لا يُعتبر تمكنها من الوطء،</w:t>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بخلاف البائن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لانقطاع العصمة به، فلابد في تحقق الإحصان بعده من وطء جديد، سواء تجدَّدَ الدوام بعقد جديد أم برجوعه في الطلاق حيث رجعت في البذل، وكذا يُعتبر </w:t>
      </w:r>
    </w:p>
    <w:p>
      <w:pPr>
        <w:pStyle w:val="BookText"/>
        <w:rPr/>
      </w:pPr>
      <w:r>
        <w:rPr>
          <w:rFonts w:ascii="Amiri" w:hAnsi="Amiri" w:eastAsia="Amiri" w:cs="Amiri"/>
          <w:color w:val="111111"/>
          <w:sz w:val="28"/>
          <w:sz w:val="28"/>
          <w:szCs w:val="28"/>
          <w:rtl w:val="true"/>
          <w:lang w:bidi="ar-SA"/>
        </w:rPr>
        <w:t>وطء المملوك بعد عتقه وإن كان مكاتباً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والأقربُ الجمع بين الجلد والرجم في المحصن وإن كان شاباً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جمعاً بين دليل الآية</w:t>
      </w:r>
      <w:r>
        <w:rPr>
          <w:rStyle w:val="FootnoteAnchor"/>
          <w:rtl w:val="true"/>
        </w:rPr>
        <w:footnoteReference w:id="991"/>
      </w:r>
      <w:r>
        <w:rPr>
          <w:rFonts w:ascii="Amiri" w:hAnsi="Amiri" w:eastAsia="Amiri" w:cs="Amiri"/>
          <w:color w:val="111111"/>
          <w:sz w:val="28"/>
          <w:sz w:val="28"/>
          <w:szCs w:val="28"/>
          <w:rtl w:val="true"/>
          <w:lang w:bidi="ar-SA"/>
        </w:rPr>
        <w:t>والرواية</w:t>
      </w:r>
      <w:r>
        <w:rPr>
          <w:rStyle w:val="FootnoteAnchor"/>
          <w:rtl w:val="true"/>
        </w:rPr>
        <w:footnoteReference w:id="99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يُجمع</w:t>
      </w:r>
      <w:r>
        <w:rPr>
          <w:rStyle w:val="FootnoteAnchor"/>
          <w:rtl w:val="true"/>
        </w:rPr>
        <w:footnoteReference w:id="993"/>
      </w:r>
      <w:r>
        <w:rPr>
          <w:rFonts w:ascii="Amiri" w:hAnsi="Amiri" w:eastAsia="Amiri" w:cs="Amiri"/>
          <w:color w:val="111111"/>
          <w:sz w:val="28"/>
          <w:sz w:val="28"/>
          <w:szCs w:val="28"/>
          <w:rtl w:val="true"/>
          <w:lang w:bidi="ar-SA"/>
        </w:rPr>
        <w:t>بينهما على المحصن إذا كان شيخاً أو شيخة وغيرهما يُقتصر فيه على الرجم</w:t>
      </w:r>
      <w:r>
        <w:rPr>
          <w:rStyle w:val="FootnoteAnchor"/>
          <w:rtl w:val="true"/>
        </w:rPr>
        <w:footnoteReference w:id="994"/>
      </w:r>
      <w:r>
        <w:rPr>
          <w:rFonts w:ascii="Amiri" w:hAnsi="Amiri" w:eastAsia="Amiri" w:cs="Amiri"/>
          <w:color w:val="111111"/>
          <w:sz w:val="28"/>
          <w:sz w:val="28"/>
          <w:szCs w:val="28"/>
          <w:rtl w:val="true"/>
          <w:lang w:bidi="ar-SA"/>
        </w:rPr>
        <w:t>، وربما قيل بالاقتصار على رجمه مطلقاً</w:t>
      </w:r>
      <w:r>
        <w:rPr>
          <w:rStyle w:val="FootnoteAnchor"/>
          <w:rtl w:val="true"/>
        </w:rPr>
        <w:footnoteReference w:id="99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والأقوى ما اختاره المصنّف؛ لدلالة الأخبار الصحيحة</w:t>
      </w:r>
      <w:r>
        <w:rPr>
          <w:rStyle w:val="FootnoteAnchor"/>
          <w:rtl w:val="true"/>
        </w:rPr>
        <w:footnoteReference w:id="996"/>
      </w:r>
      <w:r>
        <w:rPr>
          <w:rFonts w:ascii="Amiri" w:hAnsi="Amiri" w:eastAsia="Amiri" w:cs="Amiri"/>
          <w:color w:val="111111"/>
          <w:sz w:val="28"/>
          <w:sz w:val="28"/>
          <w:szCs w:val="28"/>
          <w:rtl w:val="true"/>
          <w:lang w:bidi="ar-SA"/>
        </w:rPr>
        <w:t xml:space="preserve">عليه، وفي كلام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حين جَمَع للمرأة بينهما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حَدَدْتُها بكتاب الله ورَجَمتُها بسنّة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وآله وسلم</w:t>
      </w:r>
      <w:r>
        <w:rPr>
          <w:rFonts w:eastAsia="Amiri" w:cs="Amiri" w:ascii="Amiri" w:hAnsi="Amiri"/>
          <w:color w:val="111111"/>
          <w:sz w:val="28"/>
          <w:szCs w:val="28"/>
          <w:rtl w:val="true"/>
          <w:lang w:bidi="ar-SA"/>
        </w:rPr>
        <w:t>) »</w:t>
      </w:r>
      <w:r>
        <w:rPr>
          <w:rStyle w:val="FootnoteAnchor"/>
          <w:rtl w:val="true"/>
        </w:rPr>
        <w:footnoteReference w:id="99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ومستند التفصيل روايةٌ</w:t>
      </w:r>
      <w:r>
        <w:rPr>
          <w:rStyle w:val="FootnoteAnchor"/>
          <w:rtl w:val="true"/>
        </w:rPr>
        <w:footnoteReference w:id="998"/>
      </w:r>
      <w:r>
        <w:rPr>
          <w:rFonts w:ascii="Amiri" w:hAnsi="Amiri" w:eastAsia="Amiri" w:cs="Amiri"/>
          <w:color w:val="111111"/>
          <w:sz w:val="28"/>
          <w:sz w:val="28"/>
          <w:szCs w:val="28"/>
          <w:rtl w:val="true"/>
          <w:lang w:bidi="ar-SA"/>
        </w:rPr>
        <w:t>تَقصُر عن ذلك متناً وسنداً</w:t>
      </w:r>
      <w:r>
        <w:rPr>
          <w:rFonts w:eastAsia="Amiri" w:cs="Amiri" w:ascii="Amiri" w:hAnsi="Amiri"/>
          <w:color w:val="111111"/>
          <w:sz w:val="28"/>
          <w:szCs w:val="28"/>
          <w:rtl w:val="true"/>
          <w:lang w:bidi="ar-SA"/>
        </w:rPr>
        <w:t>.</w:t>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وحيث يُجمع بينهما</w:t>
      </w:r>
      <w:r>
        <w:rPr>
          <w:rStyle w:val="FootnoteAnchor"/>
          <w:rtl w:val="true"/>
        </w:rPr>
        <w:footnoteReference w:id="99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فيبدأ بالجلد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أولاً وجوباً لتتحقق فائدته، ولا يجب الصبر به </w:t>
      </w:r>
    </w:p>
    <w:p>
      <w:pPr>
        <w:pStyle w:val="BookText"/>
        <w:rPr/>
      </w:pPr>
      <w:r>
        <w:rPr>
          <w:rFonts w:ascii="Amiri" w:hAnsi="Amiri" w:eastAsia="Amiri" w:cs="Amiri"/>
          <w:color w:val="111111"/>
          <w:sz w:val="28"/>
          <w:sz w:val="28"/>
          <w:szCs w:val="28"/>
          <w:rtl w:val="true"/>
          <w:lang w:bidi="ar-SA"/>
        </w:rPr>
        <w:t>حتَّى يَبرَأَ جِلْدَه على الأقوى؛ للأصل وإن كان التأخير أقوى في الزجر،وقد رُوِيَ أنّ عليّاً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جَلَد المرأة يوم الخميس ورَجَمها يوم الجمعة</w:t>
      </w:r>
      <w:r>
        <w:rPr>
          <w:rStyle w:val="FootnoteAnchor"/>
          <w:rtl w:val="true"/>
        </w:rPr>
        <w:footnoteReference w:id="100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وكذا القول في كل حدين اجتمعا ويفوت أحدهما بالآخر فإنه يُبدأ بما يمكن معه الجمعُ، ولو استويا تخيَّر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تُدفَن المرأة إلى صدرها، والرجلُ إلى حَقْوَيْه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وظاهره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كغيره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ذلك على وجه الوجوب، وهو في أصل الدفن حسن؛ للتأسي، أما في كيفيته فالأخبار </w:t>
      </w:r>
      <w:r>
        <w:rPr>
          <w:rStyle w:val="FootnoteAnchor"/>
          <w:rtl w:val="true"/>
        </w:rPr>
        <w:footnoteReference w:id="1001"/>
      </w:r>
      <w:r>
        <w:rPr>
          <w:rFonts w:ascii="Amiri" w:hAnsi="Amiri" w:eastAsia="Amiri" w:cs="Amiri"/>
          <w:color w:val="111111"/>
          <w:sz w:val="28"/>
          <w:sz w:val="28"/>
          <w:szCs w:val="28"/>
          <w:rtl w:val="true"/>
          <w:lang w:bidi="ar-SA"/>
        </w:rPr>
        <w:t>مطلقة، ويمكن جعل ذلك على وجه الاستحباب لتأدي الوظيفة المطلقة بما هو أعمّ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ورَوَى سَماعةً عن الصادق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تُدفن المرأة إلى وسطها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يُدفن الرجل إذا رُجِم إلا إلى حَقْوَيْه</w:t>
      </w:r>
      <w:r>
        <w:rPr>
          <w:rFonts w:eastAsia="Amiri" w:cs="Amiri" w:ascii="Amiri" w:hAnsi="Amiri"/>
          <w:color w:val="111111"/>
          <w:sz w:val="28"/>
          <w:szCs w:val="28"/>
          <w:rtl w:val="true"/>
          <w:lang w:bidi="ar-SA"/>
        </w:rPr>
        <w:t>»</w:t>
      </w:r>
      <w:r>
        <w:rPr>
          <w:rStyle w:val="FootnoteAnchor"/>
          <w:rtl w:val="true"/>
        </w:rPr>
        <w:footnoteReference w:id="100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ونَفَى في المختلف</w:t>
      </w:r>
      <w:r>
        <w:rPr>
          <w:rStyle w:val="FootnoteAnchor"/>
          <w:rtl w:val="true"/>
        </w:rPr>
        <w:footnoteReference w:id="1003"/>
      </w:r>
      <w:r>
        <w:rPr>
          <w:rFonts w:ascii="Amiri" w:hAnsi="Amiri" w:eastAsia="Amiri" w:cs="Amiri"/>
          <w:color w:val="111111"/>
          <w:sz w:val="28"/>
          <w:sz w:val="28"/>
          <w:szCs w:val="28"/>
          <w:rtl w:val="true"/>
          <w:lang w:bidi="ar-SA"/>
        </w:rPr>
        <w:t>البأس عن العمل بمضمونها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دخول الغايتين في المغيّا وجوباً واستحباباً نظر، أقربه العدم، فيُخرَج الصدرُ والحَقوان عن الدفن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وينبغي على الوجوب إدخال جزء منهما من باب المقدمة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فَرَّا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الحفيرة بعد وضعهما فيها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أُعِيدا إن ثبت الزنى بالبينة، أو لم تُصِب الحجارة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بدنهما</w:t>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w:t>
      </w:r>
      <w:r>
        <w:rPr>
          <w:rStyle w:val="FootnoteAnchor"/>
          <w:rtl w:val="true"/>
        </w:rPr>
        <w:footnoteReference w:id="1004"/>
      </w:r>
      <w:r>
        <w:rPr>
          <w:rFonts w:ascii="IRNazanin" w:hAnsi="IRNazanin" w:eastAsia="IRNazanin"/>
          <w:color w:val="111111"/>
          <w:sz w:val="28"/>
          <w:sz w:val="28"/>
          <w:szCs w:val="28"/>
          <w:rtl w:val="true"/>
          <w:lang w:bidi="fa-IR"/>
        </w:rPr>
        <w:t>وابن البراج</w:t>
      </w:r>
      <w:r>
        <w:rPr>
          <w:rStyle w:val="FootnoteAnchor"/>
          <w:rtl w:val="true"/>
        </w:rPr>
        <w:footnoteReference w:id="1005"/>
      </w:r>
      <w:r>
        <w:rPr>
          <w:rFonts w:ascii="Amiri" w:hAnsi="Amiri" w:eastAsia="Amiri" w:cs="Amiri"/>
          <w:color w:val="111111"/>
          <w:sz w:val="28"/>
          <w:sz w:val="28"/>
          <w:szCs w:val="28"/>
          <w:rtl w:val="true"/>
          <w:lang w:bidi="ar-SA"/>
        </w:rPr>
        <w:t>، والخلاف في الثاني خاصة، والمشهور عدم اشتراط الإصابة؛ للإطلاق؛ ولأنّ فراره بمنزلة الرجوع عن الإقرار وهو أعلم بنفسه، ولأنّ الحد مبني على التخفيف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هذه الوجوه نظر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ومستند التفصيل رواية الحسين بن خالد عن الكاظم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Style w:val="FootnoteAnchor"/>
          <w:rtl w:val="true"/>
        </w:rPr>
        <w:footnoteReference w:id="1006"/>
      </w:r>
      <w:r>
        <w:rPr>
          <w:rFonts w:ascii="Amiri" w:hAnsi="Amiri" w:eastAsia="Amiri" w:cs="Amiri"/>
          <w:color w:val="111111"/>
          <w:sz w:val="28"/>
          <w:sz w:val="28"/>
          <w:szCs w:val="28"/>
          <w:rtl w:val="true"/>
          <w:lang w:bidi="ar-SA"/>
        </w:rPr>
        <w:t>، وهو مجهول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يكن ثبوته بالبينة بل بإقرارهما وأصابتهما الحجارة على ذلك القول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يُعادا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اتفاقاً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وفي رواية ماعز أنّه لمّا أَمَرَ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برجمه هرب من الحفيرة، فرماه الزبير بساق بعير ، فلَحِقَه القومُ فقتلوه، ثم أخبروا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بذلك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هلا تركتموه إذ هرب يذهب فإنما هو الذي أقرّ على نفسه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أما لو كان عليّ حاضراً لما ضللتم، ووَدَاه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بيت المال</w:t>
      </w:r>
      <w:r>
        <w:rPr>
          <w:rStyle w:val="FootnoteAnchor"/>
          <w:rtl w:val="true"/>
        </w:rPr>
        <w:footnoteReference w:id="100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وظاهر الحكم بعدم إعادته سقوط الحدّ عنه، فلا يجوز قتله حينئذ بذلك الذنب، فإن قتل عمداً اقتص من القاتل، وخطأ الدية، وفي الرواية إرشاد إليه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ولعلّ إبداءه من بيت المال لوقوعه منهم خطاً، مع كونه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حكمهم فيه فيكون كخطأ الحاكم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ولو فرَّ غيره من المحدودين أعيد مطلقاً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يثبت الزنى بالبينة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يبدأ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برجمه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الشهود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وجوباً،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المقرّ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يبدأ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الإمامُ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ويكفي في البدءة مسمَّى الضرب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وينبغي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وجه الاستحباب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إعلام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بوقت الرجم ليحضروا ويعتبروا، وينزجِر مَن يشاهد ممّن أتى مثل ذلك أو يريده؛ ولقوله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وَلْيَشْهَدْ عَذَابَهُمَا طَائِفَةٌ مِّنَ الْمُؤْمِنِينَ</w:t>
      </w:r>
      <w:r>
        <w:rPr>
          <w:rStyle w:val="FootnoteAnchor"/>
          <w:rtl w:val="true"/>
        </w:rPr>
        <w:footnoteReference w:id="1008"/>
      </w:r>
      <w:r>
        <w:rPr>
          <w:rFonts w:ascii="Amiri" w:hAnsi="Amiri" w:eastAsia="Amiri" w:cs="Amiri"/>
          <w:color w:val="111111"/>
          <w:sz w:val="28"/>
          <w:sz w:val="28"/>
          <w:szCs w:val="28"/>
          <w:rtl w:val="true"/>
          <w:lang w:bidi="ar-SA"/>
        </w:rPr>
        <w:t>، ولا يجب للأصل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والقائل ابن إدريس</w:t>
      </w:r>
      <w:r>
        <w:rPr>
          <w:rStyle w:val="FootnoteAnchor"/>
          <w:rtl w:val="true"/>
        </w:rPr>
        <w:footnoteReference w:id="1009"/>
      </w:r>
      <w:r>
        <w:rPr>
          <w:rFonts w:ascii="Amiri" w:hAnsi="Amiri" w:eastAsia="Amiri" w:cs="Amiri"/>
          <w:color w:val="111111"/>
          <w:sz w:val="28"/>
          <w:sz w:val="28"/>
          <w:szCs w:val="28"/>
          <w:rtl w:val="true"/>
          <w:lang w:bidi="ar-SA"/>
        </w:rPr>
        <w:t xml:space="preserve">، والعلامة </w:t>
      </w:r>
      <w:r>
        <w:rPr>
          <w:rStyle w:val="FootnoteAnchor"/>
          <w:rtl w:val="true"/>
        </w:rPr>
        <w:footnoteReference w:id="1010"/>
      </w:r>
      <w:r>
        <w:rPr>
          <w:rFonts w:ascii="Amiri" w:hAnsi="Amiri" w:eastAsia="Amiri" w:cs="Amiri"/>
          <w:color w:val="111111"/>
          <w:sz w:val="28"/>
          <w:sz w:val="28"/>
          <w:szCs w:val="28"/>
          <w:rtl w:val="true"/>
          <w:lang w:bidi="ar-SA"/>
        </w:rPr>
        <w:t>وجماعةُ</w:t>
      </w:r>
      <w:r>
        <w:rPr>
          <w:rStyle w:val="FootnoteAnchor"/>
          <w:rtl w:val="true"/>
        </w:rPr>
        <w:footnoteReference w:id="1011"/>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يجب حضور طائفة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عملاً بظاهر الأمر، وهو الأقوى</w:t>
      </w:r>
      <w:r>
        <w:rPr>
          <w:rFonts w:eastAsia="Amiri" w:cs="Amiri" w:ascii="Amiri" w:hAnsi="Amiri"/>
          <w:color w:val="111111"/>
          <w:sz w:val="28"/>
          <w:szCs w:val="28"/>
          <w:rtl w:val="true"/>
          <w:lang w:bidi="ar-SA"/>
        </w:rPr>
        <w:t>.</w:t>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اختلف في أقل عدد الطائفة التي يجب حضورُها أو يُستحَبّ، فقال العلامة</w:t>
      </w:r>
      <w:r>
        <w:rPr>
          <w:rStyle w:val="FootnoteAnchor"/>
          <w:rtl w:val="true"/>
        </w:rPr>
        <w:footnoteReference w:id="1012"/>
      </w:r>
    </w:p>
    <w:p>
      <w:pPr>
        <w:pStyle w:val="BookText"/>
        <w:rPr/>
      </w:pPr>
      <w:r>
        <w:rPr>
          <w:rFonts w:ascii="Amiri" w:hAnsi="Amiri" w:eastAsia="Amiri" w:cs="Amiri"/>
          <w:color w:val="111111"/>
          <w:sz w:val="28"/>
          <w:sz w:val="28"/>
          <w:szCs w:val="28"/>
          <w:rtl w:val="true"/>
          <w:lang w:bidi="ar-SA"/>
        </w:rPr>
        <w:t>والشيخ في النهاية</w:t>
      </w:r>
      <w:r>
        <w:rPr>
          <w:rStyle w:val="FootnoteAnchor"/>
          <w:rtl w:val="true"/>
        </w:rPr>
        <w:footnoteReference w:id="1013"/>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أقلها 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لأنه أقل الطائفة لغةٌ </w:t>
      </w:r>
      <w:r>
        <w:rPr>
          <w:rStyle w:val="FootnoteAnchor"/>
          <w:rtl w:val="true"/>
        </w:rPr>
        <w:footnoteReference w:id="1014"/>
      </w:r>
      <w:r>
        <w:rPr>
          <w:rFonts w:ascii="Amiri" w:hAnsi="Amiri" w:eastAsia="Amiri" w:cs="Amiri"/>
          <w:color w:val="111111"/>
          <w:sz w:val="28"/>
          <w:sz w:val="28"/>
          <w:szCs w:val="28"/>
          <w:rtl w:val="true"/>
          <w:lang w:bidi="ar-SA"/>
        </w:rPr>
        <w:t>، فيُحمل الأمرُ المطلق على أقله لأصالة البراءة من الزائد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والقائل ابن إدريس</w:t>
      </w:r>
      <w:r>
        <w:rPr>
          <w:rStyle w:val="FootnoteAnchor"/>
          <w:rtl w:val="true"/>
        </w:rPr>
        <w:footnoteReference w:id="101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أقلها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ثلاثة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لدلالة العرف عليه فيما إذا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جئنا في طائفة من الناس ولظاهر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فَلَوْلَا نَفَرَ مِن كُلِّ فِرْقَةٍ مِّنْهُمْ طَائِفَةٌ لِيَتَفَقَّهُواْ فِي الدِّينِ وَلِيُنذِرُوا قَوْمَهُمْ</w:t>
      </w:r>
      <w:r>
        <w:rPr>
          <w:rStyle w:val="FootnoteAnchor"/>
          <w:rtl w:val="true"/>
        </w:rPr>
        <w:footnoteReference w:id="1016"/>
      </w:r>
      <w:r>
        <w:rPr>
          <w:rFonts w:ascii="Amiri" w:hAnsi="Amiri" w:eastAsia="Amiri" w:cs="Amiri"/>
          <w:color w:val="111111"/>
          <w:sz w:val="28"/>
          <w:sz w:val="28"/>
          <w:szCs w:val="28"/>
          <w:rtl w:val="true"/>
          <w:lang w:bidi="ar-SA"/>
        </w:rPr>
        <w:t xml:space="preserve">، فإنّ أقل الجمع فيما دَلَّ عليه الضمير ثلاثةٌ، وليَتَحَقَّقَ بهم الإنذار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والقائل الشيخ في الخلاف</w:t>
      </w:r>
      <w:r>
        <w:rPr>
          <w:rStyle w:val="FootnoteAnchor"/>
          <w:rtl w:val="true"/>
        </w:rPr>
        <w:footnoteReference w:id="1017"/>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عشرة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ووجهه غيرُ واضح والأجودُ الرجوع إلى العرف ولعلّ دَلالته على الثلاثة فصاعداً أقوى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وينبغي كونُ الحِجارة صغاراً لئلا يَسرُعَ تلفه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بالكبار، وليَكُن ممّا يُطلق عليه اسمُ الحَجَر، فلا يُقتصر على الحصى لئلا يَطُول تعذيبه أيضاً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وقيل</w:t>
      </w:r>
      <w:r>
        <w:rPr>
          <w:rStyle w:val="FootnoteAnchor"/>
          <w:rtl w:val="true"/>
        </w:rPr>
        <w:footnoteReference w:id="101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يَرجُم من الله في قِبَله 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للنهى عنه </w:t>
      </w:r>
      <w:r>
        <w:rPr>
          <w:rStyle w:val="FootnoteAnchor"/>
          <w:rtl w:val="true"/>
        </w:rPr>
        <w:footnoteReference w:id="101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وهل هو للتحريم أو الكراهة ؟ وجهان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أصالة عدم التحريم، ودَلالة ظاهر النهي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وظاهرُ العبارة كونُ القول المحك على وجه التحريم؛ لحكايته قولاً، مُؤذناً بتمريضه؛ إذ لا يتجه توقفه في الكراهة</w:t>
      </w:r>
      <w:r>
        <w:rPr>
          <w:rFonts w:eastAsia="Amiri" w:cs="Amiri" w:ascii="Amiri" w:hAnsi="Amiri"/>
          <w:color w:val="111111"/>
          <w:sz w:val="28"/>
          <w:szCs w:val="28"/>
          <w:rtl w:val="true"/>
          <w:lang w:bidi="ar-SA"/>
        </w:rPr>
        <w:t>.</w:t>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وهل يختص الحكمُ بالحدّ الذي أقيم على المحدود، أو مطلق الحدّ ؟ إطلاق العبارة وغيرها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يدلّ على الثاني، وحسنة زرارة عن أحدهما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أتي أمير 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برجل قد أقرَّ على نفسه بالفجور، فقال لأصحابه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اغدُوا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غداً مُتَلَيِّمين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فغَدَوا عليه ،متلثّمين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فَعَل مثل فعله لا يَرجُمه ولينصرف</w:t>
      </w:r>
      <w:r>
        <w:rPr>
          <w:rFonts w:eastAsia="IRNazanin" w:cs="IRNazanin"/>
          <w:color w:val="111111"/>
          <w:sz w:val="28"/>
          <w:szCs w:val="28"/>
          <w:rtl w:val="true"/>
          <w:lang w:bidi="fa-IR"/>
        </w:rPr>
        <w:t>»</w:t>
      </w:r>
      <w:r>
        <w:rPr>
          <w:rStyle w:val="FootnoteAnchor"/>
          <w:rtl w:val="true"/>
        </w:rPr>
        <w:footnoteReference w:id="1020"/>
      </w:r>
      <w:r>
        <w:rPr>
          <w:rFonts w:ascii="Amiri" w:hAnsi="Amiri" w:eastAsia="Amiri" w:cs="Amiri"/>
          <w:color w:val="111111"/>
          <w:sz w:val="28"/>
          <w:sz w:val="28"/>
          <w:szCs w:val="28"/>
          <w:rtl w:val="true"/>
          <w:lang w:bidi="ar-SA"/>
        </w:rPr>
        <w:t>تدلّ على الأوّل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وفي خبرٍ آخَرَ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رجم امرأة أنه نادى بأعلى صوته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يا أيها الناس، إن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تبارك وتعالى</w:t>
      </w:r>
      <w:r>
        <w:rPr>
          <w:rFonts w:eastAsia="Amiri" w:cs="Amiri" w:ascii="Amiri" w:hAnsi="Amiri"/>
          <w:color w:val="111111"/>
          <w:sz w:val="28"/>
          <w:szCs w:val="28"/>
          <w:rtl w:val="true"/>
          <w:lang w:bidi="ar-SA"/>
        </w:rPr>
        <w:t>]</w:t>
      </w:r>
      <w:r>
        <w:rPr>
          <w:rStyle w:val="FootnoteAnchor"/>
          <w:rtl w:val="true"/>
        </w:rPr>
        <w:footnoteReference w:id="1021"/>
      </w:r>
      <w:r>
        <w:rPr>
          <w:rFonts w:ascii="IRNazanin" w:hAnsi="IRNazanin" w:eastAsia="IRNazanin"/>
          <w:color w:val="111111"/>
          <w:sz w:val="28"/>
          <w:sz w:val="28"/>
          <w:szCs w:val="28"/>
          <w:rtl w:val="true"/>
          <w:lang w:bidi="fa-IR"/>
        </w:rPr>
        <w:t>عهد إلى نبيه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عهداً عهده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إليَّ بأنه لا يُقِم الحدَّ مَن الله عليه حد، فمَن كان الله عليه حد مثلُ ما عليها فلا يقيم عليها الحد</w:t>
      </w:r>
      <w:r>
        <w:rPr>
          <w:rFonts w:eastAsia="IRNazanin" w:cs="IRNazanin"/>
          <w:color w:val="111111"/>
          <w:sz w:val="28"/>
          <w:szCs w:val="28"/>
          <w:rtl w:val="true"/>
          <w:lang w:bidi="fa-IR"/>
        </w:rPr>
        <w:t>»</w:t>
      </w:r>
      <w:r>
        <w:rPr>
          <w:rStyle w:val="FootnoteAnchor"/>
          <w:rtl w:val="true"/>
        </w:rPr>
        <w:footnoteReference w:id="102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وصدر هذا الخبر يدلّ بإطلاقه على الثاني، وآخِرُه يحتملهما، وهو على الأوّل أدل؛ لأنّ ظاهر المماثلة اتحادهما صنفاً، مع احتمال إرادة ما هو أعمُّ فإنّ مطلق الحدود متماثلة في أصل العقوبة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وهل يُفرّق بين ما حَصَلت التوبة منها وغيره؟ ظاهرُ الأخبار</w:t>
      </w:r>
      <w:r>
        <w:rPr>
          <w:rStyle w:val="FootnoteAnchor"/>
          <w:rtl w:val="true"/>
        </w:rPr>
        <w:footnoteReference w:id="1023"/>
      </w:r>
      <w:r>
        <w:rPr>
          <w:rFonts w:ascii="IRNazanin" w:hAnsi="IRNazanin" w:eastAsia="IRNazanin"/>
          <w:color w:val="111111"/>
          <w:sz w:val="28"/>
          <w:sz w:val="28"/>
          <w:szCs w:val="28"/>
          <w:rtl w:val="true"/>
          <w:lang w:bidi="fa-IR"/>
        </w:rPr>
        <w:t>والفتوى</w:t>
      </w:r>
      <w:r>
        <w:rPr>
          <w:rStyle w:val="FootnoteAnchor"/>
          <w:rtl w:val="true"/>
        </w:rPr>
        <w:footnoteReference w:id="1024"/>
      </w:r>
      <w:r>
        <w:rPr>
          <w:rFonts w:ascii="Amiri" w:hAnsi="Amiri" w:eastAsia="Amiri" w:cs="Amiri"/>
          <w:color w:val="111111"/>
          <w:sz w:val="28"/>
          <w:sz w:val="28"/>
          <w:szCs w:val="28"/>
          <w:rtl w:val="true"/>
          <w:lang w:bidi="ar-SA"/>
        </w:rPr>
        <w:t>؛ ذلك؛ لأنّ ما تاب عنه فاعلُه سَقَط حقُّ الله منه؛ بناءً على وجوب قبول التوبة، فلم يَبْقَ الله عليه حد، ويظهر من الخبر الثاني عدمُ الفرق لأنه قال في آخره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فانْصَرَفَ الناسُ ما خلا أمير المؤمنين والحسنين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ومن البعيد جداً أن يكون جميع أصحابه لم يتوبوا من ذنوبهم ذلك الوقت، إلا أن في طريق الخبر ضعفاً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وإذا فُرِغ من رجمه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لموته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دفن إن كان قد صُلِّي عليه بعد غسله وتكفينه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حيّاً أو ميتاً أو بالتفريق،</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يكن 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جُهّز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بالغسل والتكفين والصلاة ثم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دفن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والذي دلَّت عليه الأخبار</w:t>
      </w:r>
      <w:r>
        <w:rPr>
          <w:rStyle w:val="FootnoteAnchor"/>
          <w:rtl w:val="true"/>
        </w:rPr>
        <w:footnoteReference w:id="1025"/>
      </w:r>
      <w:r>
        <w:rPr>
          <w:rFonts w:ascii="IRNazanin" w:hAnsi="IRNazanin" w:eastAsia="IRNazanin"/>
          <w:color w:val="111111"/>
          <w:sz w:val="28"/>
          <w:sz w:val="28"/>
          <w:szCs w:val="28"/>
          <w:rtl w:val="true"/>
          <w:lang w:bidi="fa-IR"/>
        </w:rPr>
        <w:t>والفتوى</w:t>
      </w:r>
      <w:r>
        <w:rPr>
          <w:rStyle w:val="FootnoteAnchor"/>
          <w:rtl w:val="true"/>
        </w:rPr>
        <w:footnoteReference w:id="1026"/>
      </w:r>
      <w:r>
        <w:rPr>
          <w:rFonts w:ascii="Amiri" w:hAnsi="Amiri" w:eastAsia="Amiri" w:cs="Amiri"/>
          <w:color w:val="111111"/>
          <w:sz w:val="28"/>
          <w:sz w:val="28"/>
          <w:szCs w:val="28"/>
          <w:rtl w:val="true"/>
          <w:lang w:bidi="ar-SA"/>
        </w:rPr>
        <w:t>أنّه يُؤمَر حياً بالاغتسال والتكفين، ثمّ يُجتزاً به بعده، أما الصلاة فبعد الموت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لم يغتسل غُسل بعد الرجم وكفن وصلي عليه، والعبارة قد تُوهِم خلاف ذلك، أو تقصر عن المقصود منها</w:t>
      </w:r>
      <w:r>
        <w:rPr>
          <w:rFonts w:eastAsia="Amiri" w:cs="Amiri" w:ascii="Amiri" w:hAnsi="Amiri"/>
          <w:color w:val="111111"/>
          <w:sz w:val="28"/>
          <w:szCs w:val="28"/>
          <w:rtl w:val="true"/>
          <w:lang w:bidi="ar-SA"/>
        </w:rPr>
        <w:t>.</w:t>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وثالثها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الجلد خاصةً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مائة سوط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وهو حد البالغ المحصَنِ إذا زَنَى بصبية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لم تَبلُغ التسعَ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مجنونة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كانت بالغة، شاباً كان الزاني أم شيخاً،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وحد المرأة إذا زَنَى بها طفل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يبلغ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ولو زَنَى بها المجنون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البالغ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فعَلَيها الحدُّ تامّاً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الرجمُ بعد الجلد إن كانت محصنةً؛ لتعليق الحكم برجمها في النصوص</w:t>
      </w:r>
      <w:r>
        <w:rPr>
          <w:rStyle w:val="FootnoteAnchor"/>
          <w:rtl w:val="true"/>
        </w:rPr>
        <w:footnoteReference w:id="1027"/>
      </w:r>
      <w:r>
        <w:rPr>
          <w:rFonts w:ascii="Amiri" w:hAnsi="Amiri" w:eastAsia="Amiri" w:cs="Amiri"/>
          <w:color w:val="111111"/>
          <w:sz w:val="28"/>
          <w:sz w:val="28"/>
          <w:szCs w:val="28"/>
          <w:rtl w:val="true"/>
          <w:lang w:bidi="ar-SA"/>
        </w:rPr>
        <w:t xml:space="preserve">على وطء البالغ مطلقاً، فيشمل المجنون، ولأنّ الزنى بالنسبة إليها تام، بخلاف زنى العاقل بالمجنونة فإنّ المشهور عدمُ إيجابه الرجم للنصّ </w:t>
      </w:r>
      <w:r>
        <w:rPr>
          <w:rStyle w:val="FootnoteAnchor"/>
          <w:rtl w:val="true"/>
        </w:rPr>
        <w:footnoteReference w:id="1028"/>
      </w:r>
      <w:r>
        <w:rPr>
          <w:rFonts w:ascii="Amiri" w:hAnsi="Amiri" w:eastAsia="Amiri" w:cs="Amiri"/>
          <w:color w:val="111111"/>
          <w:sz w:val="28"/>
          <w:sz w:val="28"/>
          <w:szCs w:val="28"/>
          <w:rtl w:val="true"/>
          <w:lang w:bidi="ar-SA"/>
        </w:rPr>
        <w:t>وأصالة البراءة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وربما قيل بالمساواة</w:t>
      </w:r>
      <w:r>
        <w:rPr>
          <w:rStyle w:val="FootnoteAnchor"/>
          <w:rtl w:val="true"/>
        </w:rPr>
        <w:footnoteReference w:id="1029"/>
      </w:r>
      <w:r>
        <w:rPr>
          <w:rFonts w:ascii="Amiri" w:hAnsi="Amiri" w:eastAsia="Amiri" w:cs="Amiri"/>
          <w:color w:val="111111"/>
          <w:sz w:val="28"/>
          <w:sz w:val="28"/>
          <w:szCs w:val="28"/>
          <w:rtl w:val="true"/>
          <w:lang w:bidi="ar-SA"/>
        </w:rPr>
        <w:t>اطراحاً للرواية واستناداً إلى العموم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يجب الحدُّ على المجنونة إجماعاً والأقربُ عدم ثبوته على المجنون لانتفاء التكليف الذي هو مناطُ العقوبة الشديدة على المحرم، وللأصل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فرق فيه بين المُطبِقِ وغيره إذا وقع الفعلُ منه حالته</w:t>
      </w:r>
      <w:r>
        <w:rPr>
          <w:rFonts w:eastAsia="Amiri" w:cs="Amiri" w:ascii="Amiri" w:hAnsi="Amiri"/>
          <w:color w:val="111111"/>
          <w:sz w:val="28"/>
          <w:szCs w:val="28"/>
          <w:rtl w:val="true"/>
          <w:lang w:bidi="ar-SA"/>
        </w:rPr>
        <w:t>.</w:t>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وهذا هو الأشهر، وذهب الشيخان </w:t>
      </w:r>
      <w:r>
        <w:rPr>
          <w:rStyle w:val="FootnoteAnchor"/>
          <w:rtl w:val="true"/>
        </w:rPr>
        <w:footnoteReference w:id="1030"/>
      </w:r>
      <w:r>
        <w:rPr>
          <w:rFonts w:ascii="Amiri" w:hAnsi="Amiri" w:eastAsia="Amiri" w:cs="Amiri"/>
          <w:color w:val="111111"/>
          <w:sz w:val="28"/>
          <w:sz w:val="28"/>
          <w:szCs w:val="28"/>
          <w:rtl w:val="true"/>
          <w:lang w:bidi="ar-SA"/>
        </w:rPr>
        <w:t>وتَبِعَهما ابن البرّاج</w:t>
      </w:r>
      <w:r>
        <w:rPr>
          <w:rStyle w:val="FootnoteAnchor"/>
          <w:rtl w:val="true"/>
        </w:rPr>
        <w:footnoteReference w:id="1031"/>
      </w:r>
      <w:r>
        <w:rPr>
          <w:rFonts w:ascii="Amiri" w:hAnsi="Amiri" w:eastAsia="Amiri" w:cs="Amiri"/>
          <w:color w:val="111111"/>
          <w:sz w:val="28"/>
          <w:sz w:val="28"/>
          <w:szCs w:val="28"/>
          <w:rtl w:val="true"/>
          <w:lang w:bidi="ar-SA"/>
        </w:rPr>
        <w:t>إلى ثبوت الحدّ عليه كالعاقل من رجم وجلد؛ لرواية أبان بن تغلب عن الصادق صلى الله عليه وسلم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زني المجنون أو المَعْتُوه جُلِد الحدَّ، فإن كان محصناً رُجِم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الفرق بين المجنون والمجنونة والمعتوه والمعتوهة؟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المرأة إنما تُؤتَى والرجل يأتي، وإنّما يأتي إذا عَقل كيف يأتي اللذة، وأنّ المرأةَ إنّما تُستَكرَه ويُفعَل بها وهي لا تعقل ما يُفعَل بها</w:t>
      </w:r>
      <w:r>
        <w:rPr>
          <w:rFonts w:eastAsia="Amiri" w:cs="Amiri" w:ascii="Amiri" w:hAnsi="Amiri"/>
          <w:color w:val="111111"/>
          <w:sz w:val="28"/>
          <w:szCs w:val="28"/>
          <w:rtl w:val="true"/>
          <w:lang w:bidi="ar-SA"/>
        </w:rPr>
        <w:t>»</w:t>
      </w:r>
      <w:r>
        <w:rPr>
          <w:rStyle w:val="FootnoteAnchor"/>
          <w:rtl w:val="true"/>
        </w:rPr>
        <w:footnoteReference w:id="103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وهذه الرواية مع عدم سلامة سندها مشعرة بكون المجنون حالة الفعل عاقلاً إما لكون الجنون يعتريه أدواراً أو لغيره، كما يدلّ عليه التعليل، فلا يدلّ على مطلوبهم</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ويُجلد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الزاني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أشدَّ الجلد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تَأْخُذْكُم بِهِمَا رَأْفَةٌ</w:t>
      </w:r>
      <w:r>
        <w:rPr>
          <w:rStyle w:val="FootnoteAnchor"/>
          <w:rtl w:val="true"/>
        </w:rPr>
        <w:footnoteReference w:id="1033"/>
      </w:r>
      <w:r>
        <w:rPr>
          <w:rFonts w:ascii="Amiri" w:hAnsi="Amiri" w:eastAsia="Amiri" w:cs="Amiri"/>
          <w:color w:val="111111"/>
          <w:sz w:val="28"/>
          <w:sz w:val="28"/>
          <w:szCs w:val="28"/>
          <w:rtl w:val="true"/>
          <w:lang w:bidi="ar-SA"/>
        </w:rPr>
        <w:t>ورُوِيَ ضربه متوسطاً</w:t>
      </w:r>
      <w:r>
        <w:rPr>
          <w:rStyle w:val="FootnoteAnchor"/>
          <w:rtl w:val="true"/>
        </w:rPr>
        <w:footnoteReference w:id="1034"/>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ويُفرَّق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الضرب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جسده ويُتَّقَى رأسه ووجهه وفرجه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قبله ودبره؛ الرواية زرارة عن الباقر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يُتَّقَى الوجه والمذاكير</w:t>
      </w:r>
      <w:r>
        <w:rPr>
          <w:rFonts w:eastAsia="Amiri" w:cs="Amiri" w:ascii="Amiri" w:hAnsi="Amiri"/>
          <w:color w:val="111111"/>
          <w:sz w:val="28"/>
          <w:szCs w:val="28"/>
          <w:rtl w:val="true"/>
          <w:lang w:bidi="ar-SA"/>
        </w:rPr>
        <w:t>»</w:t>
      </w:r>
      <w:r>
        <w:rPr>
          <w:rStyle w:val="FootnoteAnchor"/>
          <w:rtl w:val="true"/>
        </w:rPr>
        <w:footnoteReference w:id="1035"/>
      </w:r>
      <w:r>
        <w:rPr>
          <w:rFonts w:ascii="Amiri" w:hAnsi="Amiri" w:eastAsia="Amiri" w:cs="Amiri"/>
          <w:color w:val="111111"/>
          <w:sz w:val="28"/>
          <w:sz w:val="28"/>
          <w:szCs w:val="28"/>
          <w:rtl w:val="true"/>
          <w:lang w:bidi="ar-SA"/>
        </w:rPr>
        <w:t>وروي عنه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يُفَرَّق الحدُّ على الجسد ويُتَّقَى الفرج والوجه</w:t>
      </w:r>
      <w:r>
        <w:rPr>
          <w:rFonts w:eastAsia="Amiri" w:cs="Amiri" w:ascii="Amiri" w:hAnsi="Amiri"/>
          <w:color w:val="111111"/>
          <w:sz w:val="28"/>
          <w:szCs w:val="28"/>
          <w:rtl w:val="true"/>
          <w:lang w:bidi="ar-SA"/>
        </w:rPr>
        <w:t>»</w:t>
      </w:r>
      <w:r>
        <w:rPr>
          <w:rStyle w:val="FootnoteAnchor"/>
          <w:rtl w:val="true"/>
        </w:rPr>
        <w:footnoteReference w:id="1036"/>
      </w:r>
      <w:r>
        <w:rPr>
          <w:rFonts w:ascii="Amiri" w:hAnsi="Amiri" w:eastAsia="Amiri" w:cs="Amiri"/>
          <w:color w:val="111111"/>
          <w:sz w:val="28"/>
          <w:sz w:val="28"/>
          <w:szCs w:val="28"/>
          <w:rtl w:val="true"/>
          <w:lang w:bidi="ar-SA"/>
        </w:rPr>
        <w:t>، وقد تقدَّم</w:t>
      </w:r>
      <w:r>
        <w:rPr>
          <w:rStyle w:val="FootnoteAnchor"/>
          <w:rtl w:val="true"/>
        </w:rPr>
        <w:footnoteReference w:id="1037"/>
      </w:r>
      <w:r>
        <w:rPr>
          <w:rFonts w:ascii="Amiri" w:hAnsi="Amiri" w:eastAsia="Amiri" w:cs="Amiri"/>
          <w:color w:val="111111"/>
          <w:sz w:val="28"/>
          <w:sz w:val="28"/>
          <w:szCs w:val="28"/>
          <w:rtl w:val="true"/>
          <w:lang w:bidi="ar-SA"/>
        </w:rPr>
        <w:t>استعمال الفرج فيهما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اتقاء الرأس فلانه مَخُوف على النفس والعين والغرضُ من الجلد ليس هو إتلافه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واقتصر جماعة على الوجه والفرج</w:t>
      </w:r>
      <w:r>
        <w:rPr>
          <w:rStyle w:val="FootnoteAnchor"/>
          <w:rtl w:val="true"/>
        </w:rPr>
        <w:footnoteReference w:id="1038"/>
      </w:r>
      <w:r>
        <w:rPr>
          <w:rFonts w:ascii="Amiri" w:hAnsi="Amiri" w:eastAsia="Amiri" w:cs="Amiri"/>
          <w:color w:val="111111"/>
          <w:sz w:val="28"/>
          <w:sz w:val="28"/>
          <w:szCs w:val="28"/>
          <w:rtl w:val="true"/>
          <w:lang w:bidi="ar-SA"/>
        </w:rPr>
        <w:t>تبعاً للنص</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ولْيَكُن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قائماً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مجرَّداً مستور العورة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والمرأة قاعدة قد ربطت ثيابها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عليها؛ لئلا يبدو جسدها فإنّه عورة، بخلاف الرجل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ضربُ الزاني على الحال التي يُوجد عليها، إن وُجد عرياناً ضُرب عرياناً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وُجد وعليه ثيابه ضُرِب وعليه ثيابه</w:t>
      </w:r>
      <w:r>
        <w:rPr>
          <w:rFonts w:eastAsia="Amiri" w:cs="Amiri" w:ascii="Amiri" w:hAnsi="Amiri"/>
          <w:color w:val="111111"/>
          <w:sz w:val="28"/>
          <w:szCs w:val="28"/>
          <w:rtl w:val="true"/>
          <w:lang w:bidi="ar-SA"/>
        </w:rPr>
        <w:t>»</w:t>
      </w:r>
      <w:r>
        <w:rPr>
          <w:rStyle w:val="FootnoteAnchor"/>
          <w:rtl w:val="true"/>
        </w:rPr>
        <w:footnoteReference w:id="103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سواء في ذلك الذكرُ والأُنثى، وعَمِل بمضمونها الشيخ</w:t>
      </w:r>
      <w:r>
        <w:rPr>
          <w:rStyle w:val="FootnoteAnchor"/>
          <w:rtl w:val="true"/>
        </w:rPr>
        <w:footnoteReference w:id="1040"/>
      </w:r>
      <w:r>
        <w:rPr>
          <w:rFonts w:ascii="Amiri" w:hAnsi="Amiri" w:eastAsia="Amiri" w:cs="Amiri"/>
          <w:color w:val="111111"/>
          <w:sz w:val="28"/>
          <w:sz w:val="28"/>
          <w:szCs w:val="28"/>
          <w:rtl w:val="true"/>
          <w:lang w:bidi="ar-SA"/>
        </w:rPr>
        <w:t xml:space="preserve">وجماعة </w:t>
      </w:r>
      <w:r>
        <w:rPr>
          <w:rStyle w:val="FootnoteAnchor"/>
          <w:rtl w:val="true"/>
        </w:rPr>
        <w:footnoteReference w:id="104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والأجود الأوّل؛ لما ذكرناه من أنّ بدنَها عورة بخلافه ،والرواية ضعيفة السند</w:t>
      </w:r>
      <w:r>
        <w:rPr>
          <w:rFonts w:eastAsia="Amiri" w:cs="Amiri" w:ascii="Amiri" w:hAnsi="Amiri"/>
          <w:color w:val="111111"/>
          <w:sz w:val="28"/>
          <w:szCs w:val="28"/>
          <w:rtl w:val="true"/>
          <w:lang w:bidi="ar-SA"/>
        </w:rPr>
        <w:t>.</w:t>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ورابعها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الجَلدُ والجَز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للرأس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والتغريبُ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ويجب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الثلاثة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الزاني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الذكرِ الحرّ غير المحصن وإن لم يُملِك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أي يتزوج من غير أن يَدخُل؛ لإطلاق الحكم على </w:t>
      </w:r>
    </w:p>
    <w:p>
      <w:pPr>
        <w:pStyle w:val="BookText"/>
        <w:rPr/>
      </w:pPr>
      <w:r>
        <w:rPr>
          <w:rFonts w:ascii="Amiri" w:hAnsi="Amiri" w:eastAsia="Amiri" w:cs="Amiri"/>
          <w:color w:val="111111"/>
          <w:sz w:val="28"/>
          <w:sz w:val="28"/>
          <w:szCs w:val="28"/>
          <w:rtl w:val="true"/>
          <w:lang w:bidi="ar-SA"/>
        </w:rPr>
        <w:t>البكر وهو شامل للقسمين، بل هو على غير المتزوج أظهر؛ ولإطلاق قول الصادق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رواية عبد الله بن طلحة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وإذا زنى الشاب الحَدَثُ السنُ جُلِد وحلق رأسه ونُفِيَ سنةً عن مصره</w:t>
      </w:r>
      <w:r>
        <w:rPr>
          <w:rFonts w:eastAsia="Amiri" w:cs="Amiri" w:ascii="Amiri" w:hAnsi="Amiri"/>
          <w:color w:val="111111"/>
          <w:sz w:val="28"/>
          <w:szCs w:val="28"/>
          <w:rtl w:val="true"/>
          <w:lang w:bidi="ar-SA"/>
        </w:rPr>
        <w:t>»</w:t>
      </w:r>
      <w:r>
        <w:rPr>
          <w:rStyle w:val="FootnoteAnchor"/>
          <w:rtl w:val="true"/>
        </w:rPr>
        <w:footnoteReference w:id="104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عام فلا يتخصَّص وإِلّا لَزِم تأخيرُ البيان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والقائل الشيخ</w:t>
      </w:r>
      <w:r>
        <w:rPr>
          <w:rStyle w:val="FootnoteAnchor"/>
          <w:rtl w:val="true"/>
        </w:rPr>
        <w:footnoteReference w:id="1043"/>
      </w:r>
      <w:r>
        <w:rPr>
          <w:rFonts w:ascii="Amiri" w:hAnsi="Amiri" w:eastAsia="Amiri" w:cs="Amiri"/>
          <w:color w:val="111111"/>
          <w:sz w:val="28"/>
          <w:sz w:val="28"/>
          <w:szCs w:val="28"/>
          <w:rtl w:val="true"/>
          <w:lang w:bidi="ar-SA"/>
        </w:rPr>
        <w:t>وجماعة</w:t>
      </w:r>
      <w:r>
        <w:rPr>
          <w:rStyle w:val="FootnoteAnchor"/>
          <w:rtl w:val="true"/>
        </w:rPr>
        <w:footnoteReference w:id="1044"/>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يختص التغريب بمن أملك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يدخُل؛ الرواية زرارةً عن أبي جعفر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المُحصَن يُجلد مائةً ولا يُنفى، والتي قد أملكت ولم يُدخل بها تُجلَد مائةً وتُنفَى</w:t>
      </w:r>
      <w:r>
        <w:rPr>
          <w:rFonts w:eastAsia="Amiri" w:cs="Amiri" w:ascii="Amiri" w:hAnsi="Amiri"/>
          <w:color w:val="111111"/>
          <w:sz w:val="28"/>
          <w:szCs w:val="28"/>
          <w:rtl w:val="true"/>
          <w:lang w:bidi="ar-SA"/>
        </w:rPr>
        <w:t>»</w:t>
      </w:r>
      <w:r>
        <w:rPr>
          <w:rStyle w:val="FootnoteAnchor"/>
          <w:rtl w:val="true"/>
        </w:rPr>
        <w:footnoteReference w:id="104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ورواية محمّد بن قيس عنه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قَضَى 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البكر والبكرة إذا زَنَيَا جَلْدَ مائةٍ ونَفْيَ سنةٍ في غير مصرهما، وهما اللذان قد أملكا ولم يدخل بها</w:t>
      </w:r>
      <w:r>
        <w:rPr>
          <w:rFonts w:eastAsia="Amiri" w:cs="Amiri" w:ascii="Amiri" w:hAnsi="Amiri"/>
          <w:color w:val="111111"/>
          <w:sz w:val="28"/>
          <w:szCs w:val="28"/>
          <w:rtl w:val="true"/>
          <w:lang w:bidi="ar-SA"/>
        </w:rPr>
        <w:t>»</w:t>
      </w:r>
      <w:r>
        <w:rPr>
          <w:rStyle w:val="FootnoteAnchor"/>
          <w:rtl w:val="true"/>
        </w:rPr>
        <w:footnoteReference w:id="104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وهاتان الروايتان مع سلامة سندهما تشتملان على نفي المرأة، وهو خلاف الإجماع على ما ادّعاه الشيخ</w:t>
      </w:r>
      <w:r>
        <w:rPr>
          <w:rStyle w:val="FootnoteAnchor"/>
          <w:rtl w:val="true"/>
        </w:rPr>
        <w:footnoteReference w:id="1047"/>
      </w:r>
      <w:r>
        <w:rPr>
          <w:rFonts w:ascii="Amiri" w:hAnsi="Amiri" w:eastAsia="Amiri" w:cs="Amiri"/>
          <w:color w:val="111111"/>
          <w:sz w:val="28"/>
          <w:sz w:val="28"/>
          <w:szCs w:val="28"/>
          <w:rtl w:val="true"/>
          <w:lang w:bidi="ar-SA"/>
        </w:rPr>
        <w:t xml:space="preserve">، كيف وفي طريق الأولى موسى بن بكر، وفي الثانية محمّد بن قيس؟ وهو مشترك بين الثقة وغيره حيث يروي عن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فالقول الأوّل أجودُ وإن كان الثاني أحوط من حيث بناء الحدّ على التخفيف</w:t>
      </w:r>
      <w:r>
        <w:rPr>
          <w:rFonts w:eastAsia="Amiri" w:cs="Amiri" w:ascii="Amiri" w:hAnsi="Amiri"/>
          <w:color w:val="111111"/>
          <w:sz w:val="28"/>
          <w:szCs w:val="28"/>
          <w:rtl w:val="true"/>
          <w:lang w:bidi="ar-SA"/>
        </w:rPr>
        <w:t>.</w:t>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والجنُّ حَلْقُ الرأس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أجمع دون غيره كاللحية، سواءٌ في ذلك المُرَبِّي وغيرُه وإن انتفتْ الفائدة فى غيره ظاهراً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والتغريب نفيه عن مصره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مطلق وطنه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قريباً كان أم بعيداً، بحسب ما يراه الإمام مع صدق اسم الغُربة، فإن كان غريباً غُرَّبَ إلى بلدٍ آخَرَ غير وطنه والبلدِ الذي غُرَّب منه،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عاماً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هلالياً، فإن رجع إلى ما غُرّب منه قبل إكماله أعيد حتى يُكمل بانياً على ما سبق وإن طال الفصل</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جز على المرأة ولا تغريب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تُجلَد مائةً لا غير؛ لأصالة البراءة، وادعى الشيخ عليه الإجماع </w:t>
      </w:r>
      <w:r>
        <w:rPr>
          <w:rStyle w:val="FootnoteAnchor"/>
          <w:rtl w:val="true"/>
        </w:rPr>
        <w:footnoteReference w:id="1048"/>
      </w:r>
      <w:r>
        <w:rPr>
          <w:rFonts w:ascii="Amiri" w:hAnsi="Amiri" w:eastAsia="Amiri" w:cs="Amiri"/>
          <w:color w:val="111111"/>
          <w:sz w:val="28"/>
          <w:sz w:val="28"/>
          <w:szCs w:val="28"/>
          <w:rtl w:val="true"/>
          <w:lang w:bidi="ar-SA"/>
        </w:rPr>
        <w:t xml:space="preserve">وكأنه لم يَعتَدَّ بخلاف ابن أبي عقيل حيث أثبت التغريب عليها </w:t>
      </w:r>
      <w:r>
        <w:rPr>
          <w:rStyle w:val="FootnoteAnchor"/>
          <w:rtl w:val="true"/>
        </w:rPr>
        <w:footnoteReference w:id="1049"/>
      </w:r>
      <w:r>
        <w:rPr>
          <w:rFonts w:ascii="Amiri" w:hAnsi="Amiri" w:eastAsia="Amiri" w:cs="Amiri"/>
          <w:color w:val="111111"/>
          <w:sz w:val="28"/>
          <w:sz w:val="28"/>
          <w:szCs w:val="28"/>
          <w:rtl w:val="true"/>
          <w:lang w:bidi="ar-SA"/>
        </w:rPr>
        <w:t>للأخبار السابقة</w:t>
      </w:r>
      <w:r>
        <w:rPr>
          <w:rStyle w:val="FootnoteAnchor"/>
          <w:rtl w:val="true"/>
        </w:rPr>
        <w:footnoteReference w:id="105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والمشهورُ أولى بحال المرأة وصيانتها ومنعها من الإتيان بمثل ما فَعَلَتْ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خامسها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خمسون جَلْدةٌ وهى حد المملوك والمملوكة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البالغين العاقلين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 كانا متزوّجين، ولا جز ولا تغريب على 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إجماعاً؛ لقوله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زَنَتْ أَمَهُ أحدِكم فلْيَجلِدْها</w:t>
      </w:r>
      <w:r>
        <w:rPr>
          <w:rFonts w:eastAsia="Amiri" w:cs="Amiri" w:ascii="Amiri" w:hAnsi="Amiri"/>
          <w:color w:val="111111"/>
          <w:sz w:val="28"/>
          <w:szCs w:val="28"/>
          <w:rtl w:val="true"/>
          <w:lang w:bidi="ar-SA"/>
        </w:rPr>
        <w:t>»</w:t>
      </w:r>
      <w:r>
        <w:rPr>
          <w:rStyle w:val="FootnoteAnchor"/>
          <w:rtl w:val="true"/>
        </w:rPr>
        <w:footnoteReference w:id="105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هذا كلَّ الواجب ولا قائل بالفرق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وربما استدل بذلك على نفي التغريب على المرأة؛ لقوله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فَعَلَيْهِنَّ نِصْفُ مَا عَلَى الْمُحْصَنَتِ مِنَ الْعَذَابِ</w:t>
      </w:r>
      <w:r>
        <w:rPr>
          <w:rStyle w:val="FootnoteAnchor"/>
          <w:rtl w:val="true"/>
        </w:rPr>
        <w:footnoteReference w:id="1052"/>
      </w:r>
      <w:r>
        <w:rPr>
          <w:rFonts w:ascii="Amiri" w:hAnsi="Amiri" w:eastAsia="Amiri" w:cs="Amiri"/>
          <w:color w:val="111111"/>
          <w:sz w:val="28"/>
          <w:sz w:val="28"/>
          <w:szCs w:val="28"/>
          <w:rtl w:val="true"/>
          <w:lang w:bidi="ar-SA"/>
        </w:rPr>
        <w:t>فلو ثبت التغريبُ على الحرّة لكان على الأمة نصفه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وسادسُها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 المبعضُ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حدُّ مَن تَحرَّرَ بعضُه فإنّه يُحَدٌ مِن حدّ الأحرار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لا يبلغ القتل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بقدر ما فيه من الحرّيّة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بنسبته إلى الرقية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 حدّ العبيد بقدر العبوديّة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فلو كان نصفه حرّاً حُدَّ للزنى خمساً وسبعين جلدة، خمسين لنصيب الحرّية وخمساً وعشرين للرقيّة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اشتمل التقسيط على جزء من سوط كما لو كان ثلثه رقاً فوجب عليه ثلاثة وثمانون وتُلتْ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قُبِض على ثلثي السوط وضرب بثلثه، وعلى هذا الحساب</w:t>
      </w:r>
      <w:r>
        <w:rPr>
          <w:rFonts w:eastAsia="Amiri" w:cs="Amiri" w:ascii="Amiri" w:hAnsi="Amiri"/>
          <w:color w:val="111111"/>
          <w:sz w:val="28"/>
          <w:szCs w:val="28"/>
          <w:rtl w:val="true"/>
          <w:lang w:bidi="ar-SA"/>
        </w:rPr>
        <w:t>.</w:t>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وسابعُها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الضِغْتُ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بالكسر وأصله الحُزْمَة من الشيء، والمراد هنا القبض على جملة من العيدان ونحوها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المشتمِلُ على العددِ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المعتبر في الحد، وضَرْبُه به دفعةً واحدةً مؤلمةً بحيث يَمَسُّه الجميع، أو يَنْكَبِسُ بعضُها على بعض فيناله ألمها، ولو لم تَسَع اليدُ العددَ أجمعَ ضُرِب به مرّتين فصاعداً إلى أن يكمل، ولا يُشترط وصول كلّ واحد من العدد إلى بدنه </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وهو حد المريض مع عدم احتماله الضرب المتكرّر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متتالياً وإن احتمله في الأيام متفرّقاً؛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واقتضاء المصلحة التعجيل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ولو احتمَل سِياطاً خفافاً فهى أولى من الضغث ولا يجب إعادته بعد بُزيه مطلقاً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والظاهر الاجتزاء في الضغث بمسمّى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المضروب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حصول الألم به في الجملة، وإن لم يحصل بآحاده، وقد رُوي أنّ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ذلك في مريض زانٍ بعُرْجُون فيه مائة شمراخ </w:t>
      </w:r>
      <w:r>
        <w:rPr>
          <w:rStyle w:val="FootnoteAnchor"/>
          <w:rtl w:val="true"/>
        </w:rPr>
        <w:footnoteReference w:id="1053"/>
      </w:r>
      <w:r>
        <w:rPr>
          <w:rFonts w:ascii="Amiri" w:hAnsi="Amiri" w:eastAsia="Amiri" w:cs="Amiri"/>
          <w:color w:val="111111"/>
          <w:sz w:val="28"/>
          <w:sz w:val="28"/>
          <w:szCs w:val="28"/>
          <w:rtl w:val="true"/>
          <w:lang w:bidi="ar-SA"/>
        </w:rPr>
        <w:t>فضَرَبه به ضربةً واحدة</w:t>
      </w:r>
      <w:r>
        <w:rPr>
          <w:rStyle w:val="FootnoteAnchor"/>
          <w:rtl w:val="true"/>
        </w:rPr>
        <w:footnoteReference w:id="105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ولو اقتضَتْ المصلحة تأخيره إلى أن يبرأ ثمّ يُقيم عليه الحد تامّاً فَعَل، وعليه يُحمّل ما رُوي من تأخير أمير المؤمنين حد مريض إلى أن يبرأ </w:t>
      </w:r>
      <w:r>
        <w:rPr>
          <w:rStyle w:val="FootnoteAnchor"/>
          <w:rtl w:val="true"/>
        </w:rPr>
        <w:footnoteReference w:id="105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وثامنُها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المقدَّرُ، و معه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عقوبة زائدة، وهو حد الزاني في شهر رمضان ليلاً أو نهاراً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كان النهارُ أغلظ حرمةً، وأقوى في زيادة العقوبة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أو غيره من الأَزْمِنِةِ الشريفة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كيوم الجمعةِ وعرفة والعيدِ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في مكان شريف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كالمسجد والحرم والمشاهد المشرفة، أو زَنَى بمَيْتَة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ويُرجَع في الزيادة إلى رأي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الحاكم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يُقيم الحدَّ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فرق بين أن يكون مع الجلد رجمٌ وغيره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كان الزني لا جلد فيه بل القتل عُوقِب قبله لمكان المحترم ما يراه، وهذا لا يدخل في العبارة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تتمة</w:t>
      </w:r>
      <w:r>
        <w:rPr>
          <w:rFonts w:eastAsia="Amiri" w:cs="Amiri" w:ascii="Amiri" w:hAnsi="Amiri"/>
          <w:color w:val="111111"/>
          <w:sz w:val="28"/>
          <w:szCs w:val="28"/>
          <w:rtl w:val="true"/>
          <w:lang w:bidi="ar-SA"/>
        </w:rPr>
        <w:t>:)</w:t>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شَهِد لها أربع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نساء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بالبكارة بعد شهادة الأربعة بالزني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قبلاً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فالأقرب دَرْءُ الحدّ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دَفْعُه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الجميع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المرأة والشهود بالزنى لتعارض الشهادات ظاهراً، فإنّه كما يمكن صدقُ النساء في البكارة يمكن صدقُ الرجال في الزنى، وليس أحدهم أولى من الآخر، فتحصل الشبهة الدارئة للحدّ عن المشهود عليه وكذا عن الشهود، ولإمكان عود البكارة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وللشيخ قول بحد شهود الزنى للفرية</w:t>
      </w:r>
      <w:r>
        <w:rPr>
          <w:rStyle w:val="FootnoteAnchor"/>
          <w:rtl w:val="true"/>
        </w:rPr>
        <w:footnoteReference w:id="1056"/>
      </w:r>
      <w:r>
        <w:rPr>
          <w:rFonts w:ascii="Amiri" w:hAnsi="Amiri" w:eastAsia="Amiri" w:cs="Amiri"/>
          <w:color w:val="111111"/>
          <w:sz w:val="28"/>
          <w:sz w:val="28"/>
          <w:szCs w:val="28"/>
          <w:rtl w:val="true"/>
          <w:lang w:bidi="ar-SA"/>
        </w:rPr>
        <w:t>، وهو بعيد نعم لو شَهِدْنَ أنّ المرأة رتقاءُ، أو ثبت أنّ الرجلَ مجبوبٌ حُدَّ الشهود للقذف مع احتمال السقوط في الأول للتعارض ولو لم يُقيَّدوه بالقُبُل فلا تعارُضَ</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ويقيم الحاكم الحدَّ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مطلقاً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بعلمه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سواءٌ الإمامُ ونائبه، وسواء علم بموجبه في زمن حكمه أم قبله؛ لعموم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الزَّانِيَةُ وَالزَّانِي فَاجْلِدُوا</w:t>
      </w:r>
      <w:r>
        <w:rPr>
          <w:rStyle w:val="FootnoteAnchor"/>
          <w:rtl w:val="true"/>
        </w:rPr>
        <w:footnoteReference w:id="1057"/>
      </w:r>
      <w:r>
        <w:rPr>
          <w:rFonts w:ascii="IRNazanin" w:hAnsi="IRNazanin" w:eastAsia="IRNazanin"/>
          <w:color w:val="111111"/>
          <w:sz w:val="28"/>
          <w:sz w:val="28"/>
          <w:szCs w:val="28"/>
          <w:rtl w:val="true"/>
          <w:lang w:bidi="fa-IR"/>
        </w:rPr>
        <w:t xml:space="preserve">، </w:t>
      </w:r>
      <w:r>
        <w:rPr>
          <w:rFonts w:ascii="Amiri" w:hAnsi="Amiri" w:eastAsia="Amiri" w:cs="Amiri"/>
          <w:color w:val="111111"/>
          <w:sz w:val="28"/>
          <w:sz w:val="28"/>
          <w:szCs w:val="28"/>
          <w:rtl w:val="true"/>
          <w:lang w:bidi="ar-SA"/>
        </w:rPr>
        <w:t>وَالسَّارِقُ وَالسَّارِقَةُ فَاقْطَعُوا أَيْدِيَهُمَا</w:t>
      </w:r>
      <w:r>
        <w:rPr>
          <w:rStyle w:val="FootnoteAnchor"/>
          <w:rtl w:val="true"/>
        </w:rPr>
        <w:footnoteReference w:id="1058"/>
      </w:r>
      <w:r>
        <w:rPr>
          <w:rFonts w:ascii="Amiri" w:hAnsi="Amiri" w:eastAsia="Amiri" w:cs="Amiri"/>
          <w:color w:val="111111"/>
          <w:sz w:val="28"/>
          <w:sz w:val="28"/>
          <w:szCs w:val="28"/>
          <w:rtl w:val="true"/>
          <w:lang w:bidi="ar-SA"/>
        </w:rPr>
        <w:t>ولأنّ العلم أقوى دلالة من الظنِّ المستند إلى البينة، وإذا جاز الحكم مع الظنّ جاز مع العلم بطريق أولى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وخالَفَ في ذلك ابن الجنيد</w:t>
      </w:r>
      <w:r>
        <w:rPr>
          <w:rStyle w:val="FootnoteAnchor"/>
          <w:rtl w:val="true"/>
        </w:rPr>
        <w:footnoteReference w:id="1059"/>
      </w:r>
      <w:r>
        <w:rPr>
          <w:rFonts w:ascii="Amiri" w:hAnsi="Amiri" w:eastAsia="Amiri" w:cs="Amiri"/>
          <w:color w:val="111111"/>
          <w:sz w:val="28"/>
          <w:sz w:val="28"/>
          <w:szCs w:val="28"/>
          <w:rtl w:val="true"/>
          <w:lang w:bidi="ar-SA"/>
        </w:rPr>
        <w:t>وقد سَبَقه الإجماعُ ولَحِقَه، مع ضعف مَتَمَسَّكِه بأنّ حكمه بعلمه تزكية لنفسه وتعريض لها للتهمة وسوء الظنّ به؛ فإنّ التزكية حاصلةٌ بِتَوْلية الحكم والتهمة حاصلة في حكمه بالبينة والإقرار وإن اختلفت بالزيادة والنقصان، ومثل هذا لا يُلتفت إليه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يحكم بعلمه في حقوق الناس لعينِ ما ذكر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وعدم الفارق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إلّا أنّه بعد مطالبتهم به؛ كما به؛ كما في حكمه لهم بالبينة والإقرار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حداكان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يعلم بسببه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تعزيراً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لاشتراك الجميع في المقتضي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ولو وَجَد مع زوجته رجلاً يَزني بها فله قتلهما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فيما بينه وبين الله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إثم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بذلك، وإن كان استيفاء الحدّ في غيره منوطاً بالحاكم</w:t>
      </w:r>
      <w:r>
        <w:rPr>
          <w:rFonts w:eastAsia="Amiri" w:cs="Amiri" w:ascii="Amiri" w:hAnsi="Amiri"/>
          <w:color w:val="111111"/>
          <w:sz w:val="28"/>
          <w:szCs w:val="28"/>
          <w:rtl w:val="true"/>
          <w:lang w:bidi="ar-SA"/>
        </w:rPr>
        <w:t>.</w:t>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هذا هو المشهور بين الأصحاب لا نعلم فيه مخالفاً، وهو مروي</w:t>
      </w:r>
      <w:r>
        <w:rPr>
          <w:rStyle w:val="FootnoteAnchor"/>
          <w:rtl w:val="true"/>
        </w:rPr>
        <w:footnoteReference w:id="1060"/>
      </w:r>
      <w:r>
        <w:rPr>
          <w:rFonts w:ascii="Amiri" w:hAnsi="Amiri" w:eastAsia="Amiri" w:cs="Amiri"/>
          <w:color w:val="111111"/>
          <w:sz w:val="28"/>
          <w:sz w:val="28"/>
          <w:szCs w:val="28"/>
          <w:rtl w:val="true"/>
          <w:lang w:bidi="ar-SA"/>
        </w:rPr>
        <w:t>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فرق في الزوجة بين الدائم والمتمتَّع بها، ولا بين المدخول بها وغيرها، ولا بين الحرّة والأمة، </w:t>
      </w:r>
    </w:p>
    <w:p>
      <w:pPr>
        <w:pStyle w:val="BookText"/>
        <w:rPr/>
      </w:pPr>
      <w:r>
        <w:rPr>
          <w:rFonts w:ascii="Amiri" w:hAnsi="Amiri" w:eastAsia="Amiri" w:cs="Amiri"/>
          <w:color w:val="111111"/>
          <w:sz w:val="28"/>
          <w:sz w:val="28"/>
          <w:szCs w:val="28"/>
          <w:rtl w:val="true"/>
          <w:lang w:bidi="ar-SA"/>
        </w:rPr>
        <w:t>ولا في الزاني بين المحصن وغيره؛ لإطلاق الإذن المتناول لجميع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والظاهر اشتراط المعاينة على حد ما يُعتبر في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يتَعَدَّى إلى غيرها وإنْ كان رَحِماً أو مَحرَماً؛ اقتصاراً فيما خالَفَ الأصل على محلّ الوفاق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وهذا الحكم بحسب الواقع كما ذكر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ولكن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الظاهر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يجب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إقراره بقتله أو قيام البينة به، إلّامع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إقامته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دعواه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التصديق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وليّ المقتول؛ لأصالة عدم استحقاقه القتل وعدم الفعل المدَّعَى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حديث سعد بن عبادة المشهور لمّا 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وجدت على بطن امرأتك رجلاً ما كنتَ صانعاً؟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أَضرِبُه بالسيف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فكيف بالأربعة الشهود؟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تعالى قد جَعَل لكلّ شيء حدّاً، وجَعَل لمن تَعَدَّى ذلك الحدَّ حدّاً</w:t>
      </w:r>
      <w:r>
        <w:rPr>
          <w:rFonts w:eastAsia="Amiri" w:cs="Amiri" w:ascii="Amiri" w:hAnsi="Amiri"/>
          <w:color w:val="111111"/>
          <w:sz w:val="28"/>
          <w:szCs w:val="28"/>
          <w:rtl w:val="true"/>
          <w:lang w:bidi="ar-SA"/>
        </w:rPr>
        <w:t>»</w:t>
      </w:r>
      <w:r>
        <w:rPr>
          <w:rStyle w:val="FootnoteAnchor"/>
          <w:rtl w:val="true"/>
        </w:rPr>
        <w:footnoteReference w:id="106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ومن تزوج بأمة على حرّةٍ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ووَطِئَها قبل الإذنِ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الحرّة وإجازتها عقد الأمة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فعليه تُمنُ حد الزاني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اثنا عشر سوطاً ونصف؛ بأن يقبض في النصف على نصفه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يُضربه ضرباً بين ضربين</w:t>
      </w:r>
      <w:r>
        <w:rPr>
          <w:rStyle w:val="FootnoteAnchor"/>
          <w:rtl w:val="true"/>
        </w:rPr>
        <w:footnoteReference w:id="106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 اقْتَضَ بكراً بإصبعه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فأزال بكارتَها 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َزِمَه مَهرُ نسائها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زاد عن مهر السنّة إن كانت حرّةً صغيرةً كانت أم كبيرةً، مسلمةً أم كافرةً،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ولو كانت أمةً فعليه عُشْرُ قيمتها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لمولاها على الأشهر، وبه رواية</w:t>
      </w:r>
      <w:r>
        <w:rPr>
          <w:rStyle w:val="FootnoteAnchor"/>
          <w:rtl w:val="true"/>
        </w:rPr>
        <w:footnoteReference w:id="1063"/>
      </w:r>
      <w:r>
        <w:rPr>
          <w:rFonts w:ascii="Amiri" w:hAnsi="Amiri" w:eastAsia="Amiri" w:cs="Amiri"/>
          <w:color w:val="111111"/>
          <w:sz w:val="28"/>
          <w:sz w:val="28"/>
          <w:szCs w:val="28"/>
          <w:rtl w:val="true"/>
          <w:lang w:bidi="ar-SA"/>
        </w:rPr>
        <w:t>في طريقها طلحة بن زيد، ومن ثم قيل بوجوب الأرش</w:t>
      </w:r>
      <w:r>
        <w:rPr>
          <w:rStyle w:val="FootnoteAnchor"/>
          <w:rtl w:val="true"/>
        </w:rPr>
        <w:footnoteReference w:id="1064"/>
      </w:r>
      <w:r>
        <w:rPr>
          <w:rFonts w:ascii="Amiri" w:hAnsi="Amiri" w:eastAsia="Amiri" w:cs="Amiri"/>
          <w:color w:val="111111"/>
          <w:sz w:val="28"/>
          <w:sz w:val="28"/>
          <w:szCs w:val="28"/>
          <w:rtl w:val="true"/>
          <w:lang w:bidi="ar-SA"/>
        </w:rPr>
        <w:t>، وهو ما بين قيمتها بكراً وتيّباً؛ لأنّه مُوجَبُ الجناية على مال الغير</w:t>
      </w:r>
      <w:r>
        <w:rPr>
          <w:rFonts w:eastAsia="Amiri" w:cs="Amiri" w:ascii="Amiri" w:hAnsi="Amiri"/>
          <w:color w:val="111111"/>
          <w:sz w:val="28"/>
          <w:szCs w:val="28"/>
          <w:rtl w:val="true"/>
          <w:lang w:bidi="ar-SA"/>
        </w:rPr>
        <w:t>.</w:t>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وهذا الحكم في الباب عَرَضي، والمناسب فيه الحكم بالتعزير؛ لإقدامه على المحرَّم، وقد اختلف في تقديره، فأطلقه جماعةٌ </w:t>
      </w:r>
      <w:r>
        <w:rPr>
          <w:rStyle w:val="FootnoteAnchor"/>
          <w:rtl w:val="true"/>
        </w:rPr>
        <w:footnoteReference w:id="1065"/>
      </w:r>
      <w:r>
        <w:rPr>
          <w:rFonts w:ascii="Amiri" w:hAnsi="Amiri" w:eastAsia="Amiri" w:cs="Amiri"/>
          <w:color w:val="111111"/>
          <w:sz w:val="28"/>
          <w:sz w:val="28"/>
          <w:szCs w:val="28"/>
          <w:rtl w:val="true"/>
          <w:lang w:bidi="ar-SA"/>
        </w:rPr>
        <w:t xml:space="preserve">، وجَعَله بعضُهم من ثلاثين إلى </w:t>
      </w:r>
    </w:p>
    <w:p>
      <w:pPr>
        <w:pStyle w:val="BookText"/>
        <w:rPr/>
      </w:pPr>
      <w:r>
        <w:rPr>
          <w:rFonts w:ascii="Amiri" w:hAnsi="Amiri" w:eastAsia="Amiri" w:cs="Amiri"/>
          <w:color w:val="111111"/>
          <w:sz w:val="28"/>
          <w:sz w:val="28"/>
          <w:szCs w:val="28"/>
          <w:rtl w:val="true"/>
          <w:lang w:bidi="ar-SA"/>
        </w:rPr>
        <w:t>ثمانين</w:t>
      </w:r>
      <w:r>
        <w:rPr>
          <w:rStyle w:val="FootnoteAnchor"/>
          <w:rtl w:val="true"/>
        </w:rPr>
        <w:footnoteReference w:id="1066"/>
      </w:r>
      <w:r>
        <w:rPr>
          <w:rFonts w:ascii="Amiri" w:hAnsi="Amiri" w:eastAsia="Amiri" w:cs="Amiri"/>
          <w:color w:val="111111"/>
          <w:sz w:val="28"/>
          <w:sz w:val="28"/>
          <w:szCs w:val="28"/>
          <w:rtl w:val="true"/>
          <w:lang w:bidi="ar-SA"/>
        </w:rPr>
        <w:t>، وآخرون إلى تسعة وتسعين</w:t>
      </w:r>
      <w:r>
        <w:rPr>
          <w:rStyle w:val="FootnoteAnchor"/>
          <w:rtl w:val="true"/>
        </w:rPr>
        <w:footnoteReference w:id="1067"/>
      </w:r>
      <w:r>
        <w:rPr>
          <w:rFonts w:ascii="Amiri" w:hAnsi="Amiri" w:eastAsia="Amiri" w:cs="Amiri"/>
          <w:color w:val="111111"/>
          <w:sz w:val="28"/>
          <w:sz w:val="28"/>
          <w:szCs w:val="28"/>
          <w:rtl w:val="true"/>
          <w:lang w:bidi="ar-SA"/>
        </w:rPr>
        <w:t xml:space="preserve">، وفي صحيحة ابن سنان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امرأة اقْتَضَتْ جاريةً بيدها،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عليها المهر، وتُضرب الحدّ</w:t>
      </w:r>
      <w:r>
        <w:rPr>
          <w:rFonts w:eastAsia="Amiri" w:cs="Amiri" w:ascii="Amiri" w:hAnsi="Amiri"/>
          <w:color w:val="111111"/>
          <w:sz w:val="28"/>
          <w:szCs w:val="28"/>
          <w:rtl w:val="true"/>
          <w:lang w:bidi="ar-SA"/>
        </w:rPr>
        <w:t>»</w:t>
      </w:r>
      <w:r>
        <w:rPr>
          <w:rStyle w:val="FootnoteAnchor"/>
          <w:rtl w:val="true"/>
        </w:rPr>
        <w:footnoteReference w:id="106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صحيحته أيضاً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قَضَى بذلك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تُجلَد ثمانين</w:t>
      </w:r>
      <w:r>
        <w:rPr>
          <w:rFonts w:eastAsia="Amiri" w:cs="Amiri" w:ascii="Amiri" w:hAnsi="Amiri"/>
          <w:color w:val="111111"/>
          <w:sz w:val="28"/>
          <w:szCs w:val="28"/>
          <w:rtl w:val="true"/>
          <w:lang w:bidi="ar-SA"/>
        </w:rPr>
        <w:t>»</w:t>
      </w:r>
      <w:r>
        <w:rPr>
          <w:rStyle w:val="FootnoteAnchor"/>
          <w:rtl w:val="true"/>
        </w:rPr>
        <w:footnoteReference w:id="1069"/>
      </w:r>
      <w:r>
        <w:rPr>
          <w:rFonts w:eastAsia="Times New Roman" w:cs="Times New Roman" w:ascii="Times New Roman" w:hAnsi="Times New Roman"/>
          <w:color w:val="111111"/>
          <w:sz w:val="28"/>
          <w:szCs w:val="28"/>
          <w:rtl w:val="true"/>
          <w:lang w:val="en-US" w:bidi="en-US"/>
        </w:rPr>
        <w:t>.</w:t>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أَقَرَّ بحدّ ولم يُبَيِّنُه ضُرِب حتَّى يَنهَى عن نفسه أو يَبلُغَ المائة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والأصل فيه رواية محمد بن قيس عن الباقر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قضى في رجل أقرّ على نفسه بحدّ ولم يُسَمِّ أيَّ حدّ هو أن يُجلد حتى يكون هو الذي ينهى عن نفسه الحد</w:t>
      </w:r>
      <w:r>
        <w:rPr>
          <w:rFonts w:eastAsia="Amiri" w:cs="Amiri" w:ascii="Amiri" w:hAnsi="Amiri"/>
          <w:color w:val="111111"/>
          <w:sz w:val="28"/>
          <w:szCs w:val="28"/>
          <w:rtl w:val="true"/>
          <w:lang w:bidi="ar-SA"/>
        </w:rPr>
        <w:t>»</w:t>
      </w:r>
      <w:r>
        <w:rPr>
          <w:rStyle w:val="FootnoteAnchor"/>
          <w:rtl w:val="true"/>
        </w:rPr>
        <w:footnoteReference w:id="107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وبمضمونها عَمِل الشيخ </w:t>
      </w:r>
      <w:r>
        <w:rPr>
          <w:rStyle w:val="FootnoteAnchor"/>
          <w:rtl w:val="true"/>
        </w:rPr>
        <w:footnoteReference w:id="1071"/>
      </w:r>
      <w:r>
        <w:rPr>
          <w:rFonts w:ascii="Amiri" w:hAnsi="Amiri" w:eastAsia="Amiri" w:cs="Amiri"/>
          <w:color w:val="111111"/>
          <w:sz w:val="28"/>
          <w:sz w:val="28"/>
          <w:szCs w:val="28"/>
          <w:rtl w:val="true"/>
          <w:lang w:bidi="ar-SA"/>
        </w:rPr>
        <w:t xml:space="preserve">وجماعة </w:t>
      </w:r>
      <w:r>
        <w:rPr>
          <w:rStyle w:val="FootnoteAnchor"/>
          <w:rtl w:val="true"/>
        </w:rPr>
        <w:footnoteReference w:id="107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وإنّما قيّده المصنِّفُ بكونه لا يتجاوز المائة؛ لأنّها أكبرُ الحدود وهو حد الزني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وزاد ابنُ إدريس قيداً آخَرَ وهو أنّه لا يَنقُص عن ثمانين؛ نظراً إلى أنّ أقل الحدود حد الشرب</w:t>
      </w:r>
      <w:r>
        <w:rPr>
          <w:rStyle w:val="FootnoteAnchor"/>
          <w:rtl w:val="true"/>
        </w:rPr>
        <w:footnoteReference w:id="107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وفيه نظر؛ إذ حد القوّاد خمسة وسبعون والمصنّف والعلّامة وجماعة</w:t>
      </w:r>
      <w:r>
        <w:rPr>
          <w:rStyle w:val="FootnoteAnchor"/>
          <w:rtl w:val="true"/>
        </w:rPr>
        <w:footnoteReference w:id="1074"/>
      </w:r>
      <w:r>
        <w:rPr>
          <w:rFonts w:ascii="Amiri" w:hAnsi="Amiri" w:eastAsia="Amiri" w:cs="Amiri"/>
          <w:color w:val="111111"/>
          <w:sz w:val="28"/>
          <w:sz w:val="28"/>
          <w:szCs w:val="28"/>
          <w:rtl w:val="true"/>
          <w:lang w:bidi="ar-SA"/>
        </w:rPr>
        <w:t xml:space="preserve">لم يَحُدّوه فى جانب القلة كما أطلق فى الرواية </w:t>
      </w:r>
      <w:r>
        <w:rPr>
          <w:rStyle w:val="FootnoteAnchor"/>
          <w:rtl w:val="true"/>
        </w:rPr>
        <w:footnoteReference w:id="1075"/>
      </w:r>
      <w:r>
        <w:rPr>
          <w:rFonts w:ascii="Amiri" w:hAnsi="Amiri" w:eastAsia="Amiri" w:cs="Amiri"/>
          <w:color w:val="111111"/>
          <w:sz w:val="28"/>
          <w:sz w:val="28"/>
          <w:szCs w:val="28"/>
          <w:rtl w:val="true"/>
          <w:lang w:bidi="ar-SA"/>
        </w:rPr>
        <w:t xml:space="preserve">الجواز أن يريد بالحد التعزير ولا تقدير له قلة </w:t>
      </w:r>
      <w:r>
        <w:rPr>
          <w:rStyle w:val="FootnoteAnchor"/>
          <w:rtl w:val="true"/>
        </w:rPr>
        <w:footnoteReference w:id="1076"/>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ومع ضعف المستند في كلّ واحد من الأقوال نظرُ أمّا النقصان عن أقل الحدود فلانه وإنْ حُمِل على التعزير إلّا أنّ تقديره للحاكم لا للمعزّر، فكيف يقتصر على ما بَيَّنه؟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حُمِل على تعزير مقدَّرٍ وجب تقييده بما لو وقف على أحد المقدرات منه، مع أنّ إطلاق الحدّ على التعزير خلافُ الظاهر، واللفظ إنّما يُحمل على ظاهره، ومع ذلك فلو وقف على عدد لا يكون حدّاً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بين الثمانين والمائة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أشكل قبوله منه لأنّه خلاف المشروع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وكذا عدم تجاوز المائة، فإنّه يمكن زيادة الحدّ عنها بأن يكون قد زَنَى في مكان شريف أو زمان شريف، ومع ذلك فتقدير الزيادة على هذا التقدير إلى الحاكم لا إليه، ثمّ يُشكل بلوغ الثمانين بالإقرار مرّةً؛ لتوقف حد الثمانين على الإقرار مرتين، وأشكلُ منه بلوغ المائة بالمرّة والمرتين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وهذا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وهو بلوغ المائة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يصح إذا تَكَرَّر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الإقرارُ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أربعاً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هو مقتضى الإقرار بالزني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وإلا فلا يبلغ المائة</w:t>
      </w:r>
      <w:r>
        <w:rPr>
          <w:rFonts w:eastAsia="Amiri" w:cs="Amiri" w:ascii="Amiri" w:hAnsi="Amiri"/>
          <w:color w:val="111111"/>
          <w:sz w:val="28"/>
          <w:szCs w:val="28"/>
          <w:rtl w:val="true"/>
          <w:lang w:bidi="ar-SA"/>
        </w:rPr>
        <w:t>).</w:t>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وبالجملة فليس في المسألة فرضٌ يَتِمّ مطلقاً؛ لأنا إن حملنا الحدَّ على ما يَشمل التعزيز لم يَتَّجه الرجوع إليه في المقدار، إلا أن نَخُصَّه بمقدار تعزير من التعزيرات المقدَّرة، وحينئذٍ يَتَّجِه أنّه يُقبل بالمرّة ولا يبلغ الخمسة والسبعين، وإن أقر مرتين لم يتجاوز الثمانين، وإن أقر أربعاً جاز الوصول إلى المائة وأمكن القولُ بالتجاوز لما ذُكِر، مع أنه في الجميع كما يمكن حمل المكرر على التأكيد لحدٍ واحدٍ يمكن حمله على التأسيس، فلا يتعيَّن كونه حدَّ زنى أو غيره، بل يجوز كونه تعزيراتٍ متعدّدةٍ أو </w:t>
      </w:r>
    </w:p>
    <w:p>
      <w:pPr>
        <w:pStyle w:val="BookText"/>
        <w:rPr/>
      </w:pPr>
      <w:r>
        <w:rPr>
          <w:rFonts w:ascii="Amiri" w:hAnsi="Amiri" w:eastAsia="Amiri" w:cs="Amiri"/>
          <w:color w:val="111111"/>
          <w:sz w:val="28"/>
          <w:sz w:val="28"/>
          <w:szCs w:val="28"/>
          <w:rtl w:val="true"/>
          <w:lang w:bidi="ar-SA"/>
        </w:rPr>
        <w:t>حدوداً كذلك مبهمةً، ومن القواعدِ المشهورة أنّ التأسيس أولى من التأكيد، فالحكم مطلقاً مشكل، والمستند ضعيفٌ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قيل بأنه مع الإقرار مرّةً لا يبلغ الخمسة والسبعين في طرف الزيادة، وفي طرف النقيصة يقتصر الحاكم على ما يراه كان حسناً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التقبيل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المحرَّمِ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والمضاجعة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نوم الرجل مع المرأة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إزار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ثوبِ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واحدٍ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أو تحتَ لِحافٍ واحدٍ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التعزير بما دون الحدّ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لأنّه فِعْل محرَّمٌ لا يَبلُغ حد الزنى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والمرجع في كمّيّة التعزير إلى رأي الحاكم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والظاهر أنّ المراد بالحدّ الذي لا يبلغه هنا حد الزنى، كما ينبه عليه في بعض الأخبار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إنّهما يُضربان مائةَ سَوطٍ غير سوطٍ </w:t>
      </w:r>
      <w:r>
        <w:rPr>
          <w:rStyle w:val="FootnoteAnchor"/>
          <w:rtl w:val="true"/>
        </w:rPr>
        <w:footnoteReference w:id="1077"/>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ورَوَى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الحلبي في الصحيح عن الصادق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Style w:val="FootnoteAnchor"/>
          <w:rtl w:val="true"/>
        </w:rPr>
        <w:footnoteReference w:id="107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ورواه غيره 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أنّهما يُجلَدان كلُّ واحد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مائةَ جَلدةٍ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 الزاني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وحُمِلت على ما إذا انضاف إلى ذلك وقوع الفعل جمعاً بين الأخبار</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ولو حَمَلتْ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المرأة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بَعْلَ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لها ولا مولى ولم يُعلَم وجهه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تُحدّ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لاحتمال كونه بوجه حلال أو شبهةٍ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 أن تُقِرّ أربعاً بالزني</w:t>
      </w:r>
      <w:r>
        <w:rPr>
          <w:rFonts w:eastAsia="Amiri" w:cs="Amiri" w:ascii="Amiri" w:hAnsi="Amiri"/>
          <w:color w:val="111111"/>
          <w:sz w:val="28"/>
          <w:szCs w:val="28"/>
          <w:rtl w:val="true"/>
          <w:lang w:bidi="ar-SA"/>
        </w:rPr>
        <w:t>)</w:t>
      </w:r>
      <w:r>
        <w:rPr>
          <w:rStyle w:val="FootnoteAnchor"/>
          <w:rtl w:val="true"/>
        </w:rPr>
        <w:footnoteReference w:id="1079"/>
      </w:r>
      <w:r>
        <w:rPr>
          <w:rFonts w:ascii="Amiri" w:hAnsi="Amiri" w:eastAsia="Amiri" w:cs="Amiri"/>
          <w:color w:val="111111"/>
          <w:sz w:val="28"/>
          <w:sz w:val="28"/>
          <w:szCs w:val="28"/>
          <w:rtl w:val="true"/>
          <w:lang w:bidi="ar-SA"/>
        </w:rPr>
        <w:t>فتحد لذلك لا للحمل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وتُؤَخَّر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الزانيةُ الحامل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حتى تَضَعَ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الحمل وإنْ كان من الزنى وتسقيه اللبا وتُرضِعه إن لم يُوجد له كافل، ثمّ يقيم عليها الحد إن كان رجماً، ولو كان جلداً فبعد أيام النفاس إن أُمن عليها التلف أو وُجد له مرضع وإلا فبعده، ويكفي في تأخيره عنها دعواها الحمل لا مجرّدُ الاحتمال</w:t>
      </w:r>
      <w:r>
        <w:rPr>
          <w:rFonts w:eastAsia="Amiri" w:cs="Amiri" w:ascii="Amiri" w:hAnsi="Amiri"/>
          <w:color w:val="111111"/>
          <w:sz w:val="28"/>
          <w:szCs w:val="28"/>
          <w:rtl w:val="true"/>
          <w:lang w:bidi="ar-SA"/>
        </w:rPr>
        <w:t>.</w:t>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ولو أقر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بما يوجب الحدَّ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أَنكَر سَقَط الحد إن كان مما يوجب الرجم ولا يَسقُط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الجلد وما يلحقه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إذا لم يُجمَع في موجب الرجم بينه وبين الجلد، وإلا ففي سقوط الحدّ مطلقاً بإنكاره ما يوجب الرجمَ نظر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إطلاق سقوط </w:t>
      </w:r>
    </w:p>
    <w:p>
      <w:pPr>
        <w:pStyle w:val="BookText"/>
        <w:rPr/>
      </w:pPr>
      <w:r>
        <w:rPr>
          <w:rFonts w:ascii="Amiri" w:hAnsi="Amiri" w:eastAsia="Amiri" w:cs="Amiri"/>
          <w:color w:val="111111"/>
          <w:sz w:val="28"/>
          <w:sz w:val="28"/>
          <w:szCs w:val="28"/>
          <w:rtl w:val="true"/>
          <w:lang w:bidi="ar-SA"/>
        </w:rPr>
        <w:t>الحدّ الشامل للأمرين، ومن أن الجلد لا يسقط بالإنكار لو انفرد فكذا إذا انضم، بل هنا أولى؛ لزيادة الذنب، فلا يناسبه سقوط العقوبة مطلقاً مع ثبوت مثلها في الأخف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والأقوى سقوط الرجم دون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إلحاق ما يوجب القتل كالزنى بذات مَحرَم، أو كرهاً، قولان</w:t>
      </w:r>
      <w:r>
        <w:rPr>
          <w:rStyle w:val="FootnoteAnchor"/>
          <w:rtl w:val="true"/>
        </w:rPr>
        <w:footnoteReference w:id="108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تشاركهما في المقتضي وهو الإنكارُ؛ لما بُني على التخفيف ونظرِ الشارع إلى عصمة الدم وأخذه فيه بالاحتياط، ومن عدم النص عليه وبطلان القياس</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ولو أقر بحد ثم تاب تخيّر الإمام فى إقامته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عليه والعفو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رجماً 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المشهور لاشتراك الجميع في المقتضي، ولأن التوبة إذا أسقَطَتْ تَحْتُم أشد العقوبتين، فإسقاطها لتَحَتُمِ الأُخرى أولى</w:t>
      </w:r>
      <w:r>
        <w:rPr>
          <w:rFonts w:eastAsia="Amiri" w:cs="Amiri" w:ascii="Amiri" w:hAnsi="Amiri"/>
          <w:color w:val="111111"/>
          <w:sz w:val="28"/>
          <w:szCs w:val="28"/>
          <w:rtl w:val="true"/>
          <w:lang w:bidi="ar-SA"/>
        </w:rPr>
        <w:t>.</w:t>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ونبه بالتسوية بينهما على خلاف ابن إدريس</w:t>
      </w:r>
      <w:r>
        <w:rPr>
          <w:rStyle w:val="FootnoteAnchor"/>
          <w:rtl w:val="true"/>
        </w:rPr>
        <w:footnoteReference w:id="1081"/>
      </w:r>
      <w:r>
        <w:rPr>
          <w:rFonts w:ascii="Amiri" w:hAnsi="Amiri" w:eastAsia="Amiri" w:cs="Amiri"/>
          <w:color w:val="111111"/>
          <w:sz w:val="28"/>
          <w:sz w:val="28"/>
          <w:szCs w:val="28"/>
          <w:rtl w:val="true"/>
          <w:lang w:bidi="ar-SA"/>
        </w:rPr>
        <w:t>حيث خص التخيير بما إذا كان الحد رجماً، وحتّم إقامته لو كان جلداً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محتجاً بأصالة البقاء واستلزام التخيير تعطيل الحد المنهي </w:t>
      </w:r>
      <w:r>
        <w:rPr>
          <w:rStyle w:val="FootnoteAnchor"/>
          <w:rtl w:val="true"/>
        </w:rPr>
        <w:footnoteReference w:id="1082"/>
      </w:r>
      <w:r>
        <w:rPr>
          <w:rFonts w:ascii="Amiri" w:hAnsi="Amiri" w:eastAsia="Amiri" w:cs="Amiri"/>
          <w:color w:val="111111"/>
          <w:sz w:val="28"/>
          <w:sz w:val="28"/>
          <w:szCs w:val="28"/>
          <w:rtl w:val="true"/>
          <w:lang w:bidi="ar-SA"/>
        </w:rPr>
        <w:t>عنه في غير موضع الوفاق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وينبغي على قول ابن إدريس إلحاق ما يوجب القتل بالرجم؛ لتعليله بأنه يوجب تلف النفس بخلاف الجلد</w:t>
      </w:r>
      <w:r>
        <w:rPr>
          <w:rFonts w:eastAsia="Amiri" w:cs="Amiri" w:ascii="Amiri" w:hAnsi="Amiri"/>
          <w:color w:val="111111"/>
          <w:sz w:val="28"/>
          <w:szCs w:val="28"/>
          <w:rtl w:val="true"/>
          <w:lang w:bidi="ar-SA"/>
        </w:rPr>
        <w:t xml:space="preserve">. </w:t>
      </w:r>
      <w:bookmarkStart w:id="127" w:name="pg11049_88576"/>
    </w:p>
    <w:p>
      <w:pPr>
        <w:pStyle w:val="Heading3"/>
        <w:numPr>
          <w:ilvl w:val="2"/>
          <w:numId w:val="1"/>
        </w:numPr>
        <w:rPr/>
      </w:pPr>
      <w:bookmarkStart w:id="128" w:name="__RefHeading___Toc1446149_1067777946"/>
      <w:bookmarkStart w:id="129" w:name="_Toc38"/>
      <w:bookmarkEnd w:id="127"/>
      <w:bookmarkEnd w:id="128"/>
      <w:r>
        <w:rPr>
          <w:rtl w:val="true"/>
        </w:rPr>
        <w:t>الفصل الثاني في اللواط</w:t>
      </w:r>
      <w:bookmarkEnd w:id="129"/>
    </w:p>
    <w:p>
      <w:pPr>
        <w:pStyle w:val="BookText"/>
        <w:rPr/>
      </w:pPr>
      <w:r>
        <w:rPr>
          <w:rFonts w:ascii="Amiri" w:hAnsi="Amiri" w:eastAsia="Amiri" w:cs="Amiri"/>
          <w:color w:val="111111"/>
          <w:sz w:val="28"/>
          <w:sz w:val="28"/>
          <w:szCs w:val="28"/>
          <w:rtl w:val="true"/>
          <w:lang w:bidi="ar-SA"/>
        </w:rPr>
        <w:t>وهو وطئ الذكر، واشتقاقه من فعل قوم لوط، والسُّحْق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ذلك فرج المرأة بفرج أخرى،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والقيادة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وسيأتي</w:t>
      </w:r>
      <w:r>
        <w:rPr>
          <w:rStyle w:val="FootnoteAnchor"/>
          <w:rtl w:val="true"/>
        </w:rPr>
        <w:footnoteReference w:id="1083"/>
      </w:r>
      <w:r>
        <w:rPr>
          <w:rFonts w:ascii="Amiri" w:hAnsi="Amiri" w:eastAsia="Amiri" w:cs="Amiri"/>
          <w:color w:val="111111"/>
          <w:sz w:val="28"/>
          <w:sz w:val="28"/>
          <w:szCs w:val="28"/>
          <w:rtl w:val="true"/>
          <w:lang w:bidi="ar-SA"/>
        </w:rPr>
        <w:t>أنّها الجمع بين فاعلي هذه الفواحش</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الأوّل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فمن أقرَّ بإيقاب ذكر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إدخال شيء من الذكر في دُبُره ولؤ مقدار الحشفة، وظاهرهم هنا الاتفاق على ذلك وإن اكتفوا ببعضها في تحريم أُمه وأُختِه وبنته، في حالة كون المقرّ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مختاراً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غير مكره على الإقرار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أربع مراتٍ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في مجلس واحدٍ،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شَهِد عليه أربعةُ رجالٍ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بالمعاينة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للفعل كالميل في المكحلة كالزنى،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الفاعل المقرُّ أو المشهود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حرّاً بالغاً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عاقلاً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قُتِلَ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اعتبارُ بلوغه وعقله واضحٌ ؛ إذ لا عبرة بإقرار الصبي والمجنون، وكذا لا يُقتلان لو شُهد عليهما به لعدم التكليف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الحرية فإنّما تُعتبر في قبول الإقرار؛ لأن إقرار العبد به يتعلق بحق سيده فلا يُسمَع ، بخلاف الشهادة عليه فإنه لا فرق فيها بينه وبين الحرّ فيُقتل حيث يُقتل، وكذا لو اطلع عليهما الحاكم، وبالجملة فحكمه حكم الحرّ إلا في الإقرار، وإن كانت العبارة تُوهِم خلاف ذلك</w:t>
      </w:r>
      <w:r>
        <w:rPr>
          <w:rFonts w:eastAsia="Amiri" w:cs="Amiri" w:ascii="Amiri" w:hAnsi="Amiri"/>
          <w:color w:val="111111"/>
          <w:sz w:val="28"/>
          <w:szCs w:val="28"/>
          <w:rtl w:val="true"/>
          <w:lang w:bidi="ar-SA"/>
        </w:rPr>
        <w:t>.</w:t>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ويُقتل الفاعلُ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محصناً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وقتله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إما بالسيف أو الإحراق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بالنار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الرجم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بالحجارة وإن لم يكن بصفة الزاني المستحِقِّ للرجم،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بإلقاء جدار عليه، أو بإلقائه من شاهِقٍ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كجدارٍ رفيع يُقتل مثله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ويجوز الجمع بين اثنين منها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أي من هذه الخمسة بحيث يكون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أحدهما الحريق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والآخَرُ أحد الأربعة، بأن يُقتل بالسيف أو </w:t>
      </w:r>
    </w:p>
    <w:p>
      <w:pPr>
        <w:pStyle w:val="BookText"/>
        <w:rPr/>
      </w:pPr>
      <w:r>
        <w:rPr>
          <w:rFonts w:ascii="Amiri" w:hAnsi="Amiri" w:eastAsia="Amiri" w:cs="Amiri"/>
          <w:color w:val="111111"/>
          <w:sz w:val="28"/>
          <w:sz w:val="28"/>
          <w:szCs w:val="28"/>
          <w:rtl w:val="true"/>
          <w:lang w:bidi="ar-SA"/>
        </w:rPr>
        <w:t>الرجم أو الرمي به أو عليه ثمّ يُحرق زيادةً في الردع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والمفعول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يُقتل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كذلك إن كان بالغاً عاقلاً مختاراً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ويُعَزّر الصبي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فاعلاً ومفعولاً، ويُؤَدَّب المجنونُ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والتأديبُ في معنى التعزير هنا، وإن افترقا من حيث إن التعزيز يتناول المكلَّفَ وغيره بخلاف التأديب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تَحَرَّر من ذلك أنّ الفاعل والمفعول إن كانا بالغين قُتِلا حرَّيْن كانا أم عبدين أم بالتفريق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مسلمين كانا أم كافرين أم بالتفريق، وإن كانا صبيين أو مجنونين أو بالتفريق أُدبا ، وإن كان أحدهما مكلَّفاً والآخَرُ غير مكلَّف قُتِل المكلَّفُ وأُتِّب غيرُه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ولو أقرَّ به دون الأربع لم يُحدّ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كالإقرار بالزني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وعُزّرَ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بالإقرار ولو مرة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ويمكن اعتبار المرتين، كما في موجب كلّ تعزير، وسيأتي</w:t>
      </w:r>
      <w:r>
        <w:rPr>
          <w:rStyle w:val="FootnoteAnchor"/>
          <w:rtl w:val="true"/>
        </w:rPr>
        <w:footnoteReference w:id="1084"/>
      </w:r>
      <w:r>
        <w:rPr>
          <w:rFonts w:ascii="Amiri" w:hAnsi="Amiri" w:eastAsia="Amiri" w:cs="Amiri"/>
          <w:color w:val="111111"/>
          <w:sz w:val="28"/>
          <w:sz w:val="28"/>
          <w:szCs w:val="28"/>
          <w:rtl w:val="true"/>
          <w:lang w:bidi="ar-SA"/>
        </w:rPr>
        <w:t>، وكذا الزنى ولم يذكره ثُمَّ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ولو شهد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عليه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دون الأربعة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اختل بعض الشرائط وإنْ كانوا أربعةً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حُدُّوا للفرية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يحكم الحاكم فيه بعلمه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كغيره من الحدود؛ لأنه أقوى من البينة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فرق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ويَحكُم الفاعل والمفعول بين العبد والحرّ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في حالة علم الحاكم، وكذا لا فرق بينهما مع البينة كما 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منه مُؤَكّد لما أفهَمَتْه عبارته سابقاً من تساوي الإقرار والبينة في اعتبار الحرّية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ولو ادَّعى العبد الإكراه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مولاه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دُرِئ عنه الحد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دون المولى؛ لقيام القرينة على ذلك، ولأنّه شبهة محتملة فيُدرَأ الحدُّ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ادَّعَى الإكراه من غير مولاه فالظاهر أنّه كغيره، وإن كانت العبارة تَتَناوَلُه بإطلاقها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فرق في ذلك كله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بين المسلم والكافر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لشمول الأدلة لهما</w:t>
      </w:r>
      <w:r>
        <w:rPr>
          <w:rFonts w:eastAsia="Amiri" w:cs="Amiri" w:ascii="Amiri" w:hAnsi="Amiri"/>
          <w:color w:val="111111"/>
          <w:sz w:val="28"/>
          <w:szCs w:val="28"/>
          <w:rtl w:val="true"/>
          <w:lang w:bidi="ar-SA"/>
        </w:rPr>
        <w:t>.</w:t>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 لم يكن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إيقاباً، كالتفخيذ أو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جعل الذكر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بين الأليين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بفتح الهمزة </w:t>
      </w:r>
    </w:p>
    <w:p>
      <w:pPr>
        <w:pStyle w:val="BookText"/>
        <w:rPr/>
      </w:pPr>
      <w:r>
        <w:rPr>
          <w:rFonts w:ascii="Amiri" w:hAnsi="Amiri" w:eastAsia="Amiri" w:cs="Amiri"/>
          <w:color w:val="111111"/>
          <w:sz w:val="28"/>
          <w:sz w:val="28"/>
          <w:szCs w:val="28"/>
          <w:rtl w:val="true"/>
          <w:lang w:bidi="ar-SA"/>
        </w:rPr>
        <w:t>والياءين المثنائين من تحت من دون تاء بعدهما</w:t>
      </w:r>
      <w:r>
        <w:rPr>
          <w:rStyle w:val="FootnoteAnchor"/>
          <w:rtl w:val="true"/>
        </w:rPr>
        <w:footnoteReference w:id="1085"/>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فحده مائة جلدة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للفاعل والمفعول مع البلوغ والعقل والاختيار، كما مر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كلُّ منهما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عبداً، مسلماً أو كافراً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محصناً أو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الأشهر؛ لرواية سليمان بن هلال عن الصادق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كان دون الثقب فالحدّ، وإن كان ثَقَبَ أقيم قائماً ثمّ ضُرب بالسيف</w:t>
      </w:r>
      <w:r>
        <w:rPr>
          <w:rFonts w:eastAsia="Amiri" w:cs="Amiri" w:ascii="Amiri" w:hAnsi="Amiri"/>
          <w:color w:val="111111"/>
          <w:sz w:val="28"/>
          <w:szCs w:val="28"/>
          <w:rtl w:val="true"/>
          <w:lang w:bidi="ar-SA"/>
        </w:rPr>
        <w:t>»</w:t>
      </w:r>
      <w:r>
        <w:rPr>
          <w:rStyle w:val="FootnoteAnchor"/>
          <w:rtl w:val="true"/>
        </w:rPr>
        <w:footnoteReference w:id="108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والظاهر أنّ المراد بالحد الجلد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يُرجَم المحصن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ويُجلد غيرُه</w:t>
      </w:r>
      <w:r>
        <w:rPr>
          <w:rStyle w:val="FootnoteAnchor"/>
          <w:rtl w:val="true"/>
        </w:rPr>
        <w:footnoteReference w:id="1087"/>
      </w:r>
      <w:r>
        <w:rPr>
          <w:rFonts w:ascii="Amiri" w:hAnsi="Amiri" w:eastAsia="Amiri" w:cs="Amiri"/>
          <w:color w:val="111111"/>
          <w:sz w:val="28"/>
          <w:sz w:val="28"/>
          <w:szCs w:val="28"/>
          <w:rtl w:val="true"/>
          <w:lang w:bidi="ar-SA"/>
        </w:rPr>
        <w:t>؛ جمعاً بين رواية العلاء بن الفضيل</w:t>
      </w:r>
      <w:r>
        <w:rPr>
          <w:rStyle w:val="FootnoteAnchor"/>
          <w:rtl w:val="true"/>
        </w:rPr>
        <w:footnoteReference w:id="1088"/>
      </w:r>
      <w:r>
        <w:rPr>
          <w:rFonts w:ascii="Amiri" w:hAnsi="Amiri" w:eastAsia="Amiri" w:cs="Amiri"/>
          <w:color w:val="111111"/>
          <w:sz w:val="28"/>
          <w:sz w:val="28"/>
          <w:szCs w:val="28"/>
          <w:rtl w:val="true"/>
          <w:lang w:bidi="ar-SA"/>
        </w:rPr>
        <w:t>عن الصادق 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حد اللوطي مثل حدّ الزاني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 كان قد أُحصن رُجِم وإلّا جُلِد</w:t>
      </w:r>
      <w:r>
        <w:rPr>
          <w:rFonts w:eastAsia="Amiri" w:cs="Amiri" w:ascii="Amiri" w:hAnsi="Amiri"/>
          <w:color w:val="111111"/>
          <w:sz w:val="28"/>
          <w:szCs w:val="28"/>
          <w:rtl w:val="true"/>
          <w:lang w:bidi="ar-SA"/>
        </w:rPr>
        <w:t>»</w:t>
      </w:r>
      <w:r>
        <w:rPr>
          <w:rStyle w:val="FootnoteAnchor"/>
          <w:rtl w:val="true"/>
        </w:rPr>
        <w:footnoteReference w:id="108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وقريب منها رواية حمّاد بن عثمان، وبين ما رُوي من قتل اللائط مطلقاً</w:t>
      </w:r>
      <w:r>
        <w:rPr>
          <w:rStyle w:val="FootnoteAnchor"/>
          <w:rtl w:val="true"/>
        </w:rPr>
        <w:footnoteReference w:id="109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يُقتل مطلقاً </w:t>
      </w:r>
      <w:r>
        <w:rPr>
          <w:rStyle w:val="FootnoteAnchor"/>
          <w:rtl w:val="true"/>
        </w:rPr>
        <w:footnoteReference w:id="1091"/>
      </w:r>
      <w:r>
        <w:rPr>
          <w:rFonts w:ascii="Amiri" w:hAnsi="Amiri" w:eastAsia="Amiri" w:cs="Amiri"/>
          <w:color w:val="111111"/>
          <w:sz w:val="28"/>
          <w:sz w:val="28"/>
          <w:szCs w:val="28"/>
          <w:rtl w:val="true"/>
          <w:lang w:bidi="ar-SA"/>
        </w:rPr>
        <w:t>لما ذكر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والأخبار من الطرفين غيرُ نقيّة السند والمتيقن المشهور، والأصل عدمُ أمرٍ آخَرَ</w:t>
      </w:r>
      <w:r>
        <w:rPr>
          <w:rFonts w:eastAsia="Amiri" w:cs="Amiri" w:ascii="Amiri" w:hAnsi="Amiri"/>
          <w:color w:val="111111"/>
          <w:sz w:val="28"/>
          <w:szCs w:val="28"/>
          <w:rtl w:val="true"/>
          <w:lang w:bidi="ar-SA"/>
        </w:rPr>
        <w:t>.</w:t>
      </w:r>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ولو تكرّر منه الفعلُ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لا يوجب القتل ابتداءً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مرتين مع تكرار الحدّ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عليه بأن حُدَّ لكل مرة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قُتِل في الثالثة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لأنه كبيرة، وأصحاب الكبائر مطلقاً إذا أُقيم عليهم الحد مرتين قُتِلوا في الثالثة؛ لرواية يونس عن أبي الحسن الماضي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أصحابُ الكبائر كلّها إذا أُقيم عليهم الحد مرتين قُتلوا في الثالثة</w:t>
      </w:r>
      <w:r>
        <w:rPr>
          <w:rFonts w:eastAsia="Amiri" w:cs="Amiri" w:ascii="Amiri" w:hAnsi="Amiri"/>
          <w:color w:val="111111"/>
          <w:sz w:val="28"/>
          <w:szCs w:val="28"/>
          <w:rtl w:val="true"/>
          <w:lang w:bidi="ar-SA"/>
        </w:rPr>
        <w:t>»</w:t>
      </w:r>
      <w:r>
        <w:rPr>
          <w:rStyle w:val="FootnoteAnchor"/>
          <w:rtl w:val="true"/>
        </w:rPr>
        <w:footnoteReference w:id="1092"/>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والأحوط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الذي اختاره المصنّف في الشرح قَتْلُه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الرابعة</w:t>
      </w:r>
      <w:r>
        <w:rPr>
          <w:rFonts w:eastAsia="Amiri" w:cs="Amiri" w:ascii="Amiri" w:hAnsi="Amiri"/>
          <w:color w:val="111111"/>
          <w:sz w:val="28"/>
          <w:szCs w:val="28"/>
          <w:rtl w:val="true"/>
          <w:lang w:bidi="ar-SA"/>
        </w:rPr>
        <w:t>)</w:t>
      </w:r>
      <w:r>
        <w:rPr>
          <w:rStyle w:val="FootnoteAnchor"/>
          <w:rtl w:val="true"/>
        </w:rPr>
        <w:footnoteReference w:id="1093"/>
      </w:r>
      <w:r>
        <w:rPr>
          <w:rFonts w:ascii="Amiri" w:hAnsi="Amiri" w:eastAsia="Amiri" w:cs="Amiri"/>
          <w:color w:val="111111"/>
          <w:sz w:val="28"/>
          <w:sz w:val="28"/>
          <w:szCs w:val="28"/>
          <w:rtl w:val="true"/>
          <w:lang w:bidi="ar-SA"/>
        </w:rPr>
        <w:t>؛ لرواية أبي بصير قال، قال أبو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الزاني إذا جُلِد ثلاثاً يُقتل في الرابعة</w:t>
      </w:r>
      <w:r>
        <w:rPr>
          <w:rFonts w:eastAsia="Amiri" w:cs="Amiri" w:ascii="Amiri" w:hAnsi="Amiri"/>
          <w:color w:val="111111"/>
          <w:sz w:val="28"/>
          <w:szCs w:val="28"/>
          <w:rtl w:val="true"/>
          <w:lang w:bidi="ar-SA"/>
        </w:rPr>
        <w:t>»</w:t>
      </w:r>
      <w:r>
        <w:rPr>
          <w:rStyle w:val="FootnoteAnchor"/>
          <w:rtl w:val="true"/>
        </w:rPr>
        <w:footnoteReference w:id="1094"/>
      </w:r>
      <w:r>
        <w:rPr>
          <w:rFonts w:ascii="Amiri" w:hAnsi="Amiri" w:eastAsia="Amiri" w:cs="Amiri"/>
          <w:color w:val="111111"/>
          <w:sz w:val="28"/>
          <w:sz w:val="28"/>
          <w:szCs w:val="28"/>
          <w:rtl w:val="true"/>
          <w:lang w:bidi="ar-SA"/>
        </w:rPr>
        <w:t>ولأنّ الحدَّ مبني على التخفيف وللاحتياط في الدماء، وترجيح هذه الرواية بذلك، وبأنّها خاصة وتلك عامةٌ فيُجمع بينهما بتخصيص العام بما عدا الخاص، وهو الأجود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لم يسبق حده مرتين لم يجب سَوَى الجَلد مائةً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ولو تاب قبل قيام البينة سقط عنه الحد؛ قتلاً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الحد أو رجماً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جلداً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ما فُصِّل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ولو تاب بعده لم يسقط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الحدُّ، وكذا لو تاب مع الإقرار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ولكن يتخيَّر الإمام في المقرّ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قبل التوبة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بين العفو والاستيفاء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كالزني</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ويُعزّر مَن قَبَّل غلاماً بشهوة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بما يراه الحاكم؛ لأنه من جملة المعاصي بل الكبائرِ المُتَوَعَّد عليه بخصوصه بالنار، فقد رُوِيَ 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قَبَّل غلاماً بشهوة لَعَنَه ملائكةُ السماء وملائكةُ الأرضِينَ وملائكة الرحمة وملائكة الغضب، وأُعِدّ له جهنّم وساءت مصيراً</w:t>
      </w:r>
      <w:r>
        <w:rPr>
          <w:rFonts w:eastAsia="Amiri" w:cs="Amiri" w:ascii="Amiri" w:hAnsi="Amiri"/>
          <w:color w:val="111111"/>
          <w:sz w:val="28"/>
          <w:szCs w:val="28"/>
          <w:rtl w:val="true"/>
          <w:lang w:bidi="ar-SA"/>
        </w:rPr>
        <w:t>»</w:t>
      </w:r>
      <w:r>
        <w:rPr>
          <w:rStyle w:val="FootnoteAnchor"/>
          <w:rtl w:val="true"/>
        </w:rPr>
        <w:footnoteReference w:id="109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حديثٍ آخَرَ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قبل غلاماً بشهوة الجَمَه الله يومَ القيامة بلجام من نار</w:t>
      </w:r>
      <w:r>
        <w:rPr>
          <w:rFonts w:eastAsia="Amiri" w:cs="Amiri" w:ascii="Amiri" w:hAnsi="Amiri"/>
          <w:color w:val="111111"/>
          <w:sz w:val="28"/>
          <w:szCs w:val="28"/>
          <w:rtl w:val="true"/>
          <w:lang w:bidi="ar-SA"/>
        </w:rPr>
        <w:t>»</w:t>
      </w:r>
      <w:r>
        <w:rPr>
          <w:rStyle w:val="FootnoteAnchor"/>
          <w:rtl w:val="true"/>
        </w:rPr>
        <w:footnoteReference w:id="1096"/>
      </w:r>
      <w:r>
        <w:rPr>
          <w:rFonts w:eastAsia="Times New Roman" w:cs="Times New Roman" w:ascii="Times New Roman" w:hAnsi="Times New Roman"/>
          <w:color w:val="111111"/>
          <w:sz w:val="28"/>
          <w:szCs w:val="28"/>
          <w:rtl w:val="true"/>
          <w:lang w:val="en-US" w:bidi="en-US"/>
        </w:rPr>
        <w:t>.</w:t>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وكذا يُعَزَّر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الذكران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المجتمعان تحتَ إزار واحدٍ مجرَّدين وليس بينهما رَحِمٌ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قرابة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ثلاثين سوطاً إلى تسعة وتسعين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المشهور، أما تحديده في جانب الزيادة؛ فلانه ليس بفعل يوجب الحدَّ كَمَلاً فلا يبلغ به، ولقول الصادق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المرأتين تنامان في ثوبٍ واحدٍ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تُضربان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w:t>
      </w:r>
      <w:r>
        <w:rPr>
          <w:rStyle w:val="FootnoteAnchor"/>
          <w:rtl w:val="true"/>
        </w:rPr>
        <w:footnoteReference w:id="109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وكذا قال في الرجلين</w:t>
      </w:r>
      <w:r>
        <w:rPr>
          <w:rStyle w:val="FootnoteAnchor"/>
          <w:rtl w:val="true"/>
        </w:rPr>
        <w:footnoteReference w:id="1098"/>
      </w:r>
      <w:r>
        <w:rPr>
          <w:rFonts w:ascii="Amiri" w:hAnsi="Amiri" w:eastAsia="Amiri" w:cs="Amiri"/>
          <w:color w:val="111111"/>
          <w:sz w:val="28"/>
          <w:sz w:val="28"/>
          <w:szCs w:val="28"/>
          <w:rtl w:val="true"/>
          <w:lang w:bidi="ar-SA"/>
        </w:rPr>
        <w:t>، وفي رواية ابن سنان عنه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يُجلَدان حداً غيرَ سَوطٍ واحدٍ</w:t>
      </w:r>
      <w:r>
        <w:rPr>
          <w:rFonts w:eastAsia="Amiri" w:cs="Amiri" w:ascii="Amiri" w:hAnsi="Amiri"/>
          <w:color w:val="111111"/>
          <w:sz w:val="28"/>
          <w:szCs w:val="28"/>
          <w:rtl w:val="true"/>
          <w:lang w:bidi="ar-SA"/>
        </w:rPr>
        <w:t>»</w:t>
      </w:r>
      <w:r>
        <w:rPr>
          <w:rStyle w:val="FootnoteAnchor"/>
          <w:rtl w:val="true"/>
        </w:rPr>
        <w:footnoteReference w:id="109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في </w:t>
      </w:r>
    </w:p>
    <w:p>
      <w:pPr>
        <w:pStyle w:val="BookText"/>
        <w:rPr/>
      </w:pPr>
      <w:r>
        <w:rPr>
          <w:rFonts w:ascii="Amiri" w:hAnsi="Amiri" w:eastAsia="Amiri" w:cs="Amiri"/>
          <w:color w:val="111111"/>
          <w:sz w:val="28"/>
          <w:sz w:val="28"/>
          <w:szCs w:val="28"/>
          <w:rtl w:val="true"/>
          <w:lang w:bidi="ar-SA"/>
        </w:rPr>
        <w:t xml:space="preserve">جانب النقيصة، فلرواية سليمان بن هلال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يضربان ثلاثين سوطاً ثلاثين سوطاً</w:t>
      </w:r>
      <w:r>
        <w:rPr>
          <w:rFonts w:eastAsia="Amiri" w:cs="Amiri" w:ascii="Amiri" w:hAnsi="Amiri"/>
          <w:color w:val="111111"/>
          <w:sz w:val="28"/>
          <w:szCs w:val="28"/>
          <w:rtl w:val="true"/>
          <w:lang w:bidi="ar-SA"/>
        </w:rPr>
        <w:t>»</w:t>
      </w:r>
      <w:r>
        <w:rPr>
          <w:rStyle w:val="FootnoteAnchor"/>
          <w:rtl w:val="true"/>
        </w:rPr>
        <w:footnoteReference w:id="110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وطريق الجمع الرجوع فيما بين الحدّين إلى رأي الحاكم والتقييد بنفي الرحم بينهما ذَكَره المصنِّفُ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كغيره</w:t>
      </w:r>
      <w:r>
        <w:rPr>
          <w:rStyle w:val="FootnoteAnchor"/>
          <w:rtl w:val="true"/>
        </w:rPr>
        <w:footnoteReference w:id="110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تبعاً للرواية</w:t>
      </w:r>
      <w:r>
        <w:rPr>
          <w:rStyle w:val="FootnoteAnchor"/>
          <w:rtl w:val="true"/>
        </w:rPr>
        <w:footnoteReference w:id="1102"/>
      </w:r>
      <w:r>
        <w:rPr>
          <w:rFonts w:ascii="Amiri" w:hAnsi="Amiri" w:eastAsia="Amiri" w:cs="Amiri"/>
          <w:color w:val="111111"/>
          <w:sz w:val="28"/>
          <w:sz w:val="28"/>
          <w:szCs w:val="28"/>
          <w:rtl w:val="true"/>
          <w:lang w:bidi="ar-SA"/>
        </w:rPr>
        <w:t>، ويُشكل بأنّ مطلق الرحم لا يُوجِب تجويز ذلك، فالأولى ترك القيد أو التقييد بكون الفعل محرَّماً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والسحق يثبت بشهادة أربعة رجالٍ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عُدولٍ، لا بشهادة النساء منفردات ولا منضمّاتٍ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الإقرار أربعاً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البالغة الرشيدة الحرة المختارة كالزني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وحده مائة جلدة حرّةً كانت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واحدة منهما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أمةً، مسلمةً أو كافرةً، محصنةً أو غير محصنة، فاعلةً أو مفعولةً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يَنتصِف هنا في حق الأمة، وتُقبل دعواها إكراة مولاتها كالعبد كلُّ ذلك مع بلوغها وعقلها، فلو ساحَقَتْ المجنونة أو الصغيرة أُذُبَتا خاصّةً، ولو ساحقتهما بالغةٌ حُدَّتْ دونهما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تُرجَم مع الإحصان</w:t>
      </w:r>
      <w:r>
        <w:rPr>
          <w:rStyle w:val="FootnoteAnchor"/>
          <w:rtl w:val="true"/>
        </w:rPr>
        <w:footnoteReference w:id="1103"/>
      </w:r>
      <w:r>
        <w:rPr>
          <w:rFonts w:ascii="Amiri" w:hAnsi="Amiri" w:eastAsia="Amiri" w:cs="Amiri"/>
          <w:color w:val="111111"/>
          <w:sz w:val="28"/>
          <w:sz w:val="28"/>
          <w:szCs w:val="28"/>
          <w:rtl w:val="true"/>
          <w:lang w:bidi="ar-SA"/>
        </w:rPr>
        <w:t>لقول الصادق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حدها حد الزاني</w:t>
      </w:r>
      <w:r>
        <w:rPr>
          <w:rFonts w:eastAsia="Amiri" w:cs="Amiri" w:ascii="Amiri" w:hAnsi="Amiri"/>
          <w:color w:val="111111"/>
          <w:sz w:val="28"/>
          <w:szCs w:val="28"/>
          <w:rtl w:val="true"/>
          <w:lang w:bidi="ar-SA"/>
        </w:rPr>
        <w:t>»</w:t>
      </w:r>
      <w:r>
        <w:rPr>
          <w:rStyle w:val="FootnoteAnchor"/>
          <w:rtl w:val="true"/>
        </w:rPr>
        <w:footnoteReference w:id="110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ورُدَّ بأنه أعم من الرجم</w:t>
      </w:r>
      <w:r>
        <w:rPr>
          <w:rStyle w:val="FootnoteAnchor"/>
          <w:rtl w:val="true"/>
        </w:rPr>
        <w:footnoteReference w:id="1105"/>
      </w:r>
      <w:r>
        <w:rPr>
          <w:rFonts w:ascii="Amiri" w:hAnsi="Amiri" w:eastAsia="Amiri" w:cs="Amiri"/>
          <w:color w:val="111111"/>
          <w:sz w:val="28"/>
          <w:sz w:val="28"/>
          <w:szCs w:val="28"/>
          <w:rtl w:val="true"/>
          <w:lang w:bidi="ar-SA"/>
        </w:rPr>
        <w:t>، فيُحمل على الجلد جمعاً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وتُقتَل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المساحقة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الرابعة لو تكرّر الحد ثلاثاً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وظاهرهم هنا عدم الخلاف وإن حكمنا بقتل الزاني واللائطِ في الثالثة كما اتَّفق في عبارة المصنف،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ولو تابت قبل البينة سقط الحدُّ ، 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تابت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بعدها، ويتخيّر الإمام لو تابت بعد الإقرار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كالزني واللواط</w:t>
      </w:r>
      <w:r>
        <w:rPr>
          <w:rFonts w:eastAsia="Amiri" w:cs="Amiri" w:ascii="Amiri" w:hAnsi="Amiri"/>
          <w:color w:val="111111"/>
          <w:sz w:val="28"/>
          <w:szCs w:val="28"/>
          <w:rtl w:val="true"/>
          <w:lang w:bidi="ar-SA"/>
        </w:rPr>
        <w:t>.</w:t>
      </w:r>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وتُعَزَّر الأجنبيتان إذا تَجرَّدتا تحت إزار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بما لا يبلغ الحدَّ،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عُزِّرَتا مع تكرر الفعل مرّتين حُدَّتا في الثالثة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فإن عادتا عُزّرَتا مرتين ثمّ حُدَّتا في الثالثة،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وعلى </w:t>
      </w:r>
    </w:p>
    <w:p>
      <w:pPr>
        <w:pStyle w:val="BookText"/>
        <w:rPr/>
      </w:pPr>
      <w:r>
        <w:rPr>
          <w:rFonts w:ascii="Amiri" w:hAnsi="Amiri" w:eastAsia="Amiri" w:cs="Amiri"/>
          <w:color w:val="111111"/>
          <w:sz w:val="28"/>
          <w:sz w:val="28"/>
          <w:szCs w:val="28"/>
          <w:rtl w:val="true"/>
          <w:lang w:bidi="ar-SA"/>
        </w:rPr>
        <w:t>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وقيل تُقتَلان في الثالثة</w:t>
      </w:r>
      <w:r>
        <w:rPr>
          <w:rStyle w:val="FootnoteAnchor"/>
          <w:rtl w:val="true"/>
        </w:rPr>
        <w:footnoteReference w:id="1106"/>
      </w:r>
      <w:r>
        <w:rPr>
          <w:rFonts w:ascii="Amiri" w:hAnsi="Amiri" w:eastAsia="Amiri" w:cs="Amiri"/>
          <w:color w:val="111111"/>
          <w:sz w:val="28"/>
          <w:sz w:val="28"/>
          <w:szCs w:val="28"/>
          <w:rtl w:val="true"/>
          <w:lang w:bidi="ar-SA"/>
        </w:rPr>
        <w:t xml:space="preserve">،وقيل في الرابعة </w:t>
      </w:r>
      <w:r>
        <w:rPr>
          <w:rStyle w:val="FootnoteAnchor"/>
          <w:rtl w:val="true"/>
        </w:rPr>
        <w:footnoteReference w:id="1107"/>
      </w:r>
      <w:r>
        <w:rPr>
          <w:rFonts w:ascii="Amiri" w:hAnsi="Amiri" w:eastAsia="Amiri" w:cs="Amiri"/>
          <w:color w:val="111111"/>
          <w:sz w:val="28"/>
          <w:sz w:val="28"/>
          <w:szCs w:val="28"/>
          <w:rtl w:val="true"/>
          <w:lang w:bidi="ar-SA"/>
        </w:rPr>
        <w:t>، والمستند ضعيف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تقدّم</w:t>
      </w:r>
      <w:r>
        <w:rPr>
          <w:rStyle w:val="FootnoteAnchor"/>
          <w:rtl w:val="true"/>
        </w:rPr>
        <w:footnoteReference w:id="1108"/>
      </w:r>
      <w:r>
        <w:rPr>
          <w:rFonts w:ascii="Amiri" w:hAnsi="Amiri" w:eastAsia="Amiri" w:cs="Amiri"/>
          <w:color w:val="111111"/>
          <w:sz w:val="28"/>
          <w:sz w:val="28"/>
          <w:szCs w:val="28"/>
          <w:rtl w:val="true"/>
          <w:lang w:bidi="ar-SA"/>
        </w:rPr>
        <w:t>وجه التقييد بالأجنبيتين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ولو وَطِئ زوجته فساحَقَتْ بِكراً فحَمَلَتْ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البكر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فالولد للرجل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لأنه مخلوق من مائه ولا موجِبَ لانتفائه عنه، فلا يقدح كونها ليست فراشاً له، ولا يلحق بالزوجة قطعاً ولا بالبكر على الأقوى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وتُحدّان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المرأتان حدَّ السحق؛ لعدم الفرق فيه بين المحصنة وغيرها،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ويلزمها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الموطوءة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ضَمانُ مَهرِ مثل البكر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لأنها سبب في إذهاب عُذْرَتها وديتها مهر نسائها، وليست كالزانية المطاوعة؛ لأنّ الزانيةَ أَذِنَت فى الافتضاض بخلاف هذه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تُرجَم الموطوءة </w:t>
      </w:r>
      <w:r>
        <w:rPr>
          <w:rStyle w:val="FootnoteAnchor"/>
          <w:rtl w:val="true"/>
        </w:rPr>
        <w:footnoteReference w:id="1109"/>
      </w:r>
      <w:r>
        <w:rPr>
          <w:rFonts w:ascii="Amiri" w:hAnsi="Amiri" w:eastAsia="Amiri" w:cs="Amiri"/>
          <w:color w:val="111111"/>
          <w:sz w:val="28"/>
          <w:sz w:val="28"/>
          <w:szCs w:val="28"/>
          <w:rtl w:val="true"/>
          <w:lang w:bidi="ar-SA"/>
        </w:rPr>
        <w:t xml:space="preserve">استناداً إلى روايةٍ </w:t>
      </w:r>
      <w:r>
        <w:rPr>
          <w:rStyle w:val="FootnoteAnchor"/>
          <w:rtl w:val="true"/>
        </w:rPr>
        <w:footnoteReference w:id="1110"/>
      </w:r>
      <w:r>
        <w:rPr>
          <w:rFonts w:ascii="Amiri" w:hAnsi="Amiri" w:eastAsia="Amiri" w:cs="Amiri"/>
          <w:color w:val="111111"/>
          <w:sz w:val="28"/>
          <w:sz w:val="28"/>
          <w:szCs w:val="28"/>
          <w:rtl w:val="true"/>
          <w:lang w:bidi="ar-SA"/>
        </w:rPr>
        <w:t xml:space="preserve">ضعيفة السند، مخالفة لما دلَّ على عدم رجم المساحقة مطلقاً من الأخبار الصحيحة </w:t>
      </w:r>
      <w:r>
        <w:rPr>
          <w:rStyle w:val="FootnoteAnchor"/>
          <w:rtl w:val="true"/>
        </w:rPr>
        <w:footnoteReference w:id="111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وابن إدريس</w:t>
      </w:r>
      <w:r>
        <w:rPr>
          <w:rStyle w:val="FootnoteAnchor"/>
          <w:rtl w:val="true"/>
        </w:rPr>
        <w:footnoteReference w:id="1112"/>
      </w:r>
      <w:r>
        <w:rPr>
          <w:rFonts w:ascii="Amiri" w:hAnsi="Amiri" w:eastAsia="Amiri" w:cs="Amiri"/>
          <w:color w:val="111111"/>
          <w:sz w:val="28"/>
          <w:sz w:val="28"/>
          <w:szCs w:val="28"/>
          <w:rtl w:val="true"/>
          <w:lang w:bidi="ar-SA"/>
        </w:rPr>
        <w:t>نَفَى الأحكام الثلاثةَ؛ أمّا الرجم فلما ذكرناه، وأمّا إلحاق الولد بالرجل فلعدم ولادته على فراشه والولد للفراش، وأمّا المهر فلأن البكرَ بَغِيُّ بالمطاوعة فلا مهر لها، وقد عرفت جوابه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والقيادة الجمع بين فاعلي الفاحشة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الزنى واللواط والسحق،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وتثبت بالإقرار مرّتين من الكامل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بالبلوغ والعقل والحرّية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المختارِ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 المكرَه، ولو أقرَّ مرَّةً واحدةً عُزّرَ أو بشهادة شاهدين ذكرين عدلين</w:t>
      </w:r>
      <w:r>
        <w:rPr>
          <w:rFonts w:eastAsia="Amiri" w:cs="Amiri" w:ascii="Amiri" w:hAnsi="Amiri"/>
          <w:color w:val="111111"/>
          <w:sz w:val="28"/>
          <w:szCs w:val="28"/>
          <w:rtl w:val="true"/>
          <w:lang w:bidi="ar-SA"/>
        </w:rPr>
        <w:t>.</w:t>
      </w:r>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للقيادة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خمس وسبعون جَلدةً، حرّاكان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القائد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عبداً، مسلماً كان أو كافراً، رجلاً كان أو امرأة</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والقائل الشيخ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w:t>
      </w:r>
      <w:r>
        <w:rPr>
          <w:rStyle w:val="FootnoteAnchor"/>
          <w:rtl w:val="true"/>
        </w:rPr>
        <w:footnoteReference w:id="111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يُضاف إلى جلده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يُحلق رأسه ويُشْهَر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البلد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ويُنفّى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إلى غيره من الأمصار من غير تحديد لمدّةِ نَفْيِه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بأوّلَ مرّةٍ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لرواية عبد الله بن سنان عن أبي عبد الله</w:t>
      </w:r>
      <w:r>
        <w:rPr>
          <w:rStyle w:val="FootnoteAnchor"/>
          <w:rtl w:val="true"/>
        </w:rPr>
        <w:footnoteReference w:id="1114"/>
      </w:r>
      <w:r>
        <w:rPr>
          <w:rFonts w:ascii="Amiri" w:hAnsi="Amiri" w:eastAsia="Amiri" w:cs="Amiri"/>
          <w:color w:val="111111"/>
          <w:sz w:val="28"/>
          <w:sz w:val="28"/>
          <w:szCs w:val="28"/>
          <w:rtl w:val="true"/>
          <w:lang w:bidi="ar-SA"/>
        </w:rPr>
        <w:t>، ووافقه المفيد على ذلك إلا أنّه جَعَل النفي في الثانية</w:t>
      </w:r>
      <w:r>
        <w:rPr>
          <w:rStyle w:val="FootnoteAnchor"/>
          <w:rtl w:val="true"/>
        </w:rPr>
        <w:footnoteReference w:id="111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ولا جز على المرأة ولا شُهرة ولا نفي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؛للأصل، ومنافاة النفي لما يجب مراعاته مِن سَتر المرأة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كفالة في 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يُكفل لمن ثبت عليه الحد إلى وقت متأخرٍ عن وقت ثبوته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تأخير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يُستَوفَى متى ثبت ومِن ثَمَّ حُدَّ شهودُ الزنى قبل كمالهم في مجلس الشهادة وإن كان الانتظارُ يُوجب كمال العدد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 مع العذر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المانع من إقامته ذلك الوقت، أو توجه ضررٍ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فتُشرَع الكفالة والتأخيرُ إلى وقت القدرة</w:t>
      </w:r>
      <w:r>
        <w:rPr>
          <w:rFonts w:eastAsia="Amiri" w:cs="Amiri" w:ascii="Amiri" w:hAnsi="Amiri"/>
          <w:color w:val="111111"/>
          <w:sz w:val="28"/>
          <w:szCs w:val="28"/>
          <w:rtl w:val="true"/>
          <w:lang w:bidi="ar-SA"/>
        </w:rPr>
        <w:t>.</w:t>
      </w:r>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شفاعة في إسقاطه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لأنه حقٌّ الله أو مشترك، ولا شفاعة في إسقاط حق الله تعالى، قال النبي صلى الله عليه وسلم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كفالة في حدّ</w:t>
      </w:r>
      <w:r>
        <w:rPr>
          <w:rFonts w:eastAsia="Amiri" w:cs="Amiri" w:ascii="Amiri" w:hAnsi="Amiri"/>
          <w:color w:val="111111"/>
          <w:sz w:val="28"/>
          <w:szCs w:val="28"/>
          <w:rtl w:val="true"/>
          <w:lang w:bidi="ar-SA"/>
        </w:rPr>
        <w:t>»</w:t>
      </w:r>
      <w:r>
        <w:rPr>
          <w:rStyle w:val="FootnoteAnchor"/>
          <w:rtl w:val="true"/>
        </w:rPr>
        <w:footnoteReference w:id="111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أمير المؤمنين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يَشْفَعَنَّ أَحدٌ</w:t>
      </w:r>
      <w:r>
        <w:rPr>
          <w:rStyle w:val="FootnoteAnchor"/>
          <w:rtl w:val="true"/>
        </w:rPr>
        <w:footnoteReference w:id="1117"/>
      </w:r>
      <w:r>
        <w:rPr>
          <w:rFonts w:ascii="Amiri" w:hAnsi="Amiri" w:eastAsia="Amiri" w:cs="Amiri"/>
          <w:color w:val="111111"/>
          <w:sz w:val="28"/>
          <w:sz w:val="28"/>
          <w:szCs w:val="28"/>
          <w:rtl w:val="true"/>
          <w:lang w:bidi="ar-SA"/>
        </w:rPr>
        <w:t>في حد</w:t>
      </w:r>
      <w:r>
        <w:rPr>
          <w:rFonts w:eastAsia="Amiri" w:cs="Amiri" w:ascii="Amiri" w:hAnsi="Amiri"/>
          <w:color w:val="111111"/>
          <w:sz w:val="28"/>
          <w:szCs w:val="28"/>
          <w:rtl w:val="true"/>
          <w:lang w:bidi="ar-SA"/>
        </w:rPr>
        <w:t>»</w:t>
      </w:r>
      <w:r>
        <w:rPr>
          <w:rStyle w:val="FootnoteAnchor"/>
          <w:rtl w:val="true"/>
        </w:rPr>
        <w:footnoteReference w:id="111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ليس في الحدود نَظِرَةُ ساعةٍ</w:t>
      </w:r>
      <w:r>
        <w:rPr>
          <w:rFonts w:eastAsia="Amiri" w:cs="Amiri" w:ascii="Amiri" w:hAnsi="Amiri"/>
          <w:color w:val="111111"/>
          <w:sz w:val="28"/>
          <w:szCs w:val="28"/>
          <w:rtl w:val="true"/>
          <w:lang w:bidi="ar-SA"/>
        </w:rPr>
        <w:t>»</w:t>
      </w:r>
      <w:r>
        <w:rPr>
          <w:rStyle w:val="FootnoteAnchor"/>
          <w:rtl w:val="true"/>
        </w:rPr>
        <w:footnoteReference w:id="1119"/>
      </w:r>
      <w:r>
        <w:rPr>
          <w:rFonts w:eastAsia="Times New Roman" w:cs="Times New Roman" w:ascii="Times New Roman" w:hAnsi="Times New Roman"/>
          <w:color w:val="111111"/>
          <w:sz w:val="28"/>
          <w:szCs w:val="28"/>
          <w:rtl w:val="true"/>
          <w:lang w:val="en-US" w:bidi="en-US"/>
        </w:rPr>
        <w:t xml:space="preserve">. </w:t>
      </w:r>
      <w:bookmarkStart w:id="130" w:name="pg11049_88583"/>
    </w:p>
    <w:p>
      <w:pPr>
        <w:pStyle w:val="Heading3"/>
        <w:numPr>
          <w:ilvl w:val="2"/>
          <w:numId w:val="1"/>
        </w:numPr>
        <w:rPr/>
      </w:pPr>
      <w:bookmarkStart w:id="131" w:name="__RefHeading___Toc1446151_1067777946"/>
      <w:bookmarkStart w:id="132" w:name="_Toc39"/>
      <w:bookmarkEnd w:id="130"/>
      <w:bookmarkEnd w:id="131"/>
      <w:r>
        <w:rPr>
          <w:rtl w:val="true"/>
        </w:rPr>
        <w:t>الفصل الثالث في القَذف</w:t>
      </w:r>
      <w:bookmarkEnd w:id="13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الرمي بالزنى أو اللواط مثل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زَنَيْتَ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بالفتح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لُطْتَ أو أنت زانٍ وشبهه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الألفاظ الدالة على القذف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 الصراحة والمعرفة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معرفة القاذف بموضوع اللفظ بأي لغة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لم يعرف المواجَهُ معناه، ولو كان القائل جاهلاً بمدلوله فإن عَرَف أنه يفيد فائدةً يَكرَهُها المواجَهُ عُزّرَ، وإلا فلا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أو قال لولده الذي أقرَّ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لستَ وَلَدي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لست لأبيك، أو زَنَتْ بكَ أُمُّك، ولو لم يكن قد أقرَّ به لكنّه لاحق به شرعاً بدون الإقرار فكذلك، لكن له دفع الحد باللعان، بخلاف المقرّ به فإنّه لا ينتفى مطلقاً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ولو قال 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غير ولدِه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زَنَى بك أبوك، أو يا ابنَ الزاني، حُدَّ للأب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خاصّةً؛ لأنه قذف له دون المواجه؛ لأنه لم ينسب إليه فعلاً، لكن يُعَزَّر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سيأتي</w:t>
      </w:r>
      <w:r>
        <w:rPr>
          <w:rStyle w:val="FootnoteAnchor"/>
          <w:rtl w:val="true"/>
        </w:rPr>
        <w:footnoteReference w:id="112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لتأذيه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به ولو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زَنَتْ بك أُمُّك، أو يا ابن الزانية، حُدَّ للأُم،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ولو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ابن الزانيين، فلهما، ولو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وُلِدتَ من الزنى، فالظاهر القذف للأبوين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لأنّ تولّدَه إنّما يتحقق بهما، وقد نَسَبه إلى الزنى فيقوم بهما ويثبت الحد لهما، ولأنه الظاهرُ عرفاً</w:t>
      </w:r>
      <w:r>
        <w:rPr>
          <w:rFonts w:eastAsia="Amiri" w:cs="Amiri" w:ascii="Amiri" w:hAnsi="Amiri"/>
          <w:color w:val="111111"/>
          <w:sz w:val="28"/>
          <w:szCs w:val="28"/>
          <w:rtl w:val="true"/>
          <w:lang w:bidi="ar-SA"/>
        </w:rPr>
        <w:t>.</w:t>
      </w:r>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 مقابلة الظاهر كونه قذفاً للأُمّ خاصةً؛ لاختصاصها بالولادة ظاهراً</w:t>
      </w:r>
      <w:r>
        <w:rPr>
          <w:rStyle w:val="FootnoteAnchor"/>
          <w:rtl w:val="true"/>
        </w:rPr>
        <w:footnoteReference w:id="112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ويُضعف بأنّ نسبته إليهما واحدةٌ والاحتمال قائم فيهما بالشبهة فلا يَختَصّ أحدهما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وربما قيل بانتفائه لهما لقيام الاحتمال بالنسبة إلى كلّ واحد وهو دارى للحد؛ إذ هو شبهةً </w:t>
      </w:r>
      <w:r>
        <w:rPr>
          <w:rStyle w:val="FootnoteAnchor"/>
          <w:rtl w:val="true"/>
        </w:rPr>
        <w:footnoteReference w:id="1122"/>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والأقوى الأوّلُ إلا أن يَدَّعِي الإكراة أو الشبهة في أحد الجانبين فينتفي حده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ومن نَسَب الزنى إلى غير المواجه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كالأمثلة السابقة، فالحد للمنسوب إليه ،ويُعزّر للمواجه إن تَضمَّن شتمه وأذاه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هو الظاهر في الجميع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ولو قال لامرأة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زَنَيْتُ بكِ، احتُمِل الإكراه فلا يكون قذفاً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لها؛ لأنّ المكرَة غيرُ زان و مجرد الاحتمال كافٍ في سقوط الحدّ سواء ادّعاء القاذف أم 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شبهةٌ يُدرّاً بها الحد،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يثبت الزنى في حقه إلا ب</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الإقرار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مرّاتٍ، كما سبق </w:t>
      </w:r>
      <w:r>
        <w:rPr>
          <w:rStyle w:val="FootnoteAnchor"/>
          <w:rtl w:val="true"/>
        </w:rPr>
        <w:footnoteReference w:id="112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ويُحتمل كونه قذفاً؛ لدَلالة الظاهر عليه، ولأنّ الزنى فعل واحد يقع بين اثنين ،ونسبةُ أحدِهما إليه بالفاعلية والآخر بالمفعولية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اختلاف النسبة يوجب التغاير والمتحقق منه كونه هو الزاني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والأقوى أنه قذفٌ لها لما ذُكر ولرواية محمّد بن مسلم عن الباقر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Style w:val="FootnoteAnchor"/>
          <w:rtl w:val="true"/>
        </w:rPr>
        <w:footnoteReference w:id="112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الديوثُ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الكشخانُ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القرنانُ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تفيد القذف في عرف القائل، فيجب الحدُّ للمنسوب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مدلول هذه الألفاظ من الأفعال، وهو أنه قوّاد على زوجته أو غيرها من أرحامه، وإن لم تُفِد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ذلك في عُرفه نظراً إلى أنها لغة غير موضوعة لذلك ولم يستعملها أهل العرف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وأفادت شَتْماً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يبلغ حد النسبة إلى ما يوجب الحد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القائلُ كما في كلّ شاتم بمحرَّم</w:t>
      </w:r>
      <w:r>
        <w:rPr>
          <w:rFonts w:eastAsia="Amiri" w:cs="Amiri" w:ascii="Amiri" w:hAnsi="Amiri"/>
          <w:color w:val="111111"/>
          <w:sz w:val="28"/>
          <w:szCs w:val="28"/>
          <w:rtl w:val="true"/>
          <w:lang w:bidi="ar-SA"/>
        </w:rPr>
        <w:t>.</w:t>
      </w:r>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الديوث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لا غيرة له، قاله الجوهري </w:t>
      </w:r>
      <w:r>
        <w:rPr>
          <w:rStyle w:val="FootnoteAnchor"/>
          <w:rtl w:val="true"/>
        </w:rPr>
        <w:footnoteReference w:id="1125"/>
      </w:r>
      <w:r>
        <w:rPr>
          <w:rFonts w:ascii="Amiri" w:hAnsi="Amiri" w:eastAsia="Amiri" w:cs="Amiri"/>
          <w:color w:val="111111"/>
          <w:sz w:val="28"/>
          <w:sz w:val="28"/>
          <w:szCs w:val="28"/>
          <w:rtl w:val="true"/>
          <w:lang w:bidi="ar-SA"/>
        </w:rPr>
        <w:t xml:space="preserve">، 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يُدخِل الرجال على امرأته</w:t>
      </w:r>
      <w:r>
        <w:rPr>
          <w:rStyle w:val="FootnoteAnchor"/>
          <w:rtl w:val="true"/>
        </w:rPr>
        <w:footnoteReference w:id="112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تغلب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القرنان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الكشخان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أرهما في كلام العرب، ومعناه عند العامة مثل معنى الديوث أو قريب منه</w:t>
      </w:r>
      <w:r>
        <w:rPr>
          <w:rStyle w:val="FootnoteAnchor"/>
          <w:rtl w:val="true"/>
        </w:rPr>
        <w:footnoteReference w:id="112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وقيل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القرنان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يُدخل على بناته،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الکشخان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يُدخل على أخواته</w:t>
      </w:r>
      <w:r>
        <w:rPr>
          <w:rStyle w:val="FootnoteAnchor"/>
          <w:rtl w:val="true"/>
        </w:rPr>
        <w:footnoteReference w:id="1128"/>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ولو لم يَعلَم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القائلُ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فائدتها أصلاً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لم يكن من أهل العرف بوضعها لشيء من ذلك، ولا اطلع على معناها لغةً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القول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 قذفٍ جَرَى على لسان مَن لا يعلم معناه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لعدم قصد شيء من القذف،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الأذى، وإن أفاد في عرف المقول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التأذي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قول ما يُوجِب أَذَى المقول له من الألفاظ الموجبة الموجبة له مع العلم يكونها مؤذيةً، وليست موضوعةً للقذف عرفاً ولا وضعاً،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والتعريض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بالقذف دون التصريح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يوجب التعزير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لأنه محرَّم،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الحد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لعدم القذف الصريح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مثلُ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هو ولد حرام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هذا يصلح مثالاً للأمرين؛ لأنه يوجب الأذى، وفيه تعريض بكونه ولد زنى، لكنه محتمل لغيره بأن يكون وُلد بفعل محرَّم وإن كان بين أبويه بأن استولده حالة الحيض أو الإحرام عالماً، ومثله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لست بولد حلال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يراد به عرفاً أنه ليس بطاهر الأخلاق ولا وَفِيّ بالأماناتِ والوُعودِ، ونحو ذلك، فهو أذى على كل حال، وقد يكون تعريضاً بالقذف</w:t>
      </w:r>
      <w:r>
        <w:rPr>
          <w:rFonts w:eastAsia="Amiri" w:cs="Amiri" w:ascii="Amiri" w:hAnsi="Amiri"/>
          <w:color w:val="111111"/>
          <w:sz w:val="28"/>
          <w:szCs w:val="28"/>
          <w:rtl w:val="true"/>
          <w:lang w:bidi="ar-SA"/>
        </w:rPr>
        <w:t>.</w:t>
      </w:r>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لستُ بزان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هذا مثال للتعريض بكون المقول له أو المنبه عليه زانياً،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أمّي زانيةً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تعريض بكون أُمّ المعرَّض به زانيةً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أو يقول لزوجته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أَجِدْكِ عَذْراءَ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بكراً فإنّه تعريض بكونها زَنَتْ قبل تزويجه وذَهَبتُ بكارتها به مع احتماله غيره؛ بأن يكون ذَهابُها بالنَزْوَةِ</w:t>
      </w:r>
      <w:r>
        <w:rPr>
          <w:rStyle w:val="FootnoteAnchor"/>
          <w:rtl w:val="true"/>
        </w:rPr>
        <w:footnoteReference w:id="1129"/>
      </w:r>
      <w:r>
        <w:rPr>
          <w:rFonts w:ascii="Amiri" w:hAnsi="Amiri" w:eastAsia="Amiri" w:cs="Amiri"/>
          <w:color w:val="111111"/>
          <w:sz w:val="28"/>
          <w:sz w:val="28"/>
          <w:szCs w:val="28"/>
          <w:rtl w:val="true"/>
          <w:lang w:bidi="ar-SA"/>
        </w:rPr>
        <w:t>أو الحُرْقُوص</w:t>
      </w:r>
      <w:r>
        <w:rPr>
          <w:rStyle w:val="FootnoteAnchor"/>
          <w:rtl w:val="true"/>
        </w:rPr>
        <w:footnoteReference w:id="1130"/>
      </w:r>
      <w:r>
        <w:rPr>
          <w:rFonts w:ascii="Amiri" w:hAnsi="Amiri" w:eastAsia="Amiri" w:cs="Amiri"/>
          <w:color w:val="111111"/>
          <w:sz w:val="28"/>
          <w:sz w:val="28"/>
          <w:szCs w:val="28"/>
          <w:rtl w:val="true"/>
          <w:lang w:bidi="ar-SA"/>
        </w:rPr>
        <w:t xml:space="preserve">فلا يكون حراماً، فمِن ثُمَّ كان تعريضاً، بل يمكن دخوله فيما يُوجب التأذِي مطلقاً، ورَوَى زُرارة 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رجل قال لامرأته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أجدكِ عذراء،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ليس عليه شيءٌ؛ لأنّ العُذرة تذهب بغير جماع</w:t>
      </w:r>
      <w:r>
        <w:rPr>
          <w:rFonts w:eastAsia="Amiri" w:cs="Amiri" w:ascii="Amiri" w:hAnsi="Amiri"/>
          <w:color w:val="111111"/>
          <w:sz w:val="28"/>
          <w:szCs w:val="28"/>
          <w:rtl w:val="true"/>
          <w:lang w:bidi="ar-SA"/>
        </w:rPr>
        <w:t>»</w:t>
      </w:r>
      <w:r>
        <w:rPr>
          <w:rStyle w:val="FootnoteAnchor"/>
          <w:rtl w:val="true"/>
        </w:rPr>
        <w:footnoteReference w:id="113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ويُحمل على أنّ المنفيّ الحد؛ لرواية أبي بصير عن الصادق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يُضرب</w:t>
      </w:r>
      <w:r>
        <w:rPr>
          <w:rFonts w:eastAsia="Amiri" w:cs="Amiri" w:ascii="Amiri" w:hAnsi="Amiri"/>
          <w:color w:val="111111"/>
          <w:sz w:val="28"/>
          <w:szCs w:val="28"/>
          <w:rtl w:val="true"/>
          <w:lang w:bidi="ar-SA"/>
        </w:rPr>
        <w:t>»</w:t>
      </w:r>
      <w:r>
        <w:rPr>
          <w:rStyle w:val="FootnoteAnchor"/>
          <w:rtl w:val="true"/>
        </w:rPr>
        <w:footnoteReference w:id="1132"/>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وكذا يُعزّر بكلّ 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أي 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يَكرَهُه المواجَهُ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المنسوب إليه وإن لم يكن حاضراً؛ لأنّ ضابط التعزير فعلُ المحرَّم، وهو غير مشروط بحضور المشتوم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مثل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الفاسق والشارب الخمر، وهو مستَتِرُ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بفسقه وشربه ، فلو كان متظاهراً بالفسق لم يكن له حرمة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وكذا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الخنزير والكلب والحقير والوضيع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والكافر والمرتد، وكلُّ كَلِمَةٍ تُفيد الأذى عرفاً أو وضعاً مع علمه بها فإنّها توجب التعزيز،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 مع كون المخاطب مستحقاً للاستخفاف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لتظاهره بالفسق، فيصح مواجهته بما يكون نسبته إليه حقاً لا بالكذب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وهل يُشترط مع ذلك جعله على طريق النهي فيُشترط شروطه، أم يجوز الاستخفافُ به مطلقاً؟ ظاهرُ النصّ </w:t>
      </w:r>
      <w:r>
        <w:rPr>
          <w:rStyle w:val="FootnoteAnchor"/>
          <w:rtl w:val="true"/>
        </w:rPr>
        <w:footnoteReference w:id="1133"/>
      </w:r>
      <w:r>
        <w:rPr>
          <w:rFonts w:ascii="IRNazanin" w:hAnsi="IRNazanin" w:eastAsia="IRNazanin"/>
          <w:color w:val="111111"/>
          <w:sz w:val="28"/>
          <w:sz w:val="28"/>
          <w:szCs w:val="28"/>
          <w:rtl w:val="true"/>
          <w:lang w:bidi="fa-IR"/>
        </w:rPr>
        <w:t>والفتاوى</w:t>
      </w:r>
      <w:r>
        <w:rPr>
          <w:rStyle w:val="FootnoteAnchor"/>
          <w:rtl w:val="true"/>
        </w:rPr>
        <w:footnoteReference w:id="1134"/>
      </w:r>
      <w:r>
        <w:rPr>
          <w:rFonts w:ascii="Amiri" w:hAnsi="Amiri" w:eastAsia="Amiri" w:cs="Amiri"/>
          <w:color w:val="111111"/>
          <w:sz w:val="28"/>
          <w:sz w:val="28"/>
          <w:szCs w:val="28"/>
          <w:rtl w:val="true"/>
          <w:lang w:bidi="ar-SA"/>
        </w:rPr>
        <w:t>الثاني، والأول أحوط</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ويُعتبر في القاذف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يُحَدٌ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بالبلوغ والعقل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فيُعزر الصبيُّ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خاصةً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ويُؤدَّب المجنونُ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بما يراه الحاكم فيهما، والأدب في معنى التعزير كما سلف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وفي اشتراط الحرّيّة في كمال الحدّ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فيُحدّ العبد والأمة أربعين أو عدم الاشتراط فيُساويان الحرَّ</w:t>
      </w:r>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قولان</w:t>
      </w:r>
      <w:r>
        <w:rPr>
          <w:rFonts w:eastAsia="IRNazanin" w:cs="IRNazanin"/>
          <w:color w:val="111111"/>
          <w:sz w:val="28"/>
          <w:szCs w:val="28"/>
          <w:rtl w:val="true"/>
          <w:lang w:bidi="fa-IR"/>
        </w:rPr>
        <w:t>)</w:t>
      </w:r>
      <w:r>
        <w:rPr>
          <w:rStyle w:val="FootnoteAnchor"/>
          <w:rtl w:val="true"/>
        </w:rPr>
        <w:footnoteReference w:id="1135"/>
      </w:r>
      <w:r>
        <w:rPr>
          <w:rFonts w:ascii="Amiri" w:hAnsi="Amiri" w:eastAsia="Amiri" w:cs="Amiri"/>
          <w:color w:val="111111"/>
          <w:sz w:val="28"/>
          <w:sz w:val="28"/>
          <w:szCs w:val="28"/>
          <w:rtl w:val="true"/>
          <w:lang w:bidi="ar-SA"/>
        </w:rPr>
        <w:t>أقواهما وأشهَرُهما الثاني؛ لعموم وَالَّذِينَ يَرْمُونَ الْمُحْصَنَتِ</w:t>
      </w:r>
      <w:r>
        <w:rPr>
          <w:rStyle w:val="FootnoteAnchor"/>
          <w:rtl w:val="true"/>
        </w:rPr>
        <w:footnoteReference w:id="1136"/>
      </w:r>
      <w:r>
        <w:rPr>
          <w:rFonts w:ascii="Amiri" w:hAnsi="Amiri" w:eastAsia="Amiri" w:cs="Amiri"/>
          <w:color w:val="111111"/>
          <w:sz w:val="28"/>
          <w:sz w:val="28"/>
          <w:szCs w:val="28"/>
          <w:rtl w:val="true"/>
          <w:lang w:bidi="ar-SA"/>
        </w:rPr>
        <w:t xml:space="preserve">، ولقول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حسنة الحلبي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قذف العبد الحرَّ جُلِد ثمانين</w:t>
      </w:r>
      <w:r>
        <w:rPr>
          <w:rFonts w:eastAsia="Amiri" w:cs="Amiri" w:ascii="Amiri" w:hAnsi="Amiri"/>
          <w:color w:val="111111"/>
          <w:sz w:val="28"/>
          <w:szCs w:val="28"/>
          <w:rtl w:val="true"/>
          <w:lang w:bidi="ar-SA"/>
        </w:rPr>
        <w:t>»</w:t>
      </w:r>
      <w:r>
        <w:rPr>
          <w:rStyle w:val="FootnoteAnchor"/>
          <w:rtl w:val="true"/>
        </w:rPr>
        <w:footnoteReference w:id="113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وغيرها من الأخبار</w:t>
      </w:r>
      <w:r>
        <w:rPr>
          <w:rStyle w:val="FootnoteAnchor"/>
          <w:rtl w:val="true"/>
        </w:rPr>
        <w:footnoteReference w:id="113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والقولُ بالتنصيف على المملوك للشيخ في المبسوط </w:t>
      </w:r>
      <w:r>
        <w:rPr>
          <w:rStyle w:val="FootnoteAnchor"/>
          <w:rtl w:val="true"/>
        </w:rPr>
        <w:footnoteReference w:id="1139"/>
      </w:r>
      <w:r>
        <w:rPr>
          <w:rFonts w:ascii="Amiri" w:hAnsi="Amiri" w:eastAsia="Amiri" w:cs="Amiri"/>
          <w:color w:val="111111"/>
          <w:sz w:val="28"/>
          <w:sz w:val="28"/>
          <w:szCs w:val="28"/>
          <w:rtl w:val="true"/>
          <w:lang w:bidi="ar-SA"/>
        </w:rPr>
        <w:t>لأصالة البراءة من الزائد، وقوله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أَتَيْنَ بِفَاحِشَةٍ فَعَلَيْهِنَّ نِصْفُ مَا عَلَى الْمُحْصَنَتِ مِنَ الْعَذَابِ</w:t>
      </w:r>
      <w:r>
        <w:rPr>
          <w:rStyle w:val="FootnoteAnchor"/>
          <w:rtl w:val="true"/>
        </w:rPr>
        <w:footnoteReference w:id="1140"/>
      </w:r>
      <w:r>
        <w:rPr>
          <w:rFonts w:ascii="Amiri" w:hAnsi="Amiri" w:eastAsia="Amiri" w:cs="Amiri"/>
          <w:color w:val="111111"/>
          <w:sz w:val="28"/>
          <w:sz w:val="28"/>
          <w:szCs w:val="28"/>
          <w:rtl w:val="true"/>
          <w:lang w:bidi="ar-SA"/>
        </w:rPr>
        <w:t xml:space="preserve">، ولرواية القاسم بن سليمان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Style w:val="FootnoteAnchor"/>
          <w:rtl w:val="true"/>
        </w:rPr>
        <w:footnoteReference w:id="1141"/>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ويُضعف بأن الأصل قد عُدِل عنه للدليل، والمراد بالفاحشة الزني، كما نقله المفسرون</w:t>
      </w:r>
      <w:r>
        <w:rPr>
          <w:rStyle w:val="FootnoteAnchor"/>
          <w:rtl w:val="true"/>
        </w:rPr>
        <w:footnoteReference w:id="1142"/>
      </w:r>
      <w:r>
        <w:rPr>
          <w:rFonts w:ascii="Amiri" w:hAnsi="Amiri" w:eastAsia="Amiri" w:cs="Amiri"/>
          <w:color w:val="111111"/>
          <w:sz w:val="28"/>
          <w:sz w:val="28"/>
          <w:szCs w:val="28"/>
          <w:rtl w:val="true"/>
          <w:lang w:bidi="ar-SA"/>
        </w:rPr>
        <w:t xml:space="preserve">، ويظهر من اقترانهنّ بالمحصنات، والرواية مع ضعف سندها وشذوذها لا تعارض الأخبار الكثيرة </w:t>
      </w:r>
      <w:r>
        <w:rPr>
          <w:rStyle w:val="FootnoteAnchor"/>
          <w:rtl w:val="true"/>
        </w:rPr>
        <w:footnoteReference w:id="1143"/>
      </w:r>
      <w:r>
        <w:rPr>
          <w:rFonts w:ascii="Amiri" w:hAnsi="Amiri" w:eastAsia="Amiri" w:cs="Amiri"/>
          <w:color w:val="111111"/>
          <w:sz w:val="28"/>
          <w:sz w:val="28"/>
          <w:szCs w:val="28"/>
          <w:rtl w:val="true"/>
          <w:lang w:bidi="ar-SA"/>
        </w:rPr>
        <w:t>بل الإجماع على ما ذكره المصنّف</w:t>
      </w:r>
      <w:r>
        <w:rPr>
          <w:rStyle w:val="FootnoteAnchor"/>
          <w:rtl w:val="true"/>
        </w:rPr>
        <w:footnoteReference w:id="1144"/>
      </w:r>
      <w:r>
        <w:rPr>
          <w:rFonts w:ascii="Amiri" w:hAnsi="Amiri" w:eastAsia="Amiri" w:cs="Amiri"/>
          <w:color w:val="111111"/>
          <w:sz w:val="28"/>
          <w:sz w:val="28"/>
          <w:szCs w:val="28"/>
          <w:rtl w:val="true"/>
          <w:lang w:bidi="ar-SA"/>
        </w:rPr>
        <w:t>وغيرُه</w:t>
      </w:r>
      <w:r>
        <w:rPr>
          <w:rStyle w:val="FootnoteAnchor"/>
          <w:rtl w:val="true"/>
        </w:rPr>
        <w:footnoteReference w:id="1145"/>
      </w:r>
      <w:r>
        <w:rPr>
          <w:rFonts w:ascii="Amiri" w:hAnsi="Amiri" w:eastAsia="Amiri" w:cs="Amiri"/>
          <w:color w:val="111111"/>
          <w:sz w:val="28"/>
          <w:sz w:val="28"/>
          <w:szCs w:val="28"/>
          <w:rtl w:val="true"/>
          <w:lang w:bidi="ar-SA"/>
        </w:rPr>
        <w:t xml:space="preserve">؛ والعجب أن المصنّف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الشرح</w:t>
      </w:r>
      <w:r>
        <w:rPr>
          <w:rStyle w:val="FootnoteAnchor"/>
          <w:rtl w:val="true"/>
        </w:rPr>
        <w:footnoteReference w:id="1146"/>
      </w:r>
      <w:r>
        <w:rPr>
          <w:rFonts w:ascii="Amiri" w:hAnsi="Amiri" w:eastAsia="Amiri" w:cs="Amiri"/>
          <w:color w:val="111111"/>
          <w:sz w:val="28"/>
          <w:sz w:val="28"/>
          <w:szCs w:val="28"/>
          <w:rtl w:val="true"/>
          <w:lang w:bidi="ar-SA"/>
        </w:rPr>
        <w:t>تعجب من المحقق والعلّامة حيث نقلا فيها قولين ولم يُرَجِّحا أحدهما مع ظهور الترجيح؛ فإنّ القول بالأربعين نادر جداً، ثمّ تَبِعَهم على ما تعجب منه هنا</w:t>
      </w:r>
      <w:r>
        <w:rPr>
          <w:rFonts w:eastAsia="Amiri" w:cs="Amiri" w:ascii="Amiri" w:hAnsi="Amiri"/>
          <w:color w:val="111111"/>
          <w:sz w:val="28"/>
          <w:szCs w:val="28"/>
          <w:rtl w:val="true"/>
          <w:lang w:bidi="ar-SA"/>
        </w:rPr>
        <w:t>.</w:t>
      </w:r>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يُشترط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المقذوف الإحصانُ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يطلق على التزويج كما في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وَالْمُحْصَنَاتُ مِنَ النِّسَاءِ</w:t>
      </w:r>
      <w:r>
        <w:rPr>
          <w:rStyle w:val="FootnoteAnchor"/>
          <w:rtl w:val="true"/>
        </w:rPr>
        <w:footnoteReference w:id="1147"/>
      </w:r>
      <w:r>
        <w:rPr>
          <w:rFonts w:ascii="IRNazanin" w:hAnsi="IRNazanin" w:eastAsia="IRNazanin"/>
          <w:color w:val="111111"/>
          <w:sz w:val="28"/>
          <w:sz w:val="28"/>
          <w:szCs w:val="28"/>
          <w:rtl w:val="true"/>
          <w:lang w:bidi="fa-IR"/>
        </w:rPr>
        <w:t>و</w:t>
      </w:r>
      <w:r>
        <w:rPr>
          <w:rFonts w:ascii="Amiri" w:hAnsi="Amiri" w:eastAsia="Amiri" w:cs="Amiri"/>
          <w:color w:val="111111"/>
          <w:sz w:val="28"/>
          <w:sz w:val="28"/>
          <w:szCs w:val="28"/>
          <w:rtl w:val="true"/>
          <w:lang w:bidi="ar-SA"/>
        </w:rPr>
        <w:t>مُحْصَنَاتٍ غَيْرَ مُسَفِحَنت</w:t>
      </w:r>
      <w:r>
        <w:rPr>
          <w:rStyle w:val="FootnoteAnchor"/>
          <w:rtl w:val="true"/>
        </w:rPr>
        <w:footnoteReference w:id="1148"/>
      </w:r>
      <w:r>
        <w:rPr>
          <w:rFonts w:ascii="IRNazanin" w:hAnsi="IRNazanin" w:eastAsia="IRNazanin"/>
          <w:color w:val="111111"/>
          <w:sz w:val="28"/>
          <w:sz w:val="28"/>
          <w:szCs w:val="28"/>
          <w:rtl w:val="true"/>
          <w:lang w:bidi="fa-IR"/>
        </w:rPr>
        <w:t>، وعلى الإسلام ومنه قوله تعالى</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فَإِذَا أُحْصِنَّ</w:t>
      </w:r>
      <w:r>
        <w:rPr>
          <w:rStyle w:val="FootnoteAnchor"/>
          <w:rtl w:val="true"/>
        </w:rPr>
        <w:footnoteReference w:id="1149"/>
      </w:r>
      <w:r>
        <w:rPr>
          <w:rFonts w:ascii="IRNazanin" w:hAnsi="IRNazanin" w:eastAsia="IRNazanin"/>
          <w:color w:val="111111"/>
          <w:sz w:val="28"/>
          <w:sz w:val="28"/>
          <w:szCs w:val="28"/>
          <w:rtl w:val="true"/>
          <w:lang w:bidi="fa-IR"/>
        </w:rPr>
        <w:t>قال ابن مسعود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إحصائها إسلامها</w:t>
      </w:r>
      <w:r>
        <w:rPr>
          <w:rStyle w:val="FootnoteAnchor"/>
          <w:rtl w:val="true"/>
        </w:rPr>
        <w:footnoteReference w:id="1150"/>
      </w:r>
      <w:r>
        <w:rPr>
          <w:rFonts w:ascii="Amiri" w:hAnsi="Amiri" w:eastAsia="Amiri" w:cs="Amiri"/>
          <w:color w:val="111111"/>
          <w:sz w:val="28"/>
          <w:sz w:val="28"/>
          <w:szCs w:val="28"/>
          <w:rtl w:val="true"/>
          <w:lang w:bidi="ar-SA"/>
        </w:rPr>
        <w:t>، وعلى الحرية ومنه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لَّمْ يَسْتَطعْ مِنكُمْ طَوْلًا أَن يَنكِحَ الْمُحْصَنَتِ</w:t>
      </w:r>
      <w:r>
        <w:rPr>
          <w:rStyle w:val="FootnoteAnchor"/>
          <w:rtl w:val="true"/>
        </w:rPr>
        <w:footnoteReference w:id="1151"/>
      </w:r>
      <w:r>
        <w:rPr>
          <w:rFonts w:ascii="IRNazanin" w:hAnsi="IRNazanin" w:eastAsia="IRNazanin"/>
          <w:color w:val="111111"/>
          <w:sz w:val="28"/>
          <w:sz w:val="28"/>
          <w:szCs w:val="28"/>
          <w:rtl w:val="true"/>
          <w:lang w:bidi="fa-IR"/>
        </w:rPr>
        <w:t>وقوله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وَالْمُحْصَنَتُ مِنَ الْمُؤْمِنَاتِ وَالْمُحْصَنَتُ مِنَ الَّذِينَ أُوتُوا الْكِتَبَ</w:t>
      </w:r>
      <w:r>
        <w:rPr>
          <w:rStyle w:val="FootnoteAnchor"/>
          <w:rtl w:val="true"/>
        </w:rPr>
        <w:footnoteReference w:id="1152"/>
      </w:r>
      <w:r>
        <w:rPr>
          <w:rFonts w:ascii="Amiri" w:hAnsi="Amiri" w:eastAsia="Amiri" w:cs="Amiri"/>
          <w:color w:val="111111"/>
          <w:sz w:val="28"/>
          <w:sz w:val="28"/>
          <w:szCs w:val="28"/>
          <w:rtl w:val="true"/>
          <w:lang w:bidi="ar-SA"/>
        </w:rPr>
        <w:t>، وعلى اجتماع الأُمورِ الخمسة التي نبه عليها هنا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بالإحصان هنا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البلوغ والعقل والحرية والإسلام والعفّة، فمن جُمِعَتْ فيه هذه الأوصافُ الخمسة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وجب الحد بقذفه، وإلّا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تجتمع بأن فُقدت أجْمَعُ أو أحدها، بأن قذف صبياً أو مجنوناً أو مملوكاً أو كافراً أو متظاهراً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بالزنى، فالواجب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التعزيرُ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كذا أطلقه المصنّف والجماعة </w:t>
      </w:r>
      <w:r>
        <w:rPr>
          <w:rStyle w:val="FootnoteAnchor"/>
          <w:rtl w:val="true"/>
        </w:rPr>
        <w:footnoteReference w:id="1153"/>
      </w:r>
      <w:r>
        <w:rPr>
          <w:rFonts w:ascii="Amiri" w:hAnsi="Amiri" w:eastAsia="Amiri" w:cs="Amiri"/>
          <w:color w:val="111111"/>
          <w:sz w:val="28"/>
          <w:sz w:val="28"/>
          <w:szCs w:val="28"/>
          <w:rtl w:val="true"/>
          <w:lang w:bidi="ar-SA"/>
        </w:rPr>
        <w:t xml:space="preserve">غيرَ فارِقِينَ بين المتظاهرِ </w:t>
      </w:r>
    </w:p>
    <w:p>
      <w:pPr>
        <w:pStyle w:val="BookText"/>
        <w:rPr/>
      </w:pPr>
      <w:r>
        <w:rPr>
          <w:rFonts w:ascii="Amiri" w:hAnsi="Amiri" w:eastAsia="Amiri" w:cs="Amiri"/>
          <w:color w:val="111111"/>
          <w:sz w:val="28"/>
          <w:sz w:val="28"/>
          <w:szCs w:val="28"/>
          <w:rtl w:val="true"/>
          <w:lang w:bidi="ar-SA"/>
        </w:rPr>
        <w:t>بالزنى وغيره، ووجهه عموم الأدلة وقبحُ القذف مطلقاً، بخلاف مواجهة المتظاهر به بغيره من أنواع الأذى، كما 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وتردَّدَ المصنِّفُ في بعض تحقيقاته </w:t>
      </w:r>
      <w:r>
        <w:rPr>
          <w:rStyle w:val="FootnoteAnchor"/>
          <w:rtl w:val="true"/>
        </w:rPr>
        <w:footnoteReference w:id="1154"/>
      </w:r>
      <w:r>
        <w:rPr>
          <w:rFonts w:ascii="Amiri" w:hAnsi="Amiri" w:eastAsia="Amiri" w:cs="Amiri"/>
          <w:color w:val="111111"/>
          <w:sz w:val="28"/>
          <w:sz w:val="28"/>
          <w:szCs w:val="28"/>
          <w:rtl w:val="true"/>
          <w:lang w:bidi="ar-SA"/>
        </w:rPr>
        <w:t>في التعزير بقذف المتظاهر، ويظهر منه الميل إلى عدمه محتجاً بإباحته، استناداً إلى رواية البرقي عن أبي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إذا جاهَرَ الفاسقُ بفسقه فلا حُرمة له، ولا غيبة</w:t>
      </w:r>
      <w:r>
        <w:rPr>
          <w:rFonts w:eastAsia="Amiri" w:cs="Amiri" w:ascii="Amiri" w:hAnsi="Amiri"/>
          <w:color w:val="111111"/>
          <w:sz w:val="28"/>
          <w:szCs w:val="28"/>
          <w:rtl w:val="true"/>
          <w:lang w:bidi="ar-SA"/>
        </w:rPr>
        <w:t>»</w:t>
      </w:r>
      <w:r>
        <w:rPr>
          <w:rStyle w:val="FootnoteAnchor"/>
          <w:rtl w:val="true"/>
        </w:rPr>
        <w:footnoteReference w:id="115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مرفوع محمد بن بزيع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تمام العبادة الوَقِيعَةُ في أهل الريب</w:t>
      </w:r>
      <w:r>
        <w:rPr>
          <w:rFonts w:eastAsia="Amiri" w:cs="Amiri" w:ascii="Amiri" w:hAnsi="Amiri"/>
          <w:color w:val="111111"/>
          <w:sz w:val="28"/>
          <w:szCs w:val="28"/>
          <w:rtl w:val="true"/>
          <w:lang w:bidi="ar-SA"/>
        </w:rPr>
        <w:t>»</w:t>
      </w:r>
      <w:r>
        <w:rPr>
          <w:rStyle w:val="FootnoteAnchor"/>
          <w:rtl w:val="true"/>
        </w:rPr>
        <w:footnoteReference w:id="115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قيل بهذا لكان حسناً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ولو قال لكافر أُمه مسلمةٌ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ابن الزانية، فالحد لها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لاستجماعها لشرائط وجوبه دون المواجه،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ماتت أو كانت ميتةً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ووَرِثَها الكافِرُ فلا حدَّ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لأنّ المسلم لا يُحدّ للكافر بالأصالة فكذا بالإرث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ويُتصوّر إرث الكافر للمسلم على تقدير موت المسلم مرتدّاً عند الصدوق</w:t>
      </w:r>
      <w:r>
        <w:rPr>
          <w:rStyle w:val="FootnoteAnchor"/>
          <w:rtl w:val="true"/>
        </w:rPr>
        <w:footnoteReference w:id="1157"/>
      </w:r>
      <w:r>
        <w:rPr>
          <w:rFonts w:ascii="IRNazanin" w:hAnsi="IRNazanin" w:eastAsia="IRNazanin"/>
          <w:color w:val="111111"/>
          <w:sz w:val="28"/>
          <w:sz w:val="28"/>
          <w:szCs w:val="28"/>
          <w:rtl w:val="true"/>
          <w:lang w:bidi="fa-IR"/>
        </w:rPr>
        <w:t>، وبعض الأصحاب</w:t>
      </w:r>
      <w:r>
        <w:rPr>
          <w:rStyle w:val="FootnoteAnchor"/>
          <w:rtl w:val="true"/>
        </w:rPr>
        <w:footnoteReference w:id="1158"/>
      </w:r>
      <w:r>
        <w:rPr>
          <w:rFonts w:ascii="Amiri" w:hAnsi="Amiri" w:eastAsia="Amiri" w:cs="Amiri"/>
          <w:color w:val="111111"/>
          <w:sz w:val="28"/>
          <w:sz w:val="28"/>
          <w:szCs w:val="28"/>
          <w:rtl w:val="true"/>
          <w:lang w:bidi="ar-SA"/>
        </w:rPr>
        <w:t>، أما عند المصنّف فغير واضح ، وقد فَرَض المسألة كذلك في القواعد</w:t>
      </w:r>
      <w:r>
        <w:rPr>
          <w:rStyle w:val="FootnoteAnchor"/>
          <w:rtl w:val="true"/>
        </w:rPr>
        <w:footnoteReference w:id="1159"/>
      </w:r>
      <w:r>
        <w:rPr>
          <w:rFonts w:ascii="Amiri" w:hAnsi="Amiri" w:eastAsia="Amiri" w:cs="Amiri"/>
          <w:color w:val="111111"/>
          <w:sz w:val="28"/>
          <w:sz w:val="28"/>
          <w:szCs w:val="28"/>
          <w:rtl w:val="true"/>
          <w:lang w:bidi="ar-SA"/>
        </w:rPr>
        <w:t>، لكن بعبارة أقبل من هذه للتأويل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ولو تَقاذَفَ المحصنان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بما يوجب الحدَّ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عُزّرا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حد على أحدهما؛ لصحيحة أبي ولاد عن أبي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أُتِيَ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برجلين قَذَف كلُّ واحدٍ منهما صاحبه بالزنى في بدنه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يُدرَاً عنهما الحد، وعَزَّرهما</w:t>
      </w:r>
      <w:r>
        <w:rPr>
          <w:rFonts w:eastAsia="Amiri" w:cs="Amiri" w:ascii="Amiri" w:hAnsi="Amiri"/>
          <w:color w:val="111111"/>
          <w:sz w:val="28"/>
          <w:szCs w:val="28"/>
          <w:rtl w:val="true"/>
          <w:lang w:bidi="ar-SA"/>
        </w:rPr>
        <w:t>»</w:t>
      </w:r>
      <w:r>
        <w:rPr>
          <w:rStyle w:val="FootnoteAnchor"/>
          <w:rtl w:val="true"/>
        </w:rPr>
        <w:footnoteReference w:id="1160"/>
      </w:r>
      <w:r>
        <w:rPr>
          <w:rFonts w:eastAsia="Times New Roman" w:cs="Times New Roman" w:ascii="Times New Roman" w:hAnsi="Times New Roman"/>
          <w:color w:val="111111"/>
          <w:sz w:val="28"/>
          <w:szCs w:val="28"/>
          <w:rtl w:val="true"/>
          <w:lang w:val="en-US" w:bidi="en-US"/>
        </w:rPr>
        <w:t>.</w:t>
      </w:r>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ولو تَعدَّد المقذوفُ تَعدَّد الحدُّ سواء اتّحد القاذف أو تَعدَّد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لأنّ كلَّ واحد سبب تام في وجوب الحد فيتعدد المسبب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نعم، لو قَذَف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الواحد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جماعةً بلفظ </w:t>
      </w:r>
    </w:p>
    <w:p>
      <w:pPr>
        <w:pStyle w:val="BookText"/>
        <w:rPr/>
      </w:pPr>
      <w:r>
        <w:rPr>
          <w:rFonts w:ascii="Amiri" w:hAnsi="Amiri" w:eastAsia="Amiri" w:cs="Amiri"/>
          <w:color w:val="111111"/>
          <w:sz w:val="28"/>
          <w:sz w:val="28"/>
          <w:szCs w:val="28"/>
          <w:rtl w:val="true"/>
          <w:lang w:bidi="ar-SA"/>
        </w:rPr>
        <w:t>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قال أنتم زُنَاةٌ، ونحوه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واجتمعوا في المطالبة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 بالحدّ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فحدُّ واحد، وإن افترقوا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المطالبة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فلكلّ واحد حد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لصحيحة جميل عن أبي عبد الله صلى الله عليه وسلم في رجل افترى على قومٍ جماعةً،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أتَوْا به مجتمعِينَ ضُرِب حداً واحداً، وإن أتوا به متفرّقِينَ ضُرِب لكلّ واحد حدّاً </w:t>
      </w:r>
      <w:r>
        <w:rPr>
          <w:rFonts w:eastAsia="Amiri" w:cs="Amiri" w:ascii="Amiri" w:hAnsi="Amiri"/>
          <w:color w:val="111111"/>
          <w:sz w:val="28"/>
          <w:szCs w:val="28"/>
          <w:rtl w:val="true"/>
          <w:lang w:bidi="ar-SA"/>
        </w:rPr>
        <w:t>»</w:t>
      </w:r>
      <w:r>
        <w:rPr>
          <w:rStyle w:val="FootnoteAnchor"/>
          <w:rtl w:val="true"/>
        </w:rPr>
        <w:footnoteReference w:id="116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وإنما حملناه على ما لو كان القذف بلفظ واحدٍ مع أنّه أعم، جمعاً بينه وبين صحيحة الحسن العطار عنه في رجل قَذَف قوماً جميعاً،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بكَلِمَةٍ واحدةٍ؟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يضرب حداً واحداً، وإن فَرَّق بينهم في القذف ضُرِب لكلّ واحد منهم حدّداً </w:t>
      </w:r>
      <w:r>
        <w:rPr>
          <w:rFonts w:eastAsia="Amiri" w:cs="Amiri" w:ascii="Amiri" w:hAnsi="Amiri"/>
          <w:color w:val="111111"/>
          <w:sz w:val="28"/>
          <w:szCs w:val="28"/>
          <w:rtl w:val="true"/>
          <w:lang w:bidi="ar-SA"/>
        </w:rPr>
        <w:t>»</w:t>
      </w:r>
      <w:r>
        <w:rPr>
          <w:rStyle w:val="FootnoteAnchor"/>
          <w:rtl w:val="true"/>
        </w:rPr>
        <w:footnoteReference w:id="1162"/>
      </w:r>
      <w:r>
        <w:rPr>
          <w:rFonts w:ascii="Amiri" w:hAnsi="Amiri" w:eastAsia="Amiri" w:cs="Amiri"/>
          <w:color w:val="111111"/>
          <w:sz w:val="28"/>
          <w:sz w:val="28"/>
          <w:szCs w:val="28"/>
          <w:rtl w:val="true"/>
          <w:lang w:bidi="ar-SA"/>
        </w:rPr>
        <w:t>بحمل الأولى على ما لو كان القذف بلفظ واحد والثانية على ما لو جاؤوا به مجتمعين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وابن الجنيد عكس فجعل القذف بلفظ واحدٍ موجِباً لاتحاد الحدّ مطلقاً، وبلفظ متعدّدٍ موجِباً للاتحاد وإن جاؤوا به ،مجتمعين وللتعدُّد إن جاؤوا متفرِّقِينَ</w:t>
      </w:r>
      <w:r>
        <w:rPr>
          <w:rStyle w:val="FootnoteAnchor"/>
          <w:rtl w:val="true"/>
        </w:rPr>
        <w:footnoteReference w:id="1163"/>
      </w:r>
      <w:r>
        <w:rPr>
          <w:rFonts w:ascii="Amiri" w:hAnsi="Amiri" w:eastAsia="Amiri" w:cs="Amiri"/>
          <w:color w:val="111111"/>
          <w:sz w:val="28"/>
          <w:sz w:val="28"/>
          <w:szCs w:val="28"/>
          <w:rtl w:val="true"/>
          <w:lang w:bidi="ar-SA"/>
        </w:rPr>
        <w:t>، ونَفَى عنه في المختلف البأس؛ محتجاً بدلالة الخبر الأول عليه، وهو أوضح طريقاً</w:t>
      </w:r>
      <w:r>
        <w:rPr>
          <w:rStyle w:val="FootnoteAnchor"/>
          <w:rtl w:val="true"/>
        </w:rPr>
        <w:footnoteReference w:id="116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وفيه نظر؛ لأنّ تفصيلَ الأوّل شامل للقذف المتحدِ والمتعدّد، فالعمل به يوجب التفصيل فيهما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والظاهر أنّ قولَه فيه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جماعةً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صفةٌ للقوم؛ لأنّه أقرب وأنسب بالجماعة، لا للقذف، وإنّما يتجه قوله لو جُعِل صفةٌ للقذف المدلول عليه بالفعل، وأريد بالجماعة القذف المتعدّد، وهو بعيد جداً</w:t>
      </w:r>
      <w:r>
        <w:rPr>
          <w:rFonts w:eastAsia="Amiri" w:cs="Amiri" w:ascii="Amiri" w:hAnsi="Amiri"/>
          <w:color w:val="111111"/>
          <w:sz w:val="28"/>
          <w:szCs w:val="28"/>
          <w:rtl w:val="true"/>
          <w:lang w:bidi="ar-SA"/>
        </w:rPr>
        <w:t>.</w:t>
      </w:r>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وكذا الكلام في التعزير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فيُعزر قاذف الجماعة بما يوجبه بلفظ متعدّدٍ متعدّداً مطلقاً، وبمتحد إن جاؤوا به متفرّقين، ومتحداً إن جاؤوا به مجتمعين، ولا نص فيه على الخصوص، ومِن ثَمَّ أَنكره ابن إدريس وأوجب التعزيز لكلّ واحد مطلقاً محتجاً بأنه </w:t>
      </w:r>
    </w:p>
    <w:p>
      <w:pPr>
        <w:pStyle w:val="BookText"/>
        <w:rPr/>
      </w:pPr>
      <w:r>
        <w:rPr>
          <w:rFonts w:ascii="Amiri" w:hAnsi="Amiri" w:eastAsia="Amiri" w:cs="Amiri"/>
          <w:color w:val="111111"/>
          <w:sz w:val="28"/>
          <w:sz w:val="28"/>
          <w:szCs w:val="28"/>
          <w:rtl w:val="true"/>
          <w:lang w:bidi="ar-SA"/>
        </w:rPr>
        <w:t>قياس</w:t>
      </w:r>
      <w:r>
        <w:rPr>
          <w:rStyle w:val="FootnoteAnchor"/>
          <w:rtl w:val="true"/>
        </w:rPr>
        <w:footnoteReference w:id="1165"/>
      </w:r>
      <w:r>
        <w:rPr>
          <w:rFonts w:ascii="Amiri" w:hAnsi="Amiri" w:eastAsia="Amiri" w:cs="Amiri"/>
          <w:color w:val="111111"/>
          <w:sz w:val="28"/>
          <w:sz w:val="28"/>
          <w:szCs w:val="28"/>
          <w:rtl w:val="true"/>
          <w:lang w:bidi="ar-SA"/>
        </w:rPr>
        <w:t>، ونحن نقول بموجبه إلا أنه قياس مقبول؛ لأنّ تداخل الأقوى يُوجِب تداخل الأضعف بطريق أولى، ومع ذلك فقول ابن إدريس لا بأس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وبَقِيَ في هذا الفصل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مسائلُ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المسألة الأُولى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حد القذف ثمانون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جلدةً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إجماعاً، ولقوله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وَالَّذِينَ يَرْمُونَ الْمُحْصَنَتِ</w:t>
      </w:r>
      <w:r>
        <w:rPr>
          <w:rFonts w:ascii="IRNazanin" w:hAnsi="IRNazanin" w:eastAsia="IRNazanin"/>
          <w:color w:val="111111"/>
          <w:sz w:val="28"/>
          <w:sz w:val="28"/>
          <w:szCs w:val="28"/>
          <w:rtl w:val="true"/>
          <w:lang w:bidi="fa-IR"/>
        </w:rPr>
        <w:t xml:space="preserve"> إلى قوله </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فَاجْلِدُوهُمْ ثَمَنِينَ جَلْدَةٌ</w:t>
      </w:r>
      <w:r>
        <w:rPr>
          <w:rStyle w:val="FootnoteAnchor"/>
          <w:rtl w:val="true"/>
        </w:rPr>
        <w:footnoteReference w:id="116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فرق في القاذف بين الحر والعبد على أصح القولين</w:t>
      </w:r>
      <w:r>
        <w:rPr>
          <w:rStyle w:val="FootnoteAnchor"/>
          <w:rtl w:val="true"/>
        </w:rPr>
        <w:footnoteReference w:id="1167"/>
      </w:r>
      <w:r>
        <w:rPr>
          <w:rFonts w:ascii="Amiri" w:hAnsi="Amiri" w:eastAsia="Amiri" w:cs="Amiri"/>
          <w:color w:val="111111"/>
          <w:sz w:val="28"/>
          <w:sz w:val="28"/>
          <w:szCs w:val="28"/>
          <w:rtl w:val="true"/>
          <w:lang w:bidi="ar-SA"/>
        </w:rPr>
        <w:t>، ومن ثُمَّ أطلق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ويُجلد القاذف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بثيابه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المعتادة ولا يُجَرَّد كما يُجرَّد الزاني، ولا يُضرب به ضرباً شديداً بل حداً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متوسطاً دون ضرب الزنى ويُشهر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القاذف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التُجتنب شهادته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المسألة الثانية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ويثبت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القذف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بشهادة عدلين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ذكرين، لا بشهادة النساء منفرداتٍ ولا منضمّاتٍ وإنْ كَتُرْنَ،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والإقرارِ مرّتين من مكلّف حرّ مختار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فلا عبرة بإقرار الصبي والمجنون والمملوك مطلقاً والمكره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انتفت البينة والإقرار فلا حد ولا يمين على المنكر</w:t>
      </w:r>
      <w:r>
        <w:rPr>
          <w:rFonts w:eastAsia="Amiri" w:cs="Amiri" w:ascii="Amiri" w:hAnsi="Amiri"/>
          <w:color w:val="111111"/>
          <w:sz w:val="28"/>
          <w:szCs w:val="28"/>
          <w:rtl w:val="true"/>
          <w:lang w:bidi="ar-SA"/>
        </w:rPr>
        <w:t>.</w:t>
      </w:r>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وكذا ما يوجب التعزير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يثبت إلا بشاهدين ذكرين عدلين أو الإقرار من المكلّف الحرّ المختار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ومقتضى العبارة اعتباره مرتين مطلقاً، وكذا أطلق غيرُه</w:t>
      </w:r>
      <w:r>
        <w:rPr>
          <w:rStyle w:val="FootnoteAnchor"/>
          <w:rtl w:val="true"/>
        </w:rPr>
        <w:footnoteReference w:id="1168"/>
      </w:r>
      <w:r>
        <w:rPr>
          <w:rFonts w:ascii="Amiri" w:hAnsi="Amiri" w:eastAsia="Amiri" w:cs="Amiri"/>
          <w:color w:val="111111"/>
          <w:sz w:val="28"/>
          <w:sz w:val="28"/>
          <w:szCs w:val="28"/>
          <w:rtl w:val="true"/>
          <w:lang w:bidi="ar-SA"/>
        </w:rPr>
        <w:t>، مع أنه قد تقدَّم حكمه بتعزير المقرّ باللواط دون الأربع الشامل للمرّة</w:t>
      </w:r>
      <w:r>
        <w:rPr>
          <w:rStyle w:val="FootnoteAnchor"/>
          <w:rtl w:val="true"/>
        </w:rPr>
        <w:footnoteReference w:id="1169"/>
      </w:r>
      <w:r>
        <w:rPr>
          <w:rFonts w:ascii="Amiri" w:hAnsi="Amiri" w:eastAsia="Amiri" w:cs="Amiri"/>
          <w:color w:val="111111"/>
          <w:sz w:val="28"/>
          <w:sz w:val="28"/>
          <w:szCs w:val="28"/>
          <w:rtl w:val="true"/>
          <w:lang w:bidi="ar-SA"/>
        </w:rPr>
        <w:t xml:space="preserve">، إلا أن يُحمّل ذاك على المرتين </w:t>
      </w:r>
    </w:p>
    <w:p>
      <w:pPr>
        <w:pStyle w:val="BookText"/>
        <w:rPr/>
      </w:pPr>
      <w:r>
        <w:rPr>
          <w:rFonts w:ascii="Amiri" w:hAnsi="Amiri" w:eastAsia="Amiri" w:cs="Amiri"/>
          <w:color w:val="111111"/>
          <w:sz w:val="28"/>
          <w:sz w:val="28"/>
          <w:szCs w:val="28"/>
          <w:rtl w:val="true"/>
          <w:lang w:bidi="ar-SA"/>
        </w:rPr>
        <w:t>فصاعداً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الشرائع نَسَب اعتبار الإقرار به مرّتين إلى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w:t>
      </w:r>
      <w:r>
        <w:rPr>
          <w:rFonts w:eastAsia="Amiri" w:cs="Amiri" w:ascii="Amiri" w:hAnsi="Amiri"/>
          <w:color w:val="111111"/>
          <w:sz w:val="28"/>
          <w:szCs w:val="28"/>
          <w:rtl w:val="true"/>
          <w:lang w:bidi="ar-SA"/>
        </w:rPr>
        <w:t xml:space="preserve">» </w:t>
      </w:r>
      <w:r>
        <w:rPr>
          <w:rStyle w:val="FootnoteAnchor"/>
          <w:rtl w:val="true"/>
        </w:rPr>
        <w:footnoteReference w:id="1170"/>
      </w:r>
      <w:r>
        <w:rPr>
          <w:rFonts w:ascii="Amiri" w:hAnsi="Amiri" w:eastAsia="Amiri" w:cs="Amiri"/>
          <w:color w:val="111111"/>
          <w:sz w:val="28"/>
          <w:sz w:val="28"/>
          <w:szCs w:val="28"/>
          <w:rtl w:val="true"/>
          <w:lang w:bidi="ar-SA"/>
        </w:rPr>
        <w:t>مُشيراً بتمريضه ولم نقف على مستند هذا القول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المسألة الثالثة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حد القذف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موروث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لكلّ مَن يَرِثُ المالَ من ذَكَر وأُنثى لو مات المقذوفُ قبل استيفائه والعفو عنه إلا للزوج والزوجة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وإذا كان الوارث جماعةً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فلكلّ واحد منهم المطالبة به ، فإن اتَّفقوا على استيفائه فلهم حد واحدٌ وإن تفرَّقوا في المطالبة ، ولو عفا بعضُهم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يسقط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شيء منه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بعفو البعض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للباقِينَ استيفاؤُه كاملاً، على المشهور</w:t>
      </w:r>
      <w:r>
        <w:rPr>
          <w:rStyle w:val="FootnoteAnchor"/>
          <w:rtl w:val="true"/>
        </w:rPr>
        <w:footnoteReference w:id="117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المسألة الرابعة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ويجوزالعفو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المستحِق الواحدِ والمتعدِّدِ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بعد الثبوت كما يجوز قبله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ولا اعتراض للحاكم؛ لأنه حق آدمي يتوقف إقامته على مطالبته ويسقط بعفوه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فرق في ذلك بين قذف الزوج لزوجته وغيره خلافاً للصدوق حيث حَتَّم عليها استيفاءه</w:t>
      </w:r>
      <w:r>
        <w:rPr>
          <w:rStyle w:val="FootnoteAnchor"/>
          <w:rtl w:val="true"/>
        </w:rPr>
        <w:footnoteReference w:id="1172"/>
      </w:r>
      <w:r>
        <w:rPr>
          <w:rFonts w:ascii="IRNazanin" w:hAnsi="IRNazanin" w:eastAsia="IRNazanin"/>
          <w:color w:val="111111"/>
          <w:sz w:val="28"/>
          <w:sz w:val="28"/>
          <w:szCs w:val="28"/>
          <w:rtl w:val="true"/>
          <w:lang w:bidi="fa-IR"/>
        </w:rPr>
        <w:t>، وهو شاد</w:t>
      </w:r>
      <w:r>
        <w:rPr>
          <w:rFonts w:eastAsia="IRNazanin" w:cs="IRNazanin"/>
          <w:color w:val="111111"/>
          <w:sz w:val="28"/>
          <w:szCs w:val="28"/>
          <w:rtl w:val="true"/>
          <w:lang w:bidi="fa-IR"/>
        </w:rPr>
        <w:t>.</w:t>
      </w:r>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المسألة الخامسة</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ويُقتل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القاذفُ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الرابعة لو تكرر الحد ثلاثاً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المشهور، خلافاً لابن إدريس حيث حكم بقتله في الثالثة كغيره من أصحاب الكبائر</w:t>
      </w:r>
      <w:r>
        <w:rPr>
          <w:rStyle w:val="FootnoteAnchor"/>
          <w:rtl w:val="true"/>
        </w:rPr>
        <w:footnoteReference w:id="117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وقد تقدّم الكلام فيه </w:t>
      </w:r>
      <w:r>
        <w:rPr>
          <w:rStyle w:val="FootnoteAnchor"/>
          <w:rtl w:val="true"/>
        </w:rPr>
        <w:footnoteReference w:id="1174"/>
      </w:r>
      <w:r>
        <w:rPr>
          <w:rFonts w:ascii="Amiri" w:hAnsi="Amiri" w:eastAsia="Amiri" w:cs="Amiri"/>
          <w:color w:val="111111"/>
          <w:sz w:val="28"/>
          <w:sz w:val="28"/>
          <w:szCs w:val="28"/>
          <w:rtl w:val="true"/>
          <w:lang w:bidi="ar-SA"/>
        </w:rPr>
        <w:t>ولا فرق بين اتحادِ المقذوف وتعدّدِه هنا</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ولو تكرّر القذفُ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لواحد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قبل الحدّ فواحدٌ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ولو تعدّد المقذوف تعدد الحد مطلقاً، إلا مع اتحاد الصيغة، كما مرّ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المسألة السادسة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ويَسقُط الحدُّ بتصديق المقذوف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ما نَسَبه إليه من الموجب للحدّ؛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والبيّنة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وقوعه منه؛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والعفو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عفو المقذوف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وبلعان الزوجة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كان القذف 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وسقوط الحدّ في الأربعة لا كلام فيه، لكن هل يسقط مع ذلك التعزير؟ يحتمله خصوصاً في الأخيرين؛ لأن الواجب هو الحد وقد سقط، والأصل عدم وجوب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ويُحتمل ثبوتُ التعزير في الأوّلين؛ لأنّ قيامَ البيِّنة والإقرار بالموجب لا يُجَوِّز القذف؛ لما تقدَّم من تحريمه مطلقاً، وثبوتِ التعزير به للمتظاهر بالزنى فإذا سَقَط الحدُّ بَقِيَ التعزير على فعل المحرم وفي الجميع؛ لأنّ العفو عن الحد لا يستلزم العفو عن التعزير، وكذا اللعان لأنه بمنزلة إقامة البينة على الزنى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ولو قُذف المملوك فالتعزير له لا للمولى، فإن عفا لم يكن لمولاه المطالبة، كما أنّه لو طالب فليس لمولاه العفو،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يَرِث المولى تعزير عبده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لومات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المقذوف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بعد قذفه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لما تقدَّم من أنّ الحدّ يُورث والمولى وارث مملوكه </w:t>
      </w:r>
      <w:r>
        <w:rPr>
          <w:rStyle w:val="FootnoteAnchor"/>
          <w:rtl w:val="true"/>
        </w:rPr>
        <w:footnoteReference w:id="1175"/>
      </w:r>
      <w:r>
        <w:rPr>
          <w:rFonts w:eastAsia="Times New Roman" w:cs="Times New Roman" w:ascii="Times New Roman" w:hAnsi="Times New Roman"/>
          <w:color w:val="111111"/>
          <w:sz w:val="28"/>
          <w:szCs w:val="28"/>
          <w:rtl w:val="true"/>
          <w:lang w:val="en-US" w:bidi="en-US"/>
        </w:rPr>
        <w:t>.</w:t>
      </w:r>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المسألة السابعة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ولا يُعزر الكفّارُ لو تنابزوا بالألقاب</w:t>
      </w:r>
      <w:r>
        <w:rPr>
          <w:rStyle w:val="FootnoteAnchor"/>
          <w:rtl w:val="true"/>
        </w:rPr>
        <w:footnoteReference w:id="117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تداعوا بألقاب </w:t>
      </w:r>
    </w:p>
    <w:p>
      <w:pPr>
        <w:pStyle w:val="BookText"/>
        <w:rPr/>
      </w:pPr>
      <w:r>
        <w:rPr>
          <w:rFonts w:ascii="Amiri" w:hAnsi="Amiri" w:eastAsia="Amiri" w:cs="Amiri"/>
          <w:color w:val="111111"/>
          <w:sz w:val="28"/>
          <w:sz w:val="28"/>
          <w:szCs w:val="28"/>
          <w:rtl w:val="true"/>
          <w:lang w:bidi="ar-SA"/>
        </w:rPr>
        <w:t xml:space="preserve">الذمّ،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أو عَيَّر بعضُهم بعضاً بالأمراض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العَوْرِ والعَرّج وغيرهما وإن كان المسلم يستحق بها التعزير،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 مع خوف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الفتنة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بترك تعزيرهم على ذلك فيُعزّرون حَسْماً لها بما يراه الحاكم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يُزاد في تأديب الصبي على عشرة أسواط</w:t>
      </w:r>
      <w:r>
        <w:rPr>
          <w:rStyle w:val="FootnoteAnchor"/>
          <w:rtl w:val="true"/>
        </w:rPr>
        <w:footnoteReference w:id="1177"/>
      </w:r>
      <w:r>
        <w:rPr>
          <w:rFonts w:ascii="Amiri" w:hAnsi="Amiri" w:eastAsia="Amiri" w:cs="Amiri"/>
          <w:color w:val="111111"/>
          <w:sz w:val="28"/>
          <w:sz w:val="28"/>
          <w:szCs w:val="28"/>
          <w:rtl w:val="true"/>
          <w:lang w:bidi="ar-SA"/>
        </w:rPr>
        <w:t>، وكذا المملوك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سواء كان التأديبُ لقذفٍ أم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وهل النهي</w:t>
      </w:r>
      <w:r>
        <w:rPr>
          <w:rStyle w:val="FootnoteAnchor"/>
          <w:rtl w:val="true"/>
        </w:rPr>
        <w:footnoteReference w:id="1178"/>
      </w:r>
      <w:r>
        <w:rPr>
          <w:rFonts w:ascii="Amiri" w:hAnsi="Amiri" w:eastAsia="Amiri" w:cs="Amiri"/>
          <w:color w:val="111111"/>
          <w:sz w:val="28"/>
          <w:sz w:val="28"/>
          <w:szCs w:val="28"/>
          <w:rtl w:val="true"/>
          <w:lang w:bidi="ar-SA"/>
        </w:rPr>
        <w:t xml:space="preserve">عن الزائد على وجه التحريم أم الكراهة؟ ظاهره الأول، والأقوى الثاني للأصل، ولأن تقدير التعزير إلى ما يراه الحاكم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المسألة الثامنة</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ويُعزّر كلَّ مَن تَرَك واجباً أو فَعَل محرَّماً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قبل أن يتوب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بما يراه الحاكم، ففي الحر لا يبلغ حدَّه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مطلق حده، فلا يبلغ أقله وهو خمسة وسبعون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لو كان المحرَّمُ من جنس ما يوجب حداً مخصوصاً كمقدمات الزني فالمعتبر فيه حد الزنى؛ وكالقذف بما لا يُوجب الحد فالمعتبر فيه حد القذف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تعزير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العبد لا يبلغ حده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ذكرناه</w:t>
      </w:r>
      <w:r>
        <w:rPr>
          <w:rFonts w:eastAsia="Amiri" w:cs="Amiri" w:ascii="Amiri" w:hAnsi="Amiri"/>
          <w:color w:val="111111"/>
          <w:sz w:val="28"/>
          <w:szCs w:val="28"/>
          <w:rtl w:val="true"/>
          <w:lang w:bidi="ar-SA"/>
        </w:rPr>
        <w:t>.</w:t>
      </w:r>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المسألة التاسعة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وساب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أحد الأئمة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يُقتل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ويجوز قتله لكلّ مَن اطَّلَعَ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ولؤ من غير إذن الإمام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الحاكم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لم يَخَف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القاتل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على نفسه أو ماله، أو على مؤمن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نفساً أو مالاً، فينتفي الجواز للضرر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 xml:space="preserve">أخبرني أبي أن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الناسُ فِي أسوة سواءٌ، مَن سَمِع أحداً يذكرني فالواجب عليه أن يَقتُل مَن شَتَمَني ولا يَرفَع إلى السلطان، والواجب على السلطان إذا </w:t>
      </w:r>
    </w:p>
    <w:p>
      <w:pPr>
        <w:pStyle w:val="BookText"/>
        <w:rPr/>
      </w:pPr>
      <w:r>
        <w:rPr>
          <w:rFonts w:ascii="Amiri" w:hAnsi="Amiri" w:eastAsia="Amiri" w:cs="Amiri"/>
          <w:color w:val="111111"/>
          <w:sz w:val="28"/>
          <w:sz w:val="28"/>
          <w:szCs w:val="28"/>
          <w:rtl w:val="true"/>
          <w:lang w:bidi="ar-SA"/>
        </w:rPr>
        <w:t>رفع إليه أن يَقتُل مَن نالَ منّي</w:t>
      </w:r>
      <w:r>
        <w:rPr>
          <w:rFonts w:eastAsia="Amiri" w:cs="Amiri" w:ascii="Amiri" w:hAnsi="Amiri"/>
          <w:color w:val="111111"/>
          <w:sz w:val="28"/>
          <w:szCs w:val="28"/>
          <w:rtl w:val="true"/>
          <w:lang w:bidi="ar-SA"/>
        </w:rPr>
        <w:t>».</w:t>
      </w:r>
      <w:r>
        <w:rPr>
          <w:rStyle w:val="FootnoteAnchor"/>
          <w:rtl w:val="true"/>
        </w:rPr>
        <w:footnoteReference w:id="1179"/>
      </w:r>
    </w:p>
    <w:p>
      <w:pPr>
        <w:pStyle w:val="BookText"/>
        <w:rPr/>
      </w:pPr>
      <w:r>
        <w:rPr>
          <w:rFonts w:ascii="Amiri" w:hAnsi="Amiri" w:eastAsia="Amiri" w:cs="Amiri"/>
          <w:color w:val="111111"/>
          <w:sz w:val="28"/>
          <w:sz w:val="28"/>
          <w:szCs w:val="28"/>
          <w:rtl w:val="true"/>
          <w:lang w:bidi="ar-SA"/>
        </w:rPr>
        <w:t xml:space="preserve">وسُئِل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عمّن سمع يَشتُم عليّاً وبَرِئَ منه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هو والله حلال الدم، وما ألْفُ رجلٍ منهم برجل منكم، دعه</w:t>
      </w:r>
      <w:r>
        <w:rPr>
          <w:rFonts w:eastAsia="Amiri" w:cs="Amiri" w:ascii="Amiri" w:hAnsi="Amiri"/>
          <w:color w:val="111111"/>
          <w:sz w:val="28"/>
          <w:szCs w:val="28"/>
          <w:rtl w:val="true"/>
          <w:lang w:bidi="ar-SA"/>
        </w:rPr>
        <w:t>»</w:t>
      </w:r>
      <w:r>
        <w:rPr>
          <w:rStyle w:val="FootnoteAnchor"/>
          <w:rtl w:val="true"/>
        </w:rPr>
        <w:footnoteReference w:id="118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إشارة إلى خوف الضرر على بعض المؤمنين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الحاق باقي الأنبياء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بذلك وجه قوي</w:t>
      </w:r>
      <w:r>
        <w:rPr>
          <w:rStyle w:val="FootnoteAnchor"/>
          <w:rtl w:val="true"/>
        </w:rPr>
        <w:footnoteReference w:id="1181"/>
      </w:r>
    </w:p>
    <w:p>
      <w:pPr>
        <w:pStyle w:val="BookText"/>
        <w:rPr/>
      </w:pPr>
      <w:r>
        <w:rPr>
          <w:rFonts w:ascii="IRNazanin" w:hAnsi="IRNazanin" w:eastAsia="IRNazanin"/>
          <w:color w:val="111111"/>
          <w:sz w:val="28"/>
          <w:sz w:val="28"/>
          <w:szCs w:val="28"/>
          <w:rtl w:val="true"/>
          <w:lang w:bidi="fa-IR"/>
        </w:rPr>
        <w:t>ويمكن الجواب بأن الدليل يقتضي أن الإلحاق للمسلم فقط فإنّ ما علم من دين الإسلام ضرورة لا يستلزم خلافه من الكافر قتله، ودليل ساب نبينا لما كان مطلقاً أبقي على إطلاقه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وبالجملة فالدليل منبه على خصوص الدعوى بساب باقي الأنبياء ، ولا فرق في الساب الأول بين المسلم والكافر البتة؛ لعموم النص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روي عن علي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يهودية كانت تشتم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وقد تقع فيه فخنقها رجل حتى ماتت فأبطل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دمها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زین رحمه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 لأنّ تعظيمهم وكمالَهم قد عُلِم من دين الإسلام ضرورةً فستهم ارتداد وألحق في التحرير بالنبي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أُمَّه وبنته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xml:space="preserve">من غير تخصيص بفاطمة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ويمكن اختصاص الحكم بها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للإجماع على طهارتها بآية التطهير</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وينبغي تقييد الخوف على المال بالكثيرِ المضرّ فوتُه؛ فلا يَمنَع القليلُ الجواز وإنْ أمكن منعُه الوجوب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وينبغي إلحاق الخوف على العِرْض بالشتم ونحوه على وجه لا يُتَحمَّل عادةً بالمال، بل هو أولى بالحفظ</w:t>
      </w:r>
      <w:r>
        <w:rPr>
          <w:rFonts w:eastAsia="Amiri" w:cs="Amiri" w:ascii="Amiri" w:hAnsi="Amiri"/>
          <w:color w:val="111111"/>
          <w:sz w:val="28"/>
          <w:szCs w:val="28"/>
          <w:rtl w:val="true"/>
          <w:lang w:bidi="ar-SA"/>
        </w:rPr>
        <w:t>.</w:t>
      </w:r>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المسألة العاشرة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ويُقتل مدّعي النُّبُوَّةِ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نبينا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لثبوت ختمِه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للأنبياء من الدين ضرورةً، فيكون دعواها كفراً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وكذا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يُقتل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الشاكٌ في نُبُوَّة نبينا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في صدقه إذا كان على ظاهر الإسلام احترز به عن إنكار الكفّار لها كاليهود </w:t>
      </w:r>
    </w:p>
    <w:p>
      <w:pPr>
        <w:pStyle w:val="BookText"/>
        <w:rPr/>
      </w:pPr>
      <w:r>
        <w:rPr>
          <w:rFonts w:ascii="Amiri" w:hAnsi="Amiri" w:eastAsia="Amiri" w:cs="Amiri"/>
          <w:color w:val="111111"/>
          <w:sz w:val="28"/>
          <w:sz w:val="28"/>
          <w:szCs w:val="28"/>
          <w:rtl w:val="true"/>
          <w:lang w:bidi="ar-SA"/>
        </w:rPr>
        <w:t>والنصارى فإنّهم لا يُقتلون بذلك، وكذا غيرُهم من فِرَقِ الكفار، وإن جاز قتلهم بأمرٍ آخَرَ</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المسألة الحادية العشرة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ويُقتل الساحرُ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مَن يَعمَل بالسحر وإنْ لم يكن مُستَحِلاً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كان مسلماً، ويُعزّر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الساحرُ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الكافر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ساحر المسلمين يُقتل وساحر الكفّار لا يُقتل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رسول الله ولمَ لا يُقتل ساحر الكفّار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لأنّ الكفر أعظم من السحر، ولأنّ السحر والشرك مقرونان</w:t>
      </w:r>
      <w:r>
        <w:rPr>
          <w:rFonts w:eastAsia="IRNazanin" w:cs="IRNazanin"/>
          <w:color w:val="111111"/>
          <w:sz w:val="28"/>
          <w:szCs w:val="28"/>
          <w:rtl w:val="true"/>
          <w:lang w:bidi="fa-IR"/>
        </w:rPr>
        <w:t>»</w:t>
      </w:r>
      <w:r>
        <w:rPr>
          <w:rStyle w:val="FootnoteAnchor"/>
          <w:rtl w:val="true"/>
        </w:rPr>
        <w:footnoteReference w:id="118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ولو تاب الساحرُ قبل أن يُقام عليه الحدُّ سَقَط عنه القتل، لرواية إسحاق بنِ عمّار عن الصادق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 عليّا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تَعلَّم من السحر شيئاً كان آخر عهده بربّه، وحده القتلُ إلّا أن يتوب</w:t>
      </w:r>
      <w:r>
        <w:rPr>
          <w:rFonts w:eastAsia="Amiri" w:cs="Amiri" w:ascii="Amiri" w:hAnsi="Amiri"/>
          <w:color w:val="111111"/>
          <w:sz w:val="28"/>
          <w:szCs w:val="28"/>
          <w:rtl w:val="true"/>
          <w:lang w:bidi="ar-SA"/>
        </w:rPr>
        <w:t>»</w:t>
      </w:r>
      <w:r>
        <w:rPr>
          <w:rStyle w:val="FootnoteAnchor"/>
          <w:rtl w:val="true"/>
        </w:rPr>
        <w:footnoteReference w:id="118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تقدَّم في كتاب البيع تحقيق معنى السحر وما يَحرُم منه</w:t>
      </w:r>
      <w:r>
        <w:rPr>
          <w:rFonts w:eastAsia="Amiri" w:cs="Amiri" w:ascii="Amiri" w:hAnsi="Amiri"/>
          <w:color w:val="111111"/>
          <w:sz w:val="28"/>
          <w:szCs w:val="28"/>
          <w:rtl w:val="true"/>
          <w:lang w:bidi="ar-SA"/>
        </w:rPr>
        <w:t>.</w:t>
      </w:r>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المسألة الثانية العشرة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وقاذفُ أُمّ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مرتد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يُقتل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لم يتب،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ولو تاب لم تُقبل توبته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كان ارتداده عن فطرة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كما لا تقبل توبته في غيره على المشهور والأقوى قبولها وإنْ لم يَسقط عنه القتل، ولو كان ارتداده عن ملّة قُبِل إجماعاً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وهذا بخلاف ساب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ظاهر النص</w:t>
      </w:r>
      <w:r>
        <w:rPr>
          <w:rStyle w:val="FootnoteAnchor"/>
          <w:rtl w:val="true"/>
        </w:rPr>
        <w:footnoteReference w:id="1184"/>
      </w:r>
      <w:r>
        <w:rPr>
          <w:rFonts w:ascii="IRNazanin" w:hAnsi="IRNazanin" w:eastAsia="IRNazanin"/>
          <w:color w:val="111111"/>
          <w:sz w:val="28"/>
          <w:sz w:val="28"/>
          <w:szCs w:val="28"/>
          <w:rtl w:val="true"/>
          <w:lang w:bidi="fa-IR"/>
        </w:rPr>
        <w:t>والفتوى</w:t>
      </w:r>
      <w:r>
        <w:rPr>
          <w:rStyle w:val="FootnoteAnchor"/>
          <w:rtl w:val="true"/>
        </w:rPr>
        <w:footnoteReference w:id="1185"/>
      </w:r>
      <w:r>
        <w:rPr>
          <w:rFonts w:ascii="Amiri" w:hAnsi="Amiri" w:eastAsia="Amiri" w:cs="Amiri"/>
          <w:color w:val="111111"/>
          <w:sz w:val="28"/>
          <w:sz w:val="28"/>
          <w:szCs w:val="28"/>
          <w:rtl w:val="true"/>
          <w:lang w:bidi="ar-SA"/>
        </w:rPr>
        <w:t>وجوب قتله وإن تاب ومِن ثَمَّ قيَّده هنا خاصةً، وظاهرُهم أنّ سابَ الإمام كذلك</w:t>
      </w:r>
      <w:r>
        <w:rPr>
          <w:rFonts w:eastAsia="Amiri" w:cs="Amiri" w:ascii="Amiri" w:hAnsi="Amiri"/>
          <w:color w:val="111111"/>
          <w:sz w:val="28"/>
          <w:szCs w:val="28"/>
          <w:rtl w:val="true"/>
          <w:lang w:bidi="ar-SA"/>
        </w:rPr>
        <w:t xml:space="preserve">. </w:t>
      </w:r>
      <w:bookmarkStart w:id="133" w:name="pg11049_88596"/>
    </w:p>
    <w:p>
      <w:pPr>
        <w:pStyle w:val="Heading3"/>
        <w:numPr>
          <w:ilvl w:val="2"/>
          <w:numId w:val="1"/>
        </w:numPr>
        <w:rPr/>
      </w:pPr>
      <w:bookmarkStart w:id="134" w:name="__RefHeading___Toc1446153_1067777946"/>
      <w:bookmarkStart w:id="135" w:name="_Toc40"/>
      <w:bookmarkEnd w:id="133"/>
      <w:bookmarkEnd w:id="134"/>
      <w:r>
        <w:rPr>
          <w:rtl w:val="true"/>
        </w:rPr>
        <w:t>الفصل الرابع في الشرب أي شربِ المُسْكِر</w:t>
      </w:r>
      <w:bookmarkEnd w:id="135"/>
    </w:p>
    <w:p>
      <w:pPr>
        <w:pStyle w:val="BookText"/>
        <w:rPr/>
      </w:pPr>
      <w:r>
        <w:rPr>
          <w:rFonts w:ascii="Amiri" w:hAnsi="Amiri" w:eastAsia="Amiri" w:cs="Amiri"/>
          <w:color w:val="111111"/>
          <w:sz w:val="28"/>
          <w:sz w:val="28"/>
          <w:szCs w:val="28"/>
          <w:rtl w:val="true"/>
          <w:lang w:bidi="ar-SA"/>
        </w:rPr>
        <w:t xml:space="preserve">ولا يختص عندنا بالخمر، بل يَحرُم جنسُ كلّ مسكر ، ولا يختص التحريمُ بالقَدرِ المسكر منه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فما أسكَر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جنسه أي كان الغالب فيه الإسكار وإن لم يُسكر بعض الناس لإدمانه أو قلة ما تَناوَلَ منه أو خروج مِزاجه عن حد الاعتدال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يحرم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تناولُ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القطرة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فوقها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يحرُم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الفقاع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لم يُسكر؛ لأنه عندنا بمنزلة الخمر، وفي بعض الأخبار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خمر مجهول</w:t>
      </w:r>
      <w:r>
        <w:rPr>
          <w:rFonts w:eastAsia="Amiri" w:cs="Amiri" w:ascii="Amiri" w:hAnsi="Amiri"/>
          <w:color w:val="111111"/>
          <w:sz w:val="28"/>
          <w:szCs w:val="28"/>
          <w:rtl w:val="true"/>
          <w:lang w:bidi="ar-SA"/>
        </w:rPr>
        <w:t xml:space="preserve">» </w:t>
      </w:r>
      <w:r>
        <w:rPr>
          <w:rStyle w:val="FootnoteAnchor"/>
          <w:rtl w:val="true"/>
        </w:rPr>
        <w:footnoteReference w:id="1186"/>
      </w:r>
      <w:r>
        <w:rPr>
          <w:rFonts w:ascii="Amiri" w:hAnsi="Amiri" w:eastAsia="Amiri" w:cs="Amiri"/>
          <w:color w:val="111111"/>
          <w:sz w:val="28"/>
          <w:sz w:val="28"/>
          <w:szCs w:val="28"/>
          <w:rtl w:val="true"/>
          <w:lang w:bidi="ar-SA"/>
        </w:rPr>
        <w:t>، وفي آخَرَ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هو خمر استصغره الناس</w:t>
      </w:r>
      <w:r>
        <w:rPr>
          <w:rFonts w:eastAsia="Amiri" w:cs="Amiri" w:ascii="Amiri" w:hAnsi="Amiri"/>
          <w:color w:val="111111"/>
          <w:sz w:val="28"/>
          <w:szCs w:val="28"/>
          <w:rtl w:val="true"/>
          <w:lang w:bidi="ar-SA"/>
        </w:rPr>
        <w:t>»</w:t>
      </w:r>
      <w:r>
        <w:rPr>
          <w:rStyle w:val="FootnoteAnchor"/>
          <w:rtl w:val="true"/>
        </w:rPr>
        <w:footnoteReference w:id="118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يختص التحريمُ بتناولهما صرفاً، بل يحرُمان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ولوْ مُزجَا بغيرهما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استهلكا بالمزج</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كذا يحرم عندنا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العصيرُ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غلا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صار أسفله أعلاه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واشتدّ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أَخَذ فى القوام وإن قل، ويتحقق ذلك بمسمّى الغليان إذا كان بالنار</w:t>
      </w:r>
      <w:r>
        <w:rPr>
          <w:rFonts w:eastAsia="Amiri" w:cs="Amiri" w:ascii="Amiri" w:hAnsi="Amiri"/>
          <w:color w:val="111111"/>
          <w:sz w:val="28"/>
          <w:szCs w:val="28"/>
          <w:rtl w:val="true"/>
          <w:lang w:bidi="ar-SA"/>
        </w:rPr>
        <w:t>.</w:t>
      </w:r>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واعلم أنّ النصوص</w:t>
      </w:r>
      <w:r>
        <w:rPr>
          <w:rStyle w:val="FootnoteAnchor"/>
          <w:rtl w:val="true"/>
        </w:rPr>
        <w:footnoteReference w:id="1188"/>
      </w:r>
      <w:r>
        <w:rPr>
          <w:rFonts w:ascii="Amiri" w:hAnsi="Amiri" w:eastAsia="Amiri" w:cs="Amiri"/>
          <w:color w:val="111111"/>
          <w:sz w:val="28"/>
          <w:sz w:val="28"/>
          <w:szCs w:val="28"/>
          <w:rtl w:val="true"/>
          <w:lang w:bidi="ar-SA"/>
        </w:rPr>
        <w:t xml:space="preserve">وفَتوَى الأصحاب </w:t>
      </w:r>
      <w:r>
        <w:rPr>
          <w:rStyle w:val="FootnoteAnchor"/>
          <w:rtl w:val="true"/>
        </w:rPr>
        <w:footnoteReference w:id="1189"/>
      </w:r>
      <w:r>
        <w:rPr>
          <w:rFonts w:ascii="IRNazanin" w:hAnsi="IRNazanin" w:eastAsia="IRNazanin"/>
          <w:color w:val="111111"/>
          <w:sz w:val="28"/>
          <w:sz w:val="28"/>
          <w:szCs w:val="28"/>
          <w:rtl w:val="true"/>
          <w:lang w:bidi="fa-IR"/>
        </w:rPr>
        <w:t>، ومنهم المصنّف</w:t>
      </w:r>
      <w:r>
        <w:rPr>
          <w:rStyle w:val="FootnoteAnchor"/>
          <w:rtl w:val="true"/>
        </w:rPr>
        <w:footnoteReference w:id="1190"/>
      </w:r>
      <w:r>
        <w:rPr>
          <w:rFonts w:ascii="Amiri" w:hAnsi="Amiri" w:eastAsia="Amiri" w:cs="Amiri"/>
          <w:color w:val="111111"/>
          <w:sz w:val="28"/>
          <w:sz w:val="28"/>
          <w:szCs w:val="28"/>
          <w:rtl w:val="true"/>
          <w:lang w:bidi="ar-SA"/>
        </w:rPr>
        <w:t>في غير هذه العبارة مصرحة بأن تحريم العصير معلق على غليانه من غير اشتراط اشتداده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مَن حَكَم بنَجاسته جَعَل النّجاسة مشروطة بالأمرين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والمصنّف هنا جَعَل التحريمَ مشروطاً بهما، </w:t>
      </w:r>
    </w:p>
    <w:p>
      <w:pPr>
        <w:pStyle w:val="BookText"/>
        <w:rPr/>
      </w:pPr>
      <w:r>
        <w:rPr>
          <w:rFonts w:ascii="Amiri" w:hAnsi="Amiri" w:eastAsia="Amiri" w:cs="Amiri"/>
          <w:color w:val="111111"/>
          <w:sz w:val="28"/>
          <w:sz w:val="28"/>
          <w:szCs w:val="28"/>
          <w:rtl w:val="true"/>
          <w:lang w:bidi="ar-SA"/>
        </w:rPr>
        <w:t>ولعلّه بَناهُ على ما ادعاه في الذكرى</w:t>
      </w:r>
      <w:r>
        <w:rPr>
          <w:rStyle w:val="FootnoteAnchor"/>
          <w:rtl w:val="true"/>
        </w:rPr>
        <w:footnoteReference w:id="1191"/>
      </w:r>
      <w:r>
        <w:rPr>
          <w:rFonts w:ascii="Amiri" w:hAnsi="Amiri" w:eastAsia="Amiri" w:cs="Amiri"/>
          <w:color w:val="111111"/>
          <w:sz w:val="28"/>
          <w:sz w:val="28"/>
          <w:szCs w:val="28"/>
          <w:rtl w:val="true"/>
          <w:lang w:bidi="ar-SA"/>
        </w:rPr>
        <w:t>مِن تلازم الوصفين، وأنّ الاشتداد مسبب عن مسمّى الغليان فيكون قيد الاشتداد هنا مؤكداً، وفيه نظر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والحقُّ أنّ تلازمهما مشروط بكون الغليان بالنار كما ذكرناه، أما لو غلا وانقَلَب بنفسه فاشتداده بذلك غير واضح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وكيف كان فلا وجه لاشتراط الاشتداد في التحريم؛ لما ذكرناه من إطلاق النصوص بتعليقه على الغليان</w:t>
      </w:r>
      <w:r>
        <w:rPr>
          <w:rStyle w:val="FootnoteAnchor"/>
          <w:rtl w:val="true"/>
        </w:rPr>
        <w:footnoteReference w:id="1192"/>
      </w:r>
      <w:r>
        <w:rPr>
          <w:rFonts w:ascii="Amiri" w:hAnsi="Amiri" w:eastAsia="Amiri" w:cs="Amiri"/>
          <w:color w:val="111111"/>
          <w:sz w:val="28"/>
          <w:sz w:val="28"/>
          <w:szCs w:val="28"/>
          <w:rtl w:val="true"/>
          <w:lang w:bidi="ar-SA"/>
        </w:rPr>
        <w:t>، والاشتداد وإنْ سُلّم ملازمته لا دخل له في سببية التحريم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ويمكن أن تكون النكتة في ذكر المصنّف له اتفاق القائل بنجاسته على اشتراطه فيها، مع أنه لا دليل ظاهراً على ذلك مطلقاً كما اعترف به المصنِّفُ في غير هذا الكتاب</w:t>
      </w:r>
      <w:r>
        <w:rPr>
          <w:rStyle w:val="FootnoteAnchor"/>
          <w:rtl w:val="true"/>
        </w:rPr>
        <w:footnoteReference w:id="1193"/>
      </w:r>
      <w:r>
        <w:rPr>
          <w:rFonts w:ascii="Amiri" w:hAnsi="Amiri" w:eastAsia="Amiri" w:cs="Amiri"/>
          <w:color w:val="111111"/>
          <w:sz w:val="28"/>
          <w:sz w:val="28"/>
          <w:szCs w:val="28"/>
          <w:rtl w:val="true"/>
          <w:lang w:bidi="ar-SA"/>
        </w:rPr>
        <w:t>، إلا أن يجعلوا الحكم بتحريمه دليلاً على نجاسته كما ينجس العصير لما صار خمراً وحَرُم وحينئذٍ فتكون نجاسته مع الاشتداد تقتضي الحكم بتحريمه معه لأنها مرتبة عليه</w:t>
      </w:r>
      <w:r>
        <w:rPr>
          <w:rFonts w:eastAsia="Amiri" w:cs="Amiri" w:ascii="Amiri" w:hAnsi="Amiri"/>
          <w:color w:val="111111"/>
          <w:sz w:val="28"/>
          <w:szCs w:val="28"/>
          <w:rtl w:val="true"/>
          <w:lang w:bidi="ar-SA"/>
        </w:rPr>
        <w:t>.</w:t>
      </w:r>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وحيث صرحوا باعتبار الاشتداد في النجاسة</w:t>
      </w:r>
      <w:r>
        <w:rPr>
          <w:rStyle w:val="FootnoteAnchor"/>
          <w:rtl w:val="true"/>
        </w:rPr>
        <w:footnoteReference w:id="1194"/>
      </w:r>
      <w:r>
        <w:rPr>
          <w:rFonts w:ascii="Amiri" w:hAnsi="Amiri" w:eastAsia="Amiri" w:cs="Amiri"/>
          <w:color w:val="111111"/>
          <w:sz w:val="28"/>
          <w:sz w:val="28"/>
          <w:szCs w:val="28"/>
          <w:rtl w:val="true"/>
          <w:lang w:bidi="ar-SA"/>
        </w:rPr>
        <w:t>، وأطلقوا القول بالتحريم</w:t>
      </w:r>
      <w:r>
        <w:rPr>
          <w:rStyle w:val="FootnoteAnchor"/>
          <w:rtl w:val="true"/>
        </w:rPr>
        <w:footnoteReference w:id="1195"/>
      </w:r>
      <w:r>
        <w:rPr>
          <w:rFonts w:ascii="Amiri" w:hAnsi="Amiri" w:eastAsia="Amiri" w:cs="Amiri"/>
          <w:color w:val="111111"/>
          <w:sz w:val="28"/>
          <w:sz w:val="28"/>
          <w:szCs w:val="28"/>
          <w:rtl w:val="true"/>
          <w:lang w:bidi="ar-SA"/>
        </w:rPr>
        <w:t>بمجرد الغليان لَزِم أحد الأمرين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إما القولُ بعدم ترتب النجاسة على التحريم، أو القولُ بتلازم الاشتداد والغليان، لكن لما لم يظهر للنجاسة دليل سوى التحريم الموجبِ لظنّ كونه كالخمر وغيره من الربوباتِ المُسكِرَة، لَزِم اشتراك التحريم والنجاسة في معنىً واحدٍ وهو الغليان مع الاشتداد ولمّا كانا متلازمين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ادعاه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يُنافِ تعليق التحريم على الغليان تعليقه على الاشتداد للتلازم لكن في التصريح بتعليقه عليهما تنبية على مأخذ الحكم، وجمع بين ما أطلقوه في التحريم وقيدوه في النجاسة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حسن لو كان صالحاً لدليل النجاسة، إلا أنّ عدم دَلالته أظهر، ولكن المصنّف في البيان </w:t>
      </w:r>
    </w:p>
    <w:p>
      <w:pPr>
        <w:pStyle w:val="BookText"/>
        <w:rPr/>
      </w:pPr>
      <w:r>
        <w:rPr>
          <w:rFonts w:ascii="IRNazanin" w:hAnsi="IRNazanin" w:eastAsia="IRNazanin"/>
          <w:color w:val="111111"/>
          <w:sz w:val="28"/>
          <w:sz w:val="28"/>
          <w:szCs w:val="28"/>
          <w:rtl w:val="true"/>
          <w:lang w:bidi="fa-IR"/>
        </w:rPr>
        <w:t xml:space="preserve">اعترف </w:t>
      </w:r>
      <w:r>
        <w:rPr>
          <w:rStyle w:val="FootnoteAnchor"/>
          <w:rtl w:val="true"/>
        </w:rPr>
        <w:footnoteReference w:id="1196"/>
      </w:r>
      <w:r>
        <w:rPr>
          <w:rFonts w:ascii="Amiri" w:hAnsi="Amiri" w:eastAsia="Amiri" w:cs="Amiri"/>
          <w:color w:val="111111"/>
          <w:sz w:val="28"/>
          <w:sz w:val="28"/>
          <w:szCs w:val="28"/>
          <w:rtl w:val="true"/>
          <w:lang w:bidi="ar-SA"/>
        </w:rPr>
        <w:t>بأنه لا دليل على نجاسته إلّا ما دَلَّ على نجاسة المسكر وإن لم يكن مسكراً ،فرَتَّب بحثه عليه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يَحرُم العصير بالغليان إذا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يَذهَب ثُلثاه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انقَلَب خَلاً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فمتى تحقَّق أحدُهما حَلَّ وتَبِعَثه الطهارة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الأوّل فهو منطوق النصوص</w:t>
      </w:r>
      <w:r>
        <w:rPr>
          <w:rStyle w:val="FootnoteAnchor"/>
          <w:rtl w:val="true"/>
        </w:rPr>
        <w:footnoteReference w:id="1197"/>
      </w:r>
      <w:r>
        <w:rPr>
          <w:rFonts w:ascii="Amiri" w:hAnsi="Amiri" w:eastAsia="Amiri" w:cs="Amiri"/>
          <w:color w:val="111111"/>
          <w:sz w:val="28"/>
          <w:sz w:val="28"/>
          <w:szCs w:val="28"/>
          <w:rtl w:val="true"/>
          <w:lang w:bidi="ar-SA"/>
        </w:rPr>
        <w:t>، وأما الثاني فللانقلاب إلى حقيقةٍ أُخرى وهي مُطَهَّرة؛ كما لو انقلب الخمرُ خَلاً مع قوة نجاسته بالإضافة إلى العصير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صار دبساً قبل ذهاب الثلثين ففي طهره وجهان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أجودهما العدم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أنه فرض نادر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عملاً بالاستصحاب مع الشكّ في كون مثل ذلك مطهراً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ويجب الحد ثمانون جلدة بتناوله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تناول شيء مما ذكر من المسكر والفاع والعصير، وفي إلحاق الحشيشة بها قول حسن</w:t>
      </w:r>
      <w:r>
        <w:rPr>
          <w:rStyle w:val="FootnoteAnchor"/>
          <w:rtl w:val="true"/>
        </w:rPr>
        <w:footnoteReference w:id="1198"/>
      </w:r>
      <w:r>
        <w:rPr>
          <w:rFonts w:ascii="Amiri" w:hAnsi="Amiri" w:eastAsia="Amiri" w:cs="Amiri"/>
          <w:color w:val="111111"/>
          <w:sz w:val="28"/>
          <w:sz w:val="28"/>
          <w:szCs w:val="28"/>
          <w:rtl w:val="true"/>
          <w:lang w:bidi="ar-SA"/>
        </w:rPr>
        <w:t xml:space="preserve">، مع بلوغ المتناول وعقله واختياره وعليه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 كان كافراً إذا تَظاهَرَ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أما لو استَتَر أو كان صبياً أو مجنوناً أو مكرهاً أو مضطَراً لِحفْظِ الرَمَق أو جاهلاً بجنسه أو تحريمه فلا 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وسيأتي التنبيه على بعض القيود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فرق في وجوب الثمانين بين الحر والعبد على الأشهر؛ لرواية أبي بصير</w:t>
      </w:r>
      <w:r>
        <w:rPr>
          <w:rStyle w:val="FootnoteAnchor"/>
          <w:rtl w:val="true"/>
        </w:rPr>
        <w:footnoteReference w:id="1199"/>
      </w:r>
      <w:r>
        <w:rPr>
          <w:rFonts w:ascii="Amiri" w:hAnsi="Amiri" w:eastAsia="Amiri" w:cs="Amiri"/>
          <w:color w:val="111111"/>
          <w:sz w:val="28"/>
          <w:sz w:val="28"/>
          <w:szCs w:val="28"/>
          <w:rtl w:val="true"/>
          <w:lang w:bidi="ar-SA"/>
        </w:rPr>
        <w:t>، وبُريد بن معاوية</w:t>
      </w:r>
      <w:r>
        <w:rPr>
          <w:rStyle w:val="FootnoteAnchor"/>
          <w:rtl w:val="true"/>
        </w:rPr>
        <w:footnoteReference w:id="1200"/>
      </w:r>
      <w:r>
        <w:rPr>
          <w:rFonts w:ascii="Amiri" w:hAnsi="Amiri" w:eastAsia="Amiri" w:cs="Amiri"/>
          <w:color w:val="111111"/>
          <w:sz w:val="28"/>
          <w:sz w:val="28"/>
          <w:szCs w:val="28"/>
          <w:rtl w:val="true"/>
          <w:lang w:bidi="ar-SA"/>
        </w:rPr>
        <w:t>، وزرارة</w:t>
      </w:r>
      <w:r>
        <w:rPr>
          <w:rStyle w:val="FootnoteAnchor"/>
          <w:rtl w:val="true"/>
        </w:rPr>
        <w:footnoteReference w:id="1201"/>
      </w:r>
      <w:r>
        <w:rPr>
          <w:rFonts w:ascii="Amiri" w:hAnsi="Amiri" w:eastAsia="Amiri" w:cs="Amiri"/>
          <w:color w:val="111111"/>
          <w:sz w:val="28"/>
          <w:sz w:val="28"/>
          <w:szCs w:val="28"/>
          <w:rtl w:val="true"/>
          <w:lang w:bidi="ar-SA"/>
        </w:rPr>
        <w:t>، عن الصادق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وفي العبد 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للصدوق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بأربعين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جلدةٌ نصف</w:t>
      </w:r>
      <w:r>
        <w:rPr>
          <w:rStyle w:val="FootnoteAnchor"/>
          <w:rtl w:val="true"/>
        </w:rPr>
        <w:footnoteReference w:id="1202"/>
      </w:r>
      <w:r>
        <w:rPr>
          <w:rFonts w:ascii="Amiri" w:hAnsi="Amiri" w:eastAsia="Amiri" w:cs="Amiri"/>
          <w:color w:val="111111"/>
          <w:sz w:val="28"/>
          <w:sz w:val="28"/>
          <w:szCs w:val="28"/>
          <w:rtl w:val="true"/>
          <w:lang w:bidi="ar-SA"/>
        </w:rPr>
        <w:t>الحرّ، ونفى عنه في المختلف البأس</w:t>
      </w:r>
      <w:r>
        <w:rPr>
          <w:rStyle w:val="FootnoteAnchor"/>
          <w:rtl w:val="true"/>
        </w:rPr>
        <w:footnoteReference w:id="1203"/>
      </w:r>
      <w:r>
        <w:rPr>
          <w:rFonts w:ascii="Amiri" w:hAnsi="Amiri" w:eastAsia="Amiri" w:cs="Amiri"/>
          <w:color w:val="111111"/>
          <w:sz w:val="28"/>
          <w:sz w:val="28"/>
          <w:szCs w:val="28"/>
          <w:rtl w:val="true"/>
          <w:lang w:bidi="ar-SA"/>
        </w:rPr>
        <w:t>، وقواه المصنّف في بعض تحقيقاته</w:t>
      </w:r>
      <w:r>
        <w:rPr>
          <w:rStyle w:val="FootnoteAnchor"/>
          <w:rtl w:val="true"/>
        </w:rPr>
        <w:footnoteReference w:id="1204"/>
      </w:r>
      <w:r>
        <w:rPr>
          <w:rFonts w:ascii="Amiri" w:hAnsi="Amiri" w:eastAsia="Amiri" w:cs="Amiri"/>
          <w:color w:val="111111"/>
          <w:sz w:val="28"/>
          <w:sz w:val="28"/>
          <w:szCs w:val="28"/>
          <w:rtl w:val="true"/>
          <w:lang w:bidi="ar-SA"/>
        </w:rPr>
        <w:t>لرواية أبي بكر الحضرمي عن أبي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في عبد مملوك قَذَف حرّاً،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يُحَدٌ ثمانين، هذا من حقوق المسلمين، فأما ما كان من حقوق الله عزّ وجلّ، فإنّه يُضرب نصف الحدّ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من حقوق الله عزّ وجلّ ما هو ؟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زَنى أو شرب الخمر، فهذا من الحقوق التي يُضرب فيها نصفُ الحدّ</w:t>
      </w:r>
      <w:r>
        <w:rPr>
          <w:rFonts w:eastAsia="Amiri" w:cs="Amiri" w:ascii="Amiri" w:hAnsi="Amiri"/>
          <w:color w:val="111111"/>
          <w:sz w:val="28"/>
          <w:szCs w:val="28"/>
          <w:rtl w:val="true"/>
          <w:lang w:bidi="ar-SA"/>
        </w:rPr>
        <w:t xml:space="preserve">» </w:t>
      </w:r>
      <w:r>
        <w:rPr>
          <w:rStyle w:val="FootnoteAnchor"/>
          <w:rtl w:val="true"/>
        </w:rPr>
        <w:footnoteReference w:id="120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وحمله الشيخ على التقيّة</w:t>
      </w:r>
      <w:r>
        <w:rPr>
          <w:rStyle w:val="FootnoteAnchor"/>
          <w:rtl w:val="true"/>
        </w:rPr>
        <w:footnoteReference w:id="1206"/>
      </w:r>
      <w:r>
        <w:rPr>
          <w:rFonts w:ascii="Amiri" w:hAnsi="Amiri" w:eastAsia="Amiri" w:cs="Amiri"/>
          <w:color w:val="111111"/>
          <w:sz w:val="28"/>
          <w:sz w:val="28"/>
          <w:szCs w:val="28"/>
          <w:rtl w:val="true"/>
          <w:lang w:bidi="ar-SA"/>
        </w:rPr>
        <w:t>، ورَوَى يحيى بن أبي العلاء عنه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 حدّ المملوك نصفُ حد الحرّ</w:t>
      </w:r>
      <w:r>
        <w:rPr>
          <w:rFonts w:eastAsia="Amiri" w:cs="Amiri" w:ascii="Amiri" w:hAnsi="Amiri"/>
          <w:color w:val="111111"/>
          <w:sz w:val="28"/>
          <w:szCs w:val="28"/>
          <w:rtl w:val="true"/>
          <w:lang w:bidi="ar-SA"/>
        </w:rPr>
        <w:t>»</w:t>
      </w:r>
      <w:r>
        <w:rPr>
          <w:rStyle w:val="FootnoteAnchor"/>
          <w:rtl w:val="true"/>
        </w:rPr>
        <w:footnoteReference w:id="120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غير تفصيل، وخصه بحد الزنى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والتحقيق أنّ الأحاديث من الطرفين غيرُ نقيّة الأسناد، وأنّ خبرَ التنصيف أوضح، وأخبارُ المساواة أشهر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ويُضرب الشاربُ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في معناه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عارياً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مستور العورة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ظهره وكتفيه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وسائر جسده،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ويُتَقَى وجهه وفرجه ومَقاتِلُه ، ويُفَرَّق الضربُ على جسده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 ما ذُكِر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ولو تكرّر الحدُّ قُتِل في الرابعة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لما رواه الصدوق في الفقيه مرسلاً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أنّه يُقتل فى الرابعة </w:t>
      </w:r>
      <w:r>
        <w:rPr>
          <w:rFonts w:eastAsia="Amiri" w:cs="Amiri" w:ascii="Amiri" w:hAnsi="Amiri"/>
          <w:color w:val="111111"/>
          <w:sz w:val="28"/>
          <w:szCs w:val="28"/>
          <w:rtl w:val="true"/>
          <w:lang w:bidi="ar-SA"/>
        </w:rPr>
        <w:t>»</w:t>
      </w:r>
      <w:r>
        <w:rPr>
          <w:rStyle w:val="FootnoteAnchor"/>
          <w:rtl w:val="true"/>
        </w:rPr>
        <w:footnoteReference w:id="120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ولأنّ الزنى أعظمُ منه ذنباً وفاعله يُقتل فى الرابعة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مَضَى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فهنا 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وذهب الأكثر إلى قتله في الثالثة</w:t>
      </w:r>
      <w:r>
        <w:rPr>
          <w:rStyle w:val="FootnoteAnchor"/>
          <w:rtl w:val="true"/>
        </w:rPr>
        <w:footnoteReference w:id="120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للأخبار الكثيرة الصحيحة الصريحة في ذلك بخصوصه</w:t>
      </w:r>
      <w:r>
        <w:rPr>
          <w:rStyle w:val="FootnoteAnchor"/>
          <w:rtl w:val="true"/>
        </w:rPr>
        <w:footnoteReference w:id="1210"/>
      </w:r>
      <w:r>
        <w:rPr>
          <w:rFonts w:ascii="Amiri" w:hAnsi="Amiri" w:eastAsia="Amiri" w:cs="Amiri"/>
          <w:color w:val="111111"/>
          <w:sz w:val="28"/>
          <w:sz w:val="28"/>
          <w:szCs w:val="28"/>
          <w:rtl w:val="true"/>
          <w:lang w:bidi="ar-SA"/>
        </w:rPr>
        <w:t>، وصحيحة يونس عن الكاظم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يُقتل أصحاب الكبائر كلّهم في الثالثة إذا أُقيم عليهم الحد مرتين</w:t>
      </w:r>
      <w:r>
        <w:rPr>
          <w:rFonts w:eastAsia="Amiri" w:cs="Amiri" w:ascii="Amiri" w:hAnsi="Amiri"/>
          <w:color w:val="111111"/>
          <w:sz w:val="28"/>
          <w:szCs w:val="28"/>
          <w:rtl w:val="true"/>
          <w:lang w:bidi="ar-SA"/>
        </w:rPr>
        <w:t>»</w:t>
      </w:r>
      <w:r>
        <w:rPr>
          <w:rStyle w:val="FootnoteAnchor"/>
          <w:rtl w:val="true"/>
        </w:rPr>
        <w:footnoteReference w:id="121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أقوى والمرسل غير مقبول مطلقاً، خصوصاً مع معارضة الصحيح، ويُمنَع قتلُ الزاني في الرابعة، وقد تقدّم</w:t>
      </w:r>
      <w:r>
        <w:rPr>
          <w:rStyle w:val="FootnoteAnchor"/>
          <w:rtl w:val="true"/>
        </w:rPr>
        <w:footnoteReference w:id="1212"/>
      </w:r>
      <w:r>
        <w:rPr>
          <w:rFonts w:eastAsia="Times New Roman" w:cs="Times New Roman" w:ascii="Times New Roman" w:hAnsi="Times New Roman"/>
          <w:color w:val="111111"/>
          <w:sz w:val="28"/>
          <w:szCs w:val="28"/>
          <w:rtl w:val="true"/>
          <w:lang w:val="en-US" w:bidi="en-US"/>
        </w:rPr>
        <w:t>.</w:t>
      </w:r>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ولو شَرِب مِرارا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 يُحَدٌ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كغيره مما يوجب الحدَّ</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ويُقتَل مستحِلُّ الخمر إذا كان عن فطرة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يُستتاب؛ لأنّه مرتد من حيث إنكاره ما عُلِم من دين الإسلام ضرورةً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والقائل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الشيخان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يُستتاب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شاريها عن فطرة، فإن تاب وإلا قتل</w:t>
      </w:r>
      <w:r>
        <w:rPr>
          <w:rStyle w:val="FootnoteAnchor"/>
          <w:rtl w:val="true"/>
        </w:rPr>
        <w:footnoteReference w:id="121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والأقوى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لو كان عن ملّة استُتِيبَ قطعاً كالارتداد بغيره فإن تاب وإلا قُتِل وتُستتاب المرأة مطلقاً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وكذا يستتاب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استَحَلَّ بيعها، فإن امتنع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التوبة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قتل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كذا أطلقه المصنّف وغيره </w:t>
      </w:r>
      <w:r>
        <w:rPr>
          <w:rStyle w:val="FootnoteAnchor"/>
          <w:rtl w:val="true"/>
        </w:rPr>
        <w:footnoteReference w:id="1214"/>
      </w:r>
      <w:r>
        <w:rPr>
          <w:rFonts w:ascii="Amiri" w:hAnsi="Amiri" w:eastAsia="Amiri" w:cs="Amiri"/>
          <w:color w:val="111111"/>
          <w:sz w:val="28"/>
          <w:sz w:val="28"/>
          <w:szCs w:val="28"/>
          <w:rtl w:val="true"/>
          <w:lang w:bidi="ar-SA"/>
        </w:rPr>
        <w:t>من غير فرق بين الفطري والملي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باعَها غير مستحِلّ عُزر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يُقتَل مستحِلٌ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غيرها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غير الخمر من المسكرات؛ للخلاف فيه بين المسلمين، وهو كافٍ في عدم كفر مستحِله وإنْ أجمعنا على تحريمه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وربما قيل بإلحاقه بالخمر</w:t>
      </w:r>
      <w:r>
        <w:rPr>
          <w:rStyle w:val="FootnoteAnchor"/>
          <w:rtl w:val="true"/>
        </w:rPr>
        <w:footnoteReference w:id="1215"/>
      </w:r>
      <w:r>
        <w:rPr>
          <w:rFonts w:ascii="Amiri" w:hAnsi="Amiri" w:eastAsia="Amiri" w:cs="Amiri"/>
          <w:color w:val="111111"/>
          <w:sz w:val="28"/>
          <w:sz w:val="28"/>
          <w:szCs w:val="28"/>
          <w:rtl w:val="true"/>
          <w:lang w:bidi="ar-SA"/>
        </w:rPr>
        <w:t>وهو نادر، وأولى بالعدم مستحِلُّ بيعه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ولو تاب الشاربُ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للمسكر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قبل قيام البينة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سَقط الحد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يَسقُط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 لو كانت توبته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بعد قيام البينة؛ لأصالة ،البقاء، وقد تقدَّم مثله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بعد إقراره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بالشرب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يَتخيَّر الإمام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 إقامته عليه والعفو؛ لأنّ التوبة إذا أَسقَطَتْ تَحْتُمَ أقوى العقوبتين وهو القتل فإسقاطها لأدناهما 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يختص الحكم بما يوجب القتل</w:t>
      </w:r>
      <w:r>
        <w:rPr>
          <w:rStyle w:val="FootnoteAnchor"/>
          <w:rtl w:val="true"/>
        </w:rPr>
        <w:footnoteReference w:id="1216"/>
      </w:r>
      <w:r>
        <w:rPr>
          <w:rFonts w:ascii="Amiri" w:hAnsi="Amiri" w:eastAsia="Amiri" w:cs="Amiri"/>
          <w:color w:val="111111"/>
          <w:sz w:val="28"/>
          <w:sz w:val="28"/>
          <w:szCs w:val="28"/>
          <w:rtl w:val="true"/>
          <w:lang w:bidi="ar-SA"/>
        </w:rPr>
        <w:t>، ويَتَحَتَّم هنا استيفاؤه عملاً بالأصل والأول أشهر</w:t>
      </w:r>
      <w:r>
        <w:rPr>
          <w:rFonts w:eastAsia="Amiri" w:cs="Amiri" w:ascii="Amiri" w:hAnsi="Amiri"/>
          <w:color w:val="111111"/>
          <w:sz w:val="28"/>
          <w:szCs w:val="28"/>
          <w:rtl w:val="true"/>
          <w:lang w:bidi="ar-SA"/>
        </w:rPr>
        <w:t>.</w:t>
      </w:r>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ويثبت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الفعلُ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بشهادة عدلين أو الإقرارِ مرّتين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بلوغ المقر وعقله واختياره وحريته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ولو شَهِد أحدهما بالشرب والآخَرُ بالقَيء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يُحَدِّ</w:t>
      </w:r>
      <w:r>
        <w:rPr>
          <w:rStyle w:val="FootnoteAnchor"/>
          <w:rtl w:val="true"/>
        </w:rPr>
        <w:footnoteReference w:id="1217"/>
      </w:r>
      <w:r>
        <w:rPr>
          <w:rFonts w:ascii="Amiri" w:hAnsi="Amiri" w:eastAsia="Amiri" w:cs="Amiri"/>
          <w:color w:val="111111"/>
          <w:sz w:val="28"/>
          <w:sz w:val="28"/>
          <w:szCs w:val="28"/>
          <w:rtl w:val="true"/>
          <w:lang w:bidi="ar-SA"/>
        </w:rPr>
        <w:t>لما رُوي عن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حق الوليد لما شهد عليه واحد بشربها وآخَرُ بقيتها،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قاءَها إلا وقد شَرِبها</w:t>
      </w:r>
      <w:r>
        <w:rPr>
          <w:rFonts w:eastAsia="Amiri" w:cs="Amiri" w:ascii="Amiri" w:hAnsi="Amiri"/>
          <w:color w:val="111111"/>
          <w:sz w:val="28"/>
          <w:szCs w:val="28"/>
          <w:rtl w:val="true"/>
          <w:lang w:bidi="ar-SA"/>
        </w:rPr>
        <w:t>»)</w:t>
      </w:r>
      <w:r>
        <w:rPr>
          <w:rStyle w:val="FootnoteAnchor"/>
          <w:rtl w:val="true"/>
        </w:rPr>
        <w:footnoteReference w:id="121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المصنف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الشرح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عليها </w:t>
      </w:r>
    </w:p>
    <w:p>
      <w:pPr>
        <w:pStyle w:val="BookText"/>
        <w:rPr/>
      </w:pPr>
      <w:r>
        <w:rPr>
          <w:rFonts w:ascii="Amiri" w:hAnsi="Amiri" w:eastAsia="Amiri" w:cs="Amiri"/>
          <w:color w:val="111111"/>
          <w:sz w:val="28"/>
          <w:sz w:val="28"/>
          <w:szCs w:val="28"/>
          <w:rtl w:val="true"/>
          <w:lang w:bidi="ar-SA"/>
        </w:rPr>
        <w:t>فتوى الأصحاب ولم أقف فيه على مخالف</w:t>
      </w:r>
      <w:r>
        <w:rPr>
          <w:rStyle w:val="FootnoteAnchor"/>
          <w:rtl w:val="true"/>
        </w:rPr>
        <w:footnoteReference w:id="121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لكن العلّامة جمال الدين بن طاوس قال في الملاذ لا أَضمَنُ دَركَ طريقه</w:t>
      </w:r>
      <w:r>
        <w:rPr>
          <w:rStyle w:val="FootnoteAnchor"/>
          <w:rtl w:val="true"/>
        </w:rPr>
        <w:footnoteReference w:id="122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مشعر بالتوقف، وكذلك العلّامة استشكل الحكم في القواعد</w:t>
      </w:r>
      <w:r>
        <w:rPr>
          <w:rStyle w:val="FootnoteAnchor"/>
          <w:rtl w:val="true"/>
        </w:rPr>
        <w:footnoteReference w:id="1221"/>
      </w:r>
      <w:r>
        <w:rPr>
          <w:rFonts w:ascii="Amiri" w:hAnsi="Amiri" w:eastAsia="Amiri" w:cs="Amiri"/>
          <w:color w:val="111111"/>
          <w:sz w:val="28"/>
          <w:sz w:val="28"/>
          <w:szCs w:val="28"/>
          <w:rtl w:val="true"/>
          <w:lang w:bidi="ar-SA"/>
        </w:rPr>
        <w:t>من حيث إنّ القيء وإنْ لم يَحتمل إلا الشربَ إلَّا أنّ مطلق الشرب لا يوجب الحد؛ لجواز الإكراه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ويندفع بأنّ الإكراة خلافُ الأصل، ولأنه لو كان كذلك لادّعاه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ويلزم من قبول الشهادة كذلك قبولها لو شهدا معاً بالقيء؛ نظراً إلى التعليل المذكور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يُشكل ذلك بأنّ العمدة في الأوّل الإجماع كما ادّعاء ابن إدريس</w:t>
      </w:r>
      <w:r>
        <w:rPr>
          <w:rStyle w:val="FootnoteAnchor"/>
          <w:rtl w:val="true"/>
        </w:rPr>
        <w:footnoteReference w:id="1222"/>
      </w:r>
      <w:r>
        <w:rPr>
          <w:rFonts w:ascii="Amiri" w:hAnsi="Amiri" w:eastAsia="Amiri" w:cs="Amiri"/>
          <w:color w:val="111111"/>
          <w:sz w:val="28"/>
          <w:sz w:val="28"/>
          <w:szCs w:val="28"/>
          <w:rtl w:val="true"/>
          <w:lang w:bidi="ar-SA"/>
        </w:rPr>
        <w:t>، وهو منفي في الثاني، واحتمال الإكراه يوجب الشبهة وهى تدرأ الحد، وقد عُلم ما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يُعتبر إمكان مجامعة القيء للشرب المشهود به فلو شهد أحدهما أنّه شَرِبها يومَ الجمعة والآخَرُ أنّه قاءها قبل ذلك أو بعده بأيام لم يُحدّ؛ لاختلاف الفعل ولم يقم على كل فعل شاهدان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ولو ادَّعى الإكراه قبل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لاحتماله، فيُدرَاً عنه الحدُّ لقيام الشبهة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لم يُكَذِّبه الشاهد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شَهد ابتداءً بكونه مختاراً أو أطلق الشهادةَ بالشرب أو القيء، ثمّ كذَّبه في الإكراه لما ادعاه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ويُحدّ معتقدُ حِلّ النبيذ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المتَّخَذِ من التمر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شَرِبه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يُعذر في الشبهة بالنسبة إلى الحد وإنْ أفادَتْه دَرْءَ القتل؛ لإطلاق النصوص الكثيرة بحد شاربه كالخمر</w:t>
      </w:r>
      <w:r>
        <w:rPr>
          <w:rStyle w:val="FootnoteAnchor"/>
          <w:rtl w:val="true"/>
        </w:rPr>
        <w:footnoteReference w:id="1223"/>
      </w:r>
      <w:r>
        <w:rPr>
          <w:rFonts w:ascii="Amiri" w:hAnsi="Amiri" w:eastAsia="Amiri" w:cs="Amiri"/>
          <w:color w:val="111111"/>
          <w:sz w:val="28"/>
          <w:sz w:val="28"/>
          <w:szCs w:val="28"/>
          <w:rtl w:val="true"/>
          <w:lang w:bidi="ar-SA"/>
        </w:rPr>
        <w:t>، وأولى بالحدّ لو شَرِبه مُحَرّماً له، ولا يُقتل أيضاً كالمستحِلّ</w:t>
      </w:r>
      <w:r>
        <w:rPr>
          <w:rFonts w:eastAsia="Amiri" w:cs="Amiri" w:ascii="Amiri" w:hAnsi="Amiri"/>
          <w:color w:val="111111"/>
          <w:sz w:val="28"/>
          <w:szCs w:val="28"/>
          <w:rtl w:val="true"/>
          <w:lang w:bidi="ar-SA"/>
        </w:rPr>
        <w:t>.</w:t>
      </w:r>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يُحَدّ الجاهلُ بجنس المشروب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فاتَّفق مسكراً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بتحريمه لقرب إسلامه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نُشوه</w:t>
      </w:r>
      <w:r>
        <w:rPr>
          <w:rStyle w:val="FootnoteAnchor"/>
          <w:rtl w:val="true"/>
        </w:rPr>
        <w:footnoteReference w:id="1224"/>
      </w:r>
      <w:r>
        <w:rPr>
          <w:rFonts w:ascii="Amiri" w:hAnsi="Amiri" w:eastAsia="Amiri" w:cs="Amiri"/>
          <w:color w:val="111111"/>
          <w:sz w:val="28"/>
          <w:sz w:val="28"/>
          <w:szCs w:val="28"/>
          <w:rtl w:val="true"/>
          <w:lang w:bidi="ar-SA"/>
        </w:rPr>
        <w:t xml:space="preserve">في بلاد بعيدة عن المسلمين يَستحِلُ أهلها الخمرَ فلم يعلم تحريمه، والضابط </w:t>
      </w:r>
    </w:p>
    <w:p>
      <w:pPr>
        <w:pStyle w:val="BookText"/>
        <w:rPr/>
      </w:pPr>
      <w:r>
        <w:rPr>
          <w:rFonts w:ascii="Amiri" w:hAnsi="Amiri" w:eastAsia="Amiri" w:cs="Amiri"/>
          <w:color w:val="111111"/>
          <w:sz w:val="28"/>
          <w:sz w:val="28"/>
          <w:szCs w:val="28"/>
          <w:rtl w:val="true"/>
          <w:lang w:bidi="ar-SA"/>
        </w:rPr>
        <w:t>إمكانه في حقه،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من اضطَرَّه العطش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اضطر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إساغة اللقمة بالخمر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بحيث خاف التلف بدونه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 استَحَلّ شيئاً من المحرَّماتِ المُجمع عليها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المسلمين بحيث علم تحريمها من الدين ضرورةً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كالميتة والدم والربا ولحم الخنزير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ونكاح المحارم وإباحة الخامسة والمعتدة والمطلقة ثلاثاً،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قُتِل إن وُلِد على الفطرة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لأنه مرتد، وإن كان مليّاً استتيب فإن تاب وإلا قتل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ذلك إذا لم يَدَّعِ شبهةً ممكنةٌ في حقه وإلا قبل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ويُفهم من المصنفِ وغيره </w:t>
      </w:r>
      <w:r>
        <w:rPr>
          <w:rStyle w:val="FootnoteAnchor"/>
          <w:rtl w:val="true"/>
        </w:rPr>
        <w:footnoteReference w:id="1225"/>
      </w:r>
      <w:r>
        <w:rPr>
          <w:rFonts w:ascii="Amiri" w:hAnsi="Amiri" w:eastAsia="Amiri" w:cs="Amiri"/>
          <w:color w:val="111111"/>
          <w:sz w:val="28"/>
          <w:sz w:val="28"/>
          <w:szCs w:val="28"/>
          <w:rtl w:val="true"/>
          <w:lang w:bidi="ar-SA"/>
        </w:rPr>
        <w:t>أنّ الإجماع كافٍ في ارتداد معتقدِ خلافه وإن لم يكن معلوماً ضرورةً، وهو يُشكل في كثير من أفراده على كثير من الناس</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 ارتكبها غير مستحِلّ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عُزّر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لم يجب الحد كالزنى والخمر، وإلا دَخَل التعزيز فيه، وأمثلة المصنّف مستغنيةٌ عن القيد وإن كان العموم مفتقراً إليه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ولو أَنفَذَ الحاكم إلى حامل لإقامة حدّ فأَجْهَضَتْ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أسقَطَتْ حملها خوفاً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فديته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دية الجنين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بيت المال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لأنّه من خطأ الحُكّام في الأحكام، وهو محله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وقضى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مُجْهِضة خَوَّفَها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أرسل إليها ليقيم عليها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دية جنينها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عاقلته</w:t>
      </w:r>
      <w:r>
        <w:rPr>
          <w:rFonts w:eastAsia="Amiri" w:cs="Amiri" w:ascii="Amiri" w:hAnsi="Amiri"/>
          <w:color w:val="111111"/>
          <w:sz w:val="28"/>
          <w:szCs w:val="28"/>
          <w:rtl w:val="true"/>
          <w:lang w:bidi="ar-SA"/>
        </w:rPr>
        <w:t>)»</w:t>
      </w:r>
      <w:r>
        <w:rPr>
          <w:rStyle w:val="FootnoteAnchor"/>
          <w:rtl w:val="true"/>
        </w:rPr>
        <w:footnoteReference w:id="1226"/>
      </w:r>
      <w:r>
        <w:rPr>
          <w:rFonts w:ascii="Amiri" w:hAnsi="Amiri" w:eastAsia="Amiri" w:cs="Amiri"/>
          <w:color w:val="111111"/>
          <w:sz w:val="28"/>
          <w:sz w:val="28"/>
          <w:szCs w:val="28"/>
          <w:rtl w:val="true"/>
          <w:lang w:bidi="ar-SA"/>
        </w:rPr>
        <w:t>أي عاقلة عمر، لا في بيت المال</w:t>
      </w:r>
      <w:r>
        <w:rPr>
          <w:rFonts w:eastAsia="Amiri" w:cs="Amiri" w:ascii="Amiri" w:hAnsi="Amiri"/>
          <w:color w:val="111111"/>
          <w:sz w:val="28"/>
          <w:szCs w:val="28"/>
          <w:rtl w:val="true"/>
          <w:lang w:bidi="ar-SA"/>
        </w:rPr>
        <w:t>.</w:t>
      </w:r>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تَنافِيَ بين الفتوى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بكون صدوره عن إنفاذ الحاكم في بيت المال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والرواية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عمر لم يكن حاكماً شرعياً، وقد تَسَبَّب بالقتل خطأ فتكون الدية على عاقلته، أو لأنّ عمر لم يُرسل إليها بعد ثبوت ما ذكر عنها، ولعلّ هذا أولى بفعل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لأنه ما كان في وقته يتجاهر بمعنى الأوّل، ولا كان يُقبل ذلك منه خصوصاً بعد فتوى جماعة من </w:t>
      </w:r>
    </w:p>
    <w:p>
      <w:pPr>
        <w:pStyle w:val="BookText"/>
        <w:rPr/>
      </w:pPr>
      <w:r>
        <w:rPr>
          <w:rFonts w:ascii="Amiri" w:hAnsi="Amiri" w:eastAsia="Amiri" w:cs="Amiri"/>
          <w:color w:val="111111"/>
          <w:sz w:val="28"/>
          <w:sz w:val="28"/>
          <w:szCs w:val="28"/>
          <w:rtl w:val="true"/>
          <w:lang w:bidi="ar-SA"/>
        </w:rPr>
        <w:t>الصحابة بخلاف قوله ونسبته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إياهم إلى الجهل أو الغش، وتعليله بكونه قد قتله خطاً</w:t>
      </w:r>
      <w:r>
        <w:rPr>
          <w:rStyle w:val="FootnoteAnchor"/>
          <w:rtl w:val="true"/>
        </w:rPr>
        <w:footnoteReference w:id="122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 قتله الحدُّ أو التعزيز فهَدْرُ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بالسكون، أي لا عِوَض لنفسه سواءٌ كانا الله أم لآدمي؛ لأنه فعل سائغ فلا يَتَعَقَّبه الضمانُ، ولحسنة الحلبي 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أيما رجل قتله الحد أو القصاص فلادية له</w:t>
      </w:r>
      <w:r>
        <w:rPr>
          <w:rFonts w:eastAsia="Amiri" w:cs="Amiri" w:ascii="Amiri" w:hAnsi="Amiri"/>
          <w:color w:val="111111"/>
          <w:sz w:val="28"/>
          <w:szCs w:val="28"/>
          <w:rtl w:val="true"/>
          <w:lang w:bidi="ar-SA"/>
        </w:rPr>
        <w:t>»</w:t>
      </w:r>
      <w:r>
        <w:rPr>
          <w:rStyle w:val="FootnoteAnchor"/>
          <w:rtl w:val="true"/>
        </w:rPr>
        <w:footnoteReference w:id="122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صيغ العموم وكذا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 بعض الأصولتين</w:t>
      </w:r>
      <w:r>
        <w:rPr>
          <w:rStyle w:val="FootnoteAnchor"/>
          <w:rtl w:val="true"/>
        </w:rPr>
        <w:footnoteReference w:id="122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يُضمَن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بيت المال</w:t>
      </w:r>
      <w:r>
        <w:rPr>
          <w:rFonts w:eastAsia="Amiri" w:cs="Amiri" w:ascii="Amiri" w:hAnsi="Amiri"/>
          <w:color w:val="111111"/>
          <w:sz w:val="28"/>
          <w:szCs w:val="28"/>
          <w:rtl w:val="true"/>
          <w:lang w:bidi="ar-SA"/>
        </w:rPr>
        <w:t>)</w:t>
      </w:r>
      <w:r>
        <w:rPr>
          <w:rStyle w:val="FootnoteAnchor"/>
          <w:rtl w:val="true"/>
        </w:rPr>
        <w:footnoteReference w:id="1230"/>
      </w:r>
      <w:r>
        <w:rPr>
          <w:rFonts w:ascii="Amiri" w:hAnsi="Amiri" w:eastAsia="Amiri" w:cs="Amiri"/>
          <w:color w:val="111111"/>
          <w:sz w:val="28"/>
          <w:sz w:val="28"/>
          <w:szCs w:val="28"/>
          <w:rtl w:val="true"/>
          <w:lang w:bidi="ar-SA"/>
        </w:rPr>
        <w:t xml:space="preserve">، وهذا القول مجمل قائلاً ومحلاً ومضموناً فيه ،فإنّ المفيد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يَضمن الإمامُ دية المحدود للناس</w:t>
      </w:r>
      <w:r>
        <w:rPr>
          <w:rStyle w:val="FootnoteAnchor"/>
          <w:rtl w:val="true"/>
        </w:rPr>
        <w:footnoteReference w:id="1231"/>
      </w:r>
      <w:r>
        <w:rPr>
          <w:rFonts w:ascii="Amiri" w:hAnsi="Amiri" w:eastAsia="Amiri" w:cs="Amiri"/>
          <w:color w:val="111111"/>
          <w:sz w:val="28"/>
          <w:sz w:val="28"/>
          <w:szCs w:val="28"/>
          <w:rtl w:val="true"/>
          <w:lang w:bidi="ar-SA"/>
        </w:rPr>
        <w:t>لما رُوي أنّ عليّاً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ضربناه حدّاً من حدود الله فمات فلادية له علينا، ومن ضربناه حدّاً في شيء من حقوق الناس فمات فإنّ ديته علينا</w:t>
      </w:r>
      <w:r>
        <w:rPr>
          <w:rFonts w:eastAsia="Amiri" w:cs="Amiri" w:ascii="Amiri" w:hAnsi="Amiri"/>
          <w:color w:val="111111"/>
          <w:sz w:val="28"/>
          <w:szCs w:val="28"/>
          <w:rtl w:val="true"/>
          <w:lang w:bidi="ar-SA"/>
        </w:rPr>
        <w:t>»</w:t>
      </w:r>
      <w:r>
        <w:rPr>
          <w:rStyle w:val="FootnoteAnchor"/>
          <w:rtl w:val="true"/>
        </w:rPr>
        <w:footnoteReference w:id="123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وهذا القول يدلّ على أن الخلاف في حدّ الناس، وأنّ الضمان في بيت مال الإمام لا بيت مال المسلمين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الاستبصار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الدية في بيت المال جمعاً بين الأحاديث</w:t>
      </w:r>
      <w:r>
        <w:rPr>
          <w:rStyle w:val="FootnoteAnchor"/>
          <w:rtl w:val="true"/>
        </w:rPr>
        <w:footnoteReference w:id="123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ويظهر من المبسوط أنّ الخلاف في التعزير</w:t>
      </w:r>
      <w:r>
        <w:rPr>
          <w:rStyle w:val="FootnoteAnchor"/>
          <w:rtl w:val="true"/>
        </w:rPr>
        <w:footnoteReference w:id="123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وصرح به غيرُه </w:t>
      </w:r>
      <w:r>
        <w:rPr>
          <w:rStyle w:val="FootnoteAnchor"/>
          <w:rtl w:val="true"/>
        </w:rPr>
        <w:footnoteReference w:id="123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بناءً على أنّ الحدّ مقدَّرُ والتعزيز اجتهادي، وفيه نظر؛ لأنّ التعزير ربما كان من إمام معصوم لا يفعل بالاجتهاد الذي يجوز فيه الخطأ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والحق أن الخلاف فيهما معاً، وأن عدم الضمان مطلقاً أوجَهُ؛ لضعف مستمسك الضمان</w:t>
      </w:r>
      <w:r>
        <w:rPr>
          <w:rStyle w:val="FootnoteAnchor"/>
          <w:rtl w:val="true"/>
        </w:rPr>
        <w:footnoteReference w:id="1236"/>
      </w:r>
      <w:r>
        <w:rPr>
          <w:rFonts w:eastAsia="Times New Roman" w:cs="Times New Roman" w:ascii="Times New Roman" w:hAnsi="Times New Roman"/>
          <w:color w:val="111111"/>
          <w:sz w:val="28"/>
          <w:szCs w:val="28"/>
          <w:rtl w:val="true"/>
          <w:lang w:val="en-US" w:bidi="en-US"/>
        </w:rPr>
        <w:t>.</w:t>
      </w:r>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ولو بانَ فُسوقُ الشهود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بفعل يوجب القتل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بعد القتل ففي بيت المال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مال المسلمين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دية المقتول؛ لأنه من خطأ الحاكم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ضمان على الحاكم ولا على عاقلته</w:t>
      </w:r>
      <w:r>
        <w:rPr>
          <w:rFonts w:eastAsia="Amiri" w:cs="Amiri" w:ascii="Amiri" w:hAnsi="Amiri"/>
          <w:color w:val="111111"/>
          <w:sz w:val="28"/>
          <w:szCs w:val="28"/>
          <w:rtl w:val="true"/>
          <w:lang w:bidi="ar-SA"/>
        </w:rPr>
        <w:t xml:space="preserve">. </w:t>
      </w:r>
      <w:bookmarkStart w:id="136" w:name="pg11049_88604"/>
    </w:p>
    <w:p>
      <w:pPr>
        <w:pStyle w:val="Heading3"/>
        <w:numPr>
          <w:ilvl w:val="2"/>
          <w:numId w:val="1"/>
        </w:numPr>
        <w:rPr/>
      </w:pPr>
      <w:bookmarkStart w:id="137" w:name="__RefHeading___Toc1446155_1067777946"/>
      <w:bookmarkStart w:id="138" w:name="_Toc41"/>
      <w:bookmarkEnd w:id="136"/>
      <w:bookmarkEnd w:id="137"/>
      <w:r>
        <w:rPr>
          <w:rtl w:val="true"/>
        </w:rPr>
        <w:t>الفصل الخامس في السَرِقَة</w:t>
      </w:r>
      <w:bookmarkEnd w:id="138"/>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ويتعلَّق الحكم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هنا القطع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بسرقة البالغ العاقل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المختار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الحرز بعد هَتْكه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وإزالته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بلا شبهة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موهمةٍ للملك، عارضة للسارق أو للحاكم، كما لو ادَّعَى السارقُ مِلكه مع علمه باطناً بأنه ليس ملكه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رُبعَ دينار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ذَهَب خالص، مضروب بسكة المعاملة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مقدار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قيمته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غير شعور المالك به، مع كون المال المسروق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غير مالِ وَلدِه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ولد السارق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سيده، 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كونه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غير مأكول في عام سَنَتٍ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بالتاء الممدودة، وهو الجذب والمَجاعة،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أَسْنَتَ القومُ إذا أجْدَبُوا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فهذه عشرة قيود قد أشار إلى تفصيلها بقوله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فلا قطع على الصبي والمجنونِ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سَرَق</w:t>
      </w:r>
      <w:r>
        <w:rPr>
          <w:rStyle w:val="FootnoteAnchor"/>
          <w:rtl w:val="true"/>
        </w:rPr>
        <w:footnoteReference w:id="1237"/>
      </w:r>
      <w:r>
        <w:rPr>
          <w:rFonts w:ascii="Amiri" w:hAnsi="Amiri" w:eastAsia="Amiri" w:cs="Amiri"/>
          <w:color w:val="111111"/>
          <w:sz w:val="28"/>
          <w:sz w:val="28"/>
          <w:szCs w:val="28"/>
          <w:rtl w:val="true"/>
          <w:lang w:bidi="ar-SA"/>
        </w:rPr>
        <w:t>كذلك، بل التأديب خاصةً وإِنْ تَكرَّرت منهما السرقة؛ لاشتراط الحد بالتكليف</w:t>
      </w:r>
      <w:r>
        <w:rPr>
          <w:rFonts w:eastAsia="Amiri" w:cs="Amiri" w:ascii="Amiri" w:hAnsi="Amiri"/>
          <w:color w:val="111111"/>
          <w:sz w:val="28"/>
          <w:szCs w:val="28"/>
          <w:rtl w:val="true"/>
          <w:lang w:bidi="ar-SA"/>
        </w:rPr>
        <w:t>.</w:t>
      </w:r>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يُعفا عن الصبي أوّلَ مرّةٍ فإن سَرَق ثانياً أدب، فإن عاد ثالثاً حُكَّت أنامله حتى تَدْمَى، فإن سرق رابعاً قطعت أنامله، فإن سرق خامساً قطع كما يُقطع البالغ</w:t>
      </w:r>
      <w:r>
        <w:rPr>
          <w:rStyle w:val="FootnoteAnchor"/>
          <w:rtl w:val="true"/>
        </w:rPr>
        <w:footnoteReference w:id="123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ومستند هذا القول أخبارٌ كثيرة صحيحة</w:t>
      </w:r>
      <w:r>
        <w:rPr>
          <w:rStyle w:val="FootnoteAnchor"/>
          <w:rtl w:val="true"/>
        </w:rPr>
        <w:footnoteReference w:id="1239"/>
      </w:r>
      <w:r>
        <w:rPr>
          <w:rFonts w:ascii="Amiri" w:hAnsi="Amiri" w:eastAsia="Amiri" w:cs="Amiri"/>
          <w:color w:val="111111"/>
          <w:sz w:val="28"/>
          <w:sz w:val="28"/>
          <w:szCs w:val="28"/>
          <w:rtl w:val="true"/>
          <w:lang w:bidi="ar-SA"/>
        </w:rPr>
        <w:t>، وعليه الأكثر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بُعْدَ في تعيين الشارع نوعاً خاصاً من التأديب؛ لكونه لطفاً وإنْ شارَكَ خطاب التكليف في بعض أفراده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ولو سَرَق المجنون حالَ إفاقته لم يَسقُط عنه الحد بعروض الجنون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واحترزنا بالاختيار عمّا لو أكره على السرقة فإنّه لا يُقطع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وشَمَل إطلاق الشرطين الذكر والأنثى، والحر والعبد إلا على وجه يأتي، والبصير والأعمى، والمسلم والكافر، المسلم وكافرٍ إذا كان ماله محترماً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قطع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مَن سرق من غير حِرْزٍ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كالصحراء والطريقِ والرَحا والحمّامِ والمساجد، ونحوها من المواضع المُنْتابة والمأذون في غشيانها، مع عدم مراعاة المالك لماله،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من حرز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الأصل بعد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هَتَكَه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فتح قفله أو بابه أو نَقَب جداره فأَخَذ هو فإنّه لا قطع على أحدهما؛ لأنّ المُهَتِّكَ لم يَسرِق والسارق لم يأخُذ من الحرز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ولو تشاركا في الهَتْك بأن نقباء ولو بالتناوب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فَأَخرج 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قُطِع المُخرِجُ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خاصةً؛ لصدق هَتْكه الحِرْزَ وسرقته منه دون من شارَكَه في الهتك كما لو انفرد به، ولو أخرجاه معاً قطعا إذا بلغ نصيبُ كلّ واحدٍ نِصاباً، وإلا فمَن بلغ نصيبه النصاب؛ وإن بلغ المجموع نصابين فصاعداً، على الأقوى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يكفي بلوغ المجموع نصاباً في قطع الجميع؛ لتحقق سرقة النصاب وقد صدر عن الجميع فيثبت عليهم القطعُ</w:t>
      </w:r>
      <w:r>
        <w:rPr>
          <w:rStyle w:val="FootnoteAnchor"/>
          <w:rtl w:val="true"/>
        </w:rPr>
        <w:footnoteReference w:id="1240"/>
      </w:r>
    </w:p>
    <w:p>
      <w:pPr>
        <w:pStyle w:val="BookText"/>
        <w:rPr/>
      </w:pPr>
      <w:r>
        <w:rPr>
          <w:rFonts w:ascii="Amiri" w:hAnsi="Amiri" w:eastAsia="Amiri" w:cs="Amiri"/>
          <w:color w:val="111111"/>
          <w:sz w:val="28"/>
          <w:sz w:val="28"/>
          <w:szCs w:val="28"/>
          <w:rtl w:val="true"/>
          <w:lang w:bidi="ar-SA"/>
        </w:rPr>
        <w:t xml:space="preserve">النهاية، ص </w:t>
      </w:r>
      <w:r>
        <w:rPr>
          <w:rFonts w:eastAsia="Amiri" w:cs="Amiri" w:ascii="Amiri" w:hAnsi="Amiri"/>
          <w:color w:val="111111"/>
          <w:sz w:val="28"/>
          <w:szCs w:val="28"/>
          <w:lang w:bidi="ar-SA"/>
        </w:rPr>
        <w:t>718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719</w:t>
      </w:r>
    </w:p>
    <w:p>
      <w:pPr>
        <w:pStyle w:val="BookText"/>
        <w:rPr/>
      </w:pPr>
      <w:r>
        <w:rPr>
          <w:rFonts w:ascii="Amiri" w:hAnsi="Amiri" w:eastAsia="Amiri" w:cs="Amiri"/>
          <w:color w:val="111111"/>
          <w:sz w:val="28"/>
          <w:sz w:val="28"/>
          <w:szCs w:val="28"/>
          <w:rtl w:val="true"/>
          <w:lang w:bidi="ar-SA"/>
        </w:rPr>
        <w:t>، وهو ضعيف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اشتَرَكا في الهتك ثمّ أخرج أحدُهما المال إلى قرب الباب فأدخل الآخَرُ يده وأخرجه قطع دون الأوّل، وبالعكس لو أَخرجه الأوّلُ إلى خارجه فحَمَله الآخَرُ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وضعه في وسط النقب أو الباب فأخَذه الآخَرُ، ففي قطعهما أو عدمه عنهما وجهان أجودُهما الثاني لانتفاء الإخراج من الحرز فيهما، ووجه الأوّل تحققه منهما بالشركة كتحقق الهتك بها</w:t>
      </w:r>
      <w:r>
        <w:rPr>
          <w:rFonts w:eastAsia="Amiri" w:cs="Amiri" w:ascii="Amiri" w:hAnsi="Amiri"/>
          <w:color w:val="111111"/>
          <w:sz w:val="28"/>
          <w:szCs w:val="28"/>
          <w:rtl w:val="true"/>
          <w:lang w:bidi="ar-SA"/>
        </w:rPr>
        <w:t>.</w:t>
      </w:r>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مع توهم الملكِ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الحِلِّ فظهر غير مالك وغير حلال؛ كما لو تَوَهَّمَه ماله فظهر غيره، أو سرق من مال المديونِ الباذل بقدر ماله معتقداً إباحة الاستقلال </w:t>
      </w:r>
    </w:p>
    <w:p>
      <w:pPr>
        <w:pStyle w:val="BookText"/>
        <w:rPr/>
      </w:pPr>
      <w:r>
        <w:rPr>
          <w:rFonts w:ascii="Amiri" w:hAnsi="Amiri" w:eastAsia="Amiri" w:cs="Amiri"/>
          <w:color w:val="111111"/>
          <w:sz w:val="28"/>
          <w:sz w:val="28"/>
          <w:szCs w:val="28"/>
          <w:rtl w:val="true"/>
          <w:lang w:bidi="ar-SA"/>
        </w:rPr>
        <w:t>بالمقاصة، وكذا لو تَوَهُم مِلكه للحرز أو كونهما أو أحدهما لابنه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ولو سرق من المال المشترك ما يَظُنُّه قدر نصيبه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وجواز مباشرته القسمة بنفسه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فزاد نِصاباً فلا قطع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للشبهة، كتوهم الملك فظهر عدمه فيه أجمع، بل هنا أولى، ولو عَلِم عدم جواز تَوَلَّي القسمة كذلك قطع إن بلغ نصيبُ الشريك نصاباً، ولا فرق بين قبوله القسمة وعدمه على الأقوى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وفي السرقة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سرقة بعض الغانمين من مال الغنيمة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يكون له نصيب منها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منشأه اختلاف الروايات، فروى محمد بن قيس عن الباقر ، عن علي في رجل أخذ بَيضةٌ من المَغْنَم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إنّي لا أقطع أحداً له فيما أخذ شركة</w:t>
      </w:r>
      <w:r>
        <w:rPr>
          <w:rFonts w:eastAsia="Amiri" w:cs="Amiri" w:ascii="Amiri" w:hAnsi="Amiri"/>
          <w:color w:val="111111"/>
          <w:sz w:val="28"/>
          <w:szCs w:val="28"/>
          <w:rtl w:val="true"/>
          <w:lang w:bidi="ar-SA"/>
        </w:rPr>
        <w:t>»</w:t>
      </w:r>
      <w:r>
        <w:rPr>
          <w:rStyle w:val="FootnoteAnchor"/>
          <w:rtl w:val="true"/>
        </w:rPr>
        <w:footnoteReference w:id="124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ورَوَى عبد الرحمن بن أبي عبد الله عن الصادق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أمير المؤمنين قطع في البيضة التي سَرَقها رجلٌ من المَغْنَم</w:t>
      </w:r>
      <w:r>
        <w:rPr>
          <w:rFonts w:eastAsia="Amiri" w:cs="Amiri" w:ascii="Amiri" w:hAnsi="Amiri"/>
          <w:color w:val="111111"/>
          <w:sz w:val="28"/>
          <w:szCs w:val="28"/>
          <w:rtl w:val="true"/>
          <w:lang w:bidi="ar-SA"/>
        </w:rPr>
        <w:t>»</w:t>
      </w:r>
      <w:r>
        <w:rPr>
          <w:rStyle w:val="FootnoteAnchor"/>
          <w:rtl w:val="true"/>
        </w:rPr>
        <w:footnoteReference w:id="1242"/>
      </w:r>
      <w:r>
        <w:rPr>
          <w:rFonts w:ascii="Amiri" w:hAnsi="Amiri" w:eastAsia="Amiri" w:cs="Amiri"/>
          <w:color w:val="111111"/>
          <w:sz w:val="28"/>
          <w:sz w:val="28"/>
          <w:szCs w:val="28"/>
          <w:rtl w:val="true"/>
          <w:lang w:bidi="ar-SA"/>
        </w:rPr>
        <w:t>، ورَوَى عبد الله بن سنان عنه 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يُنظَر كَم الذي نصيبه، فإذا كان الذي أخذ أقل من نصيبه عُزّر ودفع إليه تمامُ ما لَه، وإن كان الذي أَخَذ مثل الذي له فلا شيء عليه، وإن كان أخذ فضلاً بقدر ربع دينار قطع</w:t>
      </w:r>
      <w:r>
        <w:rPr>
          <w:rFonts w:eastAsia="Amiri" w:cs="Amiri" w:ascii="Amiri" w:hAnsi="Amiri"/>
          <w:color w:val="111111"/>
          <w:sz w:val="28"/>
          <w:szCs w:val="28"/>
          <w:rtl w:val="true"/>
          <w:lang w:bidi="ar-SA"/>
        </w:rPr>
        <w:t>»</w:t>
      </w:r>
      <w:r>
        <w:rPr>
          <w:rStyle w:val="FootnoteAnchor"/>
          <w:rtl w:val="true"/>
        </w:rPr>
        <w:footnoteReference w:id="124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وهذه الرواية أوضح سنداً من الأولين وأوفق بالأصول، فإنّ الأقوى أنّ الغانِمَ يَملك نصيبه بالحيازة فيكون شريكاً، ويلحقه ما تقدَّم من حكم الشريك في توهّمِه حِلَّ ذلك ،وعدمه، وتقييد القطع بكون الزائد بقدر النصاب ولو قلنا بأنّ القسمة كاشفة عن ملکه بالحيازة فكذلك، ولو قلنا إن الملك لا يحصل إلا بالقسمة اتجه القطعُ مطلقاً مع بلوغ المجموع نصاباً، والرواية الثانية تصلح شاهداً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وفي إلحاق ما للسارق فيه حق كبيتِ</w:t>
      </w:r>
    </w:p>
    <w:p>
      <w:pPr>
        <w:pStyle w:val="BookText"/>
        <w:rPr/>
      </w:pPr>
      <w:r>
        <w:rPr>
          <w:rFonts w:ascii="Amiri" w:hAnsi="Amiri" w:eastAsia="Amiri" w:cs="Amiri"/>
          <w:color w:val="111111"/>
          <w:sz w:val="28"/>
          <w:sz w:val="28"/>
          <w:szCs w:val="28"/>
          <w:rtl w:val="true"/>
          <w:lang w:bidi="ar-SA"/>
        </w:rPr>
        <w:t>المال ومال الزكاة والخمس نظر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واستقرب العلّامة عدم القطع</w:t>
      </w:r>
      <w:r>
        <w:rPr>
          <w:rStyle w:val="FootnoteAnchor"/>
          <w:rtl w:val="true"/>
        </w:rPr>
        <w:footnoteReference w:id="1244"/>
      </w:r>
      <w:r>
        <w:rPr>
          <w:rFonts w:eastAsia="Times New Roman" w:cs="Times New Roman" w:ascii="Times New Roman" w:hAnsi="Times New Roman"/>
          <w:color w:val="111111"/>
          <w:sz w:val="28"/>
          <w:szCs w:val="28"/>
          <w:rtl w:val="true"/>
          <w:lang w:val="en-US" w:bidi="en-US"/>
        </w:rPr>
        <w:t>.</w:t>
      </w:r>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فيما نقص عن ربع دينار ذهباً خالصاً مسكوكاً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بسكة المعاملة عيناً أو قيمة، </w:t>
      </w:r>
    </w:p>
    <w:p>
      <w:pPr>
        <w:pStyle w:val="BookText"/>
        <w:rPr/>
      </w:pPr>
      <w:r>
        <w:rPr>
          <w:rFonts w:ascii="Amiri" w:hAnsi="Amiri" w:eastAsia="Amiri" w:cs="Amiri"/>
          <w:color w:val="111111"/>
          <w:sz w:val="28"/>
          <w:sz w:val="28"/>
          <w:szCs w:val="28"/>
          <w:rtl w:val="true"/>
          <w:lang w:bidi="ar-SA"/>
        </w:rPr>
        <w:t xml:space="preserve">على الأصح وفي المسألة أقوال نادرة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اعتبار دينار</w:t>
      </w:r>
      <w:r>
        <w:rPr>
          <w:rStyle w:val="FootnoteAnchor"/>
          <w:rtl w:val="true"/>
        </w:rPr>
        <w:footnoteReference w:id="1245"/>
      </w:r>
      <w:r>
        <w:rPr>
          <w:rFonts w:ascii="Amiri" w:hAnsi="Amiri" w:eastAsia="Amiri" w:cs="Amiri"/>
          <w:color w:val="111111"/>
          <w:sz w:val="28"/>
          <w:sz w:val="28"/>
          <w:szCs w:val="28"/>
          <w:rtl w:val="true"/>
          <w:lang w:bidi="ar-SA"/>
        </w:rPr>
        <w:t>، وخُمسه</w:t>
      </w:r>
      <w:r>
        <w:rPr>
          <w:rStyle w:val="FootnoteAnchor"/>
          <w:rtl w:val="true"/>
        </w:rPr>
        <w:footnoteReference w:id="1246"/>
      </w:r>
      <w:r>
        <w:rPr>
          <w:rFonts w:ascii="Amiri" w:hAnsi="Amiri" w:eastAsia="Amiri" w:cs="Amiri"/>
          <w:color w:val="111111"/>
          <w:sz w:val="28"/>
          <w:sz w:val="28"/>
          <w:szCs w:val="28"/>
          <w:rtl w:val="true"/>
          <w:lang w:bidi="ar-SA"/>
        </w:rPr>
        <w:t>، ودرهمين</w:t>
      </w:r>
      <w:r>
        <w:rPr>
          <w:rStyle w:val="FootnoteAnchor"/>
          <w:rtl w:val="true"/>
        </w:rPr>
        <w:footnoteReference w:id="1247"/>
      </w:r>
      <w:r>
        <w:rPr>
          <w:rFonts w:ascii="Amiri" w:hAnsi="Amiri" w:eastAsia="Amiri" w:cs="Amiri"/>
          <w:color w:val="111111"/>
          <w:sz w:val="28"/>
          <w:sz w:val="28"/>
          <w:szCs w:val="28"/>
          <w:rtl w:val="true"/>
          <w:lang w:bidi="ar-SA"/>
        </w:rPr>
        <w:t>، والأخبار الصحيحةُ</w:t>
      </w:r>
      <w:r>
        <w:rPr>
          <w:rStyle w:val="FootnoteAnchor"/>
          <w:rtl w:val="true"/>
        </w:rPr>
        <w:footnoteReference w:id="1248"/>
      </w:r>
      <w:r>
        <w:rPr>
          <w:rFonts w:ascii="Amiri" w:hAnsi="Amiri" w:eastAsia="Amiri" w:cs="Amiri"/>
          <w:color w:val="111111"/>
          <w:sz w:val="28"/>
          <w:sz w:val="28"/>
          <w:szCs w:val="28"/>
          <w:rtl w:val="true"/>
          <w:lang w:bidi="ar-SA"/>
        </w:rPr>
        <w:t>؛ دلَّت على الأوّل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ولا فرق فيه بين عين الذهب وغيره، فلو بلغ العينُ ربع دينارٍ وزناً غير مضروب </w:t>
      </w:r>
      <w:r>
        <w:rPr>
          <w:rStyle w:val="FootnoteAnchor"/>
          <w:rtl w:val="true"/>
        </w:rPr>
        <w:footnoteReference w:id="1249"/>
      </w:r>
      <w:r>
        <w:rPr>
          <w:rFonts w:ascii="Amiri" w:hAnsi="Amiri" w:eastAsia="Amiri" w:cs="Amiri"/>
          <w:color w:val="111111"/>
          <w:sz w:val="28"/>
          <w:sz w:val="28"/>
          <w:szCs w:val="28"/>
          <w:rtl w:val="true"/>
          <w:lang w:bidi="ar-SA"/>
        </w:rPr>
        <w:t>فلا قطع، ولو انعكس بأن كان شدس دينارٍ مَصُوعَ قيمته ربع قطع على الأقوى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وكذا لا فرق بين عليه بقيمته أو شخصه وعدمه، فلو ظنَّ المسروق فَلْساً فظهر ديناراً، أو سرق ثوباً قيمته أقل من النصاب فظهر مشتمِلاً على ما يبلغه ولو معه قطع على الأقوى لتحقق الشرط، ولا يقدح عدم القصد إليه؛ لتحققه في السرقة إجمالاً وهو كافٍ، ولشهادة الحال بأنه لو عَلِمه لقصده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وشمل إطلاق العبارة إخراج النصاب دفعةً ومتعدّداً، وهو كذلك إلا مع تراخي الدفعات بحيث لا يُعد سرقة واحدةً، اطلاع المالك بينها فينفصل ما بعده، وسيأتي حكايته لهذا المفهوم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مؤذناً بعدم اختياره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ويُعتبر اتحاد الحرز، فلو أخرج النصابَ من حِرْزَين لم يُقطع، إلا أن يَسْمُلهما ثالث فيكونان في حكم الواحد،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عبرة بذلك؛ للعموم</w:t>
      </w:r>
      <w:r>
        <w:rPr>
          <w:rFonts w:eastAsia="Amiri" w:cs="Amiri" w:ascii="Amiri" w:hAnsi="Amiri"/>
          <w:color w:val="111111"/>
          <w:sz w:val="28"/>
          <w:szCs w:val="28"/>
          <w:rtl w:val="true"/>
          <w:lang w:bidi="ar-SA"/>
        </w:rPr>
        <w:t>.</w:t>
      </w:r>
      <w:r>
        <w:rPr>
          <w:rStyle w:val="FootnoteAnchor"/>
          <w:rtl w:val="true"/>
        </w:rPr>
        <w:footnoteReference w:id="1250"/>
      </w:r>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في الهاتك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للحرز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قهراً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هتكاً ظاهراً؛ لأنه لا يُعد سارقاً بل غاصباً أو مُسْتَلِباً،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وكذا المُسْتَأْمَن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بالإيداع والإعارة والضيافة وغيرها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خان لم يُقطع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لعدم تحقق الهتك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من سرق من مال ولده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نزل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وبالعكس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ما لو سرق الولد مال والده وإنْ علا،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سرقت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مال ولدها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يُقطع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منهما؛ لعموم الآية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خرج منه الوالد فيبقى الباقي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وقال أبو الصلاح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تُقطع الأُمُّ بسرقة مال ولدها كالأب؛ لأنها أحد الوالدين، ولاشتراكهما في وجوب الإعظام </w:t>
      </w:r>
      <w:r>
        <w:rPr>
          <w:rStyle w:val="FootnoteAnchor"/>
          <w:rtl w:val="true"/>
        </w:rPr>
        <w:footnoteReference w:id="1251"/>
      </w:r>
      <w:r>
        <w:rPr>
          <w:rFonts w:ascii="Amiri" w:hAnsi="Amiri" w:eastAsia="Amiri" w:cs="Amiri"/>
          <w:color w:val="111111"/>
          <w:sz w:val="28"/>
          <w:sz w:val="28"/>
          <w:szCs w:val="28"/>
          <w:rtl w:val="true"/>
          <w:lang w:bidi="ar-SA"/>
        </w:rPr>
        <w:t>، ونفى عنه في المختلف البأس</w:t>
      </w:r>
      <w:r>
        <w:rPr>
          <w:rStyle w:val="FootnoteAnchor"/>
          <w:rtl w:val="true"/>
        </w:rPr>
        <w:footnoteReference w:id="125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والأصح المشهور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والجدّ للأُم كالأُمّ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يقطع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سرق المأكول المذكور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عام المجاعة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 استَوفَى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باقي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الشرائط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لقول الصادق</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يُقطع السارق في عامِ سَنَتٍ، يعني في عام مجاعة</w:t>
      </w:r>
      <w:r>
        <w:rPr>
          <w:rFonts w:eastAsia="Amiri" w:cs="Amiri" w:ascii="Amiri" w:hAnsi="Amiri"/>
          <w:color w:val="111111"/>
          <w:sz w:val="28"/>
          <w:szCs w:val="28"/>
          <w:rtl w:val="true"/>
          <w:lang w:bidi="ar-SA"/>
        </w:rPr>
        <w:t>»</w:t>
      </w:r>
      <w:r>
        <w:rPr>
          <w:rStyle w:val="FootnoteAnchor"/>
          <w:rtl w:val="true"/>
        </w:rPr>
        <w:footnoteReference w:id="125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خبر 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يقطع السارق في أيام المجاعة</w:t>
      </w:r>
      <w:r>
        <w:rPr>
          <w:rFonts w:eastAsia="Amiri" w:cs="Amiri" w:ascii="Amiri" w:hAnsi="Amiri"/>
          <w:color w:val="111111"/>
          <w:sz w:val="28"/>
          <w:szCs w:val="28"/>
          <w:rtl w:val="true"/>
          <w:lang w:bidi="ar-SA"/>
        </w:rPr>
        <w:t>»</w:t>
      </w:r>
      <w:r>
        <w:rPr>
          <w:rStyle w:val="FootnoteAnchor"/>
          <w:rtl w:val="true"/>
        </w:rPr>
        <w:footnoteReference w:id="125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وعن الصادق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يُقطع السارقُ في سَنَتِ المَحْل في شيء يُؤكل مثلِ الخُبْز واللَّحْم وأشباهه</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r>
        <w:rPr>
          <w:rFonts w:ascii="Amiri" w:hAnsi="Amiri" w:eastAsia="Amiri" w:cs="Amiri"/>
          <w:color w:val="111111"/>
          <w:sz w:val="28"/>
          <w:sz w:val="28"/>
          <w:szCs w:val="28"/>
          <w:rtl w:val="true"/>
          <w:lang w:bidi="ar-SA"/>
        </w:rPr>
        <w:t xml:space="preserve">تهذيب الأحكام، ج </w:t>
      </w:r>
      <w:r>
        <w:rPr>
          <w:rFonts w:eastAsia="Amiri" w:cs="Amiri" w:ascii="Amiri" w:hAnsi="Amiri"/>
          <w:color w:val="111111"/>
          <w:sz w:val="28"/>
          <w:szCs w:val="28"/>
          <w:lang w:bidi="ar-SA"/>
        </w:rPr>
        <w:t>10</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112</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443</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والمطلقُ في الأولين مقيَّد بهذا الخبر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الطريق ضعف وإرسال، لكن العمل به مشهورٌ لا راد له</w:t>
      </w:r>
      <w:r>
        <w:rPr>
          <w:rFonts w:eastAsia="Amiri" w:cs="Amiri" w:ascii="Amiri" w:hAnsi="Amiri"/>
          <w:color w:val="111111"/>
          <w:sz w:val="28"/>
          <w:szCs w:val="28"/>
          <w:rtl w:val="true"/>
          <w:lang w:bidi="ar-SA"/>
        </w:rPr>
        <w:t>.</w:t>
      </w:r>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وأطلق المصنِّفُ وغيره </w:t>
      </w:r>
      <w:r>
        <w:rPr>
          <w:rStyle w:val="FootnoteAnchor"/>
          <w:rtl w:val="true"/>
        </w:rPr>
        <w:footnoteReference w:id="1255"/>
      </w:r>
      <w:r>
        <w:rPr>
          <w:rFonts w:ascii="Amiri" w:hAnsi="Amiri" w:eastAsia="Amiri" w:cs="Amiri"/>
          <w:color w:val="111111"/>
          <w:sz w:val="28"/>
          <w:sz w:val="28"/>
          <w:szCs w:val="28"/>
          <w:rtl w:val="true"/>
          <w:lang w:bidi="ar-SA"/>
        </w:rPr>
        <w:t>الحكم كذلك من غير تقييد بكون السارق مضطراً إليه ،وعدمه، تبعاً لإطلاق النص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وربما قيَّده بعضُهم بكونه مضطراً وإلا قطع؛ إذ لا دخل للمجاعة مع غِنى السارق </w:t>
      </w:r>
      <w:r>
        <w:rPr>
          <w:rStyle w:val="FootnoteAnchor"/>
          <w:rtl w:val="true"/>
        </w:rPr>
        <w:footnoteReference w:id="1256"/>
      </w:r>
      <w:r>
        <w:rPr>
          <w:rFonts w:ascii="Amiri" w:hAnsi="Amiri" w:eastAsia="Amiri" w:cs="Amiri"/>
          <w:color w:val="111111"/>
          <w:sz w:val="28"/>
          <w:sz w:val="28"/>
          <w:szCs w:val="28"/>
          <w:rtl w:val="true"/>
          <w:lang w:bidi="ar-SA"/>
        </w:rPr>
        <w:t>، ولا بأس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لو اشتبه حاله اتَّجه عدمُ القطع أيضاً عملاً بالعموم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وبهذا يندفع ما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المضطر يجوز له أخذه قهراً، في عام المجاعة وغيره؛ لأنّ المشتبِة حاله لا يَدخُل في الحكم، مع أنا نَمنَع من جواز أخذ المضطر له قهراً مطلقاً، بل مع عدم إمكان إرضاء مالكه بعوضه كما سبق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وهنا الثابت الحكم بكونه لا يُقطَّع إذا كان مضطراً مطلقاً وإنْ حَرُم عليه أخذه، فالفرق واضح والمراد بالمأكول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قوّةً </w:t>
      </w:r>
    </w:p>
    <w:p>
      <w:pPr>
        <w:pStyle w:val="BookText"/>
        <w:rPr/>
      </w:pPr>
      <w:r>
        <w:rPr>
          <w:rFonts w:ascii="Amiri" w:hAnsi="Amiri" w:eastAsia="Amiri" w:cs="Amiri"/>
          <w:color w:val="111111"/>
          <w:sz w:val="28"/>
          <w:sz w:val="28"/>
          <w:szCs w:val="28"/>
          <w:rtl w:val="true"/>
          <w:lang w:bidi="ar-SA"/>
        </w:rPr>
        <w:t>أو فعلاً، كما ينبه عليه المثال في الخبر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يقطع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العبد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سَرَق مال سيده وإن انتَفَتْ عنه الشبهة، بل يُؤدَّب ، أما لو سرق مال غيره فكالحرّ،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ولو كان العبد من الغنيمة فسرق منها لم يُقطَع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لأن فيه زيادة إضرار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يُؤدَّب بما يحسم جرأته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وهنا مسائل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المسألة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فرق بين إخراج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السارق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المتاع بنفسه أو بسببه مثل أن يَشُدَّه بحبل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يَجُرّ به من خارج الحرز،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يَضَعَه على دابة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الحرز ويُخرِجها ،به أو يأمُرَ غيرَ مميّز؛ من صبي أو مجنون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بإخراجه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فإنّ القطع يتوجه على الآمر لا على الصبي والمجنون؛ لضعف المباشر في جنب السبب لأنهما كالآلة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المسألة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يُقطع الضيفُ والأجيرُ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سرقا مالَ المُضِيف أو المستأجر مع الإحراز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دونه أي دون كلّ منهما على الأشهر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يُقطعان مطلقاً </w:t>
      </w:r>
      <w:r>
        <w:rPr>
          <w:rStyle w:val="FootnoteAnchor"/>
          <w:rtl w:val="true"/>
        </w:rPr>
        <w:footnoteReference w:id="1257"/>
      </w:r>
      <w:r>
        <w:rPr>
          <w:rFonts w:ascii="IRNazanin" w:hAnsi="IRNazanin" w:eastAsia="IRNazanin"/>
          <w:color w:val="111111"/>
          <w:sz w:val="28"/>
          <w:sz w:val="28"/>
          <w:szCs w:val="28"/>
          <w:rtl w:val="true"/>
          <w:lang w:bidi="fa-IR"/>
        </w:rPr>
        <w:t xml:space="preserve">استناداً إلى أخبار </w:t>
      </w:r>
      <w:r>
        <w:rPr>
          <w:rStyle w:val="FootnoteAnchor"/>
          <w:rtl w:val="true"/>
        </w:rPr>
        <w:footnoteReference w:id="1258"/>
      </w:r>
      <w:r>
        <w:rPr>
          <w:rFonts w:ascii="Amiri" w:hAnsi="Amiri" w:eastAsia="Amiri" w:cs="Amiri"/>
          <w:color w:val="111111"/>
          <w:sz w:val="28"/>
          <w:sz w:val="28"/>
          <w:szCs w:val="28"/>
          <w:rtl w:val="true"/>
          <w:lang w:bidi="ar-SA"/>
        </w:rPr>
        <w:t>ظاهرة في كون المال غير محرز عنهما، فالتفصيل حسن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لو أضاف الضيف ضيفاً بغير إذن صاحب المنزل فسرق الثاني قطع؛ لأنه بمنزلة الخارج</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يُقطع</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الزوجان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كلَّ منهما بسرقة مال الآخر مع الإحراز عنه، وإلا فلا</w:t>
      </w:r>
      <w:r>
        <w:rPr>
          <w:rFonts w:eastAsia="Amiri" w:cs="Amiri" w:ascii="Amiri" w:hAnsi="Amiri"/>
          <w:color w:val="111111"/>
          <w:sz w:val="28"/>
          <w:szCs w:val="28"/>
          <w:rtl w:val="true"/>
          <w:lang w:bidi="ar-SA"/>
        </w:rPr>
        <w:t>.</w:t>
      </w:r>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ولو ادَّعى السارقُ الهبة أو الإذن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 من المالك في الأخذ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الملكَ حَلَف المالكُ ولا قطع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لتحقق الشبهة بذلك على الحاكم، وإن انتفت عن السارق في نفس الأمر</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المسألة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الحرزُ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تحديد له شرعاً فيُرجع فيه إلى العرف، وضابطه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كان ممنوعاً بغَلَقٍ أو قُفْلٍ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في معناه،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دَفْنِ في العُمران، أو كان مُراعي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بالنظر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قول</w:t>
      </w:r>
      <w:r>
        <w:rPr>
          <w:rFonts w:eastAsia="Amiri" w:cs="Amiri" w:ascii="Amiri" w:hAnsi="Amiri"/>
          <w:color w:val="111111"/>
          <w:sz w:val="28"/>
          <w:szCs w:val="28"/>
          <w:rtl w:val="true"/>
          <w:lang w:bidi="ar-SA"/>
        </w:rPr>
        <w:t>)</w:t>
      </w:r>
      <w:r>
        <w:rPr>
          <w:rStyle w:val="FootnoteAnchor"/>
          <w:rtl w:val="true"/>
        </w:rPr>
        <w:footnoteReference w:id="1259"/>
      </w:r>
      <w:r>
        <w:rPr>
          <w:rFonts w:ascii="Amiri" w:hAnsi="Amiri" w:eastAsia="Amiri" w:cs="Amiri"/>
          <w:color w:val="111111"/>
          <w:sz w:val="28"/>
          <w:sz w:val="28"/>
          <w:szCs w:val="28"/>
          <w:rtl w:val="true"/>
          <w:lang w:bidi="ar-SA"/>
        </w:rPr>
        <w:t>لقضاء العادة بإحراز كثير من الأموال بذلك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وحكايته قولاً يُشعر بتمريضه، كما ذهب إليه جماعة</w:t>
      </w:r>
      <w:r>
        <w:rPr>
          <w:rStyle w:val="FootnoteAnchor"/>
          <w:rtl w:val="true"/>
        </w:rPr>
        <w:footnoteReference w:id="1260"/>
      </w:r>
      <w:r>
        <w:rPr>
          <w:rFonts w:ascii="Amiri" w:hAnsi="Amiri" w:eastAsia="Amiri" w:cs="Amiri"/>
          <w:color w:val="111111"/>
          <w:sz w:val="28"/>
          <w:sz w:val="28"/>
          <w:szCs w:val="28"/>
          <w:rtl w:val="true"/>
          <w:lang w:bidi="ar-SA"/>
        </w:rPr>
        <w:t xml:space="preserve">لقول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يُقطَع إِلَّا مَن نَقَب نقباً أو كَسَر قفلاً </w:t>
      </w:r>
      <w:r>
        <w:rPr>
          <w:rFonts w:eastAsia="Amiri" w:cs="Amiri" w:ascii="Amiri" w:hAnsi="Amiri"/>
          <w:color w:val="111111"/>
          <w:sz w:val="28"/>
          <w:szCs w:val="28"/>
          <w:rtl w:val="true"/>
          <w:lang w:bidi="ar-SA"/>
        </w:rPr>
        <w:t>»</w:t>
      </w:r>
      <w:r>
        <w:rPr>
          <w:rStyle w:val="FootnoteAnchor"/>
          <w:rtl w:val="true"/>
        </w:rPr>
        <w:footnoteReference w:id="126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طريقه ،ضعف، ويمكن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يتحقق الحرز بالمراعاة إلّا مع النظر إليه، ومع ذلك لا تتحقق السرقة؛ لما تقدَّم من أنّها لا تكون إلا سراً، ومع غفلته عنه ولؤ نادراً لا يكون مراعياً له فلا يتحقق إحرازه بها، فظهر أنّ السرقة لا تتحقق مع المراعاة وإن جعلناها حرزاً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وللشيخ قول بأن الحرز كلُّ موضع لم يكن لغير المتصرف فيه الدخول إليه إلا بإذنه</w:t>
      </w:r>
      <w:r>
        <w:rPr>
          <w:rStyle w:val="FootnoteAnchor"/>
          <w:rtl w:val="true"/>
        </w:rPr>
        <w:footnoteReference w:id="1262"/>
      </w:r>
      <w:r>
        <w:rPr>
          <w:rFonts w:ascii="Amiri" w:hAnsi="Amiri" w:eastAsia="Amiri" w:cs="Amiri"/>
          <w:color w:val="111111"/>
          <w:sz w:val="28"/>
          <w:sz w:val="28"/>
          <w:szCs w:val="28"/>
          <w:rtl w:val="true"/>
          <w:lang w:bidi="ar-SA"/>
        </w:rPr>
        <w:t>، ويَنتقِض بالدارِ المُفَتَّحَةِ الأبواب في العُمران وصاحبها ليس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يكون سارقه على خطر خوفاً من الاطلاع عليه</w:t>
      </w:r>
      <w:r>
        <w:rPr>
          <w:rStyle w:val="FootnoteAnchor"/>
          <w:rtl w:val="true"/>
        </w:rPr>
        <w:footnoteReference w:id="1263"/>
      </w:r>
      <w:r>
        <w:rPr>
          <w:rFonts w:ascii="Amiri" w:hAnsi="Amiri" w:eastAsia="Amiri" w:cs="Amiri"/>
          <w:color w:val="111111"/>
          <w:sz w:val="28"/>
          <w:sz w:val="28"/>
          <w:szCs w:val="28"/>
          <w:rtl w:val="true"/>
          <w:lang w:bidi="ar-SA"/>
        </w:rPr>
        <w:t>، وينتقض بذلك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وعلى الأوّل تخرج المراعاة دون الثاني</w:t>
      </w:r>
      <w:r>
        <w:rPr>
          <w:rFonts w:eastAsia="Amiri" w:cs="Amiri" w:ascii="Amiri" w:hAnsi="Amiri"/>
          <w:color w:val="111111"/>
          <w:sz w:val="28"/>
          <w:szCs w:val="28"/>
          <w:rtl w:val="true"/>
          <w:lang w:bidi="ar-SA"/>
        </w:rPr>
        <w:t>.</w:t>
      </w:r>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والأولى الرجوع فيه إلى العرف وهو يختلف باختلاف الأموال، فحرز الأثمان والجواهر الصناديقُ المُقْفَلةُ والأغلاق الوثيقةُ في العُمران، وحرزُ الثياب وما خَفَّ من المتاعِ وآلاتِ النُحاس الدكاكين والبيوتُ المُقفلة في العُمران، أو خِزانتها المُقفلة وإنْ كانت هي مفتوحةً، والاصطبل حرز للدواب مع الغلق، وحرزُ الماشية في المَرْعَى عينُ الراعي على ما تَقرَّر، ومثله متاع البائع في الأسواق والطرقات</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واحترز بالدفن في العُمران عما لو وقع خارجه فإنّه لا يُعد حرزاً وإن كان في داخل بيتٍ مُغْلَقٍ؛ لعدم الخطر على سارقه، وعدم قضاء العرف به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والجَيْبُ والكُمُ الباطنان حرز ، لا الظاهران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والمراد بالجَيْبِ الظاهر ما كان في ظاهر الثوب الأعلى، والباطن ما كان في باطنه أو في ثوب داخل مطلقاً، أما الكُمُ الظاهر فقيل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المراد به ما كان معقوداً في خارجه؛ لسهولة قطع السارق له، فيسقط ما في داخله ولو في وقتٍ آخَرَ، وبالباطن ما كان معقوداً من داخل كُمّ الثوب الأعلى أو في الثوب الذي تحته مطلقاً</w:t>
      </w:r>
      <w:r>
        <w:rPr>
          <w:rStyle w:val="FootnoteAnchor"/>
          <w:rtl w:val="true"/>
        </w:rPr>
        <w:footnoteReference w:id="126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الشيخ في الخلاف المراد بالجيب الباطن ما كان فوقه قميص آخَرُ، وكذا الكُمّ، سواءٌ شدَّه في الكُمّ من داخل أو</w:t>
      </w:r>
      <w:r>
        <w:rPr>
          <w:rStyle w:val="FootnoteAnchor"/>
          <w:rtl w:val="true"/>
        </w:rPr>
        <w:footnoteReference w:id="1265"/>
      </w:r>
      <w:r>
        <w:rPr>
          <w:rFonts w:ascii="IRNazanin" w:hAnsi="IRNazanin" w:eastAsia="IRNazanin"/>
          <w:color w:val="111111"/>
          <w:sz w:val="28"/>
          <w:sz w:val="28"/>
          <w:szCs w:val="28"/>
          <w:rtl w:val="true"/>
          <w:lang w:bidi="fa-IR"/>
        </w:rPr>
        <w:t>من خارج</w:t>
      </w:r>
      <w:r>
        <w:rPr>
          <w:rStyle w:val="FootnoteAnchor"/>
          <w:rtl w:val="true"/>
        </w:rPr>
        <w:footnoteReference w:id="1266"/>
      </w:r>
      <w:r>
        <w:rPr>
          <w:rFonts w:ascii="Amiri" w:hAnsi="Amiri" w:eastAsia="Amiri" w:cs="Amiri"/>
          <w:color w:val="111111"/>
          <w:sz w:val="28"/>
          <w:sz w:val="28"/>
          <w:szCs w:val="28"/>
          <w:rtl w:val="true"/>
          <w:lang w:bidi="ar-SA"/>
        </w:rPr>
        <w:t>، وفي المبسوط اختار في الكم عكس ما ذكرناه فنقل عن قوم أنه إن جعلها في جوف الكُمّ وشَدَّها من خارج فعليه القطع، وإن جعلها من خارج وشدَّها من داخل فلا قطع،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الذي يقتضيه مذهبنا</w:t>
      </w:r>
      <w:r>
        <w:rPr>
          <w:rStyle w:val="FootnoteAnchor"/>
          <w:rtl w:val="true"/>
        </w:rPr>
        <w:footnoteReference w:id="1267"/>
      </w:r>
      <w:r>
        <w:rPr>
          <w:rFonts w:ascii="IRNazanin" w:hAnsi="IRNazanin" w:eastAsia="IRNazanin"/>
          <w:color w:val="111111"/>
          <w:sz w:val="28"/>
          <w:sz w:val="28"/>
          <w:szCs w:val="28"/>
          <w:rtl w:val="true"/>
          <w:lang w:bidi="fa-IR"/>
        </w:rPr>
        <w:t>والأخبار</w:t>
      </w:r>
      <w:r>
        <w:rPr>
          <w:rStyle w:val="FootnoteAnchor"/>
          <w:rtl w:val="true"/>
        </w:rPr>
        <w:footnoteReference w:id="1268"/>
      </w:r>
      <w:r>
        <w:rPr>
          <w:rFonts w:ascii="Amiri" w:hAnsi="Amiri" w:eastAsia="Amiri" w:cs="Amiri"/>
          <w:color w:val="111111"/>
          <w:sz w:val="28"/>
          <w:sz w:val="28"/>
          <w:szCs w:val="28"/>
          <w:rtl w:val="true"/>
          <w:lang w:bidi="ar-SA"/>
        </w:rPr>
        <w:t>في ذلك مطلقة في اعتبار الثوب الأعلى والأسفل، فيُقطع في الثاني دون الأوّل، وهو موافق للخلاف، ومال إليه في المختلف وجَعَله المشهور</w:t>
      </w:r>
      <w:r>
        <w:rPr>
          <w:rStyle w:val="FootnoteAnchor"/>
          <w:rtl w:val="true"/>
        </w:rPr>
        <w:footnoteReference w:id="126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في الكُمّ حسن، أما في الجَيْب فلا ينحصر الباطنُ منه فيما كان فوقه ثوبُ آخَرُ، بل يصدق به وبما كان في باطن الثوب الأعلى، كما قلناه</w:t>
      </w:r>
      <w:r>
        <w:rPr>
          <w:rFonts w:eastAsia="Amiri" w:cs="Amiri" w:ascii="Amiri" w:hAnsi="Amiri"/>
          <w:color w:val="111111"/>
          <w:sz w:val="28"/>
          <w:szCs w:val="28"/>
          <w:rtl w:val="true"/>
          <w:lang w:bidi="ar-SA"/>
        </w:rPr>
        <w:t>.</w:t>
      </w:r>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المسألة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الرابعة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قطع 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سرقة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الثمر على شجرة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كان محرزاً بحائط وغَلَق ؛ لإطلاق النصوص الكثيرة بعدم القطع بسرقته مطلقاً</w:t>
      </w:r>
      <w:r>
        <w:rPr>
          <w:rStyle w:val="FootnoteAnchor"/>
          <w:rtl w:val="true"/>
        </w:rPr>
        <w:footnoteReference w:id="1270"/>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وقال العلّامة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جمال الدين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المُطَهَّر 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وتبعه ولده فخر المحققين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كانت الشجرة داخل حرزِ فهَتَكه وسَرَق الثمرة قطع</w:t>
      </w:r>
      <w:r>
        <w:rPr>
          <w:rStyle w:val="FootnoteAnchor"/>
          <w:rtl w:val="true"/>
        </w:rPr>
        <w:footnoteReference w:id="127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لعموم الأدلة الدالة على قطعِ مَن سرق مِن حرز، فيُخَص رواياتُ الثمرة</w:t>
      </w:r>
      <w:r>
        <w:rPr>
          <w:rStyle w:val="FootnoteAnchor"/>
          <w:rtl w:val="true"/>
        </w:rPr>
        <w:footnoteReference w:id="1272"/>
      </w:r>
      <w:r>
        <w:rPr>
          <w:rFonts w:ascii="Amiri" w:hAnsi="Amiri" w:eastAsia="Amiri" w:cs="Amiri"/>
          <w:color w:val="111111"/>
          <w:sz w:val="28"/>
          <w:sz w:val="28"/>
          <w:szCs w:val="28"/>
          <w:rtl w:val="true"/>
          <w:lang w:bidi="ar-SA"/>
        </w:rPr>
        <w:t>بما كان منها في غير حرز بناءً على الغالب من كون الأشجار في غير حرز كالبساتين والصحاري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حسن مع أنه يمكن القدح في الأخبار الدالة على عدم القطع بسرقة الثمر؛ إذ ليس فيها خبر صحيح لكنّها كثيرة، والعمل بها مشهور، وكيف كان فهو غير كافٍ في تخصيص ما عليه الإجماع، فضلاً عن النصوص الصحيحة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كانت مراعاة بنظر المالك فكالمحرزة إن ألحقناه بالحرز</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المسألة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الخامسة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يُقطع سارقُ الحرّ وإن كان صغيراً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لأنه لا يُعد مالاً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 باعه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والقائل الشيخ </w:t>
      </w:r>
      <w:r>
        <w:rPr>
          <w:rStyle w:val="FootnoteAnchor"/>
          <w:rtl w:val="true"/>
        </w:rPr>
        <w:footnoteReference w:id="1273"/>
      </w:r>
      <w:r>
        <w:rPr>
          <w:rFonts w:ascii="Amiri" w:hAnsi="Amiri" w:eastAsia="Amiri" w:cs="Amiri"/>
          <w:color w:val="111111"/>
          <w:sz w:val="28"/>
          <w:sz w:val="28"/>
          <w:szCs w:val="28"/>
          <w:rtl w:val="true"/>
          <w:lang w:bidi="ar-SA"/>
        </w:rPr>
        <w:t xml:space="preserve">وتبعه العلامة </w:t>
      </w:r>
      <w:r>
        <w:rPr>
          <w:rStyle w:val="FootnoteAnchor"/>
          <w:rtl w:val="true"/>
        </w:rPr>
        <w:footnoteReference w:id="1274"/>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قطع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يُقطع السارق، لكن لا من حيث إنه سارق بل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لفساده في 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وجزاء المفسد القطع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حدّاً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بسبب السرقة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ويُشكل بأنّه إن كان مفسداً فاللازم تخيرُ الحاكم بين قتله وقطع يده ورجله من خلاف، إلى غير ذلك من أحكامه، لا تعينُ القطع خاصة</w:t>
      </w:r>
      <w:r>
        <w:rPr>
          <w:rFonts w:eastAsia="Amiri" w:cs="Amiri" w:ascii="Amiri" w:hAnsi="Amiri"/>
          <w:color w:val="111111"/>
          <w:sz w:val="28"/>
          <w:szCs w:val="28"/>
          <w:rtl w:val="true"/>
          <w:lang w:bidi="ar-SA"/>
        </w:rPr>
        <w:t>.</w:t>
      </w:r>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وما قيل</w:t>
      </w:r>
      <w:r>
        <w:rPr>
          <w:rStyle w:val="FootnoteAnchor"/>
          <w:rtl w:val="true"/>
        </w:rPr>
        <w:footnoteReference w:id="1275"/>
      </w:r>
      <w:r>
        <w:rPr>
          <w:rFonts w:ascii="Amiri" w:hAnsi="Amiri" w:eastAsia="Amiri" w:cs="Amiri"/>
          <w:color w:val="111111"/>
          <w:sz w:val="28"/>
          <w:sz w:val="28"/>
          <w:szCs w:val="28"/>
          <w:rtl w:val="true"/>
          <w:lang w:bidi="ar-SA"/>
        </w:rPr>
        <w:t>من أنّ وجوب القطع في سرقة المال إنما جاء لحراسته وحراسة النفس أولى فوجوب القطع فيه أولى، لا يتم أيضاً؛ لأنّ الحكم معلّق على مال خاص يُسرَق على وجه خاص ومثله لا يتم في الحرّ، ومطلق صيانته غير مقصود في هذا الباب كما يظهر من الشرائط، وحمل النفس عليه مطلقاً لا يتمّ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وشرائطه لا تنتظم في خصوصية سرقة الصغير وبيعه دون غيره من تفويته وإذهاب أجزائه، فإثباتُ الحكم بمثل ذلك </w:t>
      </w:r>
    </w:p>
    <w:p>
      <w:pPr>
        <w:pStyle w:val="BookText"/>
        <w:rPr/>
      </w:pPr>
      <w:r>
        <w:rPr>
          <w:rFonts w:ascii="Amiri" w:hAnsi="Amiri" w:eastAsia="Amiri" w:cs="Amiri"/>
          <w:color w:val="111111"/>
          <w:sz w:val="28"/>
          <w:sz w:val="28"/>
          <w:szCs w:val="28"/>
          <w:rtl w:val="true"/>
          <w:lang w:bidi="ar-SA"/>
        </w:rPr>
        <w:t>غير جيد، ومِن ثَمَّ حكاه المصنّف قولاً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القولين لو لم يبغه لم يُقطع وإن كان عليه ثيابٌ أو حُلِيٌّ تَبلُغ النصاب؛ لثبوت يده عليها، فلم تَتَحقَّق سرقتها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لو كان صغيراً على وجه لا تتحقق له اليدُ اتَّجه القطع بالمال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ومثله سرقة الكبير بمتاعه وهو نائم أو سكران أو مُغمى عليه أو مجنون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ويُقطَع سارقُ المملوك الصغير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حدّاً إذا بلغت قيمته النصاب، وإنّما أطلقه كغيره بناءً على الغالب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واحترز بالصغير عمّا لو كان كبيراً مميزاً فإنّه لا يُقطع بسرقته إلا أن يكون نائماً أو في حكمه، أو أعجميّاً لا يعرف سيّده من غيره لأنه حينئذ كالصغير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فرق بين الفن والمدبَّر وأُمّ الولد دون المكاتب لأن ملكه غير تام إلا أن يكون مشروطاً فيَتَّجه إلحاقه بالقِنّ، بل يُحتمل في المطلق أيضاً إذا بقي منه ما يُساوي النصابَ؛ لأنه في حكم المملوك ي كثير من الأحكام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المسألة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السادسةُ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يُقطَع سارقُ الكفن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الحرز، ومنه القبر بالنسبة إليه؛ لقول أمير المؤمنين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يُقطع سارقُ الموتى كما يُقطع سارق الأحياء</w:t>
      </w:r>
      <w:r>
        <w:rPr>
          <w:rFonts w:eastAsia="Amiri" w:cs="Amiri" w:ascii="Amiri" w:hAnsi="Amiri"/>
          <w:color w:val="111111"/>
          <w:sz w:val="28"/>
          <w:szCs w:val="28"/>
          <w:rtl w:val="true"/>
          <w:lang w:bidi="ar-SA"/>
        </w:rPr>
        <w:t>»</w:t>
      </w:r>
      <w:r>
        <w:rPr>
          <w:rStyle w:val="FootnoteAnchor"/>
          <w:rtl w:val="true"/>
        </w:rPr>
        <w:footnoteReference w:id="127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صحيحة حفص بن البختري عن الصادق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حد النباش حد السارق</w:t>
      </w:r>
      <w:r>
        <w:rPr>
          <w:rFonts w:eastAsia="Amiri" w:cs="Amiri" w:ascii="Amiri" w:hAnsi="Amiri"/>
          <w:color w:val="111111"/>
          <w:sz w:val="28"/>
          <w:szCs w:val="28"/>
          <w:rtl w:val="true"/>
          <w:lang w:bidi="ar-SA"/>
        </w:rPr>
        <w:t>»</w:t>
      </w:r>
      <w:r>
        <w:rPr>
          <w:rStyle w:val="FootnoteAnchor"/>
          <w:rtl w:val="true"/>
        </w:rPr>
        <w:footnoteReference w:id="127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وهل يُعتبر بلوغ قيمة الكفن النصاب ؟ قولان</w:t>
      </w:r>
      <w:r>
        <w:rPr>
          <w:rStyle w:val="FootnoteAnchor"/>
          <w:rtl w:val="true"/>
        </w:rPr>
        <w:footnoteReference w:id="1278"/>
      </w:r>
    </w:p>
    <w:p>
      <w:pPr>
        <w:pStyle w:val="BookText"/>
        <w:rPr/>
      </w:pP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وابن إدريس في السرائر، ج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514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515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مأخذهما إطلاق الأخبار</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هنا، واشتراط مقدار النصاب في مطلق السرقة فيُحمّل هذا المطلق عليه، أو يُحمل على إطلاقها تغليظاً عليه لشناعة فعله</w:t>
      </w:r>
      <w:r>
        <w:rPr>
          <w:rFonts w:eastAsia="Amiri" w:cs="Amiri" w:ascii="Amiri" w:hAnsi="Amiri"/>
          <w:color w:val="111111"/>
          <w:sz w:val="28"/>
          <w:szCs w:val="28"/>
          <w:rtl w:val="true"/>
          <w:lang w:bidi="ar-SA"/>
        </w:rPr>
        <w:t>.</w:t>
      </w:r>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والأولى اشتراط بلوغ النصاب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يدلّ على ميله إلى عدم الاشتراط لما </w:t>
      </w:r>
    </w:p>
    <w:p>
      <w:pPr>
        <w:pStyle w:val="BookText"/>
        <w:rPr/>
      </w:pPr>
      <w:r>
        <w:rPr>
          <w:rFonts w:ascii="Amiri" w:hAnsi="Amiri" w:eastAsia="Amiri" w:cs="Amiri"/>
          <w:color w:val="111111"/>
          <w:sz w:val="28"/>
          <w:sz w:val="28"/>
          <w:szCs w:val="28"/>
          <w:rtl w:val="true"/>
          <w:lang w:bidi="ar-SA"/>
        </w:rPr>
        <w:t>ذكرناه، ولظاهر الخبر الصحيح المتقدّم فإنّه جَعَل حده حدَّ السارق، وهو أعم من أخذه النصاب وعدمه، بل من عدم أخذه شيئاً، إلّا أنّه مخصوص بالأخذ إجماعاً فيبقى الباقي على العموم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وفيه نظر؛ لأنّ تخصيصه بذلك مراعاة للجمع يقتضي تخصيصه بالنصاب، والخبرُ الأوّلُ أوضحُ دَلالة؛ لأنه جعل قطعه كقطعه وجعله سارقاً فيُعتبر فيه شروطه، وكذا قول عليّ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إنا نقطع لأمواتنا كما نقطع لأحيائنا</w:t>
      </w:r>
      <w:r>
        <w:rPr>
          <w:rFonts w:eastAsia="Amiri" w:cs="Amiri" w:ascii="Amiri" w:hAnsi="Amiri"/>
          <w:color w:val="111111"/>
          <w:sz w:val="28"/>
          <w:szCs w:val="28"/>
          <w:rtl w:val="true"/>
          <w:lang w:bidi="ar-SA"/>
        </w:rPr>
        <w:t>»</w:t>
      </w:r>
      <w:r>
        <w:rPr>
          <w:rStyle w:val="FootnoteAnchor"/>
          <w:rtl w:val="true"/>
        </w:rPr>
        <w:footnoteReference w:id="127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يُعتبر النصاب في المرّة الأولى خاصةً</w:t>
      </w:r>
      <w:r>
        <w:rPr>
          <w:rStyle w:val="FootnoteAnchor"/>
          <w:rtl w:val="true"/>
        </w:rPr>
        <w:footnoteReference w:id="1280"/>
      </w:r>
      <w:r>
        <w:rPr>
          <w:rFonts w:ascii="IRNazanin" w:hAnsi="IRNazanin" w:eastAsia="IRNazanin"/>
          <w:color w:val="111111"/>
          <w:sz w:val="28"/>
          <w:sz w:val="28"/>
          <w:szCs w:val="28"/>
          <w:rtl w:val="true"/>
          <w:lang w:bidi="fa-IR"/>
        </w:rPr>
        <w:t>لأنّه بعدها مفسد، والأظهر اشتراطه مطلقاً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ويُعزّر النبّاشُ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سواءٌ أَخَذ أم لم يَأخُذ؛ لأنّه فَعَل محرَّماً فيستحق التعزيز</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ولو تكرّر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منه النبش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وفات الحاكم جاز قتله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لِمَن قدر عليه من حيث إفساده، وقد رُوِي أنّ عليّاً أَمَر بوطء نباش بالأَرْجُل حتى مات</w:t>
      </w:r>
      <w:r>
        <w:rPr>
          <w:rStyle w:val="FootnoteAnchor"/>
          <w:rtl w:val="true"/>
        </w:rPr>
        <w:footnoteReference w:id="128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ولو سَرَق من القبر غير الكفن فلا قطع؛ لأنه ليس بحرز له والعمامة من جملة الكفن المستحبّ فتُعتبر معه في القيمة على الأقوى، لا كغيره كما ذهب إليه العلّامة </w:t>
      </w:r>
      <w:r>
        <w:rPr>
          <w:rStyle w:val="FootnoteAnchor"/>
          <w:rtl w:val="true"/>
        </w:rPr>
        <w:footnoteReference w:id="1282"/>
      </w:r>
      <w:r>
        <w:rPr>
          <w:rFonts w:ascii="IRNazanin" w:hAnsi="IRNazanin" w:eastAsia="IRNazanin"/>
          <w:color w:val="111111"/>
          <w:sz w:val="28"/>
          <w:sz w:val="28"/>
          <w:szCs w:val="28"/>
          <w:rtl w:val="true"/>
          <w:lang w:bidi="fa-IR"/>
        </w:rPr>
        <w:t>استناداً إلى ما ورد فى بعض الأخبار</w:t>
      </w:r>
      <w:r>
        <w:rPr>
          <w:rStyle w:val="FootnoteAnchor"/>
          <w:rtl w:val="true"/>
        </w:rPr>
        <w:footnoteReference w:id="1283"/>
      </w:r>
      <w:r>
        <w:rPr>
          <w:rFonts w:ascii="Amiri" w:hAnsi="Amiri" w:eastAsia="Amiri" w:cs="Amiri"/>
          <w:color w:val="111111"/>
          <w:sz w:val="28"/>
          <w:sz w:val="28"/>
          <w:szCs w:val="28"/>
          <w:rtl w:val="true"/>
          <w:lang w:bidi="ar-SA"/>
        </w:rPr>
        <w:t>من أنّها ليست من الكفن؛ لأن الظاهر أنه يريد أنّها ليست من الكفنِ الواجب بقرينة ذكرِ الخِرْقَةِ الخامسة معها، مع الإجماع على أنها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الخصم للنباش الوارث إن كان الكفنُ منه، والأجنبي إن كان منه، ولو كان من بيت المال فخصمه الحاكم، ومِن ثُمَّ لو ذهب الميِّتُ بسيل ونحوه وبقي الكفنُ رَجَع إلى أصله</w:t>
      </w:r>
      <w:r>
        <w:rPr>
          <w:rFonts w:eastAsia="Amiri" w:cs="Amiri" w:ascii="Amiri" w:hAnsi="Amiri"/>
          <w:color w:val="111111"/>
          <w:sz w:val="28"/>
          <w:szCs w:val="28"/>
          <w:rtl w:val="true"/>
          <w:lang w:bidi="ar-SA"/>
        </w:rPr>
        <w:t>.</w:t>
      </w:r>
    </w:p>
    <w:p>
      <w:pPr>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المسألة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السابعة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تَثبت السرقةُ بشهادة عدلين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مُفَصِّلين لها بذكر ما يُعتبَر </w:t>
      </w:r>
    </w:p>
    <w:p>
      <w:pPr>
        <w:pStyle w:val="BookText"/>
        <w:rPr/>
      </w:pPr>
      <w:r>
        <w:rPr>
          <w:rFonts w:ascii="Amiri" w:hAnsi="Amiri" w:eastAsia="Amiri" w:cs="Amiri"/>
          <w:color w:val="111111"/>
          <w:sz w:val="28"/>
          <w:sz w:val="28"/>
          <w:szCs w:val="28"/>
          <w:rtl w:val="true"/>
          <w:lang w:bidi="ar-SA"/>
        </w:rPr>
        <w:t xml:space="preserve">في القطع من الشرائط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الإقرار مرّتين</w:t>
      </w:r>
      <w:r>
        <w:rPr>
          <w:rStyle w:val="FootnoteAnchor"/>
          <w:rtl w:val="true"/>
        </w:rPr>
        <w:footnoteReference w:id="1284"/>
      </w:r>
    </w:p>
    <w:p>
      <w:pPr>
        <w:pStyle w:val="BookText"/>
        <w:rPr/>
      </w:pPr>
      <w:r>
        <w:rPr>
          <w:rFonts w:ascii="Amiri" w:hAnsi="Amiri" w:eastAsia="Amiri" w:cs="Amiri"/>
          <w:color w:val="111111"/>
          <w:sz w:val="28"/>
          <w:sz w:val="28"/>
          <w:szCs w:val="28"/>
          <w:rtl w:val="true"/>
          <w:lang w:bidi="ar-SA"/>
        </w:rPr>
        <w:t>وفي صحيحة أخرى للفضيل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أقرّ على نفسه عند الإمام بحق حدّ من حدود الله تعالى مرّة واحدة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حرّاً كان أو عبداً، حرّة أو أمةً ، فعلى الإمام أن يقيم الحد الذي أقر به على نفسه كائناً من كان إلا الزاني المحصن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وإطلاق كثير من الروايات يقطعه مع إقراره بالسرقة من غير تفصيل، وهو يتحقق بالمرة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وأُجيب بحمل الرواية على التقية لموافقتها لمذهب العامة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وفيه نظر لضعف المعارض الحامل على حملها على خلاف الظاهر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زين رحمه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 كمال المقرّ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بالبلوغ والعقل، ورفع الحجر بالسفه بالنسبة إلى ثبوت المال والفلس بالنسبة إلى تنجيزه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وحريته واختياره</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فلا ينفذ إقرار الصبي وإن كان مراهقاً، ولا المجنون مطلقاً، ولا السفيه في المال ولكن يُقطع، وكذا المُفلس لكن يُتبع بالمال بعد زوال الحجر، ولا العبد بدون موافقة المولى؛ لتعلقه بمال الغير أمّا لو صدقه فالأقرب القطعُ وثبوت المال، وبدونه يُتبع بالمال إذا أعتق وأيسر، ولا المكره فيهما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ولو رَدَّ المكرَهُ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الإقرار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السرقة بعينها لم يقطع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الأقوى؛ لأنّ وجودَ العين في يده لا يدلّ على السرقة والإقرار وقع كُرهاً فلا يُعتد به</w:t>
      </w:r>
      <w:r>
        <w:rPr>
          <w:rFonts w:eastAsia="Amiri" w:cs="Amiri" w:ascii="Amiri" w:hAnsi="Amiri"/>
          <w:color w:val="111111"/>
          <w:sz w:val="28"/>
          <w:szCs w:val="28"/>
          <w:rtl w:val="true"/>
          <w:lang w:bidi="ar-SA"/>
        </w:rPr>
        <w:t>.</w:t>
      </w:r>
    </w:p>
    <w:p>
      <w:pPr>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وقيل</w:t>
      </w:r>
      <w:r>
        <w:rPr>
          <w:rStyle w:val="FootnoteAnchor"/>
          <w:rtl w:val="true"/>
        </w:rPr>
        <w:footnoteReference w:id="128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يُقطَع لأنّ ردَّها قرينة السرقة كدلالة قيء الخمر على شربها، ولحسنة سليمان بن خالد 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رجل سرق سرقةً فكابَرَ عنها فضُرِب فجاء بها بعينها، هل يجب عليه القطع ؟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نعم، ولكن إذا اعترف ولم يجئ بالسرقة لم تُقطع </w:t>
      </w:r>
    </w:p>
    <w:p>
      <w:pPr>
        <w:pStyle w:val="BookText"/>
        <w:rPr/>
      </w:pPr>
      <w:r>
        <w:rPr>
          <w:rFonts w:ascii="Amiri" w:hAnsi="Amiri" w:eastAsia="Amiri" w:cs="Amiri"/>
          <w:color w:val="111111"/>
          <w:sz w:val="28"/>
          <w:sz w:val="28"/>
          <w:szCs w:val="28"/>
          <w:rtl w:val="true"/>
          <w:lang w:bidi="ar-SA"/>
        </w:rPr>
        <w:t>يده؛ لأنه اعترف على العذاب</w:t>
      </w:r>
      <w:r>
        <w:rPr>
          <w:rFonts w:eastAsia="Amiri" w:cs="Amiri" w:ascii="Amiri" w:hAnsi="Amiri"/>
          <w:color w:val="111111"/>
          <w:sz w:val="28"/>
          <w:szCs w:val="28"/>
          <w:rtl w:val="true"/>
          <w:lang w:bidi="ar-SA"/>
        </w:rPr>
        <w:t>»</w:t>
      </w:r>
      <w:r>
        <w:rPr>
          <w:rStyle w:val="FootnoteAnchor"/>
          <w:rtl w:val="true"/>
        </w:rPr>
        <w:footnoteReference w:id="128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ولا يخفى ضعفُ العمل بالقرينة في هذا الباب والفرقُ بين القيء والمجيء بالسرقة فإنّ القيء يستلزم الشربَ، بخلاف المتنازع فإنّه أعم منه ، وأما الخبر، فظاهِرُ الدلالة، إلا أنّ إثبات الحكم به مجرّداً مشكل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ولو رجع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الإقرار بالسرقة اختياراً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بعد الإقرار مرّتين لم يسقط الحد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لثبوته بالإقرار السابق، فلا يقدح فيه الإنكار كغيره من الحدود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ويكفي في الغُرْم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للمال المسروق الإقرار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واحدةً؛ لأنه إقرار بحق مالي فلا يُشترط فيه تعدّد الإقرار؛ لعموم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إقرار العقلاء على أنفسهم جائز</w:t>
      </w:r>
      <w:r>
        <w:rPr>
          <w:rFonts w:eastAsia="Amiri" w:cs="Amiri" w:ascii="Amiri" w:hAnsi="Amiri"/>
          <w:color w:val="111111"/>
          <w:sz w:val="28"/>
          <w:szCs w:val="28"/>
          <w:rtl w:val="true"/>
          <w:lang w:bidi="ar-SA"/>
        </w:rPr>
        <w:t>»</w:t>
      </w:r>
      <w:r>
        <w:rPr>
          <w:rStyle w:val="FootnoteAnchor"/>
          <w:rtl w:val="true"/>
        </w:rPr>
        <w:footnoteReference w:id="1287"/>
      </w:r>
    </w:p>
    <w:p>
      <w:pPr>
        <w:pStyle w:val="BookText"/>
        <w:rPr/>
      </w:pPr>
      <w:r>
        <w:rPr>
          <w:rFonts w:ascii="Amiri" w:hAnsi="Amiri" w:eastAsia="Amiri" w:cs="Amiri"/>
          <w:color w:val="111111"/>
          <w:sz w:val="28"/>
          <w:sz w:val="28"/>
          <w:szCs w:val="28"/>
          <w:rtl w:val="true"/>
          <w:lang w:bidi="ar-SA"/>
        </w:rPr>
        <w:t xml:space="preserve">المسألة </w:t>
      </w:r>
      <w:r>
        <w:rPr>
          <w:rFonts w:eastAsia="Amiri" w:cs="Amiri" w:ascii="Amiri" w:hAnsi="Amiri"/>
          <w:color w:val="111111"/>
          <w:sz w:val="28"/>
          <w:szCs w:val="28"/>
          <w:lang w:bidi="ar-SA"/>
        </w:rPr>
        <w:t>337</w:t>
      </w:r>
      <w:r>
        <w:rPr>
          <w:rFonts w:ascii="Amiri" w:hAnsi="Amiri" w:eastAsia="Amiri" w:cs="Amiri"/>
          <w:color w:val="111111"/>
          <w:sz w:val="28"/>
          <w:sz w:val="28"/>
          <w:szCs w:val="28"/>
          <w:rtl w:val="true"/>
          <w:lang w:bidi="ar-SA"/>
        </w:rPr>
        <w:t xml:space="preserve">؛ والشهيد في غاية المراد، 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ضمن موسوعة الشهيد الأول،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وإنما خرج الحد بدليل خارج كقول الصادق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رواية جميل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يُقطع السارق حتّى يُقرّ بالسرقة مرتين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المسألة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الثامنة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يجب على السارق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إعادة العين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وجودها وإمكانِ إعادتها،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مثلها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كانت مثليّةً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قيمتها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كانت قيمية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 تلفها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تعذرِ ردّها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عابت ضَمِن أرشها، ولو كانت ذاتَ أجرة لزمه مع ذلك أجرتها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يُغنى القطع عن إعادتها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لأنهما حكمان متغايران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الإعادة لأخذ مال الغير عدواناً، والقطع حدّاً عقوبة على الذنب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المسألة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التاسعةُ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قطع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السارق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 بمرافعة الغريم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 وطلب ذلك من الحاكم،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ولؤ قامت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w:t>
      </w:r>
    </w:p>
    <w:p>
      <w:pPr>
        <w:sectPr>
          <w:footerReference w:type="default" r:id="rId3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بالسرقة أو أقرَّ مرّتين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فلو تَرَكه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المالك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أو </w:t>
      </w:r>
    </w:p>
    <w:p>
      <w:pPr>
        <w:pStyle w:val="BookText"/>
        <w:rPr/>
      </w:pPr>
      <w:r>
        <w:rPr>
          <w:rFonts w:ascii="IRNazanin" w:hAnsi="IRNazanin" w:eastAsia="IRNazanin"/>
          <w:color w:val="111111"/>
          <w:sz w:val="28"/>
          <w:sz w:val="28"/>
          <w:szCs w:val="28"/>
          <w:rtl w:val="true"/>
          <w:lang w:bidi="fa-IR"/>
        </w:rPr>
        <w:t>وَهَبه المالَ سَقَط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القطعُ؛ لسقوط موجبه قبل تَحَتُمِه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وليس له العفو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القطع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المرافعة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وإن كان قبل حكم الحاكم به؛ لقول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لصفوان بن أُمَيَّةَ حين شرق رداؤه فقبض السارق وقَدَّمه إلى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وَهَبه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ألا كان ذلك قبل أن تنتهي به إليّ</w:t>
      </w:r>
      <w:r>
        <w:rPr>
          <w:rFonts w:eastAsia="IRNazanin" w:cs="IRNazanin"/>
          <w:color w:val="111111"/>
          <w:sz w:val="28"/>
          <w:szCs w:val="28"/>
          <w:rtl w:val="true"/>
          <w:lang w:bidi="fa-IR"/>
        </w:rPr>
        <w:t>»</w:t>
      </w:r>
      <w:r>
        <w:rPr>
          <w:rStyle w:val="FootnoteAnchor"/>
          <w:rtl w:val="true"/>
        </w:rPr>
        <w:footnoteReference w:id="128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الصادق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إنّما الهبة قبل أن يَرفَع إلى الإمام، وذلك قول الله عزّ وجلّ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الْحَفِظُونَ لِحُدُودِ اللهِ</w:t>
      </w:r>
      <w:r>
        <w:rPr>
          <w:rStyle w:val="FootnoteAnchor"/>
          <w:rtl w:val="true"/>
        </w:rPr>
        <w:footnoteReference w:id="1289"/>
      </w:r>
      <w:r>
        <w:rPr>
          <w:rFonts w:ascii="Amiri" w:hAnsi="Amiri" w:eastAsia="Amiri" w:cs="Amiri"/>
          <w:color w:val="111111"/>
          <w:sz w:val="28"/>
          <w:sz w:val="28"/>
          <w:szCs w:val="28"/>
          <w:rtl w:val="true"/>
          <w:lang w:bidi="ar-SA"/>
        </w:rPr>
        <w:t>، فإذا انتهى إلى الإمام فليس لأحد أن يتركه</w:t>
      </w:r>
      <w:r>
        <w:rPr>
          <w:rFonts w:eastAsia="Amiri" w:cs="Amiri" w:ascii="Amiri" w:hAnsi="Amiri"/>
          <w:color w:val="111111"/>
          <w:sz w:val="28"/>
          <w:szCs w:val="28"/>
          <w:rtl w:val="true"/>
          <w:lang w:bidi="ar-SA"/>
        </w:rPr>
        <w:t>»</w:t>
      </w:r>
      <w:r>
        <w:rPr>
          <w:rStyle w:val="FootnoteAnchor"/>
          <w:rtl w:val="true"/>
        </w:rPr>
        <w:footnoteReference w:id="129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وكذا لو ملك السارق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المسروق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بعد المرافعة لم يَسقُط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القطع،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ويَسقُط بملكه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قبله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ذُكِر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المسألة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العاشرة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أحدَث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السارقُ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النصاب قبل الإخراج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الحرز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يَنقُص قيمته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النصاب بأن خَرق الثوبَ أو ذَبح الشاةَ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 قطع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لعدم تحقق الشرط وهو إخراج النصاب من الحرز، ولا كذا لو نقصت قيمته بعد الإخراج وإن كان قبل المرافعة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ابتلع النصابَ كالدينار واللؤلؤة قبل الخروج، فإن تعذر إخراجه فلا حد؛ لأنه كالتالف وإنْ اتَّفق خروجه بعد ذلك، وإن لم يتعذَّر خروجه عادةً قُطع؛ لأنّه يَجرِي مَجرَى إيداعه في وعاءٍ ويَضمَن المال على التقديرين وأرش النقصان</w:t>
      </w:r>
      <w:r>
        <w:rPr>
          <w:rFonts w:eastAsia="Amiri" w:cs="Amiri" w:ascii="Amiri" w:hAnsi="Amiri"/>
          <w:color w:val="111111"/>
          <w:sz w:val="28"/>
          <w:szCs w:val="28"/>
          <w:rtl w:val="true"/>
          <w:lang w:bidi="ar-SA"/>
        </w:rPr>
        <w:t>.</w:t>
      </w:r>
    </w:p>
    <w:p>
      <w:pPr>
        <w:sectPr>
          <w:footerReference w:type="default" r:id="rId3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ولو أخرجَه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أخرج النصاب من الحرز الواحدِ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مِراراً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أخرج كلَّ مرّةٍ دون النصاب واجتمع من الجميع نصاب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وجب القطع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ذهب إلى ذلك القاضي ابنُ البراج</w:t>
      </w:r>
      <w:r>
        <w:rPr>
          <w:rStyle w:val="FootnoteAnchor"/>
          <w:rtl w:val="true"/>
        </w:rPr>
        <w:footnoteReference w:id="1291"/>
      </w:r>
      <w:r>
        <w:rPr>
          <w:rFonts w:ascii="Amiri" w:hAnsi="Amiri" w:eastAsia="Amiri" w:cs="Amiri"/>
          <w:color w:val="111111"/>
          <w:sz w:val="28"/>
          <w:sz w:val="28"/>
          <w:szCs w:val="28"/>
          <w:rtl w:val="true"/>
          <w:lang w:bidi="ar-SA"/>
        </w:rPr>
        <w:t>، والعلّامة في الإرشاد</w:t>
      </w:r>
      <w:r>
        <w:rPr>
          <w:rStyle w:val="FootnoteAnchor"/>
          <w:rtl w:val="true"/>
        </w:rPr>
        <w:footnoteReference w:id="1292"/>
      </w:r>
      <w:r>
        <w:rPr>
          <w:rFonts w:ascii="Amiri" w:hAnsi="Amiri" w:eastAsia="Amiri" w:cs="Amiri"/>
          <w:color w:val="111111"/>
          <w:sz w:val="28"/>
          <w:sz w:val="28"/>
          <w:szCs w:val="28"/>
          <w:rtl w:val="true"/>
          <w:lang w:bidi="ar-SA"/>
        </w:rPr>
        <w:t xml:space="preserve">لصدق سرقة النصاب من الحرز فيتناوله عموم أدلّة </w:t>
      </w:r>
    </w:p>
    <w:p>
      <w:pPr>
        <w:pStyle w:val="BookText"/>
        <w:rPr/>
      </w:pPr>
      <w:r>
        <w:rPr>
          <w:rFonts w:ascii="IRNazanin" w:hAnsi="IRNazanin" w:eastAsia="IRNazanin"/>
          <w:color w:val="111111"/>
          <w:sz w:val="28"/>
          <w:sz w:val="28"/>
          <w:szCs w:val="28"/>
          <w:rtl w:val="true"/>
          <w:lang w:bidi="fa-IR"/>
        </w:rPr>
        <w:t>القطع</w:t>
      </w:r>
      <w:r>
        <w:rPr>
          <w:rStyle w:val="FootnoteAnchor"/>
          <w:rtl w:val="true"/>
        </w:rPr>
        <w:footnoteReference w:id="1293"/>
      </w:r>
      <w:r>
        <w:rPr>
          <w:rFonts w:ascii="IRNazanin" w:hAnsi="IRNazanin" w:eastAsia="IRNazanin"/>
          <w:color w:val="111111"/>
          <w:sz w:val="28"/>
          <w:sz w:val="28"/>
          <w:szCs w:val="28"/>
          <w:rtl w:val="true"/>
          <w:lang w:bidi="fa-IR"/>
        </w:rPr>
        <w:t>، ولقوله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سرق ربع دينار فعليه القطع</w:t>
      </w:r>
      <w:r>
        <w:rPr>
          <w:rFonts w:eastAsia="IRNazanin" w:cs="IRNazanin"/>
          <w:color w:val="111111"/>
          <w:sz w:val="28"/>
          <w:szCs w:val="28"/>
          <w:rtl w:val="true"/>
          <w:lang w:bidi="fa-IR"/>
        </w:rPr>
        <w:t>»</w:t>
      </w:r>
      <w:r>
        <w:rPr>
          <w:rStyle w:val="FootnoteAnchor"/>
          <w:rtl w:val="true"/>
        </w:rPr>
        <w:footnoteReference w:id="129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متحقق هنا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قطع مطلقاً </w:t>
      </w:r>
      <w:r>
        <w:rPr>
          <w:rStyle w:val="FootnoteAnchor"/>
          <w:rtl w:val="true"/>
        </w:rPr>
        <w:footnoteReference w:id="1295"/>
      </w:r>
      <w:r>
        <w:rPr>
          <w:rFonts w:ascii="Amiri" w:hAnsi="Amiri" w:eastAsia="Amiri" w:cs="Amiri"/>
          <w:color w:val="111111"/>
          <w:sz w:val="28"/>
          <w:sz w:val="28"/>
          <w:szCs w:val="28"/>
          <w:rtl w:val="true"/>
          <w:lang w:bidi="ar-SA"/>
        </w:rPr>
        <w:t>ما لم يتحد الأخذُ؛ لأصالة البراءة، ولأنّه لمّا هَتَك الحرز وأخرج أقل من النصاب لم يثبت عليه القطع، فلما عاد ثانياً لم يُخرج من حرز لأنه كان منبوذاً قبله، فلا قطع سواء اجتَمَع منهما معاً نصاب أم كان الثاني وحده نصاباً من غير ضميمة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وفرق العلّامة في القواعد</w:t>
      </w:r>
      <w:r>
        <w:rPr>
          <w:rStyle w:val="FootnoteAnchor"/>
          <w:rtl w:val="true"/>
        </w:rPr>
        <w:footnoteReference w:id="1296"/>
      </w:r>
      <w:r>
        <w:rPr>
          <w:rFonts w:ascii="Amiri" w:hAnsi="Amiri" w:eastAsia="Amiri" w:cs="Amiri"/>
          <w:color w:val="111111"/>
          <w:sz w:val="28"/>
          <w:sz w:val="28"/>
          <w:szCs w:val="28"/>
          <w:rtl w:val="true"/>
          <w:lang w:bidi="ar-SA"/>
        </w:rPr>
        <w:t>بين قصر زمان العود وعدمه، فجعل الأول بمنزلة المتحد دون الثاني، وفصل في التحرير فأوجب الحد إن لم يَتَخَلَّل الاعُ المالك، ولم يَطُل الزمانُ بحيث لا يُسمَّى سرقةً واحدةً عرفاً</w:t>
      </w:r>
      <w:r>
        <w:rPr>
          <w:rStyle w:val="FootnoteAnchor"/>
          <w:rtl w:val="true"/>
        </w:rPr>
        <w:footnoteReference w:id="129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أقوى لدلالة العرف على اتحاد السرقة مع فقد الشرطين وإن تعدد الإخراج، وتعددِها بأحدهما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المسألة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الحادية عشرة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الواجب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هذا الحدّ أوّلَ مَرَّةٍ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قطع الأصابع الأربع وهي ما عدا الإيهام من اليد اليمنى، وتُترك له الراحة والإبهام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إذا كان له خمس أصابع، أما لو كانت ناقصةً اقتصر على الموجود من الأصابع وإن كان واحدةً عدا الإبهام لصحيحة الحلبي عن الصادق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أين يجب القطعُ ؟ فبَسَط أصابعه 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هاهنا</w:t>
      </w:r>
      <w:r>
        <w:rPr>
          <w:rFonts w:eastAsia="Amiri" w:cs="Amiri" w:ascii="Amiri" w:hAnsi="Amiri"/>
          <w:color w:val="111111"/>
          <w:sz w:val="28"/>
          <w:szCs w:val="28"/>
          <w:rtl w:val="true"/>
          <w:lang w:bidi="ar-SA"/>
        </w:rPr>
        <w:t>»</w:t>
      </w:r>
      <w:r>
        <w:rPr>
          <w:rStyle w:val="FootnoteAnchor"/>
          <w:rtl w:val="true"/>
        </w:rPr>
        <w:footnoteReference w:id="129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من مفصل الكفّ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وقوله في رواية أبي بصير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القطع من وسط الكفّ، ولا يُقطع الإبهام</w:t>
      </w:r>
      <w:r>
        <w:rPr>
          <w:rFonts w:eastAsia="Amiri" w:cs="Amiri" w:ascii="Amiri" w:hAnsi="Amiri"/>
          <w:color w:val="111111"/>
          <w:sz w:val="28"/>
          <w:szCs w:val="28"/>
          <w:rtl w:val="true"/>
          <w:lang w:bidi="ar-SA"/>
        </w:rPr>
        <w:t>»</w:t>
      </w:r>
      <w:r>
        <w:rPr>
          <w:rStyle w:val="FootnoteAnchor"/>
          <w:rtl w:val="true"/>
        </w:rPr>
        <w:footnoteReference w:id="129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فرق بين كون المفقود خلقةً وبعارض</w:t>
      </w:r>
      <w:r>
        <w:rPr>
          <w:rFonts w:eastAsia="Amiri" w:cs="Amiri" w:ascii="Amiri" w:hAnsi="Amiri"/>
          <w:color w:val="111111"/>
          <w:sz w:val="28"/>
          <w:szCs w:val="28"/>
          <w:rtl w:val="true"/>
          <w:lang w:bidi="ar-SA"/>
        </w:rPr>
        <w:t>.</w:t>
      </w:r>
    </w:p>
    <w:p>
      <w:pPr>
        <w:sectPr>
          <w:footerReference w:type="default" r:id="rId3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ولو كان له إصبع زائدةٌ لم يَجُز قطعها حملاً على المعهود فلو توقف تركها على </w:t>
      </w:r>
    </w:p>
    <w:p>
      <w:pPr>
        <w:pStyle w:val="BookText"/>
        <w:rPr/>
      </w:pPr>
      <w:r>
        <w:rPr>
          <w:rFonts w:ascii="Amiri" w:hAnsi="Amiri" w:eastAsia="Amiri" w:cs="Amiri"/>
          <w:color w:val="111111"/>
          <w:sz w:val="28"/>
          <w:sz w:val="28"/>
          <w:szCs w:val="28"/>
          <w:rtl w:val="true"/>
          <w:lang w:bidi="ar-SA"/>
        </w:rPr>
        <w:t>إبقاء إصبع أخرى وجب، ولو كان على المعصم كفّان قُطِعَت أصابعُ الأصلية إن تَميَّزت، وإلا فإشكال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ولو سرق 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قطع يده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قُطِعَتْ رِجْلُه اليسرى من مفصل القدم، وتُرِك العَقِبُ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يَعتمد عليه حالة المشي والصلاة؛ لقول الكاظم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تقطع يد السارق ويُترك إبهامه وصدرُ راحتِه، وتُقطع رجلُه ويُترك عقبه يمشي عليها</w:t>
      </w:r>
      <w:r>
        <w:rPr>
          <w:rFonts w:eastAsia="Amiri" w:cs="Amiri" w:ascii="Amiri" w:hAnsi="Amiri"/>
          <w:color w:val="111111"/>
          <w:sz w:val="28"/>
          <w:szCs w:val="28"/>
          <w:rtl w:val="true"/>
          <w:lang w:bidi="ar-SA"/>
        </w:rPr>
        <w:t>»</w:t>
      </w:r>
      <w:r>
        <w:rPr>
          <w:rStyle w:val="FootnoteAnchor"/>
          <w:rtl w:val="true"/>
        </w:rPr>
        <w:footnoteReference w:id="130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والظاهر أنه لا التفات إلى زيادة الإصبع هنا؛ لأن الحكم مطلق في القطع من المفصل من غير نظر إلى الأصابع، مع احتماله ولو كان له قدمان على ساق واحدٍ فكالكفّ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السرقة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قطع اليد والرجل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يُحبَس أبداً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أن يموت ولا يُقطع من باقي أعضائه،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وفي الرابعة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سَرَق من الحبس، أو من خارجه لو اتَّفق خروجه لحاجةٍ، أو هَرَبَ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يُقتل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ولو ذَهَبَتْ يمينُه بعد السرقة لم تُقطع اليسار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لتعلّق الحكم بقطع اليمين وقد فاتت أما لو ذهبت اليمين قبل السرقة بغيرها، ففي قطع اليد اليسرى أو الرجل قولان</w:t>
      </w:r>
      <w:r>
        <w:rPr>
          <w:rStyle w:val="FootnoteAnchor"/>
          <w:rtl w:val="true"/>
        </w:rPr>
        <w:footnoteReference w:id="1301"/>
      </w:r>
    </w:p>
    <w:p>
      <w:pPr>
        <w:pStyle w:val="BookText"/>
        <w:rPr/>
      </w:pPr>
      <w:r>
        <w:rPr>
          <w:rFonts w:ascii="IRNazanin" w:hAnsi="IRNazanin" w:eastAsia="IRNazanin"/>
          <w:color w:val="111111"/>
          <w:sz w:val="28"/>
          <w:sz w:val="28"/>
          <w:szCs w:val="28"/>
          <w:rtl w:val="true"/>
          <w:lang w:bidi="fa-IR"/>
        </w:rPr>
        <w:t xml:space="preserve">المبسوط ، ج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376</w:t>
      </w:r>
      <w:r>
        <w:rPr>
          <w:rFonts w:eastAsia="IRNazanin" w:cs="IRNazanin"/>
          <w:color w:val="111111"/>
          <w:sz w:val="28"/>
          <w:szCs w:val="28"/>
          <w:rtl w:val="true"/>
          <w:lang w:bidi="fa-IR"/>
        </w:rPr>
        <w:t xml:space="preserve"> - </w:t>
      </w:r>
      <w:r>
        <w:rPr>
          <w:rFonts w:eastAsia="IRNazanin" w:cs="IRNazanin"/>
          <w:color w:val="111111"/>
          <w:sz w:val="28"/>
          <w:szCs w:val="28"/>
          <w:lang w:bidi="fa-IR"/>
        </w:rPr>
        <w:t>377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ولو لم يكن له يسارٌ قطعت رجله اليسرى قطع به العلامة</w:t>
      </w:r>
      <w:r>
        <w:rPr>
          <w:rStyle w:val="FootnoteAnchor"/>
          <w:rtl w:val="true"/>
        </w:rPr>
        <w:footnoteReference w:id="1302"/>
      </w:r>
      <w:r>
        <w:rPr>
          <w:rFonts w:ascii="Amiri" w:hAnsi="Amiri" w:eastAsia="Amiri" w:cs="Amiri"/>
          <w:color w:val="111111"/>
          <w:sz w:val="28"/>
          <w:sz w:val="28"/>
          <w:szCs w:val="28"/>
          <w:rtl w:val="true"/>
          <w:lang w:bidi="ar-SA"/>
        </w:rPr>
        <w:t>وقَبْلَه الشيخ</w:t>
      </w:r>
      <w:r>
        <w:rPr>
          <w:rStyle w:val="FootnoteAnchor"/>
          <w:rtl w:val="true"/>
        </w:rPr>
        <w:footnoteReference w:id="1303"/>
      </w:r>
      <w:r>
        <w:rPr>
          <w:rFonts w:ascii="Amiri" w:hAnsi="Amiri" w:eastAsia="Amiri" w:cs="Amiri"/>
          <w:color w:val="111111"/>
          <w:sz w:val="28"/>
          <w:sz w:val="28"/>
          <w:szCs w:val="28"/>
          <w:rtl w:val="true"/>
          <w:lang w:bidi="ar-SA"/>
        </w:rPr>
        <w:t>، كما أنه لو لم يكن له رِجلٌ حُبِس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ويُحتمل سقوط قطع غير المنصوص مرتباً؛ وقوفاً في التجري على الدم المحترم على موضع اليقين، ولأنه تَخَطّ عن موضع النص من غير دليل، ولظاهر قول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إنِّي لأَسْتَحي من ربّي أن لا أدَعَ له يداً يَستنجي بها أو رِجلاً يمشي عليها</w:t>
      </w:r>
      <w:r>
        <w:rPr>
          <w:rFonts w:eastAsia="Amiri" w:cs="Amiri" w:ascii="Amiri" w:hAnsi="Amiri"/>
          <w:color w:val="111111"/>
          <w:sz w:val="28"/>
          <w:szCs w:val="28"/>
          <w:rtl w:val="true"/>
          <w:lang w:bidi="ar-SA"/>
        </w:rPr>
        <w:t>»</w:t>
      </w:r>
      <w:r>
        <w:rPr>
          <w:rStyle w:val="FootnoteAnchor"/>
          <w:rtl w:val="true"/>
        </w:rPr>
        <w:footnoteReference w:id="130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وسأل عبد الله بن هلال أبا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علة قطع يده اليمنى ورجله اليسرى،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ما أَحْسَنَ ما سألت إذا قطعت يده اليمنى ورجله اليمنى سَقَط على </w:t>
      </w:r>
    </w:p>
    <w:p>
      <w:pPr>
        <w:pStyle w:val="BookText"/>
        <w:rPr/>
      </w:pPr>
      <w:r>
        <w:rPr>
          <w:rFonts w:ascii="Amiri" w:hAnsi="Amiri" w:eastAsia="Amiri" w:cs="Amiri"/>
          <w:color w:val="111111"/>
          <w:sz w:val="28"/>
          <w:sz w:val="28"/>
          <w:szCs w:val="28"/>
          <w:rtl w:val="true"/>
          <w:lang w:bidi="ar-SA"/>
        </w:rPr>
        <w:t>جانبه الأيسر ولم يقدر على القيام، فإذا قطعت يده اليمنى ورجله اليسرى اعتدل واستَوَى قائماً</w:t>
      </w:r>
      <w:r>
        <w:rPr>
          <w:rFonts w:eastAsia="Amiri" w:cs="Amiri" w:ascii="Amiri" w:hAnsi="Amiri"/>
          <w:color w:val="111111"/>
          <w:sz w:val="28"/>
          <w:szCs w:val="28"/>
          <w:rtl w:val="true"/>
          <w:lang w:bidi="ar-SA"/>
        </w:rPr>
        <w:t>»</w:t>
      </w:r>
      <w:r>
        <w:rPr>
          <w:rStyle w:val="FootnoteAnchor"/>
          <w:rtl w:val="true"/>
        </w:rPr>
        <w:footnoteReference w:id="130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ويُستحَبٌ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قطعه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حَسْمُه بالزَيْتِ المَغْلِيّ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إبقاء له وليس بواجب، للأصل، ومؤونته عليه إن لم يتبرع به أحد، أو يُخرجه الحاكم من بيت المال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المسألة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الثانية عشرة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تكرَّرت السرقةُ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 يُرافع بينها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فالقطع 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حد فتتداخل أسبابه لو اجتمعت كالزنى وشرب الخمر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وهل هو بالأولى أو الأخيرة؟ قولان</w:t>
      </w:r>
      <w:r>
        <w:rPr>
          <w:rStyle w:val="FootnoteAnchor"/>
          <w:rtl w:val="true"/>
        </w:rPr>
        <w:footnoteReference w:id="1306"/>
      </w:r>
      <w:r>
        <w:rPr>
          <w:rFonts w:ascii="Amiri" w:hAnsi="Amiri" w:eastAsia="Amiri" w:cs="Amiri"/>
          <w:color w:val="111111"/>
          <w:sz w:val="28"/>
          <w:sz w:val="28"/>
          <w:szCs w:val="28"/>
          <w:rtl w:val="true"/>
          <w:lang w:bidi="ar-SA"/>
        </w:rPr>
        <w:t>، وتظهر الفائدة فيما لو عَفَا مَن حُكم بالقطع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والحق أنّه يُقطع على كل حال حتى لو عَفَا الأوّلُ قُطِع بالثاني وبالعكس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إذا أقرَّ بها دفعةً أو شَهِدَتْ البيناتُ بها كذلك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ولو شهدا عليه بسرقة ثمّ شَهدا عليه بأخرى قبل القطع فالأقرب عدم تعدّد القطع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كالسابق لاشتراكهما في الوجه وهو كونه حداً، فلا يَتَكرَّر بتَكرُّرِ سببه إلى أن يسرق بعد القطع</w:t>
      </w:r>
      <w:r>
        <w:rPr>
          <w:rFonts w:eastAsia="Amiri" w:cs="Amiri" w:ascii="Amiri" w:hAnsi="Amiri"/>
          <w:color w:val="111111"/>
          <w:sz w:val="28"/>
          <w:szCs w:val="28"/>
          <w:rtl w:val="true"/>
          <w:lang w:bidi="ar-SA"/>
        </w:rPr>
        <w:t>.</w:t>
      </w:r>
    </w:p>
    <w:p>
      <w:pPr>
        <w:sectPr>
          <w:footerReference w:type="default" r:id="rId3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تُقطع يده ورجله؛ لأنّ كلَّ واحدةٍ تُوجِب القطع، فتقطع اليد للأولى والرجلُ للثانية، والأصلُ عدم التداخل</w:t>
      </w:r>
      <w:r>
        <w:rPr>
          <w:rStyle w:val="FootnoteAnchor"/>
          <w:rtl w:val="true"/>
        </w:rPr>
        <w:footnoteReference w:id="130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أمسكت البينة الثانية حتّى قُطِعت يده ثمّ شَهدت ففي قطع رجله قولان</w:t>
      </w:r>
      <w:r>
        <w:rPr>
          <w:rStyle w:val="FootnoteAnchor"/>
          <w:rtl w:val="true"/>
        </w:rPr>
        <w:footnoteReference w:id="1308"/>
      </w:r>
      <w:r>
        <w:rPr>
          <w:rFonts w:ascii="Amiri" w:hAnsi="Amiri" w:eastAsia="Amiri" w:cs="Amiri"/>
          <w:color w:val="111111"/>
          <w:sz w:val="28"/>
          <w:sz w:val="28"/>
          <w:szCs w:val="28"/>
          <w:rtl w:val="true"/>
          <w:lang w:bidi="ar-SA"/>
        </w:rPr>
        <w:t>أيضاً، وأولى بالقطع هنا لو قيل به ثُمَّ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والأقوى عدم القطع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ذكر وأصالة البراءة وقيام الشبهة الموجبة لدرء الحد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ومستند القطع رواية بكير بن أعين عن الباقر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Style w:val="FootnoteAnchor"/>
          <w:rtl w:val="true"/>
        </w:rPr>
        <w:footnoteReference w:id="1309"/>
      </w:r>
      <w:r>
        <w:rPr>
          <w:rFonts w:ascii="Amiri" w:hAnsi="Amiri" w:eastAsia="Amiri" w:cs="Amiri"/>
          <w:color w:val="111111"/>
          <w:sz w:val="28"/>
          <w:sz w:val="28"/>
          <w:szCs w:val="28"/>
          <w:rtl w:val="true"/>
          <w:lang w:bidi="ar-SA"/>
        </w:rPr>
        <w:t>، وفي الطريق ضعف</w:t>
      </w:r>
      <w:r>
        <w:rPr>
          <w:rFonts w:eastAsia="Amiri" w:cs="Amiri" w:ascii="Amiri" w:hAnsi="Amiri"/>
          <w:color w:val="111111"/>
          <w:sz w:val="28"/>
          <w:szCs w:val="28"/>
          <w:rtl w:val="true"/>
          <w:lang w:bidi="ar-SA"/>
        </w:rPr>
        <w:t xml:space="preserve">. </w:t>
      </w:r>
      <w:bookmarkStart w:id="139" w:name="pg11049_88621"/>
    </w:p>
    <w:p>
      <w:pPr>
        <w:pStyle w:val="Heading3"/>
        <w:numPr>
          <w:ilvl w:val="2"/>
          <w:numId w:val="1"/>
        </w:numPr>
        <w:rPr/>
      </w:pPr>
      <w:bookmarkStart w:id="140" w:name="__RefHeading___Toc1446157_1067777946"/>
      <w:bookmarkStart w:id="141" w:name="_Toc42"/>
      <w:bookmarkEnd w:id="139"/>
      <w:bookmarkEnd w:id="140"/>
      <w:r>
        <w:rPr>
          <w:rtl w:val="true"/>
        </w:rPr>
        <w:t>الفصل السادس في المحاربة</w:t>
      </w:r>
      <w:bookmarkEnd w:id="14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وهي تجريد السلاح بَرَّاً أو بحراً، ليلاً أو نهاراً، لإخافة الناس، في مصر وغيره، من ذكر أو أنثى، قوي أو ضعيف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أهل الريبة أم لا، قصد الإخافة أم لا، على أصح الأقوال</w:t>
      </w:r>
      <w:r>
        <w:rPr>
          <w:rStyle w:val="FootnoteAnchor"/>
          <w:rtl w:val="true"/>
        </w:rPr>
        <w:footnoteReference w:id="1310"/>
      </w:r>
      <w:r>
        <w:rPr>
          <w:rFonts w:ascii="Amiri" w:hAnsi="Amiri" w:eastAsia="Amiri" w:cs="Amiri"/>
          <w:color w:val="111111"/>
          <w:sz w:val="28"/>
          <w:sz w:val="28"/>
          <w:szCs w:val="28"/>
          <w:rtl w:val="true"/>
          <w:lang w:bidi="ar-SA"/>
        </w:rPr>
        <w:t>، لعموم الآية</w:t>
      </w:r>
      <w:r>
        <w:rPr>
          <w:rStyle w:val="FootnoteAnchor"/>
          <w:rtl w:val="true"/>
        </w:rPr>
        <w:footnoteReference w:id="1311"/>
      </w:r>
      <w:r>
        <w:rPr>
          <w:rFonts w:ascii="Amiri" w:hAnsi="Amiri" w:eastAsia="Amiri" w:cs="Amiri"/>
          <w:color w:val="111111"/>
          <w:sz w:val="28"/>
          <w:sz w:val="28"/>
          <w:szCs w:val="28"/>
          <w:rtl w:val="true"/>
          <w:lang w:bidi="ar-SA"/>
        </w:rPr>
        <w:t>المتناول لجميع من ذُكِر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وخالَفَ ابنُ الجنيد</w:t>
      </w:r>
      <w:r>
        <w:rPr>
          <w:rStyle w:val="FootnoteAnchor"/>
          <w:rtl w:val="true"/>
        </w:rPr>
        <w:footnoteReference w:id="1312"/>
      </w:r>
      <w:r>
        <w:rPr>
          <w:rFonts w:ascii="Amiri" w:hAnsi="Amiri" w:eastAsia="Amiri" w:cs="Amiri"/>
          <w:color w:val="111111"/>
          <w:sz w:val="28"/>
          <w:sz w:val="28"/>
          <w:szCs w:val="28"/>
          <w:rtl w:val="true"/>
          <w:lang w:bidi="ar-SA"/>
        </w:rPr>
        <w:t>فخصَّ الحكم بالرجال، بناءً على أنّ الضمير في الآية للذكور، ودخول الإناث فيهم مجاز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تسليمه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 في صحيحة محمّد بن مسلم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شَهَرالسلاحَ</w:t>
      </w:r>
      <w:r>
        <w:rPr>
          <w:rFonts w:eastAsia="Amiri" w:cs="Amiri" w:ascii="Amiri" w:hAnsi="Amiri"/>
          <w:color w:val="111111"/>
          <w:sz w:val="28"/>
          <w:szCs w:val="28"/>
          <w:rtl w:val="true"/>
          <w:lang w:bidi="ar-SA"/>
        </w:rPr>
        <w:t>»</w:t>
      </w:r>
      <w:r>
        <w:rPr>
          <w:rStyle w:val="FootnoteAnchor"/>
          <w:rtl w:val="true"/>
        </w:rPr>
        <w:footnoteReference w:id="1313"/>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عامّةٌ حقيقة للذكور والإناث؛ والشيخان حيث شرطا كونه من أهل الريبة</w:t>
      </w:r>
      <w:r>
        <w:rPr>
          <w:rStyle w:val="FootnoteAnchor"/>
          <w:rtl w:val="true"/>
        </w:rPr>
        <w:footnoteReference w:id="1314"/>
      </w:r>
      <w:r>
        <w:rPr>
          <w:rFonts w:ascii="Amiri" w:hAnsi="Amiri" w:eastAsia="Amiri" w:cs="Amiri"/>
          <w:color w:val="111111"/>
          <w:sz w:val="28"/>
          <w:sz w:val="28"/>
          <w:szCs w:val="28"/>
          <w:rtl w:val="true"/>
          <w:lang w:bidi="ar-SA"/>
        </w:rPr>
        <w:t>، وعموم النصّ يدفعه</w:t>
      </w:r>
      <w:r>
        <w:rPr>
          <w:rFonts w:eastAsia="Amiri" w:cs="Amiri" w:ascii="Amiri" w:hAnsi="Amiri"/>
          <w:color w:val="111111"/>
          <w:sz w:val="28"/>
          <w:szCs w:val="28"/>
          <w:rtl w:val="true"/>
          <w:lang w:bidi="ar-SA"/>
        </w:rPr>
        <w:t>.</w:t>
      </w:r>
    </w:p>
    <w:p>
      <w:pPr>
        <w:sectPr>
          <w:footerReference w:type="default" r:id="rId3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وأخذُ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تجريد السلاح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تُبع فيه الخبرُ، وإلا فالأجود عدم اعتباره، فلو اقتصر على الحجر والعصا والأخذ بالقوة فهو مُحارِبٌ لعموم الآية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وشمل إطلاقه كغيره الصغير والكبير ، لعموم الأدلّة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ويُشكل في الصغير بأنّ الحد مشروط بالتكليف خصوصاً القتل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وشَرَط ابنُ الجُنيد</w:t>
      </w:r>
      <w:r>
        <w:rPr>
          <w:rStyle w:val="FootnoteAnchor"/>
          <w:rtl w:val="true"/>
        </w:rPr>
        <w:footnoteReference w:id="1315"/>
      </w:r>
      <w:r>
        <w:rPr>
          <w:rFonts w:ascii="Amiri" w:hAnsi="Amiri" w:eastAsia="Amiri" w:cs="Amiri"/>
          <w:color w:val="111111"/>
          <w:sz w:val="28"/>
          <w:sz w:val="28"/>
          <w:szCs w:val="28"/>
          <w:rtl w:val="true"/>
          <w:lang w:bidi="ar-SA"/>
        </w:rPr>
        <w:t xml:space="preserve">فيه البلوغ، وربَّحه المصنّف في الشرح </w:t>
      </w:r>
      <w:r>
        <w:rPr>
          <w:rStyle w:val="FootnoteAnchor"/>
          <w:rtl w:val="true"/>
        </w:rPr>
        <w:footnoteReference w:id="1316"/>
      </w:r>
      <w:r>
        <w:rPr>
          <w:rFonts w:ascii="IRNazanin" w:hAnsi="IRNazanin" w:eastAsia="IRNazanin"/>
          <w:color w:val="111111"/>
          <w:sz w:val="28"/>
          <w:sz w:val="28"/>
          <w:szCs w:val="28"/>
          <w:rtl w:val="true"/>
          <w:lang w:bidi="fa-IR"/>
        </w:rPr>
        <w:t xml:space="preserve">، وهو حسن </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الطليع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للمحارب، وهو الذي يَرقُب له مَن يَمُرّ بالطريق، فيُعلمه به، أو يرقب له مَن يخاف عليه منه فيَحذِّره منه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والرِدْءُ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بكسر الراء فسكون الدال فالهمز، وهو المُعِين له في ما يحتاج إليه من غير أن يُباشر متعلّق المحاربة ممّا فيه أذَى الناس، وإلا كان محارباً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يُشترط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تحقق المحاربة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أخذُ النصاب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الحرزُ، بل ولا أخذ شيء؛ للعموم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وتَثبت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المحارَبةُ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بشهادة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ذكرين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عدلين، وبالإقرار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ولؤ مرّةً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واحدةً ،لعموم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إقرار العقلاء على أنفسهم جائز</w:t>
      </w:r>
      <w:r>
        <w:rPr>
          <w:rFonts w:eastAsia="Amiri" w:cs="Amiri" w:ascii="Amiri" w:hAnsi="Amiri"/>
          <w:color w:val="111111"/>
          <w:sz w:val="28"/>
          <w:szCs w:val="28"/>
          <w:rtl w:val="true"/>
          <w:lang w:bidi="ar-SA"/>
        </w:rPr>
        <w:t>»</w:t>
      </w:r>
      <w:r>
        <w:rPr>
          <w:rStyle w:val="FootnoteAnchor"/>
          <w:rtl w:val="true"/>
        </w:rPr>
        <w:footnoteReference w:id="1317"/>
      </w:r>
      <w:r>
        <w:rPr>
          <w:rFonts w:ascii="Amiri" w:hAnsi="Amiri" w:eastAsia="Amiri" w:cs="Amiri"/>
          <w:color w:val="111111"/>
          <w:sz w:val="28"/>
          <w:sz w:val="28"/>
          <w:szCs w:val="28"/>
          <w:rtl w:val="true"/>
          <w:lang w:bidi="ar-SA"/>
        </w:rPr>
        <w:t>خرج منه ما اشترط فيه التكرارُ بدليل خارج، فيَبقَى غيرُه على العموم، مع كمال المقرّ وحرّيّتِه واختياره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تُقبل شهادة بعض المأخوذين لبعض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للتهمة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لو شهد اثنان على بعض اللصوص أنّهم أخذوا غيرهما وشهد ذلك الغيرُ على بعض آخَرَ غير الأوّل أنّه أَخَذ الشاهدين حكم بالجميع؛ لعدم التهمة، وكذا لو قال الشاهدان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عَرَضوا لنا جميعاً وأَخَذوا هؤلاء خاصةً</w:t>
      </w:r>
      <w:r>
        <w:rPr>
          <w:rFonts w:eastAsia="Amiri" w:cs="Amiri" w:ascii="Amiri" w:hAnsi="Amiri"/>
          <w:color w:val="111111"/>
          <w:sz w:val="28"/>
          <w:szCs w:val="28"/>
          <w:rtl w:val="true"/>
          <w:lang w:bidi="ar-SA"/>
        </w:rPr>
        <w:t>.</w:t>
      </w:r>
    </w:p>
    <w:p>
      <w:pPr>
        <w:sectPr>
          <w:footerReference w:type="default" r:id="rId3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والحدُّ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للمحارب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القتل أو الصلب، أو قطع يده اليمنى ورجله اليسرى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318"/>
      </w:r>
      <w:r>
        <w:rPr>
          <w:rFonts w:ascii="Amiri" w:hAnsi="Amiri" w:eastAsia="Amiri" w:cs="Amiri"/>
          <w:color w:val="111111"/>
          <w:sz w:val="28"/>
          <w:sz w:val="28"/>
          <w:szCs w:val="28"/>
          <w:rtl w:val="true"/>
          <w:lang w:bidi="ar-SA"/>
        </w:rPr>
        <w:t>للآية الدالّة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التخيير وإن احتملت غيرَه ؛ لما رُوي صحيحاً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القرآن للتخيير حيث وقع</w:t>
      </w:r>
      <w:r>
        <w:rPr>
          <w:rStyle w:val="FootnoteAnchor"/>
          <w:rtl w:val="true"/>
        </w:rPr>
        <w:footnoteReference w:id="1319"/>
      </w:r>
      <w:r>
        <w:rPr>
          <w:rFonts w:ascii="Amiri" w:hAnsi="Amiri" w:eastAsia="Amiri" w:cs="Amiri"/>
          <w:color w:val="111111"/>
          <w:sz w:val="28"/>
          <w:sz w:val="28"/>
          <w:szCs w:val="28"/>
          <w:rtl w:val="true"/>
          <w:lang w:bidi="ar-SA"/>
        </w:rPr>
        <w:t>، ولحسنة جميل بن دَرّاج عن الصادق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سأله عن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جَزَؤُا الَّذِينَ يُحَارِبُونَ اللَّهَ وَرَسُولَهُ</w:t>
      </w:r>
      <w:r>
        <w:rPr>
          <w:rStyle w:val="FootnoteAnchor"/>
          <w:rtl w:val="true"/>
        </w:rPr>
        <w:footnoteReference w:id="1320"/>
      </w:r>
      <w:r>
        <w:rPr>
          <w:rFonts w:ascii="Amiri" w:hAnsi="Amiri" w:eastAsia="Amiri" w:cs="Amiri"/>
          <w:color w:val="111111"/>
          <w:sz w:val="28"/>
          <w:sz w:val="28"/>
          <w:szCs w:val="28"/>
          <w:rtl w:val="true"/>
          <w:lang w:bidi="ar-SA"/>
        </w:rPr>
        <w:t>، الآية،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شيء عليه من هذه الحدود التي سمَّى الله ؟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ذاك إلى الإمام إن شاء قطع وإن شاء صَلب، وإن شاء نَفَى وإن شاء قَتَل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يُنفَى إلى أين؟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يُنفى من مصر إلى مصرٍ آخَرَ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عليّاً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نَفَى رجلين من الكوفة إلى البصرة</w:t>
      </w:r>
      <w:r>
        <w:rPr>
          <w:rFonts w:eastAsia="Amiri" w:cs="Amiri" w:ascii="Amiri" w:hAnsi="Amiri"/>
          <w:color w:val="111111"/>
          <w:sz w:val="28"/>
          <w:szCs w:val="28"/>
          <w:rtl w:val="true"/>
          <w:lang w:bidi="ar-SA"/>
        </w:rPr>
        <w:t>»</w:t>
      </w:r>
      <w:r>
        <w:rPr>
          <w:rStyle w:val="FootnoteAnchor"/>
          <w:rtl w:val="true"/>
        </w:rPr>
        <w:footnoteReference w:id="132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ومثله حسنةُ بُريد أو صحيحته عنه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Style w:val="FootnoteAnchor"/>
          <w:rtl w:val="true"/>
        </w:rPr>
        <w:footnoteReference w:id="132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ولم يذكر المصنّف هنا النفي ولابد منه؛ لأنّه أحد أفراد الواجب المخيَّرِ في الآية والرواية، وليس في المسألة قول ثالث يشتمل على تركه، ولعلّ تَرْكَه سهو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لو قتل المحاربُ تَعيَّن قتله، ولم يُكتف بغيره من الحدود سواءٌ قَتَل مكافئاً أم لا وسواءٌ عَفَا الوليُّ أم لا على ما ذكره جماعة من الأصحاب</w:t>
      </w:r>
      <w:r>
        <w:rPr>
          <w:rStyle w:val="FootnoteAnchor"/>
          <w:rtl w:val="true"/>
        </w:rPr>
        <w:footnoteReference w:id="1323"/>
      </w:r>
    </w:p>
    <w:p>
      <w:pPr>
        <w:pStyle w:val="BookText"/>
        <w:rPr/>
      </w:pPr>
      <w:r>
        <w:rPr>
          <w:rFonts w:ascii="Amiri" w:hAnsi="Amiri" w:eastAsia="Amiri" w:cs="Amiri"/>
          <w:color w:val="111111"/>
          <w:sz w:val="28"/>
          <w:sz w:val="28"/>
          <w:szCs w:val="28"/>
          <w:rtl w:val="true"/>
          <w:lang w:bidi="ar-SA"/>
        </w:rPr>
        <w:t xml:space="preserve">الشيعة، ج </w:t>
      </w:r>
      <w:r>
        <w:rPr>
          <w:rFonts w:eastAsia="Amiri" w:cs="Amiri" w:ascii="Amiri" w:hAnsi="Amiri"/>
          <w:color w:val="111111"/>
          <w:sz w:val="28"/>
          <w:szCs w:val="28"/>
          <w:lang w:bidi="ar-SA"/>
        </w:rPr>
        <w:t>9</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259</w:t>
      </w:r>
      <w:r>
        <w:rPr>
          <w:rFonts w:ascii="Amiri" w:hAnsi="Amiri" w:eastAsia="Amiri" w:cs="Amiri"/>
          <w:color w:val="111111"/>
          <w:sz w:val="28"/>
          <w:sz w:val="28"/>
          <w:szCs w:val="28"/>
          <w:rtl w:val="true"/>
          <w:lang w:bidi="ar-SA"/>
        </w:rPr>
        <w:t xml:space="preserve">، المسألة </w:t>
      </w:r>
      <w:r>
        <w:rPr>
          <w:rFonts w:eastAsia="Amiri" w:cs="Amiri" w:ascii="Amiri" w:hAnsi="Amiri"/>
          <w:color w:val="111111"/>
          <w:sz w:val="28"/>
          <w:szCs w:val="28"/>
          <w:lang w:bidi="ar-SA"/>
        </w:rPr>
        <w:t>110</w:t>
      </w:r>
    </w:p>
    <w:p>
      <w:pPr>
        <w:pStyle w:val="BookText"/>
        <w:rPr/>
      </w:pPr>
      <w:r>
        <w:rPr>
          <w:rFonts w:ascii="Amiri" w:hAnsi="Amiri" w:eastAsia="Amiri" w:cs="Amiri"/>
          <w:color w:val="111111"/>
          <w:sz w:val="28"/>
          <w:sz w:val="28"/>
          <w:szCs w:val="28"/>
          <w:rtl w:val="true"/>
          <w:lang w:bidi="ar-SA"/>
        </w:rPr>
        <w:t>، وفي بعض أفراده نظر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والقائل الشيخ</w:t>
      </w:r>
      <w:r>
        <w:rPr>
          <w:rStyle w:val="FootnoteAnchor"/>
          <w:rtl w:val="true"/>
        </w:rPr>
        <w:footnoteReference w:id="1324"/>
      </w:r>
      <w:r>
        <w:rPr>
          <w:rFonts w:ascii="Amiri" w:hAnsi="Amiri" w:eastAsia="Amiri" w:cs="Amiri"/>
          <w:color w:val="111111"/>
          <w:sz w:val="28"/>
          <w:sz w:val="28"/>
          <w:szCs w:val="28"/>
          <w:rtl w:val="true"/>
          <w:lang w:bidi="ar-SA"/>
        </w:rPr>
        <w:t>، وجماعة</w:t>
      </w:r>
      <w:r>
        <w:rPr>
          <w:rStyle w:val="FootnoteAnchor"/>
          <w:rtl w:val="true"/>
        </w:rPr>
        <w:footnoteReference w:id="1325"/>
      </w:r>
    </w:p>
    <w:p>
      <w:pPr>
        <w:pStyle w:val="BookText"/>
        <w:rPr/>
      </w:pPr>
      <w:r>
        <w:rPr>
          <w:rFonts w:eastAsia="Amiri" w:cs="Amiri" w:ascii="Amiri" w:hAnsi="Amiri"/>
          <w:color w:val="111111"/>
          <w:sz w:val="28"/>
          <w:szCs w:val="28"/>
          <w:lang w:bidi="ar-SA"/>
        </w:rPr>
        <w:t>6896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والصيمري في غاية المرام ، ج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350</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ذلك لا على جهة التخيير، بل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يُقتل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قتل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طلب الولى قتله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حدّاً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عَفا عنه أو لم يطلب،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 قتل وأَخَذ المال قُطِع مخالفاً، ثمّ قُتِل وصُلب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مقتولاً ، وإن أخذ المالَ لا غيرُ قليلاً كان أم كثيراً، من حرز وغيره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قُطِع مخالفاً ونُفِيَ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يُقتل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ولو جَرَح ولم يَأخُذ مالاً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ولا قتل نفساً ولو بسرايةِ جراحتِه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اقتص منه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بمقدار الجُرح ونُفِيَ، ولو اقتصر على شَهْرِ السلاح والإخافة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 يأخُذ مالاً ولم يقتل ولم يَجرَح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نُفِيَ لا غير</w:t>
      </w:r>
      <w:r>
        <w:rPr>
          <w:rFonts w:eastAsia="Amiri" w:cs="Amiri" w:ascii="Amiri" w:hAnsi="Amiri"/>
          <w:color w:val="111111"/>
          <w:sz w:val="28"/>
          <w:szCs w:val="28"/>
          <w:rtl w:val="true"/>
          <w:lang w:bidi="ar-SA"/>
        </w:rPr>
        <w:t>).</w:t>
      </w:r>
    </w:p>
    <w:p>
      <w:pPr>
        <w:sectPr>
          <w:footerReference w:type="default" r:id="rId3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ومستند هذا التفصيل روايات </w:t>
      </w:r>
      <w:r>
        <w:rPr>
          <w:rStyle w:val="FootnoteAnchor"/>
          <w:rtl w:val="true"/>
        </w:rPr>
        <w:footnoteReference w:id="1326"/>
      </w:r>
      <w:r>
        <w:rPr>
          <w:rFonts w:ascii="Amiri" w:hAnsi="Amiri" w:eastAsia="Amiri" w:cs="Amiri"/>
          <w:color w:val="111111"/>
          <w:sz w:val="28"/>
          <w:sz w:val="28"/>
          <w:szCs w:val="28"/>
          <w:rtl w:val="true"/>
          <w:lang w:bidi="ar-SA"/>
        </w:rPr>
        <w:t xml:space="preserve">لا تخلو من ضعفٍ في سند، وجهالة واختلاف في متن تقصُر بسببه عن إفادة ما يُوجب الاعتماد عليه، ومع ذلك لم يجتمع جميعُ ما ذُكر </w:t>
      </w:r>
    </w:p>
    <w:p>
      <w:pPr>
        <w:pStyle w:val="BookText"/>
        <w:rPr/>
      </w:pPr>
      <w:r>
        <w:rPr>
          <w:rFonts w:ascii="Amiri" w:hAnsi="Amiri" w:eastAsia="Amiri" w:cs="Amiri"/>
          <w:color w:val="111111"/>
          <w:sz w:val="28"/>
          <w:sz w:val="28"/>
          <w:szCs w:val="28"/>
          <w:rtl w:val="true"/>
          <w:lang w:bidi="ar-SA"/>
        </w:rPr>
        <w:t>من الأحكام في رواية منها، وإنّما يَتَلَفَّق كثير منه من الجميع، وبعضُه لم نقف عليه في رواية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وبسبب ذلك اختلف كلام الشيخ أيضاً، ففي النهاية </w:t>
      </w:r>
      <w:r>
        <w:rPr>
          <w:rStyle w:val="FootnoteAnchor"/>
          <w:rtl w:val="true"/>
        </w:rPr>
        <w:footnoteReference w:id="1327"/>
      </w:r>
      <w:r>
        <w:rPr>
          <w:rFonts w:ascii="Amiri" w:hAnsi="Amiri" w:eastAsia="Amiri" w:cs="Amiri"/>
          <w:color w:val="111111"/>
          <w:sz w:val="28"/>
          <w:sz w:val="28"/>
          <w:szCs w:val="28"/>
          <w:rtl w:val="true"/>
          <w:lang w:bidi="ar-SA"/>
        </w:rPr>
        <w:t>ذكر قريباً ممّا ذُكر هنا، وفي الخلاف</w:t>
      </w:r>
      <w:r>
        <w:rPr>
          <w:rStyle w:val="FootnoteAnchor"/>
          <w:rtl w:val="true"/>
        </w:rPr>
        <w:footnoteReference w:id="1328"/>
      </w:r>
      <w:r>
        <w:rPr>
          <w:rFonts w:ascii="Amiri" w:hAnsi="Amiri" w:eastAsia="Amiri" w:cs="Amiri"/>
          <w:color w:val="111111"/>
          <w:sz w:val="28"/>
          <w:sz w:val="28"/>
          <w:szCs w:val="28"/>
          <w:rtl w:val="true"/>
          <w:lang w:bidi="ar-SA"/>
        </w:rPr>
        <w:t>أسقط القطع على تقدير قتله وأخذه المال، ولم يذكر حكم ما لو جَرَح، ولكن يمكن استفادة حكمه من خارج فإنّ الجارح عمداً يُقتص منه مطلقاً، فالمحارب أولى ومجرّد المحاربة يُجوز النفي وهي حاصلة معه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فيه أنّ القصاص حينئذٍ ليس حداً فلا وجه لإدخاله في بابه، ولو لوحِظ جميعُ ما يجب عليه لَقِيل مع أخذه المالَ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يؤخذ منه عينه أو مثله أو قيمته، مضافاً إلى ما يجب عليه، وهو خروج عن الفرض أو قصور في الاستيفاء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هذا التقسيم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تجاوز لما يوجد في الروايات، وليس بحاصِرٍ للأقسام، فإنّ منها أن يجمع بين الأمور كلها فيقتل ويجرح آخَرَ ويأخُذ المال، وحكمه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مضافاً إلى ما سبق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يُقتص منه للجرح قبل القتل، ولو كان في اليد أو الرجل فقبل القطع أيضاً، ومنها ما لو أخذ المال وجرح، ومنها ما لو قتل وجرح ولم يأخُذ المال، وحكمهما الاقتصاص للجرح والقطعُ في الأولى والقتل في الثانية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ولو 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المحارب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قبل القدرة عليه سَقط الحد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القتل والقطع والفي،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دون حق الآدمي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القصاص في النفس والجُرح والمال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وتوبته بعد الظفر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ظفر الحاكم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أثر لها 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إسقاط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 أو غُرْمٍ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قصاص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نَفْسٍ أو طَرَفٍ أو جُرْحٍ، بل يُستَوفَى منه جميعُ ما تقرّر</w:t>
      </w:r>
      <w:r>
        <w:rPr>
          <w:rFonts w:eastAsia="Amiri" w:cs="Amiri" w:ascii="Amiri" w:hAnsi="Amiri"/>
          <w:color w:val="111111"/>
          <w:sz w:val="28"/>
          <w:szCs w:val="28"/>
          <w:rtl w:val="true"/>
          <w:lang w:bidi="ar-SA"/>
        </w:rPr>
        <w:t>.</w:t>
      </w:r>
    </w:p>
    <w:p>
      <w:pPr>
        <w:sectPr>
          <w:footerReference w:type="default" r:id="rId3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وصلبه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تقدير اختياره، أو وجود مرتبته فى حالة كونه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حيّاً أو مقتولاً على اختلاف القولين</w:t>
      </w:r>
      <w:r>
        <w:rPr>
          <w:rFonts w:eastAsia="Amiri" w:cs="Amiri" w:ascii="Amiri" w:hAnsi="Amiri"/>
          <w:color w:val="111111"/>
          <w:sz w:val="28"/>
          <w:szCs w:val="28"/>
          <w:rtl w:val="true"/>
          <w:lang w:bidi="ar-SA"/>
        </w:rPr>
        <w:t>)</w:t>
      </w:r>
      <w:r>
        <w:rPr>
          <w:rStyle w:val="FootnoteAnchor"/>
          <w:rtl w:val="true"/>
        </w:rPr>
        <w:footnoteReference w:id="1329"/>
      </w:r>
      <w:r>
        <w:rPr>
          <w:rFonts w:ascii="Amiri" w:hAnsi="Amiri" w:eastAsia="Amiri" w:cs="Amiri"/>
          <w:color w:val="111111"/>
          <w:sz w:val="28"/>
          <w:sz w:val="28"/>
          <w:szCs w:val="28"/>
          <w:rtl w:val="true"/>
          <w:lang w:bidi="ar-SA"/>
        </w:rPr>
        <w:t xml:space="preserve">فعلى الأوّل الأوّلُ، وعلى الثاني الثاني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يُترك</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على خشبته حياً أو ميتاً أو بالتفريق أزيد من ثلاثة أيام من حين صلبه ولؤ ملفقهٌ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والظاهرُ أنّ الليالي غير معتبرة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تدخل الليلتان المتوسطتان تبعاً للأيام لتوقفها عليهما، فلو صُلب أوّلَ النهار وجب إنزالُه عَشِيَّةَ الثالث، مع احتمال اعتبار ثلاث ليال مع الأيام، بناءً على دخولها في مفهومها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ويُنزَل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الثلاثة أو قبلها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ويُجَهَّز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بالغُسل والحُنوط والتكفين إن صُلب ميّتاً أو اتَّفق موتُه في الثلاثة، وإلّا جهز عليه قبل تجهيزه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ولو تَقدَّم غُسْلَه وكَفْنَه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وحنوطه قبل موته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إنزاله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ودُفن</w:t>
      </w:r>
      <w:r>
        <w:rPr>
          <w:rFonts w:eastAsia="Amiri" w:cs="Amiri" w:ascii="Amiri" w:hAnsi="Amiri"/>
          <w:color w:val="111111"/>
          <w:sz w:val="28"/>
          <w:szCs w:val="28"/>
          <w:rtl w:val="true"/>
          <w:lang w:bidi="ar-SA"/>
        </w:rPr>
        <w:t>).</w:t>
      </w:r>
    </w:p>
    <w:p>
      <w:pPr>
        <w:sectPr>
          <w:footerReference w:type="default" r:id="rId3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ويُنفى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تقدير اختيار نفيه أو وجودِ مرتبته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بلده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الذي هو بها إلى غيرها </w:t>
      </w:r>
      <w:r>
        <w:rPr>
          <w:rStyle w:val="FootnoteAnchor"/>
          <w:rtl w:val="true"/>
        </w:rPr>
        <w:footnoteReference w:id="133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ويُكتب إلى كلّ بلدٍ يَصِلُ إليه بالمنع من مجالسته ومؤاكلته ومبايعته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وغيرها من المعاملات</w:t>
      </w:r>
      <w:r>
        <w:rPr>
          <w:rStyle w:val="FootnoteAnchor"/>
          <w:rtl w:val="true"/>
        </w:rPr>
        <w:footnoteReference w:id="1331"/>
      </w:r>
      <w:r>
        <w:rPr>
          <w:rFonts w:ascii="Amiri" w:hAnsi="Amiri" w:eastAsia="Amiri" w:cs="Amiri"/>
          <w:color w:val="111111"/>
          <w:sz w:val="28"/>
          <w:sz w:val="28"/>
          <w:szCs w:val="28"/>
          <w:rtl w:val="true"/>
          <w:lang w:bidi="ar-SA"/>
        </w:rPr>
        <w:t>إلى أن يتوب، فإن لم يتب استَمَرَّ النفي إلى أن يموت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ويُمنَع من دخول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بلاد الشرك، فإن مَكَّنُوه من الدخول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قُوتِلوا حتَّى يُخرجوه</w:t>
      </w:r>
      <w:r>
        <w:rPr>
          <w:rStyle w:val="FootnoteAnchor"/>
          <w:rtl w:val="true"/>
        </w:rPr>
        <w:footnoteReference w:id="133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كانوا أهلَ ذمّةٍ أو صلحٍ</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واللصُّ محارب</w:t>
      </w:r>
      <w:r>
        <w:rPr>
          <w:rStyle w:val="FootnoteAnchor"/>
          <w:rtl w:val="true"/>
        </w:rPr>
        <w:footnoteReference w:id="133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بمعنى أنه بحكم المحارب في 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يجوز دفعه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بالقتال،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ولو لم يندفع إلا بالقتل 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هَدْراً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أما لو تَمَكَّن الحاكمُ منه لم يَحدّه حدَّ المحارب ،مطلقاً، وإنّما أطلق عليه اسم المحارب تبعاً لإطلاق النصوص</w:t>
      </w:r>
      <w:r>
        <w:rPr>
          <w:rStyle w:val="FootnoteAnchor"/>
          <w:rtl w:val="true"/>
        </w:rPr>
        <w:footnoteReference w:id="133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لو تَظاهَرَ بذلك فهو محارب مطلقاً، وبذلك قيَّده المصنّف في الدروس</w:t>
      </w:r>
      <w:r>
        <w:rPr>
          <w:rStyle w:val="FootnoteAnchor"/>
          <w:rtl w:val="true"/>
        </w:rPr>
        <w:footnoteReference w:id="1335"/>
      </w:r>
      <w:r>
        <w:rPr>
          <w:rFonts w:ascii="IRNazanin" w:hAnsi="IRNazanin" w:eastAsia="IRNazanin"/>
          <w:color w:val="111111"/>
          <w:sz w:val="28"/>
          <w:sz w:val="28"/>
          <w:szCs w:val="28"/>
          <w:rtl w:val="true"/>
          <w:lang w:bidi="fa-IR"/>
        </w:rPr>
        <w:t>، وهو حسن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ولو طلب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اللصُّ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النفس وجب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المطلوب نفسُه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دفعه إن أمكن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مقتصراً فيما يندفع به على الأسهل فالأسهل، فإن لم يندفع إلا بقتله فهَدْرُ،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يمكن دفعه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وجب الهَرَبُ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لأنّه أحد أفراد ما يُدفع به عن النفس الواجب حفظها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حكم طلبه النفس طلبه الفساد بالحريم في وجوب دفعه مع الإمكان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ويُفهم منه أنه لو اقتصر على طلب المال لم يجب دفعه وإن جاز، وسيأتي البحث في ذلك كله</w:t>
      </w:r>
      <w:r>
        <w:rPr>
          <w:rFonts w:eastAsia="Amiri" w:cs="Amiri" w:ascii="Amiri" w:hAnsi="Amiri"/>
          <w:color w:val="111111"/>
          <w:sz w:val="28"/>
          <w:szCs w:val="28"/>
          <w:rtl w:val="true"/>
          <w:lang w:bidi="ar-SA"/>
        </w:rPr>
        <w:t>.</w:t>
      </w:r>
    </w:p>
    <w:p>
      <w:pPr>
        <w:sectPr>
          <w:footerReference w:type="default" r:id="rId3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يُقطَع المُخْتَلِسُ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الذي يأخُذ المالَ خُفْيَةً من غير الحرز،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المُسْتَلِبُ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الذي يأخُذه جهراً ويَهرُب مع كونه غير محارب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المُحتال على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أخذ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الأموال بالرسائل الكاذبة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ونحوها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يُعَزَّر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واحد منهم بما يراه الحاكم؛ لأنه فعل محرّم لم يَنْصَ الشارع على حدّه، وقد روى أبو بصير عن أحدهما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أَقطَعُ في الدغارةِ المُعلَنةِ وهي الخَلْسة، ولكن أُعَزِّرُه</w:t>
      </w:r>
      <w:r>
        <w:rPr>
          <w:rFonts w:eastAsia="Amiri" w:cs="Amiri" w:ascii="Amiri" w:hAnsi="Amiri"/>
          <w:color w:val="111111"/>
          <w:sz w:val="28"/>
          <w:szCs w:val="28"/>
          <w:rtl w:val="true"/>
          <w:lang w:bidi="ar-SA"/>
        </w:rPr>
        <w:t>»</w:t>
      </w:r>
      <w:r>
        <w:rPr>
          <w:rStyle w:val="FootnoteAnchor"/>
          <w:rtl w:val="true"/>
        </w:rPr>
        <w:footnoteReference w:id="1336"/>
      </w:r>
      <w:r>
        <w:rPr>
          <w:rFonts w:ascii="Amiri" w:hAnsi="Amiri" w:eastAsia="Amiri" w:cs="Amiri"/>
          <w:color w:val="111111"/>
          <w:sz w:val="28"/>
          <w:sz w:val="28"/>
          <w:szCs w:val="28"/>
          <w:rtl w:val="true"/>
          <w:lang w:bidi="ar-SA"/>
        </w:rPr>
        <w:t xml:space="preserve">، وفي حسنة الحلبي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قُطِع مَن أخذ المال بالرسالة الكاذبة وإنْ حَمَلَتْه </w:t>
      </w:r>
    </w:p>
    <w:p>
      <w:pPr>
        <w:pStyle w:val="BookText"/>
        <w:rPr/>
      </w:pPr>
      <w:r>
        <w:rPr>
          <w:rFonts w:ascii="Amiri" w:hAnsi="Amiri" w:eastAsia="Amiri" w:cs="Amiri"/>
          <w:color w:val="111111"/>
          <w:sz w:val="28"/>
          <w:sz w:val="28"/>
          <w:szCs w:val="28"/>
          <w:rtl w:val="true"/>
          <w:lang w:bidi="ar-SA"/>
        </w:rPr>
        <w:t>عليه الحاجة</w:t>
      </w:r>
      <w:r>
        <w:rPr>
          <w:rFonts w:eastAsia="Amiri" w:cs="Amiri" w:ascii="Amiri" w:hAnsi="Amiri"/>
          <w:color w:val="111111"/>
          <w:sz w:val="28"/>
          <w:szCs w:val="28"/>
          <w:rtl w:val="true"/>
          <w:lang w:bidi="ar-SA"/>
        </w:rPr>
        <w:t>»</w:t>
      </w:r>
      <w:r>
        <w:rPr>
          <w:rStyle w:val="FootnoteAnchor"/>
          <w:rtl w:val="true"/>
        </w:rPr>
        <w:footnoteReference w:id="133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وحَمَلها الشيخ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قطعه؛ حداً لإفساده لا لأنه سارق</w:t>
      </w:r>
      <w:r>
        <w:rPr>
          <w:rStyle w:val="FootnoteAnchor"/>
          <w:rtl w:val="true"/>
        </w:rPr>
        <w:footnoteReference w:id="133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أنّ الرواية صريحة في قطعه للسرقة</w:t>
      </w:r>
      <w:r>
        <w:rPr>
          <w:rFonts w:eastAsia="Amiri" w:cs="Amiri" w:ascii="Amiri" w:hAnsi="Amiri"/>
          <w:color w:val="111111"/>
          <w:sz w:val="28"/>
          <w:szCs w:val="28"/>
          <w:rtl w:val="true"/>
          <w:lang w:bidi="ar-SA"/>
        </w:rPr>
        <w:t>.</w:t>
      </w:r>
    </w:p>
    <w:p>
      <w:pPr>
        <w:sectPr>
          <w:footerReference w:type="default" r:id="rId3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ولو بَنَّجَ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غيره، أي أطعمه البَنْجَ حتى ذَهَب عقله عَبْناً أو لغرض،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سَقَى مُرْقِداً وجَنَى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المتناول بسببه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شيئاً ضَمِن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جناه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وعُزّرَ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فعله المحرَّمِ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ويُستثنى من ذلك ما لو استعمله للدواء فإنّه جائز حيث يتوقف عليه؛ لمكان الضرر، أو يكون قدراً لا يَضُرّ بالمزاج</w:t>
      </w:r>
      <w:r>
        <w:rPr>
          <w:rFonts w:eastAsia="Amiri" w:cs="Amiri" w:ascii="Amiri" w:hAnsi="Amiri"/>
          <w:color w:val="111111"/>
          <w:sz w:val="28"/>
          <w:szCs w:val="28"/>
          <w:rtl w:val="true"/>
          <w:lang w:bidi="ar-SA"/>
        </w:rPr>
        <w:t xml:space="preserve">. </w:t>
      </w:r>
      <w:bookmarkStart w:id="142" w:name="pg11049_88628"/>
    </w:p>
    <w:p>
      <w:pPr>
        <w:pStyle w:val="Heading3"/>
        <w:numPr>
          <w:ilvl w:val="2"/>
          <w:numId w:val="1"/>
        </w:numPr>
        <w:rPr/>
      </w:pPr>
      <w:bookmarkStart w:id="143" w:name="__RefHeading___Toc1446159_1067777946"/>
      <w:bookmarkStart w:id="144" w:name="_Toc43"/>
      <w:bookmarkEnd w:id="142"/>
      <w:bookmarkEnd w:id="143"/>
      <w:r>
        <w:rPr>
          <w:rtl w:val="true"/>
        </w:rPr>
        <w:t>الفصل السابع في عقوباتٍ متفرّقةٍ</w:t>
      </w:r>
      <w:bookmarkEnd w:id="14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إتيانُ البهيمة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ذاتُ الأربع من حيوان البر والبحر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الزجاج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ذاتُ الروح التي لا تُميّز ؛ سُمِّيَتْ بذلك لذلك</w:t>
      </w:r>
      <w:r>
        <w:rPr>
          <w:rStyle w:val="FootnoteAnchor"/>
          <w:rtl w:val="true"/>
        </w:rPr>
        <w:footnoteReference w:id="133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وعلى الأوّل فالحكم مختصّ بها فلا يتعلّق الحكم بالطير والسمك ونحوهما وإنْ حَرُمَ الفعل، وعلى الثاني يَدخُل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والأصل يقتضى الاقتصار على ما تحقق دخوله خاصةً، والعرفُ يَشهَد 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وَطِئ البالغ العاقل بهيمةً عُزّر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بما يراه الحاكم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وأُغرم ثمنها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قيمتها حين الوطء لمالكها إن لم تكن ملكاً للفاعل،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وحرم أكلها إن كانت مأكولةً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مقصودةً بالأكل عادةً كالنِعم الثلاثة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ونسلها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المتجدد بعد الوطء، لا الموجود حالته وإن كان حملاً على الأقوى، وفي حكمه ما يتجدد من الشعر والصوف واللين والبَيْض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ووَجَب ذَبْحُها وإحراقها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لكونه عقوبةً لها، بل إمّا لحكمةٍ خَفِيّةٍ أو مبالغةٌ في إخفائها لتجتنب؛ إذ يُحتمل اشتباه لحمها بغيره لولا الإحراق فيحِلّ على بعض الوجوه </w:t>
      </w:r>
      <w:r>
        <w:rPr>
          <w:rFonts w:eastAsia="Amiri" w:cs="Amiri" w:ascii="Amiri" w:hAnsi="Amiri"/>
          <w:color w:val="111111"/>
          <w:sz w:val="28"/>
          <w:szCs w:val="28"/>
          <w:rtl w:val="true"/>
          <w:lang w:bidi="ar-SA"/>
        </w:rPr>
        <w:t>.</w:t>
      </w:r>
    </w:p>
    <w:p>
      <w:pPr>
        <w:sectPr>
          <w:footerReference w:type="default" r:id="rId3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 كانت غير مأكولةٍ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أصلاً أو عادةً، والغرضُ الأهم غيره كالفيل والخيل والبِغَال والحَمِير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لم تُذبَح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حَرُم لحمها على الأقوى،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 تُخرج من بلد الواقعة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غيره قريباً كان أم بعيداً على الفور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يُشترط بُعْدُ البلد بحيث لا يظهر فيه خبرها عادةً </w:t>
      </w:r>
      <w:r>
        <w:rPr>
          <w:rStyle w:val="FootnoteAnchor"/>
          <w:rtl w:val="true"/>
        </w:rPr>
        <w:footnoteReference w:id="1340"/>
      </w:r>
      <w:r>
        <w:rPr>
          <w:rFonts w:ascii="Amiri" w:hAnsi="Amiri" w:eastAsia="Amiri" w:cs="Amiri"/>
          <w:color w:val="111111"/>
          <w:sz w:val="28"/>
          <w:sz w:val="28"/>
          <w:szCs w:val="28"/>
          <w:rtl w:val="true"/>
          <w:lang w:bidi="ar-SA"/>
        </w:rPr>
        <w:t>، وظاهرُ التعليل يدلّ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عادَتْ بعد الإخراج إلى بلد الفعل لم يجب </w:t>
      </w:r>
    </w:p>
    <w:p>
      <w:pPr>
        <w:pStyle w:val="BookText"/>
        <w:rPr/>
      </w:pPr>
      <w:r>
        <w:rPr>
          <w:rFonts w:ascii="Amiri" w:hAnsi="Amiri" w:eastAsia="Amiri" w:cs="Amiri"/>
          <w:color w:val="111111"/>
          <w:sz w:val="28"/>
          <w:sz w:val="28"/>
          <w:szCs w:val="28"/>
          <w:rtl w:val="true"/>
          <w:lang w:bidi="ar-SA"/>
        </w:rPr>
        <w:t>إخراجها لتحققِ الامتثال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وتُباع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إخراجها أو قبله إن لم يُنافِ الفورية، إما تعبداً أو لئلا يُعيَّر فاعلها بها أو مالكها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وفي الصدقة 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أي بالثمن الذي بِيعَتْ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المدلول عليه بالبيع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المالك إن كان هو الفاعل، وإلّا عن الفاعل،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إعادته على الغارم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المالك لكونه غارماً البهيمة، أو الفاعلُ لكونه غارماً للثمن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وجهان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قولان</w:t>
      </w:r>
      <w:r>
        <w:rPr>
          <w:rStyle w:val="FootnoteAnchor"/>
          <w:rtl w:val="true"/>
        </w:rPr>
        <w:footnoteReference w:id="134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ووجه الأوّل كون ذلك عقوبةً على الجناية فلو أعيد إليه الثمن لم تحصل العقوبة، ولتكون الصدقةُ مُكَفِّرةً لذنبه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وفيه نظر؛ لأنّ العقوبة بذلك غير متحققة بل الظاهرُ خلافها؛ لتعليل بيعها في الأخبار في بلد لا تُعرَف فيه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كيلا يُعيَّر بها</w:t>
      </w:r>
      <w:r>
        <w:rPr>
          <w:rFonts w:eastAsia="Amiri" w:cs="Amiri" w:ascii="Amiri" w:hAnsi="Amiri"/>
          <w:color w:val="111111"/>
          <w:sz w:val="28"/>
          <w:szCs w:val="28"/>
          <w:rtl w:val="true"/>
          <w:lang w:bidi="ar-SA"/>
        </w:rPr>
        <w:t>»</w:t>
      </w:r>
      <w:r>
        <w:rPr>
          <w:rStyle w:val="FootnoteAnchor"/>
          <w:rtl w:val="true"/>
        </w:rPr>
        <w:footnoteReference w:id="1342"/>
      </w:r>
      <w:r>
        <w:rPr>
          <w:rFonts w:ascii="Amiri" w:hAnsi="Amiri" w:eastAsia="Amiri" w:cs="Amiri"/>
          <w:color w:val="111111"/>
          <w:sz w:val="28"/>
          <w:sz w:val="28"/>
          <w:szCs w:val="28"/>
          <w:rtl w:val="true"/>
          <w:lang w:bidi="ar-SA"/>
        </w:rPr>
        <w:t>، وعقوبة الفاعل حاصلة بالتعزير، وتكفير الذنب متوقف على التوبة وهي كافية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ووجه الثاني أصالة بقاء الملك على مالكه والبراءة من وجوب الصدقة، والأخبار</w:t>
      </w:r>
      <w:r>
        <w:rPr>
          <w:rStyle w:val="FootnoteAnchor"/>
          <w:rtl w:val="true"/>
        </w:rPr>
        <w:footnoteReference w:id="1343"/>
      </w:r>
      <w:r>
        <w:rPr>
          <w:rFonts w:ascii="Amiri" w:hAnsi="Amiri" w:eastAsia="Amiri" w:cs="Amiri"/>
          <w:color w:val="111111"/>
          <w:sz w:val="28"/>
          <w:sz w:val="28"/>
          <w:szCs w:val="28"/>
          <w:rtl w:val="true"/>
          <w:lang w:bidi="ar-SA"/>
        </w:rPr>
        <w:t>خالية عن تعيين ما يُصنع به، وكذا عبارة جماعة من الأصحاب</w:t>
      </w:r>
      <w:r>
        <w:rPr>
          <w:rStyle w:val="FootnoteAnchor"/>
          <w:rtl w:val="true"/>
        </w:rPr>
        <w:footnoteReference w:id="1344"/>
      </w:r>
    </w:p>
    <w:p>
      <w:p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332</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ثمّ إن كان الفاعل هو المالك فالأصل في محلّه، وإن كان غيره فالظاهر أن تغريمه القيمةَ يُوجِب مِلكَه لها، وإلّا لَبَقِيَ المِلكُ بغير مالك أو جُمع للمالك بين العوض والمُعَوَّض وهو غير جائز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بعض الروايات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ثمنها </w:t>
      </w:r>
      <w:r>
        <w:rPr>
          <w:rFonts w:eastAsia="Amiri" w:cs="Amiri" w:ascii="Amiri" w:hAnsi="Amiri"/>
          <w:color w:val="111111"/>
          <w:sz w:val="28"/>
          <w:szCs w:val="28"/>
          <w:rtl w:val="true"/>
          <w:lang w:bidi="ar-SA"/>
        </w:rPr>
        <w:t>»</w:t>
      </w:r>
      <w:r>
        <w:rPr>
          <w:rStyle w:val="FootnoteAnchor"/>
          <w:rtl w:val="true"/>
        </w:rPr>
        <w:footnoteReference w:id="1345"/>
      </w:r>
      <w:r>
        <w:rPr>
          <w:rFonts w:ascii="Amiri" w:hAnsi="Amiri" w:eastAsia="Amiri" w:cs="Amiri"/>
          <w:color w:val="111111"/>
          <w:sz w:val="28"/>
          <w:sz w:val="28"/>
          <w:szCs w:val="28"/>
          <w:rtl w:val="true"/>
          <w:lang w:bidi="ar-SA"/>
        </w:rPr>
        <w:t xml:space="preserve">كما عبر المصنِّفُ، وهو عِوَض المُثْمَن المقتضي لثبوت معاوضة، وهو السر في تخصيص المصنّف لهذه العبارة، وفي بعض الروايات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قيمتها</w:t>
      </w:r>
      <w:r>
        <w:rPr>
          <w:rFonts w:eastAsia="Amiri" w:cs="Amiri" w:ascii="Amiri" w:hAnsi="Amiri"/>
          <w:color w:val="111111"/>
          <w:sz w:val="28"/>
          <w:szCs w:val="28"/>
          <w:rtl w:val="true"/>
          <w:lang w:bidi="ar-SA"/>
        </w:rPr>
        <w:t>»</w:t>
      </w:r>
      <w:r>
        <w:rPr>
          <w:rStyle w:val="FootnoteAnchor"/>
          <w:rtl w:val="true"/>
        </w:rPr>
        <w:footnoteReference w:id="1346"/>
      </w:r>
      <w:r>
        <w:rPr>
          <w:rFonts w:ascii="Amiri" w:hAnsi="Amiri" w:eastAsia="Amiri" w:cs="Amiri"/>
          <w:color w:val="111111"/>
          <w:sz w:val="28"/>
          <w:sz w:val="28"/>
          <w:szCs w:val="28"/>
          <w:rtl w:val="true"/>
          <w:lang w:bidi="ar-SA"/>
        </w:rPr>
        <w:t>وهي أيضاً عوض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هو الأجود</w:t>
      </w:r>
      <w:r>
        <w:rPr>
          <w:rFonts w:eastAsia="Amiri" w:cs="Amiri" w:ascii="Amiri" w:hAnsi="Amiri"/>
          <w:color w:val="111111"/>
          <w:sz w:val="28"/>
          <w:szCs w:val="28"/>
          <w:rtl w:val="true"/>
          <w:lang w:bidi="ar-SA"/>
        </w:rPr>
        <w:t>.</w:t>
      </w:r>
    </w:p>
    <w:p>
      <w:pPr>
        <w:sectPr>
          <w:footerReference w:type="default" r:id="rId3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إن كان بقدر ما غَرِمه للمالك أو أنقص فالحكم واضح، ولو كان أزيد فمقتضى </w:t>
      </w:r>
    </w:p>
    <w:p>
      <w:pPr>
        <w:pStyle w:val="BookText"/>
        <w:rPr/>
      </w:pPr>
      <w:r>
        <w:rPr>
          <w:rFonts w:ascii="Amiri" w:hAnsi="Amiri" w:eastAsia="Amiri" w:cs="Amiri"/>
          <w:color w:val="111111"/>
          <w:sz w:val="28"/>
          <w:sz w:val="28"/>
          <w:szCs w:val="28"/>
          <w:rtl w:val="true"/>
          <w:lang w:bidi="ar-SA"/>
        </w:rPr>
        <w:t>المعاوضة أنّ الزيادة له؛ لاستلزامها انتقال الملك إلى الغارم كما يكون النقصان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ويُحتمل دفعها إلى المالك لأنّ الحيوانَ مِلكه وإنّما أُعطِي عوضه للحيلولة، فإذا زادت قيمته كانت له لعدم تحقق الناقل للملك؛ ولأنّ إثبات الزيادة للفاعل إكرام ونفع لا يليقان بحاله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المسألة احتمال ثالث، وهو الصدقة بالزائد عمّا غَرِم وإنْ لم نُوجِبها في الأصل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لانتقالها عن ملك المالك بأخذ العوض، وعدم انتقالها إلى ملك الفاعل لعدم وجود سبب الانتقال، وردُّ ما غَرِم إليه لا يقتضي ملك الزيادة فتَتَعيَّن الصدقة، ويدل على عدم ملكهما عدم اعتبار إذنهما في البيع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ويُضعف باستلزامه بقاء ملك بلا مالك، وأصالة عدم انتقاله بعد تحققه في الجملة وإن لم يَتَعَيَّن وعدم استئذانهما بحكم الشارع لا يُنافي الملك، كما في كثير من موارد المعاوضات الإجبارية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تقدير انتقالها إلى الفاعل ففي وقت الانتقال وجهان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أحدهما أنّه بمجرد الفعل؛ لأنّه السبب التام في الغُرم فيكون هو الناقل، ولاعتبار قيمتها عنده، والثاني كونه وقت دفع العوض، ليتحقق به المعاوضةُ الإجبارية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وتظهر الفائدة فيما لو تلفَتْ قبل دفع العوض، فعلى الأوّل يكون من مال الفاعل وعلى الثاني من المالك، وفيما لو جني عليها قبله فالأرش للفاعل على الأوّل وللمالك على الثاني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مؤونتها بعد دفع العوض إلى زمن البيع في غير البلد، وأرتُها ونَماؤُها فللفاعل وكذا تلفها قبل البيع فإنه عليه على كل حال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واحترز بالبالغ العاقل عن الطفل والمجنون فلا يتعلق بهما جميع هذه الأحكام وإن تعلَّق بهما بعضُها، أما التحريم فالظاهر تعلقه بمطلق الذكر كما سلف، وأما الحد فينتفي عن غير المكلَّف وإنْ أُدب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ويلزم من تحريمها وجوب إتلافها لئلا تشتبه كما هو الحكمة فيه فيستوي فيه الجميع أيضاً</w:t>
      </w:r>
      <w:r>
        <w:rPr>
          <w:rFonts w:eastAsia="Amiri" w:cs="Amiri" w:ascii="Amiri" w:hAnsi="Amiri"/>
          <w:color w:val="111111"/>
          <w:sz w:val="28"/>
          <w:szCs w:val="28"/>
          <w:rtl w:val="true"/>
          <w:lang w:bidi="ar-SA"/>
        </w:rPr>
        <w:t>.</w:t>
      </w:r>
    </w:p>
    <w:p>
      <w:pPr>
        <w:sectPr>
          <w:footerReference w:type="default" r:id="rId3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وبقي بيعُ ما لا يقصد لحمه وإخراجه وهو منفي في فعل الصغير؛ لأنّ الحكم معلق </w:t>
      </w:r>
    </w:p>
    <w:p>
      <w:pPr>
        <w:pStyle w:val="BookText"/>
        <w:rPr/>
      </w:pPr>
      <w:r>
        <w:rPr>
          <w:rFonts w:ascii="Amiri" w:hAnsi="Amiri" w:eastAsia="Amiri" w:cs="Amiri"/>
          <w:color w:val="111111"/>
          <w:sz w:val="28"/>
          <w:sz w:val="28"/>
          <w:szCs w:val="28"/>
          <w:rtl w:val="true"/>
          <w:lang w:bidi="ar-SA"/>
        </w:rPr>
        <w:t>في النصوص</w:t>
      </w:r>
      <w:r>
        <w:rPr>
          <w:rStyle w:val="FootnoteAnchor"/>
          <w:rtl w:val="true"/>
        </w:rPr>
        <w:footnoteReference w:id="1347"/>
      </w:r>
      <w:r>
        <w:rPr>
          <w:rFonts w:ascii="IRNazanin" w:hAnsi="IRNazanin" w:eastAsia="IRNazanin"/>
          <w:color w:val="111111"/>
          <w:sz w:val="28"/>
          <w:sz w:val="28"/>
          <w:szCs w:val="28"/>
          <w:rtl w:val="true"/>
          <w:lang w:bidi="fa-IR"/>
        </w:rPr>
        <w:t xml:space="preserve">على فعل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الرجل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وظاهرُ الفتوى</w:t>
      </w:r>
      <w:r>
        <w:rPr>
          <w:rStyle w:val="FootnoteAnchor"/>
          <w:rtl w:val="true"/>
        </w:rPr>
        <w:footnoteReference w:id="1348"/>
      </w:r>
      <w:r>
        <w:rPr>
          <w:rFonts w:ascii="Amiri" w:hAnsi="Amiri" w:eastAsia="Amiri" w:cs="Amiri"/>
          <w:color w:val="111111"/>
          <w:sz w:val="28"/>
          <w:sz w:val="28"/>
          <w:szCs w:val="28"/>
          <w:rtl w:val="true"/>
          <w:lang w:bidi="ar-SA"/>
        </w:rPr>
        <w:t>يوافقه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المجنون فإنّ الرجل يتناوله والتقييد بالبالغ العاقل يُخرِجه، ولعلّ اقتران الحكم في النصوص المعبَّر فيها بالرجل بالحد قرينة إرادة المكلّف، فيَخرُج المجنون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أجود؛ وقوفاً فيما خالَفَ الأصل على موضع اليقين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وطئ الخنثى فلا يتعلَّق به حكم، وهو وارد على تعبير المصنّف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فيما سبق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الحكم بالتحريم على وطء الإنسان ولا فرق في الموطوء بين الذكر والأنثى، ولا بين وطء القبل والدبر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انعكس الحكم بأن كان الآدمي هو الموطوء فلا تحريم للفاعل، ولا غيره من الأحكام للأصل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وحيث يُحكم بتحريم موطوء الطفل أو المجنون يلزمهما قيمته؛ لأنه بمنزلة الإتلاف وحكمُه غيرُ مختص بالمكلّف، فإن كان لهما مال وإلّا أتبعا به بعد اليسار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كان المقصود منه الظهْرَ فلا شيء عليهما إلّا أن يُوجِب نقص القيمة لتحريم لحمه أو لغيره فيلزمهما الأرسُ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كان الواطئ بالغاً وبيع في غير البلد لغير العالم بالحال فعَلم احتُمِل قويّاً جواز الفسخ مع استلزامه نقص القيمة بالنسبة إلى العالم؛ لأنه حينئذٍ عيب</w:t>
      </w:r>
      <w:r>
        <w:rPr>
          <w:rFonts w:eastAsia="Amiri" w:cs="Amiri" w:ascii="Amiri" w:hAnsi="Amiri"/>
          <w:color w:val="111111"/>
          <w:sz w:val="28"/>
          <w:szCs w:val="28"/>
          <w:rtl w:val="true"/>
          <w:lang w:bidi="ar-SA"/>
        </w:rPr>
        <w:t>.</w:t>
      </w:r>
    </w:p>
    <w:p>
      <w:pPr>
        <w:sectPr>
          <w:footerReference w:type="default" r:id="rId3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والتعزيرُ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الثابت على الفاعل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موكول إلى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نظر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الإمام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من قام مقامه كما في كلّ تعزير لا تقدير له شرعاً، وقد ورد مطلقاً في كثير من الأخبار</w:t>
      </w:r>
      <w:r>
        <w:rPr>
          <w:rStyle w:val="FootnoteAnchor"/>
          <w:rtl w:val="true"/>
        </w:rPr>
        <w:footnoteReference w:id="1349"/>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والقائل الشيخ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قَدْرَه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خمسة وعشرون سوطاً</w:t>
      </w:r>
      <w:r>
        <w:rPr>
          <w:rFonts w:eastAsia="Amiri" w:cs="Amiri" w:ascii="Amiri" w:hAnsi="Amiri"/>
          <w:color w:val="111111"/>
          <w:sz w:val="28"/>
          <w:szCs w:val="28"/>
          <w:rtl w:val="true"/>
          <w:lang w:bidi="ar-SA"/>
        </w:rPr>
        <w:t>)</w:t>
      </w:r>
      <w:r>
        <w:rPr>
          <w:rStyle w:val="FootnoteAnchor"/>
          <w:rtl w:val="true"/>
        </w:rPr>
        <w:footnoteReference w:id="1350"/>
      </w:r>
      <w:r>
        <w:rPr>
          <w:rFonts w:ascii="Amiri" w:hAnsi="Amiri" w:eastAsia="Amiri" w:cs="Amiri"/>
          <w:color w:val="111111"/>
          <w:sz w:val="28"/>
          <w:sz w:val="28"/>
          <w:szCs w:val="28"/>
          <w:rtl w:val="true"/>
          <w:lang w:bidi="ar-SA"/>
        </w:rPr>
        <w:t>لحسنة عبد الله بن سنان عن أبي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Style w:val="FootnoteAnchor"/>
          <w:rtl w:val="true"/>
        </w:rPr>
        <w:footnoteReference w:id="1351"/>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ورواية إسحاق بن عمّار عن الكاظم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Style w:val="FootnoteAnchor"/>
          <w:rtl w:val="true"/>
        </w:rPr>
        <w:footnoteReference w:id="1352"/>
      </w:r>
      <w:r>
        <w:rPr>
          <w:rFonts w:ascii="Amiri" w:hAnsi="Amiri" w:eastAsia="Amiri" w:cs="Amiri"/>
          <w:color w:val="111111"/>
          <w:sz w:val="28"/>
          <w:sz w:val="28"/>
          <w:szCs w:val="28"/>
          <w:rtl w:val="true"/>
          <w:lang w:bidi="ar-SA"/>
        </w:rPr>
        <w:t>، والحسن بن خالد عن الرضا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Style w:val="FootnoteAnchor"/>
          <w:rtl w:val="true"/>
        </w:rPr>
        <w:footnoteReference w:id="135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يُحَدٌ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كمال الحد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مائة جلدة حدَّ الزاني</w:t>
      </w:r>
      <w:r>
        <w:rPr>
          <w:rStyle w:val="FootnoteAnchor"/>
          <w:rtl w:val="true"/>
        </w:rPr>
        <w:footnoteReference w:id="1354"/>
      </w:r>
      <w:r>
        <w:rPr>
          <w:rFonts w:ascii="Amiri" w:hAnsi="Amiri" w:eastAsia="Amiri" w:cs="Amiri"/>
          <w:color w:val="111111"/>
          <w:sz w:val="28"/>
          <w:sz w:val="28"/>
          <w:szCs w:val="28"/>
          <w:rtl w:val="true"/>
          <w:lang w:bidi="ar-SA"/>
        </w:rPr>
        <w:t xml:space="preserve">لصحيحة أبي بصير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رجل أتى بهيمة فأولَج،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عليه الحد</w:t>
      </w:r>
      <w:r>
        <w:rPr>
          <w:rFonts w:eastAsia="Amiri" w:cs="Amiri" w:ascii="Amiri" w:hAnsi="Amiri"/>
          <w:color w:val="111111"/>
          <w:sz w:val="28"/>
          <w:szCs w:val="28"/>
          <w:rtl w:val="true"/>
          <w:lang w:bidi="ar-SA"/>
        </w:rPr>
        <w:t>»</w:t>
      </w:r>
      <w:r>
        <w:rPr>
          <w:rStyle w:val="FootnoteAnchor"/>
          <w:rtl w:val="true"/>
        </w:rPr>
        <w:footnoteReference w:id="135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أُخرى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حدّ الزاني</w:t>
      </w:r>
      <w:r>
        <w:rPr>
          <w:rFonts w:eastAsia="Amiri" w:cs="Amiri" w:ascii="Amiri" w:hAnsi="Amiri"/>
          <w:color w:val="111111"/>
          <w:sz w:val="28"/>
          <w:szCs w:val="28"/>
          <w:rtl w:val="true"/>
          <w:lang w:bidi="ar-SA"/>
        </w:rPr>
        <w:t>»</w:t>
      </w:r>
      <w:r>
        <w:rPr>
          <w:rStyle w:val="FootnoteAnchor"/>
          <w:rtl w:val="true"/>
        </w:rPr>
        <w:footnoteReference w:id="135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القتل</w:t>
      </w:r>
      <w:r>
        <w:rPr>
          <w:rStyle w:val="FootnoteAnchor"/>
          <w:rtl w:val="true"/>
        </w:rPr>
        <w:footnoteReference w:id="135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لصحيحة جميل بن دَرّاج عن أبي عبد الله</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رجل أَتَى بهيمة،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يُقتل</w:t>
      </w:r>
      <w:r>
        <w:rPr>
          <w:rFonts w:eastAsia="Amiri" w:cs="Amiri" w:ascii="Amiri" w:hAnsi="Amiri"/>
          <w:color w:val="111111"/>
          <w:sz w:val="28"/>
          <w:szCs w:val="28"/>
          <w:rtl w:val="true"/>
          <w:lang w:bidi="ar-SA"/>
        </w:rPr>
        <w:t>»</w:t>
      </w:r>
      <w:r>
        <w:rPr>
          <w:rStyle w:val="FootnoteAnchor"/>
          <w:rtl w:val="true"/>
        </w:rPr>
        <w:footnoteReference w:id="135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وجمع الشيخ في الاستبصار بين هذه الأخبار بحمل التعزير على ما إذا كان الفعل دون الإيلاج، والحد إذا أولج حد الزاني وهو الرجم، أو القتل إن كان محصناً، والحد إن لم يكن محصناً، أو بحمل أخبار القتل على ما إذا تكرر منه الفعلُ ثلاثاً مع تخلُّلِ التعزير؛ لما روي من قتل أصحاب الكبائر مطلقاً إذا أقيم عليهم الحد مرّتين </w:t>
      </w:r>
      <w:r>
        <w:rPr>
          <w:rStyle w:val="FootnoteAnchor"/>
          <w:rtl w:val="true"/>
        </w:rPr>
        <w:footnoteReference w:id="1359"/>
      </w:r>
      <w:r>
        <w:rPr>
          <w:rFonts w:ascii="Amiri" w:hAnsi="Amiri" w:eastAsia="Amiri" w:cs="Amiri"/>
          <w:color w:val="111111"/>
          <w:sz w:val="28"/>
          <w:sz w:val="28"/>
          <w:szCs w:val="28"/>
          <w:rtl w:val="true"/>
          <w:lang w:bidi="ar-SA"/>
        </w:rPr>
        <w:t>والتعزيرُ يُطلَق عليه الحد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يبقى على الثاني خبرُ الحدّ منافياً للتعزير بما دونه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ويثبت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الفعل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بشهادة عدلين، وبالإقرار مرّةً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جميع الأحكام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كانت الدابةُ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لعموم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إقرار العقلاء على أنفسهم جائز</w:t>
      </w:r>
      <w:r>
        <w:rPr>
          <w:rFonts w:eastAsia="Amiri" w:cs="Amiri" w:ascii="Amiri" w:hAnsi="Amiri"/>
          <w:color w:val="111111"/>
          <w:sz w:val="28"/>
          <w:szCs w:val="28"/>
          <w:rtl w:val="true"/>
          <w:lang w:bidi="ar-SA"/>
        </w:rPr>
        <w:t>»</w:t>
      </w:r>
      <w:r>
        <w:rPr>
          <w:rStyle w:val="FootnoteAnchor"/>
          <w:rtl w:val="true"/>
        </w:rPr>
        <w:footnoteReference w:id="1360"/>
      </w:r>
      <w:r>
        <w:rPr>
          <w:rFonts w:ascii="Amiri" w:hAnsi="Amiri" w:eastAsia="Amiri" w:cs="Amiri"/>
          <w:color w:val="111111"/>
          <w:sz w:val="28"/>
          <w:sz w:val="28"/>
          <w:szCs w:val="28"/>
          <w:rtl w:val="true"/>
          <w:lang w:bidi="ar-SA"/>
        </w:rPr>
        <w:t>خَرَج منه ما افتقر إلى التعدّد بنصٌ خا فيَبقَى غيرُه،</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تكن الدابة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الثابتُ بالإقرار مطلقاً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التعزيرُ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خاصةً، دون غيره من الأحكام المذكورة؛ لأنّه إقرار في حق الغير فلا يُسمع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 أن يُصَدِّقَه المالك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فيثبت باقي الأحكام؛ لزوال المانع من نفوذه حينئذ</w:t>
      </w:r>
      <w:r>
        <w:rPr>
          <w:rFonts w:eastAsia="Amiri" w:cs="Amiri" w:ascii="Amiri" w:hAnsi="Amiri"/>
          <w:color w:val="111111"/>
          <w:sz w:val="28"/>
          <w:szCs w:val="28"/>
          <w:rtl w:val="true"/>
          <w:lang w:bidi="ar-SA"/>
        </w:rPr>
        <w:t>.</w:t>
      </w:r>
    </w:p>
    <w:p>
      <w:pPr>
        <w:sectPr>
          <w:footerReference w:type="default" r:id="rId3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هذا بحسب الظاهر، أمّا في نفس الأمر فإن كانت له هل يجب عليه فعلُ ما ذُكر من الذبحِ والإحراق؟ الظاهرُ ذلك؛ لقولهم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الرواية السابقة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كانت البهيمة للفاعل </w:t>
      </w:r>
    </w:p>
    <w:p>
      <w:pPr>
        <w:pStyle w:val="BookText"/>
        <w:rPr/>
      </w:pPr>
      <w:r>
        <w:rPr>
          <w:rFonts w:ascii="Amiri" w:hAnsi="Amiri" w:eastAsia="Amiri" w:cs="Amiri"/>
          <w:color w:val="111111"/>
          <w:sz w:val="28"/>
          <w:sz w:val="28"/>
          <w:szCs w:val="28"/>
          <w:rtl w:val="true"/>
          <w:lang w:bidi="ar-SA"/>
        </w:rPr>
        <w:t>ذُبحت، فإذا ماتت أُحرقت بالنار ولم يُنتفع بها</w:t>
      </w:r>
      <w:r>
        <w:rPr>
          <w:rFonts w:eastAsia="Amiri" w:cs="Amiri" w:ascii="Amiri" w:hAnsi="Amiri"/>
          <w:color w:val="111111"/>
          <w:sz w:val="28"/>
          <w:szCs w:val="28"/>
          <w:rtl w:val="true"/>
          <w:lang w:bidi="ar-SA"/>
        </w:rPr>
        <w:t>»</w:t>
      </w:r>
      <w:r>
        <w:rPr>
          <w:rStyle w:val="FootnoteAnchor"/>
          <w:rtl w:val="true"/>
        </w:rPr>
        <w:footnoteReference w:id="136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لم تكن مأكولة ففي وجوب بيعها خارج البلد وجهان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أجودُهما العدم؛ للأصل، وعدم دَلالة النصوص عليه، وللتعليل بأنّ بيعها خارجه ليَخفَى خبرها، وهو مخفي هنا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كانت لغيره فهل يثبت عليه الغُرْمُ ويجب عليه التوصل إلى إتلاف المأكولة بإذن المالك ولؤ بالشراء منه ؟ الظاهرُ العدم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لو صارت مِلكه بوجه من الوجوه وجب عليه إتلاف المأكولة؛ لتحريمها في نفس الأمر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وجوب كونه بالذبح ثمّ الإحراق وجه قوي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لم تنتقل إلى ملكه لكن ذبحها المالكُ أو غيرُه لم يَحِلّ للفاعل الأكل من لحمها؛ لعلمه بتحريمه، وكذا القول في نسلها ولبنها ونحوه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وطئ الأموات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زنئ ولواطاً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وحكمه حكم الأحياء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الحد والشرائط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يَزِيد هنا 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تُغَلَّظ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العقوبةُ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بما يراه الحاكم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إلّا أن تكون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الموطوءة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زوجته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أمته المحلَّلة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فيُعَزَّر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خاصةً؛ لتحريم وطئها، ولا يُحد؛ لعدم الزنى إذ لم تخرج بالموت عن الزوجية ومِن ثَمَّ جاز له تغسيلها</w:t>
      </w:r>
      <w:r>
        <w:rPr>
          <w:rFonts w:eastAsia="Amiri" w:cs="Amiri" w:ascii="Amiri" w:hAnsi="Amiri"/>
          <w:color w:val="111111"/>
          <w:sz w:val="28"/>
          <w:szCs w:val="28"/>
          <w:rtl w:val="true"/>
          <w:lang w:bidi="ar-SA"/>
        </w:rPr>
        <w:t>.</w:t>
      </w:r>
    </w:p>
    <w:p>
      <w:pPr>
        <w:sectPr>
          <w:footerReference w:type="default" r:id="rId3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ويثبت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الفعل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بأربعة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شهودٍ ذُكورٍ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الأقوى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كالزني واللواط؛ لأنه زنئ ولواط في الجملة بل أفحش فيتناوله عموم أدلّةِ توقف ثبوته على الأربعة</w:t>
      </w:r>
      <w:r>
        <w:rPr>
          <w:rStyle w:val="FootnoteAnchor"/>
          <w:rtl w:val="true"/>
        </w:rPr>
        <w:footnoteReference w:id="136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يثبت بشهادة عدلين</w:t>
      </w:r>
      <w:r>
        <w:rPr>
          <w:rStyle w:val="FootnoteAnchor"/>
          <w:rtl w:val="true"/>
        </w:rPr>
        <w:footnoteReference w:id="1363"/>
      </w:r>
      <w:r>
        <w:rPr>
          <w:rFonts w:ascii="Amiri" w:hAnsi="Amiri" w:eastAsia="Amiri" w:cs="Amiri"/>
          <w:color w:val="111111"/>
          <w:sz w:val="28"/>
          <w:sz w:val="28"/>
          <w:szCs w:val="28"/>
          <w:rtl w:val="true"/>
          <w:lang w:bidi="ar-SA"/>
        </w:rPr>
        <w:t>لأنه شهادة على فعل واحدٍ يوجب حداً واحداً كوطء البهيمة، بخلاف الزنى واللواط بالحيّ فإنّه يُوجِب حدين فاعتُبِر فيه الأربعة؛ لأنّها شهادة على اثنين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وفيه نظر؛ لانتقاضه بالوطء الإكراهي والزنى بالمجنونة فإنه كذلك اشتراط الأربعة إجماعاً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والمتحقق اعتبارُ الأربعة من غير تعليل بل في كثير من النصوص</w:t>
      </w:r>
      <w:r>
        <w:rPr>
          <w:rStyle w:val="FootnoteAnchor"/>
          <w:rtl w:val="true"/>
        </w:rPr>
        <w:footnoteReference w:id="1364"/>
      </w:r>
      <w:r>
        <w:rPr>
          <w:rFonts w:ascii="IRNazanin" w:hAnsi="IRNazanin" w:eastAsia="IRNazanin"/>
          <w:color w:val="111111"/>
          <w:sz w:val="28"/>
          <w:sz w:val="28"/>
          <w:szCs w:val="28"/>
          <w:rtl w:val="true"/>
          <w:lang w:bidi="fa-IR"/>
        </w:rPr>
        <w:t xml:space="preserve">ما </w:t>
      </w:r>
    </w:p>
    <w:p>
      <w:pPr>
        <w:pStyle w:val="BookText"/>
        <w:rPr/>
      </w:pPr>
      <w:r>
        <w:rPr>
          <w:rFonts w:ascii="Amiri" w:hAnsi="Amiri" w:eastAsia="Amiri" w:cs="Amiri"/>
          <w:color w:val="111111"/>
          <w:sz w:val="28"/>
          <w:sz w:val="28"/>
          <w:szCs w:val="28"/>
          <w:rtl w:val="true"/>
          <w:lang w:bidi="ar-SA"/>
        </w:rPr>
        <w:t>ينا في تعليله، وأن توقف الزنى على الأربعة والقتل على الاثنين مع أنه أعظم دليل على بطلان القياس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والإقرار فرع الشهادة، فحيث اعتبرنا الأربعة يثبت بها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إقرار أربع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مراتٍ بشرائطها السابقة، ومَن اكتفى بالشاهدين اكتفى بالإقرار مرّتين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وحيث ألحقنا الميت بالحيّ فما يثبت بشهادة النساء في الزنى بالحيّة يثبت هنا على الأقوى؛ للعموم</w:t>
      </w:r>
      <w:r>
        <w:rPr>
          <w:rStyle w:val="FootnoteAnchor"/>
          <w:rtl w:val="true"/>
        </w:rPr>
        <w:footnoteReference w:id="1365"/>
      </w:r>
      <w:r>
        <w:rPr>
          <w:rFonts w:ascii="Amiri" w:hAnsi="Amiri" w:eastAsia="Amiri" w:cs="Amiri"/>
          <w:color w:val="111111"/>
          <w:sz w:val="28"/>
          <w:sz w:val="28"/>
          <w:szCs w:val="28"/>
          <w:rtl w:val="true"/>
          <w:lang w:bidi="ar-SA"/>
        </w:rPr>
        <w:t>، مع احتمال العدم لقيام الشبهة الدارئة للحدّ وما تقدّم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الاستمناء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استدعاء إخراج المني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يدِ استدعاء إخراج المني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يدِ المُستمني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حرام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يُوجب التعزير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بما يراه الحاكم، لقوله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وَالَّذِينَ هُمْ لِفُرُوجِهِمْ حَفِظُونَ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عَلَى أَزْوَجِهِمْ</w:t>
      </w:r>
      <w:r>
        <w:rPr>
          <w:rFonts w:ascii="IRNazanin" w:hAnsi="IRNazanin" w:eastAsia="IRNazanin"/>
          <w:color w:val="111111"/>
          <w:sz w:val="28"/>
          <w:sz w:val="28"/>
          <w:szCs w:val="28"/>
          <w:rtl w:val="true"/>
          <w:lang w:bidi="fa-IR"/>
        </w:rPr>
        <w:t xml:space="preserve"> إلى قوله </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فَمَنِ ابْتَغَى وَرَاءَ ذَلِكَ فَأُوْلَبِكَ هُمُ الْعَادُونَ</w:t>
      </w:r>
      <w:r>
        <w:rPr>
          <w:rStyle w:val="FootnoteAnchor"/>
          <w:rtl w:val="true"/>
        </w:rPr>
        <w:footnoteReference w:id="1366"/>
      </w:r>
      <w:r>
        <w:rPr>
          <w:rFonts w:ascii="IRNazanin" w:hAnsi="IRNazanin" w:eastAsia="IRNazanin"/>
          <w:color w:val="111111"/>
          <w:sz w:val="28"/>
          <w:sz w:val="28"/>
          <w:szCs w:val="28"/>
          <w:rtl w:val="true"/>
          <w:lang w:bidi="fa-IR"/>
        </w:rPr>
        <w:t>وهذا الفعل مما وراء ذلك، وعن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لَعَن الناكح كفّه</w:t>
      </w:r>
      <w:r>
        <w:rPr>
          <w:rStyle w:val="FootnoteAnchor"/>
          <w:rtl w:val="true"/>
        </w:rPr>
        <w:footnoteReference w:id="136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 معنى اليد إخراجه بغيرها من جوارحه وغيرها ممّا عدا الزوجة والمملوكة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تحريمه بيد زوجته ومملوكتِه المحلَّلة له وجهان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وجود المقتضي للتحريم وهو إخراج المني وتضييعه بغير الجماع و به قطع العلامة في التذكرة </w:t>
      </w:r>
      <w:r>
        <w:rPr>
          <w:rStyle w:val="FootnoteAnchor"/>
          <w:rtl w:val="true"/>
        </w:rPr>
        <w:footnoteReference w:id="1368"/>
      </w:r>
      <w:r>
        <w:rPr>
          <w:rFonts w:ascii="Amiri" w:hAnsi="Amiri" w:eastAsia="Amiri" w:cs="Amiri"/>
          <w:color w:val="111111"/>
          <w:sz w:val="28"/>
          <w:sz w:val="28"/>
          <w:szCs w:val="28"/>
          <w:rtl w:val="true"/>
          <w:lang w:bidi="ar-SA"/>
        </w:rPr>
        <w:t>، ومِن منع كون ذلك هو المقتضي، وعدم تناول الآية والخبر له؛ إذ لم يُخَص حفظ الفرج في الزوجة وملك اليمين بالجماع فيتناول محل النزاع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تعدّي التحريم إلى غير أيديهما من بدنهما غير الجماع احتمال وأولى بالجواز هنا لو قيل به ثُمَّ؛ لأنه ضرب من الاستمتاع</w:t>
      </w:r>
      <w:r>
        <w:rPr>
          <w:rFonts w:eastAsia="Amiri" w:cs="Amiri" w:ascii="Amiri" w:hAnsi="Amiri"/>
          <w:color w:val="111111"/>
          <w:sz w:val="28"/>
          <w:szCs w:val="28"/>
          <w:rtl w:val="true"/>
          <w:lang w:bidi="ar-SA"/>
        </w:rPr>
        <w:t>.</w:t>
      </w:r>
    </w:p>
    <w:p>
      <w:pPr>
        <w:sectPr>
          <w:footerReference w:type="default" r:id="rId3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وروي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بسند ضعيف عن أبي جعفر وأبي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 عليّاً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ضَرَب يدَه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يد رجل استمنى بيده</w:t>
      </w:r>
      <w:r>
        <w:rPr>
          <w:rStyle w:val="FootnoteAnchor"/>
          <w:rtl w:val="true"/>
        </w:rPr>
        <w:footnoteReference w:id="1369"/>
      </w:r>
      <w:r>
        <w:rPr>
          <w:rFonts w:ascii="Amiri" w:hAnsi="Amiri" w:eastAsia="Amiri" w:cs="Amiri"/>
          <w:color w:val="111111"/>
          <w:sz w:val="28"/>
          <w:sz w:val="28"/>
          <w:szCs w:val="28"/>
          <w:rtl w:val="true"/>
          <w:lang w:bidi="ar-SA"/>
        </w:rPr>
        <w:t>، وفي الأخرى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عَبَث بذكره إلى أن أنزل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حتى احْمَرَّتْ</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يده من الضرب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وزوَّجه من بيت المال</w:t>
      </w:r>
      <w:r>
        <w:rPr>
          <w:rStyle w:val="FootnoteAnchor"/>
          <w:rtl w:val="true"/>
        </w:rPr>
        <w:footnoteReference w:id="137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مع ما في سنده حكم في واقعةٍ مخصوصة بما رآه، لا أن ذلك تعزيره مطلقاً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ويثبت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بشهادة عدلين، والإقرار مرّةً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واحدةً؛ لعموم الخبر</w:t>
      </w:r>
      <w:r>
        <w:rPr>
          <w:rStyle w:val="FootnoteAnchor"/>
          <w:rtl w:val="true"/>
        </w:rPr>
        <w:footnoteReference w:id="1371"/>
      </w:r>
      <w:r>
        <w:rPr>
          <w:rFonts w:ascii="Amiri" w:hAnsi="Amiri" w:eastAsia="Amiri" w:cs="Amiri"/>
          <w:color w:val="111111"/>
          <w:sz w:val="28"/>
          <w:sz w:val="28"/>
          <w:szCs w:val="28"/>
          <w:rtl w:val="true"/>
          <w:lang w:bidi="ar-SA"/>
        </w:rPr>
        <w:t>إِلَّا ما أَخرجه الدليل من اعتبار العدد وهو هنا منفي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ابن إدريس؛ يثبت بالإقرار مرّتين</w:t>
      </w:r>
      <w:r>
        <w:rPr>
          <w:rStyle w:val="FootnoteAnchor"/>
          <w:rtl w:val="true"/>
        </w:rPr>
        <w:footnoteReference w:id="137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وظاهره أنّه لا يثبت بدونه، فإن أراد ذلك فهو ضعيف؛ لما ذكرناه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الارتداد، وهو الكفر بعد الإسلام، أعاذنا الله ممّا يُوبِق الأديان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والكفر يكون بنية، وبقول كفر، وفعلٍ مُكفّر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فالأول العزم على الكفر ولؤ في وقتٍ مُتَرَقَّبٍ، وفي حكمه التردُّدُ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والثاني كنفي الصانع لفظاً أو الرُّسُل، وتكذيب رسول، وتحليل محرم بالإجماع كالزنى وعكسه كالنكاح، ونفي وجوبِ مُجْمَعِ عليه كرَكعَةٍ من الصلوات الخمس، وعكسه كوجوب صلاةٍ سادسة يوميّةٍ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والضابط إنكار ما علم من الدين ضرورةً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فرق في القول بين وقوعه عناداً واعتقاداً واستهزاء؛ حملاً على الظاهر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ويمكن ردُّ هذه الأمثلةِ إلى الأوّل حيث يعتقدها من غير لفظ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تَعَمَّدَه استهزاءً صريحاً بالدين، أو جحوداً له كإلقاء مصحف أو بعضه بقاذورة قصداً، وسجود لصنّم</w:t>
      </w:r>
      <w:r>
        <w:rPr>
          <w:rFonts w:eastAsia="Amiri" w:cs="Amiri" w:ascii="Amiri" w:hAnsi="Amiri"/>
          <w:color w:val="111111"/>
          <w:sz w:val="28"/>
          <w:szCs w:val="28"/>
          <w:rtl w:val="true"/>
          <w:lang w:bidi="ar-SA"/>
        </w:rPr>
        <w:t>.</w:t>
      </w:r>
    </w:p>
    <w:p>
      <w:pPr>
        <w:sectPr>
          <w:footerReference w:type="default" r:id="rId3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ويُعتبر فيما خالَفَ الإجماع كونه ممّا ثبت حكمه في دين الإسلام ضرورةً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ذكر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لخفاء كثير من الإجماعيات على الآحاد وكون الإجماع من أهل الحل والعقد من المسلمين، فلا يكفر المخالف فى مسألة خلافية وإن كان نادراً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اختلفت عبارات الأصحاب وغيرهم في هذا الشرط، فاقتصر بعضُهم على اعتبار مطلق الإجماع</w:t>
      </w:r>
      <w:r>
        <w:rPr>
          <w:rStyle w:val="FootnoteAnchor"/>
          <w:rtl w:val="true"/>
        </w:rPr>
        <w:footnoteReference w:id="1373"/>
      </w:r>
      <w:r>
        <w:rPr>
          <w:rFonts w:ascii="Amiri" w:hAnsi="Amiri" w:eastAsia="Amiri" w:cs="Amiri"/>
          <w:color w:val="111111"/>
          <w:sz w:val="28"/>
          <w:sz w:val="28"/>
          <w:szCs w:val="28"/>
          <w:rtl w:val="true"/>
          <w:lang w:bidi="ar-SA"/>
        </w:rPr>
        <w:t>، وآخرون على إضافة ما ذكرناه</w:t>
      </w:r>
      <w:r>
        <w:rPr>
          <w:rStyle w:val="FootnoteAnchor"/>
          <w:rtl w:val="true"/>
        </w:rPr>
        <w:footnoteReference w:id="1374"/>
      </w:r>
      <w:r>
        <w:rPr>
          <w:rFonts w:ascii="Amiri" w:hAnsi="Amiri" w:eastAsia="Amiri" w:cs="Amiri"/>
          <w:color w:val="111111"/>
          <w:sz w:val="28"/>
          <w:sz w:val="28"/>
          <w:szCs w:val="28"/>
          <w:rtl w:val="true"/>
          <w:lang w:bidi="ar-SA"/>
        </w:rPr>
        <w:t>، وهو الأجود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يتفق للشيخ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الحكم بكفر </w:t>
      </w:r>
    </w:p>
    <w:p>
      <w:pPr>
        <w:pStyle w:val="BookText"/>
        <w:rPr/>
      </w:pPr>
      <w:r>
        <w:rPr>
          <w:rFonts w:ascii="Amiri" w:hAnsi="Amiri" w:eastAsia="Amiri" w:cs="Amiri"/>
          <w:color w:val="111111"/>
          <w:sz w:val="28"/>
          <w:sz w:val="28"/>
          <w:szCs w:val="28"/>
          <w:rtl w:val="true"/>
          <w:lang w:bidi="ar-SA"/>
        </w:rPr>
        <w:t xml:space="preserve">مستحِلّ ما خالَفَ إجماعَنا خاصّةً </w:t>
      </w:r>
      <w:r>
        <w:rPr>
          <w:rStyle w:val="FootnoteAnchor"/>
          <w:rtl w:val="true"/>
        </w:rPr>
        <w:footnoteReference w:id="1375"/>
      </w:r>
      <w:r>
        <w:rPr>
          <w:rFonts w:ascii="Amiri" w:hAnsi="Amiri" w:eastAsia="Amiri" w:cs="Amiri"/>
          <w:color w:val="111111"/>
          <w:sz w:val="28"/>
          <w:sz w:val="28"/>
          <w:szCs w:val="28"/>
          <w:rtl w:val="true"/>
          <w:lang w:bidi="ar-SA"/>
        </w:rPr>
        <w:t>، كما تقدَّم نقله عنه في باب الأطعمة</w:t>
      </w:r>
      <w:r>
        <w:rPr>
          <w:rStyle w:val="FootnoteAnchor"/>
          <w:rtl w:val="true"/>
        </w:rPr>
        <w:footnoteReference w:id="1376"/>
      </w:r>
      <w:r>
        <w:rPr>
          <w:rFonts w:ascii="IRNazanin" w:hAnsi="IRNazanin" w:eastAsia="IRNazanin"/>
          <w:color w:val="111111"/>
          <w:sz w:val="28"/>
          <w:sz w:val="28"/>
          <w:szCs w:val="28"/>
          <w:rtl w:val="true"/>
          <w:lang w:bidi="fa-IR"/>
        </w:rPr>
        <w:t>، وهو نادر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وفي حكم الصنم ما يُقصد به العبادة للمسجود له فلو كان لمجرد التعظيم مع اعتقاد عدم استحقاقه العبادة لم يكن كفراً بل بدعةٌ قبيحةً، وإنْ اسْتَحَق التعظيمَ بغير هذا النوع؛ لأنّ الله تعالى لم ينصب السجود تعظيماً لغيره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ويُقتل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المرتد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كان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إرتداده عن فطرة الإسلام؛ لقوله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مَن بدل دينه فاقتُلُوه</w:t>
      </w:r>
      <w:r>
        <w:rPr>
          <w:rFonts w:eastAsia="IRNazanin" w:cs="IRNazanin"/>
          <w:color w:val="111111"/>
          <w:sz w:val="28"/>
          <w:szCs w:val="28"/>
          <w:rtl w:val="true"/>
          <w:lang w:bidi="fa-IR"/>
        </w:rPr>
        <w:t>»</w:t>
      </w:r>
      <w:r>
        <w:rPr>
          <w:rStyle w:val="FootnoteAnchor"/>
          <w:rtl w:val="true"/>
        </w:rPr>
        <w:footnoteReference w:id="137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وصحيحةِ محمّد بن مسلم عن الباقر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رَغِب عن الإسلام وكَفَر بما انزل على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إسلامه فلا توبة له، وقد وجب قتله، وبانَتْ منه ،امرأتُه ويُقسم ما تَرَك على ولده</w:t>
      </w:r>
      <w:r>
        <w:rPr>
          <w:rFonts w:eastAsia="IRNazanin" w:cs="IRNazanin"/>
          <w:color w:val="111111"/>
          <w:sz w:val="28"/>
          <w:szCs w:val="28"/>
          <w:rtl w:val="true"/>
          <w:lang w:bidi="fa-IR"/>
        </w:rPr>
        <w:t>»</w:t>
      </w:r>
      <w:r>
        <w:rPr>
          <w:rStyle w:val="FootnoteAnchor"/>
          <w:rtl w:val="true"/>
        </w:rPr>
        <w:footnoteReference w:id="137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ورَوَى عمّار عن الصادق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 مسلم بین مسلمین ارْتَدَّ عن الإسلام وجَحَد محمّداً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نُبُوَّتَه وكَذَّبه، فإنّ دَمَه مُباحٌ لكلّ مَن سَمِع ذلك منه وامرأته بائنة منه يو منه يوم ارتدَّ فلا تقربه، ويُقسم ماله على وَرَثَتِهِ، وتَعتَد امرأتُه عدّة المتوَفَّى عنها زوجها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وعلى الإمام أن يقتله ولا يستتيبه </w:t>
      </w:r>
      <w:r>
        <w:rPr>
          <w:rStyle w:val="FootnoteAnchor"/>
          <w:rtl w:val="true"/>
        </w:rPr>
        <w:footnoteReference w:id="1379"/>
      </w:r>
      <w:r>
        <w:rPr>
          <w:rFonts w:eastAsia="Times New Roman" w:cs="Times New Roman" w:ascii="Times New Roman" w:hAnsi="Times New Roman"/>
          <w:color w:val="111111"/>
          <w:sz w:val="28"/>
          <w:szCs w:val="28"/>
          <w:rtl w:val="true"/>
          <w:lang w:val="en-US" w:bidi="en-US"/>
        </w:rPr>
        <w:t>»</w:t>
      </w:r>
      <w:r>
        <w:rPr>
          <w:rStyle w:val="FootnoteAnchor"/>
          <w:rtl w:val="true"/>
        </w:rPr>
        <w:footnoteReference w:id="1380"/>
      </w:r>
      <w:r>
        <w:rPr>
          <w:rFonts w:eastAsia="Times New Roman" w:cs="Times New Roman" w:ascii="Times New Roman" w:hAnsi="Times New Roman"/>
          <w:color w:val="111111"/>
          <w:sz w:val="28"/>
          <w:szCs w:val="28"/>
          <w:rtl w:val="true"/>
          <w:lang w:val="en-US" w:bidi="en-US"/>
        </w:rPr>
        <w:t>.</w:t>
      </w:r>
    </w:p>
    <w:p>
      <w:pPr>
        <w:sectPr>
          <w:footerReference w:type="default" r:id="rId3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تُقبل توبته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ظاهراً؛ لما ذكرناه وللإجماع، فيتعيَّن قتله مطلقاً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قبولها باطناً قول قوي</w:t>
      </w:r>
      <w:r>
        <w:rPr>
          <w:rStyle w:val="FootnoteAnchor"/>
          <w:rtl w:val="true"/>
        </w:rPr>
        <w:footnoteReference w:id="1381"/>
      </w:r>
      <w:r>
        <w:rPr>
          <w:rFonts w:ascii="Amiri" w:hAnsi="Amiri" w:eastAsia="Amiri" w:cs="Amiri"/>
          <w:color w:val="111111"/>
          <w:sz w:val="28"/>
          <w:sz w:val="28"/>
          <w:szCs w:val="28"/>
          <w:rtl w:val="true"/>
          <w:lang w:bidi="ar-SA"/>
        </w:rPr>
        <w:t>؛ حذراً من تكليف ما لا يُطاق لو كان مكلفاً بالإسلام، أو خروجه عن التكليف مادام حيّاً كاملَ العقل وهو باطل بالإجماع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وحينئذ فلو لم يَطَّلع عليه أحدٌ أو لم يقدر على قتله أو تَأخَّر قتله بوجه وتاب، قبلت توبته فيما بينه وبين الله تعالى، وصَحتْ عباداته ومعاملاته، وطَهر بدنه، ولا يعود ماله </w:t>
      </w:r>
    </w:p>
    <w:p>
      <w:pPr>
        <w:pStyle w:val="BookText"/>
        <w:rPr/>
      </w:pPr>
      <w:r>
        <w:rPr>
          <w:rFonts w:ascii="Amiri" w:hAnsi="Amiri" w:eastAsia="Amiri" w:cs="Amiri"/>
          <w:color w:val="111111"/>
          <w:sz w:val="28"/>
          <w:sz w:val="28"/>
          <w:szCs w:val="28"/>
          <w:rtl w:val="true"/>
          <w:lang w:bidi="ar-SA"/>
        </w:rPr>
        <w:t>وزوجته إليه بذلك؛ عملاً بالاستصحاب، ولكن يصح له تجديد العقد عليها بعد العدة، وفي جوازه فيها وجه كما يجوز للزوج العقد على المعتدة منه بائناً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وبالجملة فيقتصر من الأحكام بعد توبته على الأمور الثلاثة في حقه وحقٌّ غيره، وهذا أمرُ آخَرُ وراءَ القبول باطناً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تَبِينُ منه زوجتُه وتَعتَد للوفاة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لم يَدخُل على الأصح؛ لما تقدم،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وتُورَث أمواله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الموجودة حالة الردّة بعد قضاء ديونه السابقة عليها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 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باقياً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في حكم الميت في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وهل يلحقه باقي أحكامه، من إنفاذ وصاياه السابقة على الردّة، وعدم قبوله التملك بعدها؟ نظر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مساواته له في الأحكام، وكونه حيّاً لا يلزم من مساواته الميت في جملة من الأحكام الحاقه به مطلقاً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أدخلنا المتجدد أدخلنا المتجدد في ملكه كالاحتطاب والاحتشاش صار إرثاً، وعلى هذا لا ينقطع إرتُه مادام حيّاً، وه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عيد، ومعه ففي اختصاص وارثه عند ارتداده به أو عند التكسب وجهان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ويُعتبر في تحقق الارتداد البلوغ والعقل والاختيارُ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حكم لارتداد الصبي والمجنون والمكرَه لكن يُؤدَّب الأولان والسكرانُ في حكم المجنون فلا يرتد بتلفّظه حالته بكلمة الكفر أو فعله ما يوجبه، كما لا يُحكم بإسلامه بكلمة الإسلام لو كان كافراً، وإلحاقه بالصاحي في وجوب قضاء العبادات لا يوجب إلحاقه به مطلقاً العلم بزوال عقله الرافع للخطاب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وكذا لا حكم لردّة الغالط والغافلِ والساهي والنائم، ومَن رَفَع الغضبُ قصده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وتُقبل دعوى ذلك كله، وكذا الإكراه مع القرينة كالأسر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قبول دعوى عدم القصد إلى مدلول اللفظ مع تحقق الكمال نظر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الشبهة الدارئة للحدّ، وكونه خلاف الظاهر</w:t>
      </w:r>
      <w:r>
        <w:rPr>
          <w:rFonts w:eastAsia="Amiri" w:cs="Amiri" w:ascii="Amiri" w:hAnsi="Amiri"/>
          <w:color w:val="111111"/>
          <w:sz w:val="28"/>
          <w:szCs w:val="28"/>
          <w:rtl w:val="true"/>
          <w:lang w:bidi="ar-SA"/>
        </w:rPr>
        <w:t>.</w:t>
      </w:r>
    </w:p>
    <w:p>
      <w:pPr>
        <w:sectPr>
          <w:footerReference w:type="default" r:id="rId3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ويستتاب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المرتد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إرتداده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كفر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أصلي،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تاب وإلا قتل، ومدة الاستتابة ثلاثة أيام في المروي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Style w:val="FootnoteAnchor"/>
          <w:rtl w:val="true"/>
        </w:rPr>
        <w:footnoteReference w:id="1382"/>
      </w:r>
      <w:r>
        <w:rPr>
          <w:rFonts w:ascii="Amiri" w:hAnsi="Amiri" w:eastAsia="Amiri" w:cs="Amiri"/>
          <w:color w:val="111111"/>
          <w:sz w:val="28"/>
          <w:sz w:val="28"/>
          <w:szCs w:val="28"/>
          <w:rtl w:val="true"/>
          <w:lang w:bidi="ar-SA"/>
        </w:rPr>
        <w:t>بطريق ضعيف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والأقوى تحديدها </w:t>
      </w:r>
    </w:p>
    <w:p>
      <w:pPr>
        <w:pStyle w:val="BookText"/>
        <w:rPr/>
      </w:pPr>
      <w:r>
        <w:rPr>
          <w:rFonts w:ascii="Amiri" w:hAnsi="Amiri" w:eastAsia="Amiri" w:cs="Amiri"/>
          <w:color w:val="111111"/>
          <w:sz w:val="28"/>
          <w:sz w:val="28"/>
          <w:szCs w:val="28"/>
          <w:rtl w:val="true"/>
          <w:lang w:bidi="ar-SA"/>
        </w:rPr>
        <w:t>بما يُؤَمَّل معه عوده، ويُقتل بعد اليأس منه وإن كان من ساعته، ولعلّ الصبر عليه ثلاثة أولى رجاءً لعوده، وحملاً للخبر على الاستحباب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المرتد عن 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يزول ملكه عن أمواله إلّا بموته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بقتله، لكن يُحجَر عليه بنفس الردّة عن التصرف فيها، ويدخُل في ملكه ما يتجدد، ويتعلق به الحجرُ ويُنفق عليه منه مادام حيّاً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كذا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تزول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عصمة نكاحه إلّا ببقائه على الكفر بعد خروج العدّة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 تَعتَدّها زوجته من حين رِدَّته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وهي عدة الطلاق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خرجت ولما يرجع بانت منه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وتُؤَدَّى نفقةُ واجب النفقة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من والد وولد وزوجةٍ ومملوك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ماله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أن يموت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ووارثهما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المرتدَّيْن فطرياً ومليّاً وَرَثَتُهما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المسلمون لا بيت المال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عندنا لما تقدم،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ولو لم يكن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لهما</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وارث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فللإمام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ولا يرتُهما الكافر مطلقاً لأنّهما مرتبةً فوق الكافر ودون المسلم</w:t>
      </w:r>
      <w:r>
        <w:rPr>
          <w:rFonts w:eastAsia="Amiri" w:cs="Amiri" w:ascii="Amiri" w:hAnsi="Amiri"/>
          <w:color w:val="111111"/>
          <w:sz w:val="28"/>
          <w:szCs w:val="28"/>
          <w:rtl w:val="true"/>
          <w:lang w:bidi="ar-SA"/>
        </w:rPr>
        <w:t>.</w:t>
      </w:r>
    </w:p>
    <w:p>
      <w:pPr>
        <w:sectPr>
          <w:footerReference w:type="default" r:id="rId3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والمرأة لا تُقتَل وإنْ كانت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ردّتُها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فطرة، بل تُحبَس دائماً وتُضرَب أوقات الصلوات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بحسب ما يراه الحاكم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وتُستعمل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الحبس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أسوأ الأعمال وتُلبَس أخشنَ الثيابِ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المتَّخَذِةِ لِلَّبس عادةً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وتُطعَم أَجْشَبَ الطعام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ما غَلُظ منه وخَشُنَ، قاله ابن الأثير</w:t>
      </w:r>
      <w:r>
        <w:rPr>
          <w:rStyle w:val="FootnoteAnchor"/>
          <w:rtl w:val="true"/>
        </w:rPr>
        <w:footnoteReference w:id="138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ويُعتبر فيه عادتها؛ فقد يكون الجَشِبُ حقيقةً في عادتها صالحاً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وبالعكس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يُفعل بها ذلك كله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أن تتوب أو تموت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لصحيحة الحلبي عن أبي عبد الله </w:t>
      </w:r>
      <w:r>
        <w:rPr>
          <w:rStyle w:val="FootnoteAnchor"/>
          <w:rtl w:val="true"/>
        </w:rPr>
        <w:footnoteReference w:id="1384"/>
      </w:r>
      <w:r>
        <w:rPr>
          <w:rFonts w:ascii="Amiri" w:hAnsi="Amiri" w:eastAsia="Amiri" w:cs="Amiri"/>
          <w:color w:val="111111"/>
          <w:sz w:val="28"/>
          <w:sz w:val="28"/>
          <w:szCs w:val="28"/>
          <w:rtl w:val="true"/>
          <w:lang w:bidi="ar-SA"/>
        </w:rPr>
        <w:t>وغيرها في المرتدّة عن الإسلام،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تُقتَل وتُستخدم خدمةً شديدةً وتُمنَع من الطعام والشراب إلا ما يُمسك نفسها، وتُلبَس خَشِنَ الثياب وتُضرَب على الصلوات</w:t>
      </w:r>
      <w:r>
        <w:rPr>
          <w:rFonts w:eastAsia="Amiri" w:cs="Amiri" w:ascii="Amiri" w:hAnsi="Amiri"/>
          <w:color w:val="111111"/>
          <w:sz w:val="28"/>
          <w:szCs w:val="28"/>
          <w:rtl w:val="true"/>
          <w:lang w:bidi="ar-SA"/>
        </w:rPr>
        <w:t>»</w:t>
      </w:r>
      <w:r>
        <w:rPr>
          <w:rStyle w:val="FootnoteAnchor"/>
          <w:rtl w:val="true"/>
        </w:rPr>
        <w:footnoteReference w:id="138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خبر آخَرَ عنه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المرأةُ تُستتاب، فإن تابت وإلا حُبِست في السّجن وأضِرَّ بها</w:t>
      </w:r>
      <w:r>
        <w:rPr>
          <w:rFonts w:eastAsia="Amiri" w:cs="Amiri" w:ascii="Amiri" w:hAnsi="Amiri"/>
          <w:color w:val="111111"/>
          <w:sz w:val="28"/>
          <w:szCs w:val="28"/>
          <w:rtl w:val="true"/>
          <w:lang w:bidi="ar-SA"/>
        </w:rPr>
        <w:t>»</w:t>
      </w:r>
      <w:r>
        <w:rPr>
          <w:rStyle w:val="FootnoteAnchor"/>
          <w:rtl w:val="true"/>
        </w:rPr>
        <w:footnoteReference w:id="1386"/>
      </w:r>
      <w:r>
        <w:rPr>
          <w:rFonts w:ascii="Amiri" w:hAnsi="Amiri" w:eastAsia="Amiri" w:cs="Amiri"/>
          <w:color w:val="111111"/>
          <w:sz w:val="28"/>
          <w:sz w:val="28"/>
          <w:szCs w:val="28"/>
          <w:rtl w:val="true"/>
          <w:lang w:bidi="ar-SA"/>
        </w:rPr>
        <w:t>ولا فرق فيها بين الفطريّةِ والملّيّةِ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وفي إلحاق الخنثى بالرجل أو المرأة وجهان تَقَدَّما في الإرث، وأن الأظهر الحاقه بالمرأة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ولو تكرّر الارتداد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والاستتابةُ من الملّيّ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قُتِل في الرابعة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الثالثة على الخلاف السابق؛ لأنّ الكفر بالله تعالى أكبر الكبائر، وقد عرفت أن أصحاب الكبائر يُقتلون في الثالثة</w:t>
      </w:r>
      <w:r>
        <w:rPr>
          <w:rStyle w:val="FootnoteAnchor"/>
          <w:rtl w:val="true"/>
        </w:rPr>
        <w:footnoteReference w:id="1387"/>
      </w:r>
      <w:r>
        <w:rPr>
          <w:rFonts w:ascii="Amiri" w:hAnsi="Amiri" w:eastAsia="Amiri" w:cs="Amiri"/>
          <w:color w:val="111111"/>
          <w:sz w:val="28"/>
          <w:sz w:val="28"/>
          <w:szCs w:val="28"/>
          <w:rtl w:val="true"/>
          <w:lang w:bidi="ar-SA"/>
        </w:rPr>
        <w:t>، ولا نصَّ هنا بالخصوص، والاحتياط في الدماء يقتضي قتله في الرابعة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وتوبتُه الإقرار بما أنكره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فإن كان الإنكار الله أو للرسول فإسلامه بالشهادتين، ولا يُشترط التبري من غير الإسلام وإن كان آكد، وإن كان مقراً بهما منكراً عموم نبوته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تَكْفِ الشهادتان، بل لابد من الإقرار بعمومها، وإن كان بجَحْدِ فريضةٍ عُلِم ثبوتها من الدين ضرورةً فتوبته الإقرار بثبوتها على وجهها، ولو كان باستحلال محرَّمِ فاعتقاد تحريمه مع إظهاره إن كان أَظهَرَ الاستحلال، وهكذا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ولا تكفي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إسلام الكافر مطلقاً</w:t>
      </w:r>
      <w:r>
        <w:rPr>
          <w:rStyle w:val="FootnoteAnchor"/>
          <w:rtl w:val="true"/>
        </w:rPr>
        <w:footnoteReference w:id="1388"/>
      </w:r>
    </w:p>
    <w:p>
      <w:pPr>
        <w:pStyle w:val="BookText"/>
        <w:rPr/>
      </w:pPr>
      <w:r>
        <w:rPr>
          <w:rFonts w:ascii="Amiri" w:hAnsi="Amiri" w:eastAsia="Amiri" w:cs="Amiri"/>
          <w:color w:val="111111"/>
          <w:sz w:val="28"/>
          <w:sz w:val="28"/>
          <w:szCs w:val="28"/>
          <w:rtl w:val="true"/>
          <w:lang w:bidi="ar-SA"/>
        </w:rPr>
        <w:t>فالمشهور أنّ الأمر فيه كذلك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زين رحمه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كان بجحدها؛ لأن فعلها أعم من اعتقاد وجوبها فلا يدلّ عليه، وإن كان كفره بجحد الإلهيّة أو الرسالة وسُمِع تشهده فيها؛ لأنه لم يُوضع شرعاً ثُمَّ للإسلام، بل ليكون جزءاً من الصلاة وهي لا توجبه، فكذا جزؤُها، بخلاف قولها منفردةً لأنها موضوعة شرعاً 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ولو جُنَّ بعد رِدّته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يُقتل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مادام مجنوناً؛ لأن قتله مشروط بامتناعه من التوبة ولا حكم لامتناع المجنون أما لو كان عن فطرة قُتِل مطلقاً</w:t>
      </w:r>
      <w:r>
        <w:rPr>
          <w:rFonts w:eastAsia="Amiri" w:cs="Amiri" w:ascii="Amiri" w:hAnsi="Amiri"/>
          <w:color w:val="111111"/>
          <w:sz w:val="28"/>
          <w:szCs w:val="28"/>
          <w:rtl w:val="true"/>
          <w:lang w:bidi="ar-SA"/>
        </w:rPr>
        <w:t>.</w:t>
      </w:r>
    </w:p>
    <w:p>
      <w:pPr>
        <w:sectPr>
          <w:footerReference w:type="default" r:id="rId3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يصح له تزويج ابنته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المُوَلَّى عليها بل مطلق ولده؛ لأنه محجورٌ عليه في نفسه فلا تثبت ولا يته على غيره، ولأنه كافر وولاية الكافر مسلوبة عن المسلم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أمتِه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مسلمةً كانت الأمة أم كافِرةً</w:t>
      </w:r>
      <w:r>
        <w:rPr>
          <w:rStyle w:val="FootnoteAnchor"/>
          <w:rtl w:val="true"/>
        </w:rPr>
        <w:footnoteReference w:id="1389"/>
      </w:r>
      <w:r>
        <w:rPr>
          <w:rFonts w:ascii="Amiri" w:hAnsi="Amiri" w:eastAsia="Amiri" w:cs="Amiri"/>
          <w:color w:val="111111"/>
          <w:sz w:val="28"/>
          <w:sz w:val="28"/>
          <w:szCs w:val="28"/>
          <w:rtl w:val="true"/>
          <w:lang w:bidi="ar-SA"/>
        </w:rPr>
        <w:t xml:space="preserve">؛ لما ذُكر في البنت، واستقرب في التحرير بقاءَ </w:t>
      </w:r>
    </w:p>
    <w:p>
      <w:pPr>
        <w:pStyle w:val="BookText"/>
        <w:rPr/>
      </w:pPr>
      <w:r>
        <w:rPr>
          <w:rFonts w:ascii="Amiri" w:hAnsi="Amiri" w:eastAsia="Amiri" w:cs="Amiri"/>
          <w:color w:val="111111"/>
          <w:sz w:val="28"/>
          <w:sz w:val="28"/>
          <w:szCs w:val="28"/>
          <w:rtl w:val="true"/>
          <w:lang w:bidi="ar-SA"/>
        </w:rPr>
        <w:t>ولايته عليها مطلقاً</w:t>
      </w:r>
      <w:r>
        <w:rPr>
          <w:rStyle w:val="FootnoteAnchor"/>
          <w:rtl w:val="true"/>
        </w:rPr>
        <w:footnoteReference w:id="1390"/>
      </w:r>
      <w:r>
        <w:rPr>
          <w:rFonts w:ascii="Amiri" w:hAnsi="Amiri" w:eastAsia="Amiri" w:cs="Amiri"/>
          <w:color w:val="111111"/>
          <w:sz w:val="28"/>
          <w:sz w:val="28"/>
          <w:szCs w:val="28"/>
          <w:rtl w:val="true"/>
          <w:lang w:bidi="ar-SA"/>
        </w:rPr>
        <w:t>مع جزمه في القواعد بزوالها كالولد</w:t>
      </w:r>
      <w:r>
        <w:rPr>
          <w:rStyle w:val="FootnoteAnchor"/>
          <w:rtl w:val="true"/>
        </w:rPr>
        <w:footnoteReference w:id="139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وحكايته هنا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يُشعر بتمريضه؛ نظراً إلى الأصل، وقوة الولاية المالكية مع الشك في المُزيل وثبوت الحجر يَرفَع ذلك كله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ومنها </w:t>
      </w:r>
      <w:r>
        <w:rPr>
          <w:rStyle w:val="FootnoteAnchor"/>
          <w:rtl w:val="true"/>
        </w:rPr>
        <w:footnoteReference w:id="139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الدفاع عن النفس والمال والحريم </w:t>
      </w:r>
      <w:r>
        <w:rPr>
          <w:rStyle w:val="FootnoteAnchor"/>
          <w:rtl w:val="true"/>
        </w:rPr>
        <w:footnoteReference w:id="1393"/>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فسأله رجل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أمير المؤمنين إن لصاً دخل على امرأة فسرق حليتها، فقال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أما إنه لو دخل على أهل ضيعة ما رضي بذلك حتى عمّمه بالسيف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وعن الباقر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الله ليمقت العبد يدخل عليه في بيته فلا يقاتل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وعن الصادق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أبيه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دخل عليك رجل يريد أهلك فابدره بالصربة إن استعف، فإنّ اللصّ محارب الله ورسوله، فما تبعك منه شيء فهو عليّ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والأقوى وجوب الدفع عن النفس والحريم مع الإمكان، ولا يجوز الاستسلام فإن عجز ورجا بالسلامة بالكفّ والهرب وجب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المدافعة عن المال، فإن كان مصطرّاً إليه وغلب على ظنه بالسلامة وجب وإلا فلا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زين رحمه الله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جائز في الجميع مع عدم ظنّ العَطَب، وواجبٌ في الأوّل والأخير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بحسب القدرة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ومع العجز يجب الهَرَبُ مع الإمكان، أما الدفاع عن المال فلا يجب إلا مع اضطراره إليه، وكذا يجوز الدفع عن غير مَن ذُكِر مع القدرة، والأقرب وجوبه مع أمن الضرر وظن السلامة،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مُعتَمِداً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الدفاع مطلقاً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الأسهل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فالأسهل، كالصياح ثمّ الخصام ثم الضرب ثمّ الجَرح ثمّ التعطيل ثم التدفيف</w:t>
      </w:r>
      <w:r>
        <w:rPr>
          <w:rFonts w:eastAsia="Amiri" w:cs="Amiri" w:ascii="Amiri" w:hAnsi="Amiri"/>
          <w:color w:val="111111"/>
          <w:sz w:val="28"/>
          <w:szCs w:val="28"/>
          <w:rtl w:val="true"/>
          <w:lang w:bidi="ar-SA"/>
        </w:rPr>
        <w:t>.</w:t>
      </w:r>
    </w:p>
    <w:p>
      <w:pPr>
        <w:sectPr>
          <w:footerReference w:type="default" r:id="rId3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ودم المدفوع هدر حيث يتوقف الدفاع على قتله، وكذا ما يتلف من ماله إذا لم يمكن بدونه،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ولو قُتِل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الدافع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كالشهيد</w:t>
      </w:r>
      <w:r>
        <w:rPr>
          <w:rStyle w:val="FootnoteAnchor"/>
          <w:rtl w:val="true"/>
        </w:rPr>
        <w:footnoteReference w:id="139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الأجر، أما في باقي الأحكام من التغسيل والتكفين فكغيره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ولا يبدأ إلا مع العلم أو الظن بقصده، ولو كَفَّ كَفَّ عنه، فإن عاد عاد، فلو قطع يده مقبلاً ورِجْلَه مُديراً ضَمِن الرجل، فإن سَرَتَا ضَمِن النصف قصاصاً أو ديةً، ولو أقبل بعد ذلك فقطع عضواً ثالثاً رجع الضمانُ إلى الثلث</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ولو وَجَد مع زوجته أو مملوكتِه أو غلامه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ولدِه مَن يَنال دون الجماع فله دفعه بما يرجو معه الاندفاع، كما مر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أتَى الدفع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وأفضَى إلى قتله حيث لم يمكن دفعه بدونه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فهو هَدْرٌ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قتله في منزله فادَّعى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القاتل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إرادة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المقتول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نفسه أو ماله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ما يجوز مدافعته عنه، وأنه لم يندفع إلا بالقتل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فعليه البينة أن الداخلَ كان معه سيفٌ مشهورٌ مُقبلاً على رَبِّ المنزل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لم تشهد بقصده القتل؛ لتعذر العلم به فيكتفى بذلك؛ لدلالة القرائن عليه المرحة لصدق المدَّعِي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ولو اطلع 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عورة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قوم</w:t>
      </w:r>
      <w:r>
        <w:rPr>
          <w:rStyle w:val="FootnoteAnchor"/>
          <w:rtl w:val="true"/>
        </w:rPr>
        <w:footnoteReference w:id="139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إلى وجه امرأة ليست بمحرم للمطَّلع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فلهم زَجْرُه، فإن امتنع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وأصرَّ على النظر جاز لهم رَمْيُه بما يندفع به، فإن فعلوا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فرَمَوْه</w:t>
      </w:r>
    </w:p>
    <w:p>
      <w:pPr>
        <w:pStyle w:val="BookText"/>
        <w:rPr/>
      </w:pPr>
      <w:r>
        <w:rPr>
          <w:rFonts w:ascii="Amiri" w:hAnsi="Amiri" w:eastAsia="Amiri" w:cs="Amiri"/>
          <w:color w:val="111111"/>
          <w:sz w:val="28"/>
          <w:sz w:val="28"/>
          <w:szCs w:val="28"/>
          <w:rtl w:val="true"/>
          <w:lang w:bidi="ar-SA"/>
        </w:rPr>
        <w:t>بحصاةٍ ونحوها فجُنِي عليه كان هدْراً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بَدَرُوه من غير زجرٍ ضَمِنُوه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والرحِمُ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يجوز نظره للمطَّلع عليهم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يُرْجَر لا غير، إلا أن يكون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المنظور امرأةً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مجرّدةً فيجوز رميه بعد زجره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كالأجنبي؛ لمساواته له في تحريم نظر العورة</w:t>
      </w:r>
      <w:r>
        <w:rPr>
          <w:rFonts w:eastAsia="Amiri" w:cs="Amiri" w:ascii="Amiri" w:hAnsi="Amiri"/>
          <w:color w:val="111111"/>
          <w:sz w:val="28"/>
          <w:szCs w:val="28"/>
          <w:rtl w:val="true"/>
          <w:lang w:bidi="ar-SA"/>
        </w:rPr>
        <w:t>.</w:t>
      </w:r>
    </w:p>
    <w:p>
      <w:pPr>
        <w:sectPr>
          <w:footerReference w:type="default" r:id="rId3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ويجب التدرُّجُ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المَرمِيّ به من الأسهل إلى الأقوى على وجه ينزجر به، فإن لم يندفع إلا برميه بما يقتله فهذرٌ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فرق بين المطلع من ملكِ المنظور وغيرِه حتّى </w:t>
      </w:r>
    </w:p>
    <w:p>
      <w:pPr>
        <w:pStyle w:val="BookText"/>
        <w:rPr/>
      </w:pPr>
      <w:r>
        <w:rPr>
          <w:rFonts w:ascii="Amiri" w:hAnsi="Amiri" w:eastAsia="Amiri" w:cs="Amiri"/>
          <w:color w:val="111111"/>
          <w:sz w:val="28"/>
          <w:sz w:val="28"/>
          <w:szCs w:val="28"/>
          <w:rtl w:val="true"/>
          <w:lang w:bidi="ar-SA"/>
        </w:rPr>
        <w:t>الطريق وملك الناظر، ولو كان المنظور في الطريق لم يكن له رمي مَن ينظر إليه لتفريطه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له زَجْرُه لتحريم نظره مطلقاً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ويجوز دفعُ الدابّة الصائلة عن نفسه، فلو تَلِفَتْ بالدفع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يتوقف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 ضَمان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ولو لم تندفع إلا بالقتل جاز قتلها ابتداءاً، ولا ضمان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ولو أدَّب الصبيَّ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مطلق الولد الصغير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وليه، أو الزوجة زوجها</w:t>
      </w:r>
      <w:r>
        <w:rPr>
          <w:rStyle w:val="FootnoteAnchor"/>
          <w:rtl w:val="true"/>
        </w:rPr>
        <w:footnoteReference w:id="1396"/>
      </w:r>
    </w:p>
    <w:p>
      <w:pPr>
        <w:pStyle w:val="BookText"/>
        <w:rPr/>
      </w:pPr>
      <w:r>
        <w:rPr>
          <w:rFonts w:ascii="Amiri" w:hAnsi="Amiri" w:eastAsia="Amiri" w:cs="Amiri"/>
          <w:color w:val="111111"/>
          <w:sz w:val="28"/>
          <w:sz w:val="28"/>
          <w:szCs w:val="28"/>
          <w:rtl w:val="true"/>
          <w:lang w:bidi="ar-SA"/>
        </w:rPr>
        <w:t xml:space="preserve">مكروه أو مستحبّ فعليه الضمان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زين رحمه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فماتا ضَمِن ديتهما في ماله على 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جَزَم به في الدروس</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لاشتراط التأديب بالسلامة ويُحتمل عدم الضمان للإذن فيه، فلا يَتَعَقَّبُه ضَمان حيث لا تفريط كتأديب الحاكم، وكذا معلم الصبية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ولو عَضَّ على يد غيره فانتزعها فنَدَرَتْ أسنانه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بالنون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سَقَطَتْ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لتعديه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للمعضوض</w:t>
      </w:r>
    </w:p>
    <w:p>
      <w:pPr>
        <w:sectPr>
          <w:footerReference w:type="default" r:id="rId3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التخلص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باللكم والجرح، ثمّ السكّينِ والخنجرِ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ونحوها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متدرّجاً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دفعه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الأيسر فالأيسر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فإن انتقل إلى الصعب مع إمكان ما دونه ضَمِن، ولو لم يندفع إلا بالقتل فَعَل ولا ضمان</w:t>
      </w:r>
      <w:r>
        <w:rPr>
          <w:rFonts w:eastAsia="Amiri" w:cs="Amiri" w:ascii="Amiri" w:hAnsi="Amiri"/>
          <w:color w:val="111111"/>
          <w:sz w:val="28"/>
          <w:szCs w:val="28"/>
          <w:rtl w:val="true"/>
          <w:lang w:bidi="ar-SA"/>
        </w:rPr>
        <w:t xml:space="preserve">. </w:t>
      </w:r>
      <w:bookmarkStart w:id="145" w:name="pg11049_88643"/>
    </w:p>
    <w:p>
      <w:pPr>
        <w:pStyle w:val="Heading2"/>
        <w:numPr>
          <w:ilvl w:val="1"/>
          <w:numId w:val="1"/>
        </w:numPr>
        <w:rPr/>
      </w:pPr>
      <w:bookmarkStart w:id="146" w:name="__RefHeading___Toc1446161_1067777946"/>
      <w:bookmarkStart w:id="147" w:name="_Toc44"/>
      <w:bookmarkEnd w:id="145"/>
      <w:bookmarkEnd w:id="146"/>
      <w:r>
        <w:rPr>
          <w:rtl w:val="true"/>
        </w:rPr>
        <w:t>كتاب القصاص</w:t>
      </w:r>
      <w:bookmarkEnd w:id="147"/>
    </w:p>
    <w:p>
      <w:pPr>
        <w:sectPr>
          <w:footerReference w:type="default" r:id="rId3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48" w:name="__RefHeading___Toc1446163_1067777946"/>
      <w:bookmarkStart w:id="149" w:name="_Toc45"/>
      <w:bookmarkEnd w:id="148"/>
      <w:r>
        <w:rPr>
          <w:rtl w:val="true"/>
        </w:rPr>
        <w:t>اشارة</w:t>
      </w:r>
      <w:bookmarkEnd w:id="149"/>
    </w:p>
    <w:p>
      <w:pPr>
        <w:sectPr>
          <w:footerReference w:type="default" r:id="rId3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50" w:name="pg11049_88645"/>
      <w:bookmarkStart w:id="151" w:name="pg11049_88645"/>
      <w:bookmarkEnd w:id="151"/>
    </w:p>
    <w:p>
      <w:pPr>
        <w:pStyle w:val="BookText"/>
        <w:rPr/>
      </w:pPr>
      <w:bookmarkStart w:id="152" w:name="pg11049_88645"/>
      <w:bookmarkEnd w:id="152"/>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 القصاص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بالكسر، وهو اسم لاستيفاء مثل الجناية من قتل أو قطع أو ضرب أو جَرحٍ، وأصله اقتفاء الأثر، يقال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قَصَّ أثَرَه إذا تَبعه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فكأن المقتَصَّ يَتبع أثر الجاني فيَفعَل مِثْلَ فعله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وفيه فصول ؛</w:t>
      </w:r>
      <w:r>
        <w:rPr>
          <w:rFonts w:eastAsia="Amiri" w:cs="Amiri" w:ascii="Amiri" w:hAnsi="Amiri"/>
          <w:color w:val="111111"/>
          <w:sz w:val="28"/>
          <w:szCs w:val="28"/>
          <w:rtl w:val="true"/>
          <w:lang w:bidi="ar-SA"/>
        </w:rPr>
        <w:t>)</w:t>
      </w:r>
    </w:p>
    <w:p>
      <w:pPr>
        <w:pStyle w:val="Heading3"/>
        <w:numPr>
          <w:ilvl w:val="2"/>
          <w:numId w:val="1"/>
        </w:numPr>
        <w:rPr/>
      </w:pPr>
      <w:bookmarkStart w:id="153" w:name="__RefHeading___Toc1446165_1067777946"/>
      <w:bookmarkStart w:id="154" w:name="_Toc46"/>
      <w:bookmarkEnd w:id="153"/>
      <w:r>
        <w:rPr>
          <w:rtl w:val="true"/>
        </w:rPr>
        <w:t>الفصل الأوّل في قصاص النفس</w:t>
      </w:r>
      <w:bookmarkEnd w:id="154"/>
    </w:p>
    <w:p>
      <w:pPr>
        <w:pStyle w:val="Heading4"/>
        <w:numPr>
          <w:ilvl w:val="3"/>
          <w:numId w:val="1"/>
        </w:numPr>
        <w:rPr/>
      </w:pPr>
      <w:bookmarkStart w:id="155" w:name="__RefHeading___Toc1446167_1067777946"/>
      <w:bookmarkStart w:id="156" w:name="_Toc47"/>
      <w:bookmarkEnd w:id="155"/>
      <w:r>
        <w:rPr>
          <w:rtl w:val="true"/>
        </w:rPr>
        <w:t>اشارة</w:t>
      </w:r>
      <w:bookmarkEnd w:id="156"/>
    </w:p>
    <w:p>
      <w:pPr>
        <w:sectPr>
          <w:footerReference w:type="default" r:id="rId3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وموجِبُه إزهاق النفسِ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إخراجها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الجوهري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زَهَقَتْ 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زُهوقاً أي خَرَجَتْ </w:t>
      </w:r>
      <w:r>
        <w:rPr>
          <w:rStyle w:val="FootnoteAnchor"/>
          <w:rtl w:val="true"/>
        </w:rPr>
        <w:footnoteReference w:id="1397"/>
      </w:r>
      <w:r>
        <w:rPr>
          <w:rFonts w:ascii="Amiri" w:hAnsi="Amiri" w:eastAsia="Amiri" w:cs="Amiri"/>
          <w:color w:val="111111"/>
          <w:sz w:val="28"/>
          <w:sz w:val="28"/>
          <w:szCs w:val="28"/>
          <w:rtl w:val="true"/>
          <w:lang w:bidi="ar-SA"/>
        </w:rPr>
        <w:t>وهو هنا مَجاز في إخراجها عن التعلّق بالبدن؛ إذ ليست داخلةً فيه حقيقةً كما حقق في محله</w:t>
      </w:r>
      <w:r>
        <w:rPr>
          <w:rStyle w:val="FootnoteAnchor"/>
          <w:rtl w:val="true"/>
        </w:rPr>
        <w:footnoteReference w:id="139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المعصومة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 لا يجوز إتلافها، مأخوذ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العضم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المنع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المكافِيَّةِ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لنفس المُزْهِق لها في الإسلام والحرية وغيرهما من الاعتبارات الآتية،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قيد في الإزهاق أي إزهاقها في حالة العمد، وسيأتي </w:t>
      </w:r>
      <w:r>
        <w:rPr>
          <w:rStyle w:val="FootnoteAnchor"/>
          <w:rtl w:val="true"/>
        </w:rPr>
        <w:footnoteReference w:id="1399"/>
      </w:r>
      <w:r>
        <w:rPr>
          <w:rFonts w:ascii="Amiri" w:hAnsi="Amiri" w:eastAsia="Amiri" w:cs="Amiri"/>
          <w:color w:val="111111"/>
          <w:sz w:val="28"/>
          <w:sz w:val="28"/>
          <w:szCs w:val="28"/>
          <w:rtl w:val="true"/>
          <w:lang w:bidi="ar-SA"/>
        </w:rPr>
        <w:t xml:space="preserve">تفسيره،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عُدواناً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احتَرَز به عن نحو المقتول قصاصاً فإنّه يصدق عليه التعريف لكن لا عدوان فيه فخرج به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ويمكن إخراجه بقيد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المعصومة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غير المعصوم أعم من كونه بالأصل كالحربي والعارض كالقاتل على وجه يوجب القصاص، ولكنه أراد بالمعصومة ما لا يُباحُ إزهاقها للكلّ، وبالقيد الأخير إخراج ما يُباح قتله بالنسبة إلى شخص دون آخَرَ؛ فإنّ القاتل معصوم بالنسبة إلى غير ولي القصاص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ويمكن أن يريد بالعدوان إخراج فعل الصبي والمجنونِ؛ فإن قتلهما للنفس المعصومة المكافئة لا يوجب عليهما القصاص لأنه لا يُعَدّ عدواناً؛ لعدم التكليف وإن استحقا التأديب حَسْماً للجرأة فإن العدوان هنا بمعنى الظلم المحرم وهو منفي عنهما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لاحَظَ في العدوان المعنى السابق، احتاج في إخراجهما إلى قيدٍ آخَرَ،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هو إزهاق البالغ العاقل النفس المعصومة إلى آخره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ويمكن إخراجهما بقيد العمد؛ لما سيأتي من تفسيره بأنه قصد البالغ</w:t>
      </w:r>
      <w:r>
        <w:rPr>
          <w:rStyle w:val="FootnoteAnchor"/>
          <w:rtl w:val="true"/>
        </w:rPr>
        <w:footnoteReference w:id="1400"/>
      </w:r>
      <w:r>
        <w:rPr>
          <w:rFonts w:ascii="Amiri" w:hAnsi="Amiri" w:eastAsia="Amiri" w:cs="Amiri"/>
          <w:color w:val="111111"/>
          <w:sz w:val="28"/>
          <w:sz w:val="28"/>
          <w:szCs w:val="28"/>
          <w:rtl w:val="true"/>
          <w:lang w:bidi="ar-SA"/>
        </w:rPr>
        <w:t>إلى آخره، وهو أوفق بالعبارة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قَوَد بقتل المرتدّ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ونحوه من الكفّار الذين لا عصمة لنفوسهم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والقود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بفتح الواو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القِصاص، سُمِّيَ قَوَداً لأنّهم يقودون الجاني بحبل وغيره، قاله الأزهري</w:t>
      </w:r>
      <w:r>
        <w:rPr>
          <w:rStyle w:val="FootnoteAnchor"/>
          <w:rtl w:val="true"/>
        </w:rPr>
        <w:footnoteReference w:id="1401"/>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ولا بقتل غيرِ المكافئ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كالعبد بالنسبة إلى الحرّ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وإزهاق نفس الدابة المحترمة بغير إذن المالك وإن كان محرَّماً، إلّا أنّه يمكن إخراجه بالمعصومة حيث يُراد بها ما لا يجوز إتلافه مطلقاً، ولو أريد بها ما لا يجوز إتلافه لشخص دون 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تقدّم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خرجت بالمكافئة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وخرج بقيد العمد القتل خطأ وشبهه فإنّه لا قصاص فيهما</w:t>
      </w:r>
      <w:r>
        <w:rPr>
          <w:rFonts w:eastAsia="Amiri" w:cs="Amiri" w:ascii="Amiri" w:hAnsi="Amiri"/>
          <w:color w:val="111111"/>
          <w:sz w:val="28"/>
          <w:szCs w:val="28"/>
          <w:rtl w:val="true"/>
          <w:lang w:bidi="ar-SA"/>
        </w:rPr>
        <w:t>.</w:t>
      </w:r>
    </w:p>
    <w:p>
      <w:pPr>
        <w:sectPr>
          <w:footerReference w:type="default" r:id="rId3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والعمد يحصل بقصد البالغ إلى القتل بما يقتل غالباً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وينبغي قيد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العاقل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أيضاً؛ لأن عمد المجنون خطأ كالصبي، بل هو أولى بعدم القصد من الصبي المميز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وبعضُ الأصحاب جَعَلَ العمد هو القصد إلى القتل</w:t>
      </w:r>
      <w:r>
        <w:rPr>
          <w:rStyle w:val="FootnoteAnchor"/>
          <w:rtl w:val="true"/>
        </w:rPr>
        <w:footnoteReference w:id="1402"/>
      </w:r>
      <w:r>
        <w:rPr>
          <w:rFonts w:ascii="Amiri" w:hAnsi="Amiri" w:eastAsia="Amiri" w:cs="Amiri"/>
          <w:color w:val="111111"/>
          <w:sz w:val="28"/>
          <w:sz w:val="28"/>
          <w:szCs w:val="28"/>
          <w:rtl w:val="true"/>
          <w:lang w:bidi="ar-SA"/>
        </w:rPr>
        <w:t xml:space="preserve">إلى آخره، من غير اعتبار القيدين؛ نظراً إلى </w:t>
      </w:r>
    </w:p>
    <w:p>
      <w:pPr>
        <w:pStyle w:val="BookText"/>
        <w:rPr/>
      </w:pPr>
      <w:r>
        <w:rPr>
          <w:rFonts w:ascii="Amiri" w:hAnsi="Amiri" w:eastAsia="Amiri" w:cs="Amiri"/>
          <w:color w:val="111111"/>
          <w:sz w:val="28"/>
          <w:sz w:val="28"/>
          <w:szCs w:val="28"/>
          <w:rtl w:val="true"/>
          <w:lang w:bidi="ar-SA"/>
        </w:rPr>
        <w:t xml:space="preserve">إمكان قصدهما الفعل، فاحتاج إلى تقييدِ ما يُوجب القصاص بإزهاق البالغ العاقل، كما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يَقتُل</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نادراً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اتَّفق به القتلُ؛ نظراً إلى أن العمد يتحقق بقصد القتل</w:t>
      </w:r>
      <w:r>
        <w:rPr>
          <w:rStyle w:val="FootnoteAnchor"/>
          <w:rtl w:val="true"/>
        </w:rPr>
        <w:footnoteReference w:id="1403"/>
      </w:r>
      <w:r>
        <w:rPr>
          <w:rFonts w:ascii="Amiri" w:hAnsi="Amiri" w:eastAsia="Amiri" w:cs="Amiri"/>
          <w:color w:val="111111"/>
          <w:sz w:val="28"/>
          <w:sz w:val="28"/>
          <w:szCs w:val="28"/>
          <w:rtl w:val="true"/>
          <w:lang w:bidi="ar-SA"/>
        </w:rPr>
        <w:t>من غير نظر إلى الآلة فيدخُل في عموم أدلّة</w:t>
      </w:r>
      <w:r>
        <w:rPr>
          <w:rStyle w:val="FootnoteAnchor"/>
          <w:rtl w:val="true"/>
        </w:rPr>
        <w:footnoteReference w:id="1404"/>
      </w:r>
      <w:r>
        <w:rPr>
          <w:rFonts w:ascii="IRNazanin" w:hAnsi="IRNazanin" w:eastAsia="IRNazanin"/>
          <w:color w:val="111111"/>
          <w:sz w:val="28"/>
          <w:sz w:val="28"/>
          <w:szCs w:val="28"/>
          <w:rtl w:val="true"/>
          <w:lang w:bidi="fa-IR"/>
        </w:rPr>
        <w:t>العمد، وهذا أقوى</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وإذا لم يقصد القتل بالنادر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بما يقع القتل به نادراً،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فلا قود وإنْ اتَّفَق الموتُ كالضرب بالعُودِ الخفيف أو العصا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الخفيفة في غير مقتل بغير قصد القتل؛ لانتفاء القصد إلى القتل وانتفاء القتل بذلك عادةً فيكون القتل شبية الخطاء وللشيخ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 قول</w:t>
      </w:r>
      <w:r>
        <w:rPr>
          <w:rStyle w:val="FootnoteAnchor"/>
          <w:rtl w:val="true"/>
        </w:rPr>
        <w:footnoteReference w:id="1405"/>
      </w:r>
      <w:r>
        <w:rPr>
          <w:rFonts w:ascii="Amiri" w:hAnsi="Amiri" w:eastAsia="Amiri" w:cs="Amiri"/>
          <w:color w:val="111111"/>
          <w:sz w:val="28"/>
          <w:sz w:val="28"/>
          <w:szCs w:val="28"/>
          <w:rtl w:val="true"/>
          <w:lang w:bidi="ar-SA"/>
        </w:rPr>
        <w:t xml:space="preserve">بأنه هنا عمد ؛ استناداً إلى روايات </w:t>
      </w:r>
      <w:r>
        <w:rPr>
          <w:rStyle w:val="FootnoteAnchor"/>
          <w:rtl w:val="true"/>
        </w:rPr>
        <w:footnoteReference w:id="1406"/>
      </w:r>
      <w:r>
        <w:rPr>
          <w:rFonts w:ascii="Amiri" w:hAnsi="Amiri" w:eastAsia="Amiri" w:cs="Amiri"/>
          <w:color w:val="111111"/>
          <w:sz w:val="28"/>
          <w:sz w:val="28"/>
          <w:szCs w:val="28"/>
          <w:rtl w:val="true"/>
          <w:lang w:bidi="ar-SA"/>
        </w:rPr>
        <w:t>ضعيفة أو مرسَلة لا تُعتَمَد في الدِماءِ المعصومة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لو كرَّر ضَرْبَه بما لا يَحتمله مثله بالنسبة إلى بدنِه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لصِغَره أو مرضه،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وزمانه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لشدّة الحرّ أو البَرْد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فهو عمد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لأنه حينئذٍ يكون الضرب بحسب العوارض بما يقتل غالباً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وكذا لو ضربه دون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غير أن يقصد قتله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فأعقبه مرضاً ومات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لأنّ الضربَ مع المرض ممّا يحصل معه التلف، والمرضُ مسبّب عنه وإن كان لا يوجبه منفرداً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ويُشكل بتخلف الأمرين معاً، وهما القصد إلى القتل وكونُ الفعل ممّا يَقتُل غالباً، والسببية غير كافية في العمدية كما إذا اتَّفق الموتُ بالضرب بالعُودِ الخفيف، ولو اعتبر هنا القصد لم يُشترط أن يَتَعَقَّبَه المرضُ</w:t>
      </w:r>
      <w:r>
        <w:rPr>
          <w:rFonts w:eastAsia="Amiri" w:cs="Amiri" w:ascii="Amiri" w:hAnsi="Amiri"/>
          <w:color w:val="111111"/>
          <w:sz w:val="28"/>
          <w:szCs w:val="28"/>
          <w:rtl w:val="true"/>
          <w:lang w:bidi="ar-SA"/>
        </w:rPr>
        <w:t>.</w:t>
      </w:r>
    </w:p>
    <w:p>
      <w:pPr>
        <w:sectPr>
          <w:footerReference w:type="default" r:id="rId3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رماه بسهم أو بحجرٍ غامز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كابس على البدن لثقله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خَنقه بحبل ولم يُرْخ عنه حتى مات أو بَقِي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المخنوق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ضَمِناً</w:t>
      </w:r>
      <w:r>
        <w:rPr>
          <w:rStyle w:val="FootnoteAnchor"/>
          <w:rtl w:val="true"/>
        </w:rPr>
        <w:footnoteReference w:id="140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بفتح الضاد فكسر الميم، أي مُؤْمِناً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بذلك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 طَرَحه في النار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فمات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أن يُعلم قدرته على </w:t>
      </w:r>
    </w:p>
    <w:p>
      <w:pPr>
        <w:pStyle w:val="BookText"/>
        <w:rPr/>
      </w:pPr>
      <w:r>
        <w:rPr>
          <w:rFonts w:ascii="Amiri" w:hAnsi="Amiri" w:eastAsia="Amiri" w:cs="Amiri"/>
          <w:color w:val="111111"/>
          <w:sz w:val="28"/>
          <w:sz w:val="28"/>
          <w:szCs w:val="28"/>
          <w:rtl w:val="true"/>
          <w:lang w:bidi="ar-SA"/>
        </w:rPr>
        <w:t>الخروج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لقلّتها، أو كونه في طرفها يُمكنه الخروج بأدنى حركة فيترك؛ لأنه حينئذ قاتل نفسه،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طرحه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اللُجَّة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فمات منها ولم يقدر على الخروج أيضاً</w:t>
      </w:r>
      <w:r>
        <w:rPr>
          <w:rStyle w:val="FootnoteAnchor"/>
          <w:rtl w:val="true"/>
        </w:rPr>
        <w:footnoteReference w:id="140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وربما فُرِق بينهما وأوجب ضمانُ الدية في الأول دون الثاني؛ لأنّ الماء لا يُحدِث به ضرراً بمجرد دخوله بخلاف النار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ويَتَّجِه وجوبُها مع عدم العلم باستناد الترك إلى تقصيره؛ لأنّ النارَ قد تَدهَتُه وتَشْنَج أعضاؤه بالملاقاة فلا يظفر بوجه المَخْلَص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لم يمكنه الخروج من الماء إلا إلى مَعْرَقٍ آخَرَ فكعدمه، وكذا من أحدهما إلى الآخر أو ما في حكمه</w:t>
      </w:r>
      <w:r>
        <w:rPr>
          <w:rStyle w:val="FootnoteAnchor"/>
          <w:rtl w:val="true"/>
        </w:rPr>
        <w:footnoteReference w:id="140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ويُرجع في القدرة وعديها إلى إقراره بها أو قرائن الأحوال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جَرَحه عمداً فسَرَى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الجُرحُ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أمكنه المداواة؛ لأنّ السراية مع تركها من الجُرح المضمون، بخلاف المُلقى في النار مع القدرة على الخروج فتَرَكَه تخاذلاً؛ لأنّ التلف حينئذٍ مستند إلى الاحتراق المتجدّدِ ولولا المكث لما حصل، وأولى منه ما لو غُرِق بالماء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ومثله ما لو فَصَده فتَرَك المفصودُ شَدَّه؛ لأن خروج الدم هو المهلك والفاصد سببُه، ويُحتمل كونه كالنار؛ لأنّ التلف مستند إلى خروج الدم المتجدّدِ الممكن قطعه بالشدّ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أو أَلقَى نفسَه مِن عُلْوِ على إنسان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فقتله قصداً، أو كان مثله يقتل غالباً، ولو كان المُلقِي له غيره بقصد قتل الأسفل قيد به مطلقاً، وبالواقع إن كان الوقوع ممّا يَقتُل غالباً وإلا ضَمِنَ ديته، ولو انعكس انعكس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أو ألقاه من مكانٍ شاهِقٍ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يَقتُل غالباً أو مع قصد قتله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أو قَدَّم إليه طعاماً مسموماً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يقتل مثله كميةً وكيفية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ولم يعلمه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بحاله،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جَعَلَه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الطعام المسموم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منزله ولم يُعلمه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ولو كان السم مما يقتل كثيره خاصةً فقَدَّم إليه قليله بقصد القتل فكالكثير، وإلا فلا</w:t>
      </w:r>
      <w:r>
        <w:rPr>
          <w:rFonts w:eastAsia="Amiri" w:cs="Amiri" w:ascii="Amiri" w:hAnsi="Amiri"/>
          <w:color w:val="111111"/>
          <w:sz w:val="28"/>
          <w:szCs w:val="28"/>
          <w:rtl w:val="true"/>
          <w:lang w:bidi="ar-SA"/>
        </w:rPr>
        <w:t>.</w:t>
      </w:r>
    </w:p>
    <w:p>
      <w:pPr>
        <w:sectPr>
          <w:footerReference w:type="default" r:id="rId3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ويختلف باختلاف الأمزجة والخليط، أما لو وضعه في طعام نفسه أو في ملكه </w:t>
      </w:r>
    </w:p>
    <w:p>
      <w:pPr>
        <w:pStyle w:val="BookText"/>
        <w:rPr/>
      </w:pPr>
      <w:r>
        <w:rPr>
          <w:rFonts w:ascii="Amiri" w:hAnsi="Amiri" w:eastAsia="Amiri" w:cs="Amiri"/>
          <w:color w:val="111111"/>
          <w:sz w:val="28"/>
          <w:sz w:val="28"/>
          <w:szCs w:val="28"/>
          <w:rtl w:val="true"/>
          <w:lang w:bidi="ar-SA"/>
        </w:rPr>
        <w:t>فأكله غيره بغير إذنه فلا ضمان، سواء قصد بوضعه قتل الآكل كما لو عَلِم دخول الغير داره كاللص أم لا، وكذا لو دَخَل بإذنه وأكله بغير إذنه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حفر بئراً بعيدة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القَعْرِ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طريق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في بيته بحيث يقتل وقوعُها غالباً، أو قَصَدَه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ودَعَا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المرور عليها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 جهالته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فوقع فمات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أما لو دخل بغير إذنه فوقع فيها فلا ضمان وإنْ وَضَعها لأجل وقوعه كما لو وضعها للصّ</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ألقاه في البحر فالتقمه الحُوتُ إذا قصد إلقامَ الحوت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أو كان وجوده والتقامه غالباً في ذلك الماء،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 لم يقصد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القامه ولا كان غالباً فاتَّفَق ذلك ضَمِنَه أيضاً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قول</w:t>
      </w:r>
      <w:r>
        <w:rPr>
          <w:rStyle w:val="FootnoteAnchor"/>
          <w:rtl w:val="true"/>
        </w:rPr>
        <w:footnoteReference w:id="141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لأنّ الإلقاء كافٍ في الضمان، وفعل الحوت أمر زائد عليه كنَصْلٍ منصوب في عمق البئر الذي يقتل غالباً، ولأنّ البحر مَظِنّة الحوت فيكون قصد إلقائه في البحر كقصد القامه الحوت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ووجه العدم أنّ السبب الذي قصده لم يُقتل به والذي قُتِل به غيرُ مقصود فلا يكون عمداً وإنْ أوجب الدية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وحكاية المصنّف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يُشعر بتمريضه، وقد قطع به العلّامة</w:t>
      </w:r>
      <w:r>
        <w:rPr>
          <w:rStyle w:val="FootnoteAnchor"/>
          <w:rtl w:val="true"/>
        </w:rPr>
        <w:footnoteReference w:id="1411"/>
      </w:r>
      <w:r>
        <w:rPr>
          <w:rFonts w:ascii="Amiri" w:hAnsi="Amiri" w:eastAsia="Amiri" w:cs="Amiri"/>
          <w:color w:val="111111"/>
          <w:sz w:val="28"/>
          <w:sz w:val="28"/>
          <w:szCs w:val="28"/>
          <w:rtl w:val="true"/>
          <w:lang w:bidi="ar-SA"/>
        </w:rPr>
        <w:t>، وهو حسن؛ لأنّ الفرضَ كونُ الإلقاء موجباً للضمان كما ظَهَر من التعليل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وكذا الخلاف</w:t>
      </w:r>
      <w:r>
        <w:rPr>
          <w:rStyle w:val="FootnoteAnchor"/>
          <w:rtl w:val="true"/>
        </w:rPr>
        <w:footnoteReference w:id="1412"/>
      </w:r>
      <w:r>
        <w:rPr>
          <w:rFonts w:ascii="Amiri" w:hAnsi="Amiri" w:eastAsia="Amiri" w:cs="Amiri"/>
          <w:color w:val="111111"/>
          <w:sz w:val="28"/>
          <w:sz w:val="28"/>
          <w:szCs w:val="28"/>
          <w:rtl w:val="true"/>
          <w:lang w:bidi="ar-SA"/>
        </w:rPr>
        <w:t>لو التقمه الحوت قبل وصوله إلى الماء من حيث إنّ الإلقاء في البحر إتلاف بالعادة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وعدم قصد إتلافه بهذا النوع، والأول أقوى</w:t>
      </w:r>
      <w:r>
        <w:rPr>
          <w:rFonts w:eastAsia="Amiri" w:cs="Amiri" w:ascii="Amiri" w:hAnsi="Amiri"/>
          <w:color w:val="111111"/>
          <w:sz w:val="28"/>
          <w:szCs w:val="28"/>
          <w:rtl w:val="true"/>
          <w:lang w:bidi="ar-SA"/>
        </w:rPr>
        <w:t>.</w:t>
      </w:r>
    </w:p>
    <w:p>
      <w:pPr>
        <w:sectPr>
          <w:footerReference w:type="default" r:id="rId3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أغرَى به كلباً عقوراً فقتله ولا يُمكنه التخلّص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 فلو أمكن بالهَرَب أو قتله أو الصياح به ونحوه فلا قود؛ لأنه أعان على نفسه بالتفريط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إن كان التخلّص الممكنُ من مطلق أذاه فكإلقائه في الماء فيموت مع قدرته على الخروج، وإن لم يمكن إلا بعد عَضَّة لا يَقتُل مثلُها فكإلقائه في النار كذلك فيَضمَن جنايةً لا يمكنه دفعُها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 ألقاه إلى أسد بحيث لا يمكنه الفرارُ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 فقتله سواء كان في مَضِيقٍ أم بريةٍ</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أَنْهَشه حيّةً قاتلةً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طَرَحها عليه فنَهَشَتْه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فهَلَك، أو جَمَع بينه وبينها في مضيق؛ لأنه مما يقتل غالباً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 دَفَعه في بئرٍ حَفَرها الغيرُ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متعدّياً بحفرها أم غير متعد، في حالة كون الدافع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عالماً بالبئر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لأنه مباشر للقتل فيُقدم على السبب لو كان،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جَهل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الدافع بالبئر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قصاص عليه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لعدم القصد إلى القتل لكن عليه الدية لأنه شبيه عمدٍ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شَهِد عليه زُوراً بموجب القصاص فاقتص منه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لضعف المباشر بإباحة الفعل بالنسبة إليه فيُرجح السبب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 أن يعلم الوليُّ التزويرَ ويُباشِرَ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القتل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فالقصاص عليه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لأنّه حينئذ قاتل عمداً بغير حق</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وهنا مسائل؛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المسألة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أكرهه على القتل فالقصاص على المباشر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لأنّه القاتل عمداً ظلماً؛ إذ لا يتحقَّق حكم الإكراه في القتل عندنا ولو وَجَبَت الدية، كما لو كان المقتول غير مكافئ فالدية على المباشر أيضاً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دون الأمر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قصاص عليه ولا دية،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لكن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يُحبَس الآمِرُ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دائماً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حتى يموت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ويدلّ عليه مع الإجماع صحيحة زرارة عن الباقر فى رجل أَمَر رجلاً بقتل رجل فقتله،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يُقتل به الذي قتله، ويُحبَس الآمِرُ بقتله في الحبس حتى يموت</w:t>
      </w:r>
      <w:r>
        <w:rPr>
          <w:rFonts w:eastAsia="Amiri" w:cs="Amiri" w:ascii="Amiri" w:hAnsi="Amiri"/>
          <w:color w:val="111111"/>
          <w:sz w:val="28"/>
          <w:szCs w:val="28"/>
          <w:rtl w:val="true"/>
          <w:lang w:bidi="ar-SA"/>
        </w:rPr>
        <w:t>»</w:t>
      </w:r>
      <w:r>
        <w:rPr>
          <w:rStyle w:val="FootnoteAnchor"/>
          <w:rtl w:val="true"/>
        </w:rPr>
        <w:footnoteReference w:id="141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هذا إذا كان المقهورُ بالغاً عاقلاً،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ولو أكره الصبيَّ غير المميز أو المجنون فالقصاص على مُكرِههما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لأنّ المباشر حينئذٍ كالآلة، ولا فرق في ذلك بين الحر والعبد</w:t>
      </w:r>
      <w:r>
        <w:rPr>
          <w:rFonts w:eastAsia="Amiri" w:cs="Amiri" w:ascii="Amiri" w:hAnsi="Amiri"/>
          <w:color w:val="111111"/>
          <w:sz w:val="28"/>
          <w:szCs w:val="28"/>
          <w:rtl w:val="true"/>
          <w:lang w:bidi="ar-SA"/>
        </w:rPr>
        <w:t>.</w:t>
      </w:r>
    </w:p>
    <w:p>
      <w:pPr>
        <w:sectPr>
          <w:footerReference w:type="default" r:id="rId3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ويمكن الإكراه فيما دون النفس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عملاً بالأصل في غير موضع النص، كالجرح وقطع اليد فيسقط القصاص عن المباشر،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ويكون القصاص على المكره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بالكسر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الأقوى؛ لقوة السبب بضعف المباشر بالإكراه، خصوصاً لو بلغ الإكراه حد الإلجاء</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ويُحتمل عدم الاقتصاص منه؛ لعدم المباشرة فتجب الدية، ويُضعف بأنّ المباشرة أخصُّ من سببية القصاص فعدمُها أعم من عدمه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المسألة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اشترك في قتله جماعةٌ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القَوْه من شاهق أو في بحر، أو جَرَحوه جراحاتٍ مجتمعةً أو متفرّقةً ولؤ مختلفةً كمّيّة وكيفية فمات بها،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قُتِلوا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جميعاً إن شاء الوليُّ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بعد أن يَرُدّ عليهم ما فَضَل عن ديته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فيأخُذ كلُّ واحد ما فَضَل من ديته عن جنايته،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وله قتل البعض فيرد الباقون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الدية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بحسب جنايتهم، فإن فَضَل للمقتولين فضل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عمّا ردّه شركاؤُهم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قام به الوليُّ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فلو اشترك ثلاثة في قتل واحدٍ واختار وليه قتلهم أَدَّى إليهم ديتيْن يَقتسمونها بينهم بالسوية، فنصيب كلِّ واحدٍ منهم ثلثا ديةٍ، ويَسقُط ما يَخُصه من الجناية وهو الثلث الباقي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قتل اثنين أَدَّى الثالثُ ثُلث الدية عِوَضَ ما يَخُصه من الجناية، ويُضيف الوليُّ إليه ديةً كاملةً ليصير لكلّ واحدٍ من المقتولين ثلثا دية وهو فاضل ديته عن جنايته؛ ولأنّ الوليَّ اسْتَوفَى نفسين بنفس فيَرُدّ ديةَ نفس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قتل واحداً أَدَّى الباقيان إلى ورثته تُلتَي الديةِ ولا شيء على الوليّ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طَلَب الدية كانت عليهم بالسوية إن اتَّفقوا على أدائها، وإلا فالواجب تسليم نفس القاتل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كله مع اتحادِ وليّ المقتول أو اتفاق المتعدّد على الفعل الواحد، ولو اختلفوا فطَلَب بعضُهم القصاص وبعض الدية قُدّم مختارُ القصاص بعد ردّ نصيب طالب الدية منها وكذا لو عَفَا البعضُ، إلّا أنّ الرد هنا على القاتل، وستأتى الإشارة إليه</w:t>
      </w:r>
      <w:r>
        <w:rPr>
          <w:rStyle w:val="FootnoteAnchor"/>
          <w:rtl w:val="true"/>
        </w:rPr>
        <w:footnoteReference w:id="1414"/>
      </w:r>
      <w:r>
        <w:rPr>
          <w:rFonts w:eastAsia="Times New Roman" w:cs="Times New Roman" w:ascii="Times New Roman" w:hAnsi="Times New Roman"/>
          <w:color w:val="111111"/>
          <w:sz w:val="28"/>
          <w:szCs w:val="28"/>
          <w:rtl w:val="true"/>
          <w:lang w:val="en-US" w:bidi="en-US"/>
        </w:rPr>
        <w:t>.</w:t>
      </w:r>
    </w:p>
    <w:p>
      <w:pPr>
        <w:sectPr>
          <w:footerReference w:type="default" r:id="rId3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المسألة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الثالثة لو اشترك في قتله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قتل الذكر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امرأتان قُتِلَتا به ولارد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لا فاضل لهما عن ديته، وله قتل واحدةٍ وتَرُدّ الأخرى ما قابل جنايتها وهو ديتها </w:t>
      </w:r>
    </w:p>
    <w:p>
      <w:pPr>
        <w:pStyle w:val="BookText"/>
        <w:rPr/>
      </w:pPr>
      <w:r>
        <w:rPr>
          <w:rFonts w:ascii="Amiri" w:hAnsi="Amiri" w:eastAsia="Amiri" w:cs="Amiri"/>
          <w:color w:val="111111"/>
          <w:sz w:val="28"/>
          <w:sz w:val="28"/>
          <w:szCs w:val="28"/>
          <w:rtl w:val="true"/>
          <w:lang w:bidi="ar-SA"/>
        </w:rPr>
        <w:t>على الولي، ولا شيء للمقتولة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ولو اشترك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قتله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خُنْثَيانِ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مشكلانِ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قُتِلا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إن شاء الوليُّ، كما يُقتل الرجلان والمرأتان المشتركان،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ويَرُدّ عليهما نصف دية الرجل بينهما نصفان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لأنّ دية كلّ واحد نصف دية رجلٍ ونصفُ دية امرأةٍ، وذلك ثلاثة أرباع دية الرجل، فالفاضل لكلّ واحد من نفسه عن جنايته ربع دية الرجل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اختار قتل أحدهما رَدَّ عليه ربع ديةٍ هي ثلث ،ديته، ودَفَع الباقي نصف دية الرجل فيفضل للولي ربع ديته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ولو اشترك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قتل الرجل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نساء قُتِلْنَ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جُمَعُ إن شاء الوليُّ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ورَدَّ عليهن ما فَضَل عن ديته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فلو كُنّ ثلاثاً فقَتَلَهُنَّ رَدَّ عليهنّ دية امرأةٍ بينهنّ بالسوية أو أربعاً فدية امرأتين كذلك، وهكذا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اختار في الثلاث قتل اثنتين رَدَّت الباقيةُ تُلتَ ديته بين المقتولتين بالسوية؛ لأنّ ذلك هو الفاضل لهما عن جنايتهما وهو ثلث ديتهما؛ أو قتل واحدة رَدَّ</w:t>
      </w:r>
      <w:r>
        <w:rPr>
          <w:rStyle w:val="FootnoteAnchor"/>
          <w:rtl w:val="true"/>
        </w:rPr>
        <w:footnoteReference w:id="1415"/>
      </w:r>
      <w:r>
        <w:rPr>
          <w:rFonts w:ascii="Amiri" w:hAnsi="Amiri" w:eastAsia="Amiri" w:cs="Amiri"/>
          <w:color w:val="111111"/>
          <w:sz w:val="28"/>
          <w:sz w:val="28"/>
          <w:szCs w:val="28"/>
          <w:rtl w:val="true"/>
          <w:lang w:bidi="ar-SA"/>
        </w:rPr>
        <w:t>الباقيتان على المقتولة ثُلث ديتها وعلى الوليّ نصف دية الرجل، وكذا قياسُ الباقي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ولو اشترك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قتل الرجل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رجل وامرأةٌ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واختار الولي قتلهما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فلارد للمرأة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لا فاضل لها من ديتها عمّا يَخُصّ جنايتَها،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ويَرُدّ على الرجل نصف ديته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لأنّه الفاضل من ديته عن جنايته، والردُّ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الوليّ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قَتَلَهما،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من المرأة لو لم تُقتَل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مقدار جنايتها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ولو قُتِلَت المرأة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خاصةً فلا شيء لها،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رَدَّ الرجلُ على الولي نصف الدية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مقابل جنايته</w:t>
      </w:r>
      <w:r>
        <w:rPr>
          <w:rFonts w:eastAsia="Amiri" w:cs="Amiri" w:ascii="Amiri" w:hAnsi="Amiri"/>
          <w:color w:val="111111"/>
          <w:sz w:val="28"/>
          <w:szCs w:val="28"/>
          <w:rtl w:val="true"/>
          <w:lang w:bidi="ar-SA"/>
        </w:rPr>
        <w:t>.</w:t>
      </w:r>
    </w:p>
    <w:p>
      <w:pPr>
        <w:sectPr>
          <w:footerReference w:type="default" r:id="rId3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هذا هو المشهور بين الأصحاب وعليه العمل، وللمفيد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 بأن المردود على تقدير قتلهما يُقسم بينهما أثلاثاً، للمرأة تُلثه بناءً على أن جنايةَ الرجل ضِعْفُ جناية المرأة؛ لأنّ الجاني نفس ونصفُ نفسٍ جَنَتْ على نفس فتكون الجناية بينهما أثلاثاً بحسب ذلك</w:t>
      </w:r>
      <w:r>
        <w:rPr>
          <w:rStyle w:val="FootnoteAnchor"/>
          <w:rtl w:val="true"/>
        </w:rPr>
        <w:footnoteReference w:id="141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وضعفه ظاهر، وإنما هما نفسان جنتا على نفس فكان على كلّ </w:t>
      </w:r>
    </w:p>
    <w:p>
      <w:pPr>
        <w:pStyle w:val="BookText"/>
        <w:rPr/>
      </w:pPr>
      <w:r>
        <w:rPr>
          <w:rFonts w:ascii="Amiri" w:hAnsi="Amiri" w:eastAsia="Amiri" w:cs="Amiri"/>
          <w:color w:val="111111"/>
          <w:sz w:val="28"/>
          <w:sz w:val="28"/>
          <w:szCs w:val="28"/>
          <w:rtl w:val="true"/>
          <w:lang w:bidi="ar-SA"/>
        </w:rPr>
        <w:t>واحدة نصف، ومع قتلهما فالفاضل للرجل خاصةً؛ لأنّ القدر المستوفى منه أكثر قيمةً من جنايته بقدرِ ضعفه، والمستوفى من المرأة بقدر جنايتها فلا شيء لها، كما مرّ، وكذا على تقدير قتله خاصةً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المسألة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الرابعة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اشتَرَك عَبيدٌ في قتله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قتل الذكر الحر فللولي قتلُ الجميع والبعض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قَتَلَهم أجمع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رَدَّ عليهم ما فَضَل من قيمتهم عن ديته إن 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هناك فضل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تقدير الفضل لا يَرُدّ على الجميع كيف كان، بل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 عبد نَقَصَتْ قيمته عن جنايته أو ساوَتْ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قيمته جنايته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وإنّما الردّ لمن زادت قيمته عن جنايته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لم تتجاوز دية الحرّ فيُرَدّ إليها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فلو كان العبيد ثلاثةً قيمتهم عشرة آلاف درهم فما دون بالسوية وقتلهم الوليُّ فلا ردّ، وإن زادت قيمتهم عن ذلك فعلى كلّ واحد تُلتُ دية الحرّ، فمن زادت قيمته عن الثلث رَدَّ على مولاه الزائد، ومَن لا فلا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المسألة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الخامسة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اشتَرَك حرٌّ وعبد في قتله فله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لوليه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قتلهما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ويَرُدّ على الحرّ نصف ديته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لأنّها الفاضل عن جنايته،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وعلى مولى العبد ما فَضَل من قيمته عن نصف الدية إن 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 فضل ما لم يَتَجاوز دية الحرّ فيُرَدّ إليها</w:t>
      </w:r>
      <w:r>
        <w:rPr>
          <w:rFonts w:eastAsia="Amiri" w:cs="Amiri" w:ascii="Amiri" w:hAnsi="Amiri"/>
          <w:color w:val="111111"/>
          <w:sz w:val="28"/>
          <w:szCs w:val="28"/>
          <w:rtl w:val="true"/>
          <w:lang w:bidi="ar-SA"/>
        </w:rPr>
        <w:t>.</w:t>
      </w:r>
    </w:p>
    <w:p>
      <w:pPr>
        <w:sectPr>
          <w:footerReference w:type="default" r:id="rId3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قتل أحدهما فالرد على الحرّ من مولى العبد أقل الأمرين من جنايته وقيمة عبده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اختار قتل الحرّ؛ لأنّ الأقل إن كان هو الجناية وهي نصف دية المقتول فلا يلزم الجاني سواها، وإن كان هو قيمة العبد 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يجني الجاني على أكثر من نفسه</w:t>
      </w:r>
      <w:r>
        <w:rPr>
          <w:rFonts w:eastAsia="Amiri" w:cs="Amiri" w:ascii="Amiri" w:hAnsi="Amiri"/>
          <w:color w:val="111111"/>
          <w:sz w:val="28"/>
          <w:szCs w:val="28"/>
          <w:rtl w:val="true"/>
          <w:lang w:bidi="ar-SA"/>
        </w:rPr>
        <w:t>»</w:t>
      </w:r>
      <w:r>
        <w:rPr>
          <w:rStyle w:val="FootnoteAnchor"/>
          <w:rtl w:val="true"/>
        </w:rPr>
        <w:footnoteReference w:id="1417"/>
      </w:r>
      <w:r>
        <w:rPr>
          <w:rFonts w:ascii="Amiri" w:hAnsi="Amiri" w:eastAsia="Amiri" w:cs="Amiri"/>
          <w:color w:val="111111"/>
          <w:sz w:val="28"/>
          <w:sz w:val="28"/>
          <w:szCs w:val="28"/>
          <w:rtl w:val="true"/>
          <w:lang w:bidi="ar-SA"/>
        </w:rPr>
        <w:t>ولا يلزم مولاه الزائد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إن كان الأقل هو قيمة العبد فعلى الولي إكمال نصف الدية لأولياء الحرّ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والرد على مولى العبد 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شريكه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الحرّ إن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اختار الوليُّ قَتْلَ العبد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وكان له فاضل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قيمته عن جنايته بأن تجاوَزَتْ قيمته نصف دية الحرّ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إن استوعبتْ قيمته الدية فله جميع المردود من الحرّ، وإن كانت أقل فالزائد من المردود </w:t>
      </w:r>
      <w:bookmarkStart w:id="157" w:name="pg11049_88654"/>
    </w:p>
    <w:p>
      <w:pPr>
        <w:pStyle w:val="BookText"/>
        <w:rPr/>
      </w:pPr>
      <w:bookmarkEnd w:id="157"/>
      <w:r>
        <w:rPr>
          <w:rFonts w:ascii="Amiri" w:hAnsi="Amiri" w:eastAsia="Amiri" w:cs="Amiri"/>
          <w:color w:val="111111"/>
          <w:sz w:val="28"/>
          <w:sz w:val="28"/>
          <w:szCs w:val="28"/>
          <w:rtl w:val="true"/>
          <w:lang w:bidi="ar-SA"/>
        </w:rPr>
        <w:t>عن قيمته بعد حطّ مقابل جنايته لوليّ المقتول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يكن له فضل بأن كانت قيمه العبد نصف دية الحرّ أو أنقص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الحرُّ عِوَض جنايته وهو نصف الدية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الولي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شاء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هو المحصل في المسألة، وفيها أقوال أُخَرُ</w:t>
      </w:r>
      <w:r>
        <w:rPr>
          <w:rStyle w:val="FootnoteAnchor"/>
          <w:rtl w:val="true"/>
        </w:rPr>
        <w:footnoteReference w:id="1418"/>
      </w:r>
      <w:r>
        <w:rPr>
          <w:rFonts w:ascii="Amiri" w:hAnsi="Amiri" w:eastAsia="Amiri" w:cs="Amiri"/>
          <w:color w:val="111111"/>
          <w:sz w:val="28"/>
          <w:sz w:val="28"/>
          <w:szCs w:val="28"/>
          <w:rtl w:val="true"/>
          <w:lang w:bidi="ar-SA"/>
        </w:rPr>
        <w:t>مدخولةٌ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ومنه يُعرَف حكمُ اشتراك العبد والمرأة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قتل الحرّ،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وغير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الفروض كاشتراك كلّ من الحر والعبد والمرأة مع الخنثى، واجتماع الثلاثة وغيرها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وضابطه اعتبارُ ديةِ المقتول إن كان حراً، فإن زادت عن جنايته دفع إليه الزائد، وإن ساوَتْ أو نَقَصَتْ اقتُصِر على قتله، وقيمة العبد كذلك ما لم تزد عن دية الحرّ، ورَدَّ الشريك الذي لا يُقتل ما قابل جنايته من دية المقتول على الشريك إن استوعب فاضل ديته، أو قيمته للمردود، وإلَّا رَدَّ الفاضل إلى الوليّ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وكذا القول لو كان الاشتراك في قتل امرأة أو خنثى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ويجب تقديم الردّ على الاستيفاء في جميع الفروض</w:t>
      </w:r>
      <w:r>
        <w:rPr>
          <w:rFonts w:eastAsia="Amiri" w:cs="Amiri" w:ascii="Amiri" w:hAnsi="Amiri"/>
          <w:color w:val="111111"/>
          <w:sz w:val="28"/>
          <w:szCs w:val="28"/>
          <w:rtl w:val="true"/>
          <w:lang w:bidi="ar-SA"/>
        </w:rPr>
        <w:t>.</w:t>
      </w:r>
    </w:p>
    <w:p>
      <w:pPr>
        <w:pStyle w:val="Heading4"/>
        <w:numPr>
          <w:ilvl w:val="3"/>
          <w:numId w:val="1"/>
        </w:numPr>
        <w:rPr/>
      </w:pPr>
      <w:bookmarkStart w:id="158" w:name="__RefHeading___Toc1446169_1067777946"/>
      <w:bookmarkStart w:id="159" w:name="_Toc48"/>
      <w:bookmarkEnd w:id="158"/>
      <w:r>
        <w:rPr>
          <w:rtl w:val="true"/>
        </w:rPr>
        <w:t>القول في شرائط القصاص</w:t>
      </w:r>
      <w:bookmarkEnd w:id="159"/>
    </w:p>
    <w:p>
      <w:pPr>
        <w:pStyle w:val="BookText"/>
        <w:rPr/>
      </w:pPr>
      <w:r>
        <w:rPr>
          <w:rFonts w:ascii="Amiri" w:hAnsi="Amiri" w:eastAsia="Amiri" w:cs="Amiri"/>
          <w:color w:val="111111"/>
          <w:sz w:val="28"/>
          <w:sz w:val="28"/>
          <w:szCs w:val="28"/>
          <w:rtl w:val="true"/>
          <w:lang w:bidi="ar-SA"/>
        </w:rPr>
        <w:t xml:space="preserve">وهي خمسة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التساوي في الحريّة أو الرق فيُقتل الحر بالحر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سواء كان القاتل ناقص الأطراف عادِمَ الحواس والمقتول صحيح أم بالعكس؛ لعموم الآية</w:t>
      </w:r>
      <w:r>
        <w:rPr>
          <w:rStyle w:val="FootnoteAnchor"/>
          <w:rtl w:val="true"/>
        </w:rPr>
        <w:footnoteReference w:id="1419"/>
      </w:r>
      <w:r>
        <w:rPr>
          <w:rFonts w:ascii="Amiri" w:hAnsi="Amiri" w:eastAsia="Amiri" w:cs="Amiri"/>
          <w:color w:val="111111"/>
          <w:sz w:val="28"/>
          <w:sz w:val="28"/>
          <w:szCs w:val="28"/>
          <w:rtl w:val="true"/>
          <w:lang w:bidi="ar-SA"/>
        </w:rPr>
        <w:t>، وسواءُ تَساوَيا في العلم والشرف والغنى والفقر والصحة والمرض والقوة والضعف والكبر والصغَر أم تفاوتا، وإِنْ أَشرف المريضُ على الهَلاك أو كان الطفل مولوداً فى الحال</w:t>
      </w:r>
      <w:r>
        <w:rPr>
          <w:rFonts w:eastAsia="Amiri" w:cs="Amiri" w:ascii="Amiri" w:hAnsi="Amiri"/>
          <w:color w:val="111111"/>
          <w:sz w:val="28"/>
          <w:szCs w:val="28"/>
          <w:rtl w:val="true"/>
          <w:lang w:bidi="ar-SA"/>
        </w:rPr>
        <w:t>.</w:t>
      </w:r>
    </w:p>
    <w:p>
      <w:pPr>
        <w:sectPr>
          <w:footerReference w:type="default" r:id="rId3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بالحرّة مع ردّ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وليها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نصف ديته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ديته ضِعْفُ ديتها، وبالخنثى مع ردّ رُبع الدية، والخنثى بالمرأة مع ردّ الربع عليه كذلك،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والحرّة بالحرّة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ردَّ إجماعاً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والحرِّ ولا يَرُدّ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أولياؤُها على الحر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شيئاً على الأقوى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لعمومالنَّفْسَ</w:t>
      </w:r>
    </w:p>
    <w:p>
      <w:pPr>
        <w:pStyle w:val="BookText"/>
        <w:rPr/>
      </w:pPr>
      <w:r>
        <w:rPr>
          <w:rFonts w:ascii="Amiri" w:hAnsi="Amiri" w:eastAsia="Amiri" w:cs="Amiri"/>
          <w:color w:val="111111"/>
          <w:sz w:val="28"/>
          <w:sz w:val="28"/>
          <w:szCs w:val="28"/>
          <w:rtl w:val="true"/>
          <w:lang w:bidi="ar-SA"/>
        </w:rPr>
        <w:t>بِالنَّفْسِ</w:t>
      </w:r>
      <w:r>
        <w:rPr>
          <w:rStyle w:val="FootnoteAnchor"/>
          <w:rtl w:val="true"/>
        </w:rPr>
        <w:footnoteReference w:id="1420"/>
      </w:r>
      <w:r>
        <w:rPr>
          <w:rFonts w:ascii="Amiri" w:hAnsi="Amiri" w:eastAsia="Amiri" w:cs="Amiri"/>
          <w:color w:val="111111"/>
          <w:sz w:val="28"/>
          <w:sz w:val="28"/>
          <w:szCs w:val="28"/>
          <w:rtl w:val="true"/>
          <w:lang w:bidi="ar-SA"/>
        </w:rPr>
        <w:t>وخصوص صحيحتي</w:t>
      </w:r>
      <w:r>
        <w:rPr>
          <w:rStyle w:val="FootnoteAnchor"/>
          <w:rtl w:val="true"/>
        </w:rPr>
        <w:footnoteReference w:id="1421"/>
      </w:r>
      <w:r>
        <w:rPr>
          <w:rFonts w:ascii="Amiri" w:hAnsi="Amiri" w:eastAsia="Amiri" w:cs="Amiri"/>
          <w:color w:val="111111"/>
          <w:sz w:val="28"/>
          <w:sz w:val="28"/>
          <w:szCs w:val="28"/>
          <w:rtl w:val="true"/>
          <w:lang w:bidi="ar-SA"/>
        </w:rPr>
        <w:t>الحلبي وعبدالله بن سنان عن الصادق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الدالّتين على ذلك صريحاً، وأنّ الجاني لا يجني على أكثر من 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ومقابل الأقوى رواية أبي مريم الأنصاري عن الباقر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امرأة قتلت رجلاً،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تُقتَل ويُؤدّي وليُّها بقيّة المال</w:t>
      </w:r>
      <w:r>
        <w:rPr>
          <w:rFonts w:eastAsia="Amiri" w:cs="Amiri" w:ascii="Amiri" w:hAnsi="Amiri"/>
          <w:color w:val="111111"/>
          <w:sz w:val="28"/>
          <w:szCs w:val="28"/>
          <w:rtl w:val="true"/>
          <w:lang w:bidi="ar-SA"/>
        </w:rPr>
        <w:t>»</w:t>
      </w:r>
      <w:r>
        <w:rPr>
          <w:rStyle w:val="FootnoteAnchor"/>
          <w:rtl w:val="true"/>
        </w:rPr>
        <w:footnoteReference w:id="142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مع شذوذها لا قائل بمضمونها من الأصحاب، قال المصنف في الشرح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وليس ببعيد دعوى الإجماع على هذه المسألة</w:t>
      </w:r>
      <w:r>
        <w:rPr>
          <w:rFonts w:eastAsia="Amiri" w:cs="Amiri" w:ascii="Amiri" w:hAnsi="Amiri"/>
          <w:color w:val="111111"/>
          <w:sz w:val="28"/>
          <w:szCs w:val="28"/>
          <w:rtl w:val="true"/>
          <w:lang w:bidi="ar-SA"/>
        </w:rPr>
        <w:t>»</w:t>
      </w:r>
      <w:r>
        <w:rPr>
          <w:rStyle w:val="FootnoteAnchor"/>
          <w:rtl w:val="true"/>
        </w:rPr>
        <w:footnoteReference w:id="142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وأولى منه قتل المرأة بالخنثى ولا ردّ، وقتل الخنثى بالرجل كذلك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ويقتص للمرأة من الرجل في الطَّرَف من غير ردّ حتّى تبلغ</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دية الطرف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ثُلثَ دية الحرّ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فصاعداً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فتصير على النصف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وكذا البحث في الجراح يتساويان فيها ديةً وقصاصاً، ما لم تبلغ ثلث الدية، فإذا بَلَغَتْه رُدَّتْ المرأةُ إلى النصف</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ومستند التفصيل أخبار كثيرة 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صحيحة أبان بن تغلب عن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تقول في رجل قطع إصبعاً من أصابع المرأة كم فيها؟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عشر من الابل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 اثنتين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عشرون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 ثلاثاً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ثلاثون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 أربعاً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عشرون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سبحان الله يقطع ثلاثاً فيكون عليه ثلاثون ويقطع أربعاً فيكون عليه عشرون؟؟ إنّ هذا كان يبلغنا ونحن بالعِراق فنَبرَأُ ممّن قاله ونقول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الذي جاء به شيطان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مَهْلاً يا أبان هذا حكم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إن المرأةَ تُعاقِل الرجل إلى ثلث الدية فإذا بلغت الثلث رجعت إلى النصف يا أبان إنك أخَذْتَنى بالقياس والسنة إذا قيسَتْ مُحق الدين</w:t>
      </w:r>
      <w:r>
        <w:rPr>
          <w:rFonts w:eastAsia="IRNazanin" w:cs="IRNazanin"/>
          <w:color w:val="111111"/>
          <w:sz w:val="28"/>
          <w:szCs w:val="28"/>
          <w:rtl w:val="true"/>
          <w:lang w:bidi="fa-IR"/>
        </w:rPr>
        <w:t>»</w:t>
      </w:r>
      <w:r>
        <w:rPr>
          <w:rStyle w:val="FootnoteAnchor"/>
          <w:rtl w:val="true"/>
        </w:rPr>
        <w:footnoteReference w:id="1424"/>
      </w:r>
      <w:r>
        <w:rPr>
          <w:rFonts w:eastAsia="Times New Roman" w:cs="Times New Roman" w:ascii="Times New Roman" w:hAnsi="Times New Roman"/>
          <w:color w:val="111111"/>
          <w:sz w:val="28"/>
          <w:szCs w:val="28"/>
          <w:rtl w:val="true"/>
          <w:lang w:val="en-US" w:bidi="en-US"/>
        </w:rPr>
        <w:t>.</w:t>
      </w:r>
    </w:p>
    <w:p>
      <w:pPr>
        <w:sectPr>
          <w:footerReference w:type="default" r:id="rId3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ورَوَى تفصيلَ الجراح جميلُ بنُ دَرّاج عنه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بينها وبين الرجل قصاص في الجراحات حتّى تَبْلُغَ الثلث سواء، فإذا بلغت القُلتَ سواءً ارتَفَعَ الرجلُ وسَفَلَتْ </w:t>
      </w:r>
    </w:p>
    <w:p>
      <w:pPr>
        <w:pStyle w:val="BookText"/>
        <w:rPr/>
      </w:pPr>
      <w:r>
        <w:rPr>
          <w:rFonts w:ascii="Amiri" w:hAnsi="Amiri" w:eastAsia="Amiri" w:cs="Amiri"/>
          <w:color w:val="111111"/>
          <w:sz w:val="28"/>
          <w:sz w:val="28"/>
          <w:szCs w:val="28"/>
          <w:rtl w:val="true"/>
          <w:lang w:bidi="ar-SA"/>
        </w:rPr>
        <w:t>المرأة</w:t>
      </w:r>
      <w:r>
        <w:rPr>
          <w:rFonts w:eastAsia="Amiri" w:cs="Amiri" w:ascii="Amiri" w:hAnsi="Amiri"/>
          <w:color w:val="111111"/>
          <w:sz w:val="28"/>
          <w:szCs w:val="28"/>
          <w:rtl w:val="true"/>
          <w:lang w:bidi="ar-SA"/>
        </w:rPr>
        <w:t>»</w:t>
      </w:r>
      <w:r>
        <w:rPr>
          <w:rStyle w:val="FootnoteAnchor"/>
          <w:rtl w:val="true"/>
        </w:rPr>
        <w:footnoteReference w:id="142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الشيخ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ما لم تتجاوز الثلث</w:t>
      </w:r>
      <w:r>
        <w:rPr>
          <w:rStyle w:val="FootnoteAnchor"/>
          <w:rtl w:val="true"/>
        </w:rPr>
        <w:footnoteReference w:id="1426"/>
      </w:r>
      <w:r>
        <w:rPr>
          <w:rFonts w:ascii="Amiri" w:hAnsi="Amiri" w:eastAsia="Amiri" w:cs="Amiri"/>
          <w:color w:val="111111"/>
          <w:sz w:val="28"/>
          <w:sz w:val="28"/>
          <w:szCs w:val="28"/>
          <w:rtl w:val="true"/>
          <w:lang w:bidi="ar-SA"/>
        </w:rPr>
        <w:t>والأخبار الصحيحة</w:t>
      </w:r>
      <w:r>
        <w:rPr>
          <w:rStyle w:val="FootnoteAnchor"/>
          <w:rtl w:val="true"/>
        </w:rPr>
        <w:footnoteReference w:id="1427"/>
      </w:r>
      <w:r>
        <w:rPr>
          <w:rFonts w:ascii="Amiri" w:hAnsi="Amiri" w:eastAsia="Amiri" w:cs="Amiri"/>
          <w:color w:val="111111"/>
          <w:sz w:val="28"/>
          <w:sz w:val="28"/>
          <w:szCs w:val="28"/>
          <w:rtl w:val="true"/>
          <w:lang w:bidi="ar-SA"/>
        </w:rPr>
        <w:t>حجّة المشهور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تَقَرَّر ذلك فلو قطع منها ثلاث أصابع استوفت مثلها منه قصاصاً من غير ردّ، ولو قطع أربعاً لم يُقطع منه الأربعُ إلا بعد ردّ دية إصبعين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وهل لها القصاص في إصبعين من دون ردّ؟ وجهان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منشأهما وجود المقتضي لجوازه كذلك وانتفاء المانع، أما الأول فلان قطع إصبعين منها يوجب ذلك فالزائد أولى، وأما الثاني فلأن قطع الزائد زيادة في الجناية فلا يكون سبباً في منع ما ثبت أوّلاً؛ ومن النص</w:t>
      </w:r>
      <w:r>
        <w:rPr>
          <w:rStyle w:val="FootnoteAnchor"/>
          <w:rtl w:val="true"/>
        </w:rPr>
        <w:footnoteReference w:id="1428"/>
      </w:r>
      <w:r>
        <w:rPr>
          <w:rFonts w:ascii="Amiri" w:hAnsi="Amiri" w:eastAsia="Amiri" w:cs="Amiri"/>
          <w:color w:val="111111"/>
          <w:sz w:val="28"/>
          <w:sz w:val="28"/>
          <w:szCs w:val="28"/>
          <w:rtl w:val="true"/>
          <w:lang w:bidi="ar-SA"/>
        </w:rPr>
        <w:t>الدال على أنه ليس لها الاقتصاصُ في الجناية الخاصة إلا بعد الردّ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ويقوى الإشكال لو طَلَبَتْ القصاص في ثلاث والعفو في الرابعة، وعدم إجابتها هنا أقوى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الأوّل تتخيَّر بين قطع إصبعين من غير ردّ وبين قطع أربع مع ردّ دية إصبعين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طلبت الدية فليس لها أكثر من دية إصبعين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إذا كان القطع بضربة واحدة، ولو كان بأزيدَ ثَبَتَ لها دية الأربع أو القصاص في الجميع من غير ردّ؛ لثبوت حكم السابق فيُستصَحب، وكذا حكم الباقي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ويُقتل العبدُ بالحرّ والحرّةِ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زادت قيمته عن الدية، ولا يُرَدّ على مولاه الزائد لو فرض كما لا يلزمه الإكمال لو نَقص،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وبالعبد وبالأمة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سواء كانا لمالك واحدٍ أم مالكين، وسواء تساوَتْ قيمتهما أم اختلفت</w:t>
      </w:r>
      <w:r>
        <w:rPr>
          <w:rFonts w:eastAsia="Amiri" w:cs="Amiri" w:ascii="Amiri" w:hAnsi="Amiri"/>
          <w:color w:val="111111"/>
          <w:sz w:val="28"/>
          <w:szCs w:val="28"/>
          <w:rtl w:val="true"/>
          <w:lang w:bidi="ar-SA"/>
        </w:rPr>
        <w:t>.</w:t>
      </w:r>
    </w:p>
    <w:p>
      <w:pPr>
        <w:sectPr>
          <w:footerReference w:type="default" r:id="rId3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تُقتَل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الأمةُ بالحرّ والحرّة وبالعبد والأمة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مطلقاً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وفي اعتبار القيمة هنا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فى قتل المملوكِ مثله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w:t>
      </w:r>
      <w:r>
        <w:rPr>
          <w:rFonts w:eastAsia="Amiri" w:cs="Amiri" w:ascii="Amiri" w:hAnsi="Amiri"/>
          <w:color w:val="111111"/>
          <w:sz w:val="28"/>
          <w:szCs w:val="28"/>
          <w:rtl w:val="true"/>
          <w:lang w:bidi="ar-SA"/>
        </w:rPr>
        <w:t xml:space="preserve">) </w:t>
      </w:r>
      <w:r>
        <w:rPr>
          <w:rStyle w:val="FootnoteAnchor"/>
          <w:rtl w:val="true"/>
        </w:rPr>
        <w:footnoteReference w:id="1429"/>
      </w:r>
      <w:r>
        <w:rPr>
          <w:rFonts w:ascii="Amiri" w:hAnsi="Amiri" w:eastAsia="Amiri" w:cs="Amiri"/>
          <w:color w:val="111111"/>
          <w:sz w:val="28"/>
          <w:sz w:val="28"/>
          <w:szCs w:val="28"/>
          <w:rtl w:val="true"/>
          <w:lang w:bidi="ar-SA"/>
        </w:rPr>
        <w:t xml:space="preserve">فلا يُقتل الكامل بالناقص إلا مع ردّ التفاوت على سيّد الكامل؛ لأنّ ضمان المملوك يُراعى فيه المالية فلا يُستوفى الزائد بالناقص بل </w:t>
      </w:r>
    </w:p>
    <w:p>
      <w:pPr>
        <w:pStyle w:val="BookText"/>
        <w:rPr/>
      </w:pPr>
      <w:r>
        <w:rPr>
          <w:rFonts w:ascii="Amiri" w:hAnsi="Amiri" w:eastAsia="Amiri" w:cs="Amiri"/>
          <w:color w:val="111111"/>
          <w:sz w:val="28"/>
          <w:sz w:val="28"/>
          <w:szCs w:val="28"/>
          <w:rtl w:val="true"/>
          <w:lang w:bidi="ar-SA"/>
        </w:rPr>
        <w:t>بالمساوي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ويُحتمل جواز القصاص مطلقاً من غير ردّ؛ لقوله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النَّفْسَ بِالنَّفْسِ</w:t>
      </w:r>
      <w:r>
        <w:rPr>
          <w:rStyle w:val="FootnoteAnchor"/>
          <w:rtl w:val="true"/>
        </w:rPr>
        <w:footnoteReference w:id="1430"/>
      </w:r>
      <w:r>
        <w:rPr>
          <w:rFonts w:ascii="IRNazanin" w:hAnsi="IRNazanin" w:eastAsia="IRNazanin"/>
          <w:color w:val="111111"/>
          <w:sz w:val="28"/>
          <w:sz w:val="28"/>
          <w:szCs w:val="28"/>
          <w:rtl w:val="true"/>
          <w:lang w:bidi="fa-IR"/>
        </w:rPr>
        <w:t>وقوله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اَلْحُرُ</w:t>
      </w:r>
      <w:r>
        <w:rPr>
          <w:rStyle w:val="FootnoteAnchor"/>
          <w:rtl w:val="true"/>
        </w:rPr>
        <w:footnoteReference w:id="1431"/>
      </w:r>
      <w:r>
        <w:rPr>
          <w:rFonts w:ascii="Amiri" w:hAnsi="Amiri" w:eastAsia="Amiri" w:cs="Amiri"/>
          <w:color w:val="111111"/>
          <w:sz w:val="28"/>
          <w:sz w:val="28"/>
          <w:szCs w:val="28"/>
          <w:rtl w:val="true"/>
          <w:lang w:bidi="ar-SA"/>
        </w:rPr>
        <w:t>بِالْحُرِّ وَالْعَبْدُ بِالْعَبْدِ</w:t>
      </w:r>
      <w:r>
        <w:rPr>
          <w:rFonts w:eastAsia="Amiri" w:cs="Amiri" w:ascii="Amiri" w:hAnsi="Amiri"/>
          <w:color w:val="111111"/>
          <w:sz w:val="28"/>
          <w:szCs w:val="28"/>
          <w:rtl w:val="true"/>
          <w:lang w:bidi="ar-SA"/>
        </w:rPr>
        <w:t>)</w:t>
      </w:r>
      <w:r>
        <w:rPr>
          <w:rStyle w:val="FootnoteAnchor"/>
          <w:rtl w:val="true"/>
        </w:rPr>
        <w:footnoteReference w:id="143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قتل الناقص بالكامل فلا شبهة فيه، ولا يَلزَم مولاه الزائد عن نفسه مطلقاً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يُقتل الحرُّ بالعبد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إجماعاً، وعملاً بظاهر الآية، وصحيحة الحلبي وغيره</w:t>
      </w:r>
      <w:r>
        <w:rPr>
          <w:rStyle w:val="FootnoteAnchor"/>
          <w:rtl w:val="true"/>
        </w:rPr>
        <w:footnoteReference w:id="1433"/>
      </w:r>
      <w:r>
        <w:rPr>
          <w:rFonts w:ascii="Amiri" w:hAnsi="Amiri" w:eastAsia="Amiri" w:cs="Amiri"/>
          <w:color w:val="111111"/>
          <w:sz w:val="28"/>
          <w:sz w:val="28"/>
          <w:szCs w:val="28"/>
          <w:rtl w:val="true"/>
          <w:lang w:bidi="ar-SA"/>
        </w:rPr>
        <w:t>؛ عن الصادق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يُقتل الحرُّ بالعبد</w:t>
      </w:r>
      <w:r>
        <w:rPr>
          <w:rFonts w:eastAsia="Amiri" w:cs="Amiri" w:ascii="Amiri" w:hAnsi="Amiri"/>
          <w:color w:val="111111"/>
          <w:sz w:val="28"/>
          <w:szCs w:val="28"/>
          <w:rtl w:val="true"/>
          <w:lang w:bidi="ar-SA"/>
        </w:rPr>
        <w:t>»</w:t>
      </w:r>
      <w:r>
        <w:rPr>
          <w:rStyle w:val="FootnoteAnchor"/>
          <w:rtl w:val="true"/>
        </w:rPr>
        <w:footnoteReference w:id="1434"/>
      </w:r>
      <w:r>
        <w:rPr>
          <w:rFonts w:ascii="IRNazanin" w:hAnsi="IRNazanin" w:eastAsia="IRNazanin"/>
          <w:color w:val="111111"/>
          <w:sz w:val="28"/>
          <w:sz w:val="28"/>
          <w:szCs w:val="28"/>
          <w:rtl w:val="true"/>
          <w:lang w:bidi="fa-IR"/>
        </w:rPr>
        <w:t>، ورواه العامة عن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Style w:val="FootnoteAnchor"/>
          <w:rtl w:val="true"/>
        </w:rPr>
        <w:footnoteReference w:id="1435"/>
      </w:r>
      <w:r>
        <w:rPr>
          <w:rFonts w:ascii="Amiri" w:hAnsi="Amiri" w:eastAsia="Amiri" w:cs="Amiri"/>
          <w:color w:val="111111"/>
          <w:sz w:val="28"/>
          <w:sz w:val="28"/>
          <w:szCs w:val="28"/>
          <w:rtl w:val="true"/>
          <w:lang w:bidi="ar-SA"/>
        </w:rPr>
        <w:t>، وادَّعَى في الخلاف إجماع الصحابة عليه</w:t>
      </w:r>
      <w:r>
        <w:rPr>
          <w:rStyle w:val="FootnoteAnchor"/>
          <w:rtl w:val="true"/>
        </w:rPr>
        <w:footnoteReference w:id="143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الحكم ثابت وإن اعتاد قتل العبيد؛ عملاً بعموم الأدلة وإطلاقها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والقائل الشيخ </w:t>
      </w:r>
      <w:r>
        <w:rPr>
          <w:rStyle w:val="FootnoteAnchor"/>
          <w:rtl w:val="true"/>
        </w:rPr>
        <w:footnoteReference w:id="1437"/>
      </w:r>
      <w:r>
        <w:rPr>
          <w:rFonts w:ascii="Amiri" w:hAnsi="Amiri" w:eastAsia="Amiri" w:cs="Amiri"/>
          <w:color w:val="111111"/>
          <w:sz w:val="28"/>
          <w:sz w:val="28"/>
          <w:szCs w:val="28"/>
          <w:rtl w:val="true"/>
          <w:lang w:bidi="ar-SA"/>
        </w:rPr>
        <w:t>وجماعة</w:t>
      </w:r>
      <w:r>
        <w:rPr>
          <w:rStyle w:val="FootnoteAnchor"/>
          <w:rtl w:val="true"/>
        </w:rPr>
        <w:footnoteReference w:id="1438"/>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407</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اعتاد قتلهم قُتِل حَسْماً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لجرأتِه وفساده، واستناداً إلى روايات</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10</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لا تَنهَضُ في مخالفة ظاهر الكتاب وصحيح الأخبار وفتوى أكثر الأصحاب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وعلى هذا القول، فالمرجع في الاعتياد إلى العرف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وهل يُرَدّ على أولياء الحرّ ما فَضَل من ديته عن قيمة المقتول الذي تَحَقَّقَتْ به العادة؟ قيل</w:t>
      </w:r>
      <w:r>
        <w:rPr>
          <w:rStyle w:val="FootnoteAnchor"/>
          <w:rtl w:val="true"/>
        </w:rPr>
        <w:footnoteReference w:id="1439"/>
      </w:r>
    </w:p>
    <w:p>
      <w:pPr>
        <w:pStyle w:val="BookText"/>
        <w:rPr/>
      </w:pP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وابن حمزة في الوسيلة، ص </w:t>
      </w:r>
      <w:r>
        <w:rPr>
          <w:rFonts w:eastAsia="Amiri" w:cs="Amiri" w:ascii="Amiri" w:hAnsi="Amiri"/>
          <w:color w:val="111111"/>
          <w:sz w:val="28"/>
          <w:szCs w:val="28"/>
          <w:lang w:bidi="ar-SA"/>
        </w:rPr>
        <w:t>431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نظراً إلى زيادته عنه كما لو قتل امرأةً، والأخبار خالية من ذلك ،والتعليلُ بقتله لإفساده لا يقتضيه</w:t>
      </w:r>
      <w:r>
        <w:rPr>
          <w:rFonts w:eastAsia="Amiri" w:cs="Amiri" w:ascii="Amiri" w:hAnsi="Amiri"/>
          <w:color w:val="111111"/>
          <w:sz w:val="28"/>
          <w:szCs w:val="28"/>
          <w:rtl w:val="true"/>
          <w:lang w:bidi="ar-SA"/>
        </w:rPr>
        <w:t>.</w:t>
      </w:r>
    </w:p>
    <w:p>
      <w:pPr>
        <w:sectPr>
          <w:footerReference w:type="default" r:id="rId3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ولو قتل المولى عبده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أمَتَه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كفّارة القتل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وعُزّرَ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ولا يلزمه شيء غيرُ </w:t>
      </w:r>
    </w:p>
    <w:p>
      <w:pPr>
        <w:pStyle w:val="BookText"/>
        <w:rPr/>
      </w:pPr>
      <w:r>
        <w:rPr>
          <w:rFonts w:ascii="Amiri" w:hAnsi="Amiri" w:eastAsia="Amiri" w:cs="Amiri"/>
          <w:color w:val="111111"/>
          <w:sz w:val="28"/>
          <w:sz w:val="28"/>
          <w:szCs w:val="28"/>
          <w:rtl w:val="true"/>
          <w:lang w:bidi="ar-SA"/>
        </w:rPr>
        <w:t>ذلك على الأقوى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تجب الصدقة بقيمته</w:t>
      </w:r>
      <w:r>
        <w:rPr>
          <w:rStyle w:val="FootnoteAnchor"/>
          <w:rtl w:val="true"/>
        </w:rPr>
        <w:footnoteReference w:id="1440"/>
      </w:r>
      <w:r>
        <w:rPr>
          <w:rFonts w:ascii="Amiri" w:hAnsi="Amiri" w:eastAsia="Amiri" w:cs="Amiri"/>
          <w:color w:val="111111"/>
          <w:sz w:val="28"/>
          <w:sz w:val="28"/>
          <w:szCs w:val="28"/>
          <w:rtl w:val="true"/>
          <w:lang w:bidi="ar-SA"/>
        </w:rPr>
        <w:t>استناداً إلى رواية ضعيفة</w:t>
      </w:r>
      <w:r>
        <w:rPr>
          <w:rStyle w:val="FootnoteAnchor"/>
          <w:rtl w:val="true"/>
        </w:rPr>
        <w:footnoteReference w:id="1441"/>
      </w:r>
      <w:r>
        <w:rPr>
          <w:rFonts w:ascii="Amiri" w:hAnsi="Amiri" w:eastAsia="Amiri" w:cs="Amiri"/>
          <w:color w:val="111111"/>
          <w:sz w:val="28"/>
          <w:sz w:val="28"/>
          <w:szCs w:val="28"/>
          <w:rtl w:val="true"/>
          <w:lang w:bidi="ar-SA"/>
        </w:rPr>
        <w:t xml:space="preserve">، ويمكن حملها على الاستحباب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اعتاد ذلك قُتِل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لو اعتاد قتل غير مملوكه</w:t>
      </w:r>
      <w:r>
        <w:rPr>
          <w:rStyle w:val="FootnoteAnchor"/>
          <w:rtl w:val="true"/>
        </w:rPr>
        <w:footnoteReference w:id="1442"/>
      </w:r>
      <w:r>
        <w:rPr>
          <w:rFonts w:ascii="Amiri" w:hAnsi="Amiri" w:eastAsia="Amiri" w:cs="Amiri"/>
          <w:color w:val="111111"/>
          <w:sz w:val="28"/>
          <w:sz w:val="28"/>
          <w:szCs w:val="28"/>
          <w:rtl w:val="true"/>
          <w:lang w:bidi="ar-SA"/>
        </w:rPr>
        <w:t>للأخبار السابقة</w:t>
      </w:r>
      <w:r>
        <w:rPr>
          <w:rStyle w:val="FootnoteAnchor"/>
          <w:rtl w:val="true"/>
        </w:rPr>
        <w:footnoteReference w:id="1443"/>
      </w:r>
      <w:r>
        <w:rPr>
          <w:rFonts w:ascii="Amiri" w:hAnsi="Amiri" w:eastAsia="Amiri" w:cs="Amiri"/>
          <w:color w:val="111111"/>
          <w:sz w:val="28"/>
          <w:sz w:val="28"/>
          <w:szCs w:val="28"/>
          <w:rtl w:val="true"/>
          <w:lang w:bidi="ar-SA"/>
        </w:rPr>
        <w:t>، وهي مدخوله السند، فالقول بعدم قتله مطلقاً أقوى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وإذا غَرِم الحرُّ قيمة العبد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الأمة بأن كانا لغيره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يتجاوز بقيمة العبد ديةً الحرّ ، ولا بقيمة المملوكة دية الحرّة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لرواية الحلبي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قتل الحرُّ العبدَ غُرّم قيمته وأُدب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كانت قيمته عشرين ألف درهم؟ 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يُجاوَز بقيمة عبدٍ دية الأحرار</w:t>
      </w:r>
      <w:r>
        <w:rPr>
          <w:rFonts w:eastAsia="Amiri" w:cs="Amiri" w:ascii="Amiri" w:hAnsi="Amiri"/>
          <w:color w:val="111111"/>
          <w:sz w:val="28"/>
          <w:szCs w:val="28"/>
          <w:rtl w:val="true"/>
          <w:lang w:bidi="ar-SA"/>
        </w:rPr>
        <w:t>»</w:t>
      </w:r>
      <w:r>
        <w:rPr>
          <w:rStyle w:val="FootnoteAnchor"/>
          <w:rtl w:val="true"/>
        </w:rPr>
        <w:footnoteReference w:id="144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يضمن المولى جناية عبده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غيره؛ لأنّ المولى لا يعقل عبداً، وله الخيار إن كانت الجنايةُ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صَدَرتْ عن المملوك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خطاً بين فكه بأقل الأمرين من أرش الجناية وقيمته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الأقلَّ إن كان هو الأرش فظاهر، وإن كان القيمة فهي بدل من العين فيقوم مقامها وإلا لم تكن بدلاً، ولا سبيل إلى الزائد لعدم عقل المولى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وقيل بأرش الجناية مطلقاً</w:t>
      </w:r>
      <w:r>
        <w:rPr>
          <w:rStyle w:val="FootnoteAnchor"/>
          <w:rtl w:val="true"/>
        </w:rPr>
        <w:footnoteReference w:id="1445"/>
      </w:r>
      <w:r>
        <w:rPr>
          <w:rFonts w:ascii="Amiri" w:hAnsi="Amiri" w:eastAsia="Amiri" w:cs="Amiri"/>
          <w:color w:val="111111"/>
          <w:sz w:val="28"/>
          <w:sz w:val="28"/>
          <w:szCs w:val="28"/>
          <w:rtl w:val="true"/>
          <w:lang w:bidi="ar-SA"/>
        </w:rPr>
        <w:t xml:space="preserve">، والأوّل أقوى؛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وبين تسليمه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المَجْنِي عليه أو وليه ليَسْتَرِقَّه أو يسترق منه ما قابل جنايته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وفي العمد التخيير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الاقتصاص منه أو استرقاقه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للمجني عليه أو وليه</w:t>
      </w:r>
      <w:r>
        <w:rPr>
          <w:rFonts w:eastAsia="Amiri" w:cs="Amiri" w:ascii="Amiri" w:hAnsi="Amiri"/>
          <w:color w:val="111111"/>
          <w:sz w:val="28"/>
          <w:szCs w:val="28"/>
          <w:rtl w:val="true"/>
          <w:lang w:bidi="ar-SA"/>
        </w:rPr>
        <w:t>).</w:t>
      </w:r>
    </w:p>
    <w:p>
      <w:pPr>
        <w:sectPr>
          <w:footerReference w:type="default" r:id="rId3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والمدبَّرُ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جميع 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كالقِنّ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فيُقتل إن قتل عمداً حراً أو عبداً، أو يُدفَع إلى وليّ المقتول يَسترِقه أو يَفدِيه مولاه بالأقلّ، كما مرّ، ثمّ إن فَدَاه أو بَقِيَ منه شيء بعد أرش الجناية بَقِيَ على تدبيره وإلّا بطل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مات مولاه قبل استرقاقه وفكه فالأقوى انعتاقه؛ لأنّه لم يخرج عن ملكه بالجناية فعلاً، وحينئذٍ فيسعى في فك رقبته من </w:t>
      </w:r>
    </w:p>
    <w:p>
      <w:pPr>
        <w:pStyle w:val="BookText"/>
        <w:rPr/>
      </w:pPr>
      <w:r>
        <w:rPr>
          <w:rFonts w:ascii="Amiri" w:hAnsi="Amiri" w:eastAsia="Amiri" w:cs="Amiri"/>
          <w:color w:val="111111"/>
          <w:sz w:val="28"/>
          <w:sz w:val="28"/>
          <w:szCs w:val="28"/>
          <w:rtl w:val="true"/>
          <w:lang w:bidi="ar-SA"/>
        </w:rPr>
        <w:t>الجناية إن لم تُوجب قتله حراً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وكذا المكاتبُ المشروط والمطلق الذي لم يُؤَدِّ شيئاً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ولو أدَّى شيئاً تَحَرَّر منه ،بحسابه، فإذا قَتَل حرّاً عمداً قُتِل به وإن قتل مملوكاً فلا قَوَد وتَعَلَّقَتْ الجنايةُ بما فيه من الرقية مُبَعضةً، فيسعى في نصيب الحرّية ويُستوفى الباقي منه أو يُباع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كان القتل خطأ فعلى الإمام بقدر ما فيه من الحرية، والمولى بالخيار في الباقي كما مرّ، سواء أَدَّى نصف ما عليه فصاعداً أم لا</w:t>
      </w:r>
      <w:r>
        <w:rPr>
          <w:rStyle w:val="FootnoteAnchor"/>
          <w:rtl w:val="true"/>
        </w:rPr>
        <w:footnoteReference w:id="1446"/>
      </w:r>
    </w:p>
    <w:p>
      <w:pPr>
        <w:pStyle w:val="BookText"/>
        <w:rPr/>
      </w:pPr>
      <w:r>
        <w:rPr>
          <w:rFonts w:ascii="Amiri" w:hAnsi="Amiri" w:eastAsia="Amiri" w:cs="Amiri"/>
          <w:color w:val="111111"/>
          <w:sz w:val="28"/>
          <w:sz w:val="28"/>
          <w:szCs w:val="28"/>
          <w:rtl w:val="true"/>
          <w:lang w:bidi="ar-SA"/>
        </w:rPr>
        <w:t>نصف ما عليه بمنزلة الحرّ استناداً إلى رواية علي بن جعفر عن أخيه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وهو ضعيف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منه رحمه الله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وكذا القول في كلّ مُبَعَّض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يُقتل المبعض مطلقاً بِمَن انعتق منه أقل مما انعتق من الجاني كما لا يُقتل بالقِنِّ، ويُقتل بمَن تَحَرَّر منه مثله أو أزيد كما يُقتل بالحرّ</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ولو قتل حرّ حرّين فصاعداً فليس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لأوليائهم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 قتله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لقوله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يَجْنِي الجاني على أكثر من نفسه</w:t>
      </w:r>
      <w:r>
        <w:rPr>
          <w:rFonts w:eastAsia="IRNazanin" w:cs="IRNazanin"/>
          <w:color w:val="111111"/>
          <w:sz w:val="28"/>
          <w:szCs w:val="28"/>
          <w:rtl w:val="true"/>
          <w:lang w:bidi="fa-IR"/>
        </w:rPr>
        <w:t>»</w:t>
      </w:r>
      <w:r>
        <w:rPr>
          <w:rStyle w:val="FootnoteAnchor"/>
          <w:rtl w:val="true"/>
        </w:rPr>
        <w:footnoteReference w:id="144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فرق بين قتله لهم جميعاً ومرتباً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عفا بعضُهم فللباقي القصاص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وهل لبعضهم المطالبة بالدية ولبعض القصاص ؟ وجهان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ظاهر الخبر وتعدّدِ المستحق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وكذا في جواز قتله بواحد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إمّا الأوّل أو بالقرعة أو تخييراً، وأخذ الدية من ماله للباقين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لو بدر واحدٌ منهم فقتله عن حقه استوفاه، وكان للباقين الدية لفوات محلّ القصاص إن قلنا بوجوبها حيث يفوت، وسيأتي</w:t>
      </w:r>
      <w:r>
        <w:rPr>
          <w:rStyle w:val="FootnoteAnchor"/>
          <w:rtl w:val="true"/>
        </w:rPr>
        <w:footnoteReference w:id="144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وظاهرُ العبارة منعُ ذلك كله لتخصيصه حقهم بقتله</w:t>
      </w:r>
      <w:r>
        <w:rPr>
          <w:rFonts w:eastAsia="Amiri" w:cs="Amiri" w:ascii="Amiri" w:hAnsi="Amiri"/>
          <w:color w:val="111111"/>
          <w:sz w:val="28"/>
          <w:szCs w:val="28"/>
          <w:rtl w:val="true"/>
          <w:lang w:bidi="ar-SA"/>
        </w:rPr>
        <w:t>.</w:t>
      </w:r>
    </w:p>
    <w:p>
      <w:pPr>
        <w:sectPr>
          <w:footerReference w:type="default" r:id="rId3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ولو قطع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يمين اثنين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حزين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قُطعت يمينه بالأوّل ويُسراه بالثاني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لتساوي اليدين في الحقيقة وإنْ تَغَايَرا من وجه يُغتفر عند تعذر المماثلة من كل وجه، ولصحيحة حبيب السجستاني عن أبي جعفر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رجل قطع يدين لرجلين اليمينين، </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تُقطع يمينه للرجل الذي قطع يمينه أولاً، وتُقطَع يَسارُه للرجل الذي قطع يمينه أخيراً؛ لأنه إنّما قطع يد الرجُل الأخير ويمينه قصاص للرجل الأول</w:t>
      </w:r>
      <w:r>
        <w:rPr>
          <w:rFonts w:eastAsia="Amiri" w:cs="Amiri" w:ascii="Amiri" w:hAnsi="Amiri"/>
          <w:color w:val="111111"/>
          <w:sz w:val="28"/>
          <w:szCs w:val="28"/>
          <w:rtl w:val="true"/>
          <w:lang w:bidi="ar-SA"/>
        </w:rPr>
        <w:t>»</w:t>
      </w:r>
      <w:r>
        <w:rPr>
          <w:rStyle w:val="FootnoteAnchor"/>
          <w:rtl w:val="true"/>
        </w:rPr>
        <w:footnoteReference w:id="144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ولو قطع يد ثالث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قُطعت رِجْلُه</w:t>
      </w:r>
      <w:r>
        <w:rPr>
          <w:rStyle w:val="FootnoteAnchor"/>
          <w:rtl w:val="true"/>
        </w:rPr>
        <w:footnoteReference w:id="1450"/>
      </w:r>
      <w:r>
        <w:rPr>
          <w:rFonts w:ascii="Amiri" w:hAnsi="Amiri" w:eastAsia="Amiri" w:cs="Amiri"/>
          <w:color w:val="111111"/>
          <w:sz w:val="28"/>
          <w:sz w:val="28"/>
          <w:szCs w:val="28"/>
          <w:rtl w:val="true"/>
          <w:lang w:bidi="ar-SA"/>
        </w:rPr>
        <w:t xml:space="preserve">؛ لقوله في هذه الرواية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والرجل باليد إذا لم يكن للقاطع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يدان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فقلت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تُوجَب عليه الدية وتُترك رجله؟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تُوجب عليه الدية إذا قطع يدَ رَجُل وليس للقاطع يدان ولا رجلان فتَمَّ تُوجب عليه الدية لأنه ليس له جارحةً فيُقاصٌ منها</w:t>
      </w:r>
      <w:r>
        <w:rPr>
          <w:rFonts w:eastAsia="Amiri" w:cs="Amiri" w:ascii="Amiri" w:hAnsi="Amiri"/>
          <w:color w:val="111111"/>
          <w:sz w:val="28"/>
          <w:szCs w:val="28"/>
          <w:rtl w:val="true"/>
          <w:lang w:bidi="ar-SA"/>
        </w:rPr>
        <w:t>»</w:t>
      </w:r>
      <w:r>
        <w:rPr>
          <w:rStyle w:val="FootnoteAnchor"/>
          <w:rtl w:val="true"/>
        </w:rPr>
        <w:footnoteReference w:id="1451"/>
      </w:r>
      <w:r>
        <w:rPr>
          <w:rFonts w:ascii="Amiri" w:hAnsi="Amiri" w:eastAsia="Amiri" w:cs="Amiri"/>
          <w:color w:val="111111"/>
          <w:sz w:val="28"/>
          <w:sz w:val="28"/>
          <w:szCs w:val="28"/>
          <w:rtl w:val="true"/>
          <w:lang w:bidi="ar-SA"/>
        </w:rPr>
        <w:t>ولأن المساواة الحقيقية لو اعتبرت لم يَجُز التخطي من اليمني إلى اليسرى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ينتقل هنا إلى الدية </w:t>
      </w:r>
      <w:r>
        <w:rPr>
          <w:rStyle w:val="FootnoteAnchor"/>
          <w:rtl w:val="true"/>
        </w:rPr>
        <w:footnoteReference w:id="1452"/>
      </w:r>
      <w:r>
        <w:rPr>
          <w:rFonts w:ascii="Amiri" w:hAnsi="Amiri" w:eastAsia="Amiri" w:cs="Amiri"/>
          <w:color w:val="111111"/>
          <w:sz w:val="28"/>
          <w:sz w:val="28"/>
          <w:szCs w:val="28"/>
          <w:rtl w:val="true"/>
          <w:lang w:bidi="ar-SA"/>
        </w:rPr>
        <w:t>لفقد المُماثل الذي يدلّ قوله تعالى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النَّفْسَ بِالنَّفْسِ</w:t>
      </w:r>
      <w:r>
        <w:rPr>
          <w:rStyle w:val="FootnoteAnchor"/>
          <w:rtl w:val="true"/>
        </w:rPr>
        <w:footnoteReference w:id="1453"/>
      </w:r>
      <w:r>
        <w:rPr>
          <w:rFonts w:ascii="Amiri" w:hAnsi="Amiri" w:eastAsia="Amiri" w:cs="Amiri"/>
          <w:color w:val="111111"/>
          <w:sz w:val="28"/>
          <w:sz w:val="28"/>
          <w:szCs w:val="28"/>
          <w:rtl w:val="true"/>
          <w:lang w:bidi="ar-SA"/>
        </w:rPr>
        <w:t>إلى آخره عليه والخبرُ يَدفَع فقد التماثل، ويدل على مماثلة الرجل لليد شرعاً وإن انتفت لغةً وعرفاً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يبقى الكلام في صحته، فإنّ الأصحابَ وَصَفُوه بالصحة مع أنّهم لم ينصّوا على توثيق حبيب، ولعلّهم أرادوا بصحته فيما عداه، فإنّهم كثيراً ما يُطلقون ذلك، وحينئذ فوجوب الدية أجود وأولى منه لو قطع يد رابع وبعدها فالدية قطعاً</w:t>
      </w:r>
      <w:r>
        <w:rPr>
          <w:rFonts w:eastAsia="Amiri" w:cs="Amiri" w:ascii="Amiri" w:hAnsi="Amiri"/>
          <w:color w:val="111111"/>
          <w:sz w:val="28"/>
          <w:szCs w:val="28"/>
          <w:rtl w:val="true"/>
          <w:lang w:bidi="ar-SA"/>
        </w:rPr>
        <w:t>.</w:t>
      </w:r>
    </w:p>
    <w:p>
      <w:pPr>
        <w:sectPr>
          <w:footerReference w:type="default" r:id="rId3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ولو قتل العبد حرّين فهو لأولياء الثاني إن كان القتل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قتله للثاني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بعد الحكم به للأوّل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بأن اختار الأوّلُ استرقاقه قبل جنايته على الثاني وإن لم يحكم به حاكم؛ لبراءته من الجناية الأولى باسترقاقه لها،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تكن جنايته على الثاني بعد الحكم به للأوّل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فهو بينهما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لتعلّق حقهما معاً به وهو على ملك مالكه، ولصحيحة زرارة عن الباقر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عبد جرح ،رجلين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هو بينهما إن كانت الجناية محيطةً بقيمته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جَرَح رجلاً في أوّل النهار وجَرَح آخَرَ في آخِر النهار؟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هو </w:t>
      </w:r>
    </w:p>
    <w:p>
      <w:pPr>
        <w:pStyle w:val="BookText"/>
        <w:rPr/>
      </w:pPr>
      <w:r>
        <w:rPr>
          <w:rFonts w:ascii="Amiri" w:hAnsi="Amiri" w:eastAsia="Amiri" w:cs="Amiri"/>
          <w:color w:val="111111"/>
          <w:sz w:val="28"/>
          <w:sz w:val="28"/>
          <w:szCs w:val="28"/>
          <w:rtl w:val="true"/>
          <w:lang w:bidi="ar-SA"/>
        </w:rPr>
        <w:t xml:space="preserve">بينهما ما لم يَحكُم الوالي في المجروح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فإن جَنَى بعد ذلك جنايةً فإنّ جنايته على الأخير</w:t>
      </w:r>
      <w:r>
        <w:rPr>
          <w:rFonts w:eastAsia="Amiri" w:cs="Amiri" w:ascii="Amiri" w:hAnsi="Amiri"/>
          <w:color w:val="111111"/>
          <w:sz w:val="28"/>
          <w:szCs w:val="28"/>
          <w:rtl w:val="true"/>
          <w:lang w:bidi="ar-SA"/>
        </w:rPr>
        <w:t xml:space="preserve">» </w:t>
      </w:r>
      <w:r>
        <w:rPr>
          <w:rStyle w:val="FootnoteAnchor"/>
          <w:rtl w:val="true"/>
        </w:rPr>
        <w:footnoteReference w:id="145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يكون للثاني</w:t>
      </w:r>
      <w:r>
        <w:rPr>
          <w:rStyle w:val="FootnoteAnchor"/>
          <w:rtl w:val="true"/>
        </w:rPr>
        <w:footnoteReference w:id="1455"/>
      </w:r>
      <w:r>
        <w:rPr>
          <w:rFonts w:ascii="Amiri" w:hAnsi="Amiri" w:eastAsia="Amiri" w:cs="Amiri"/>
          <w:color w:val="111111"/>
          <w:sz w:val="28"/>
          <w:sz w:val="28"/>
          <w:szCs w:val="28"/>
          <w:rtl w:val="true"/>
          <w:lang w:bidi="ar-SA"/>
        </w:rPr>
        <w:t>لصيرورته لأولياء الأوّل بالجناية الأُولى فإذا قتل الثاني انتقل إلى أوليائه، ولرواية علي بن عُقبة عن الصادق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عبد قتل أربعة أحرار واحداً بعد واحد،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هو لأهل الأخير من القتلى إن شاؤوا قتلوه وإن شاؤوا استَرَقُوه؛ لأنه إذا قتل الأوّلَ اسْتَحَقَّه أولياؤُه، فإذا قتل الثاني استحق من أولياء الأوّل فصار لأولياء الثاني</w:t>
      </w:r>
      <w:r>
        <w:rPr>
          <w:rFonts w:eastAsia="Amiri" w:cs="Amiri" w:ascii="Amiri" w:hAnsi="Amiri"/>
          <w:color w:val="111111"/>
          <w:sz w:val="28"/>
          <w:szCs w:val="28"/>
          <w:rtl w:val="true"/>
          <w:lang w:bidi="ar-SA"/>
        </w:rPr>
        <w:t>...»</w:t>
      </w:r>
      <w:r>
        <w:rPr>
          <w:rStyle w:val="FootnoteAnchor"/>
          <w:rtl w:val="true"/>
        </w:rPr>
        <w:footnoteReference w:id="145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وهكذا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الخبر مع ضعف سنده يمكن حمله على ما لو اختار أولياء السابق استرقاقه قبل جنايته على اللاحق، جمعاً بينه وبين ما سبق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وكذا الحكم لو تعدد مقتوله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وكذا لو قتل عبدين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لمالكين يستوعب كلُّ منهما قيمته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قتل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حرّاً وعبداً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كذلك، فإنّ موليي العبدين يشتركان فيه ما لم يسبق مولى الأوّل إلى استرقاقه قبل جنايته على الثاني فيكون لمولى الثاني، وكذا وليُّ الحرّ ومولى العبد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اختار الأوّلُ المالَ ورَضِيَ به المولى تعلَّق حقٌّ الثاني برقبته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يُقدَّم الأول لأن حقه أسبق، ويَسقُط الثاني لقوات محل استحقاقه</w:t>
      </w:r>
      <w:r>
        <w:rPr>
          <w:rStyle w:val="FootnoteAnchor"/>
          <w:rtl w:val="true"/>
        </w:rPr>
        <w:footnoteReference w:id="1457"/>
      </w:r>
      <w:r>
        <w:rPr>
          <w:rFonts w:ascii="IRNazanin" w:hAnsi="IRNazanin" w:eastAsia="IRNazanin"/>
          <w:color w:val="111111"/>
          <w:sz w:val="28"/>
          <w:sz w:val="28"/>
          <w:szCs w:val="28"/>
          <w:rtl w:val="true"/>
          <w:lang w:bidi="fa-IR"/>
        </w:rPr>
        <w:t>، والأول أقوى</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التساوي في الدين، فلا يُقتل مسلم بكافر حربياً كان الكافرُ أم ذمّيّاً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ومُعاهَداً كان الحربي أم 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ولكن يُعزّر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القاتل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بقتل الذمّي والمُعاهَدِ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لتحريم قتلهما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ويغرَم ديةَ الذمّي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ويُستفاد من ذلك جواز قتل الحربي بغير إذن الإمام وإن توقَّفَ جوازُ جِهادِه عليه، ويُفرّق بين قتله وقتاله جهاداً</w:t>
      </w:r>
      <w:r>
        <w:rPr>
          <w:rFonts w:eastAsia="Amiri" w:cs="Amiri" w:ascii="Amiri" w:hAnsi="Amiri"/>
          <w:color w:val="111111"/>
          <w:sz w:val="28"/>
          <w:szCs w:val="28"/>
          <w:rtl w:val="true"/>
          <w:lang w:bidi="ar-SA"/>
        </w:rPr>
        <w:t>.</w:t>
      </w:r>
    </w:p>
    <w:p>
      <w:pPr>
        <w:sectPr>
          <w:footerReference w:type="default" r:id="rId3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وهو كذلك؛ لأن الجهادَ من وظائف الإمام، وهذا يتم في أهل الكتاب؛ لأنّ </w:t>
      </w:r>
    </w:p>
    <w:p>
      <w:pPr>
        <w:pStyle w:val="BookText"/>
        <w:rPr/>
      </w:pPr>
      <w:r>
        <w:rPr>
          <w:rFonts w:ascii="Amiri" w:hAnsi="Amiri" w:eastAsia="Amiri" w:cs="Amiri"/>
          <w:color w:val="111111"/>
          <w:sz w:val="28"/>
          <w:sz w:val="28"/>
          <w:szCs w:val="28"/>
          <w:rtl w:val="true"/>
          <w:lang w:bidi="ar-SA"/>
        </w:rPr>
        <w:t>جهادَهم يترتب عليه أحكام غير القتل تتوقف على الحاكم، أما غيرهم فليس في جهاده إلا القتل أو الإسلام وكلاهما لا يتوقف تحقيقه على الحاكم، لكن قد يترتب على القتل أحكام أُخَرُ مثلُ أحكام ما يُغنَم منهم ونحوه وتلك وظيفة الإمام أيضاً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والقائل جماعات من الأصحاب، منهم الشيخان</w:t>
      </w:r>
      <w:r>
        <w:rPr>
          <w:rStyle w:val="FootnoteAnchor"/>
          <w:rtl w:val="true"/>
        </w:rPr>
        <w:footnoteReference w:id="1458"/>
      </w:r>
      <w:r>
        <w:rPr>
          <w:rFonts w:ascii="IRNazanin" w:hAnsi="IRNazanin" w:eastAsia="IRNazanin"/>
          <w:color w:val="111111"/>
          <w:sz w:val="28"/>
          <w:sz w:val="28"/>
          <w:szCs w:val="28"/>
          <w:rtl w:val="true"/>
          <w:lang w:bidi="fa-IR"/>
        </w:rPr>
        <w:t xml:space="preserve">والمرتضى </w:t>
      </w:r>
      <w:r>
        <w:rPr>
          <w:rStyle w:val="FootnoteAnchor"/>
          <w:rtl w:val="true"/>
        </w:rPr>
        <w:footnoteReference w:id="1459"/>
      </w:r>
      <w:r>
        <w:rPr>
          <w:rFonts w:ascii="IRNazanin" w:hAnsi="IRNazanin" w:eastAsia="IRNazanin"/>
          <w:color w:val="111111"/>
          <w:sz w:val="28"/>
          <w:sz w:val="28"/>
          <w:szCs w:val="28"/>
          <w:rtl w:val="true"/>
          <w:lang w:bidi="fa-IR"/>
        </w:rPr>
        <w:t>والمحقق</w:t>
      </w:r>
      <w:r>
        <w:rPr>
          <w:rStyle w:val="FootnoteAnchor"/>
          <w:rtl w:val="true"/>
        </w:rPr>
        <w:footnoteReference w:id="146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والعلامة </w:t>
      </w:r>
      <w:r>
        <w:rPr>
          <w:rStyle w:val="FootnoteAnchor"/>
          <w:rtl w:val="true"/>
        </w:rPr>
        <w:footnoteReference w:id="1461"/>
      </w:r>
      <w:r>
        <w:rPr>
          <w:rFonts w:ascii="Amiri" w:hAnsi="Amiri" w:eastAsia="Amiri" w:cs="Amiri"/>
          <w:color w:val="111111"/>
          <w:sz w:val="28"/>
          <w:sz w:val="28"/>
          <w:szCs w:val="28"/>
          <w:rtl w:val="true"/>
          <w:lang w:bidi="ar-SA"/>
        </w:rPr>
        <w:t xml:space="preserve">في أحد قوليه، والمصنّف في الشرح </w:t>
      </w:r>
      <w:r>
        <w:rPr>
          <w:rStyle w:val="FootnoteAnchor"/>
          <w:rtl w:val="true"/>
        </w:rPr>
        <w:footnoteReference w:id="1462"/>
      </w:r>
      <w:r>
        <w:rPr>
          <w:rFonts w:ascii="Amiri" w:hAnsi="Amiri" w:eastAsia="Amiri" w:cs="Amiri"/>
          <w:color w:val="111111"/>
          <w:sz w:val="28"/>
          <w:sz w:val="28"/>
          <w:szCs w:val="28"/>
          <w:rtl w:val="true"/>
          <w:lang w:bidi="ar-SA"/>
        </w:rPr>
        <w:t xml:space="preserve">مدعياً الإجماع، فإن المخالف ابنُ إدريس </w:t>
      </w:r>
      <w:r>
        <w:rPr>
          <w:rStyle w:val="FootnoteAnchor"/>
          <w:rtl w:val="true"/>
        </w:rPr>
        <w:footnoteReference w:id="1463"/>
      </w:r>
      <w:r>
        <w:rPr>
          <w:rFonts w:ascii="Amiri" w:hAnsi="Amiri" w:eastAsia="Amiri" w:cs="Amiri"/>
          <w:color w:val="111111"/>
          <w:sz w:val="28"/>
          <w:sz w:val="28"/>
          <w:szCs w:val="28"/>
          <w:rtl w:val="true"/>
          <w:lang w:bidi="ar-SA"/>
        </w:rPr>
        <w:t xml:space="preserve">وقد سَبَقَه الإجماع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إنه إن اعتاد قتل أهل الذمة اقتُصَّ منه بعد ردّ فاضل ديته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ومستند هذا القول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الإجماع المذكور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رواية إسماعيل بن الفضل عن الصادق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دِماء اليهود والنصارى والمجوس هل عليهم وعلى من قتلهم شيء إذا غَشُوا المسلمين وأظهروا لهم العداوة؟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إلا أن يكون مستعوّداً لقتلهم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وسألته عن المسلم هل يُقتل بأهل الذمة وأهل الكتاب إذا قتلهم؟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إلا أن يكون معتاداً لذلك لا يَدَعُ قتلهم فيُقتل وهو صاغر</w:t>
      </w:r>
      <w:r>
        <w:rPr>
          <w:rFonts w:eastAsia="Amiri" w:cs="Amiri" w:ascii="Amiri" w:hAnsi="Amiri"/>
          <w:color w:val="111111"/>
          <w:sz w:val="28"/>
          <w:szCs w:val="28"/>
          <w:rtl w:val="true"/>
          <w:lang w:bidi="ar-SA"/>
        </w:rPr>
        <w:t>»</w:t>
      </w:r>
      <w:r>
        <w:rPr>
          <w:rStyle w:val="FootnoteAnchor"/>
          <w:rtl w:val="true"/>
        </w:rPr>
        <w:footnoteReference w:id="146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وأنه مفسد في الأرض بارتكابه قتل مَن حرَّم الله قتله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والعجبُ أنّ ابن إدريس</w:t>
      </w:r>
      <w:r>
        <w:rPr>
          <w:rStyle w:val="FootnoteAnchor"/>
          <w:rtl w:val="true"/>
        </w:rPr>
        <w:footnoteReference w:id="1465"/>
      </w:r>
      <w:r>
        <w:rPr>
          <w:rFonts w:ascii="Amiri" w:hAnsi="Amiri" w:eastAsia="Amiri" w:cs="Amiri"/>
          <w:color w:val="111111"/>
          <w:sz w:val="28"/>
          <w:sz w:val="28"/>
          <w:szCs w:val="28"/>
          <w:rtl w:val="true"/>
          <w:lang w:bidi="ar-SA"/>
        </w:rPr>
        <w:t>احتج على مذهبه بالإجماع على عدم قتل المسلم بالكافر، وهو استدلال في مقابلة الإجماع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المصنّف في الشرح</w:t>
      </w:r>
      <w:r>
        <w:rPr>
          <w:rFonts w:eastAsia="Amiri" w:cs="Amiri" w:ascii="Amiri" w:hAnsi="Amiri"/>
          <w:color w:val="111111"/>
          <w:sz w:val="28"/>
          <w:szCs w:val="28"/>
          <w:rtl w:val="true"/>
          <w:lang w:bidi="ar-SA"/>
        </w:rPr>
        <w:t>:</w:t>
      </w:r>
    </w:p>
    <w:p>
      <w:pPr>
        <w:sectPr>
          <w:footerReference w:type="default" r:id="rId3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والحقُّ أنّ هذه المسألة إجماعيّة، فإنّه لم يُخالف فيها أحد سوى ابن إدريس وقد </w:t>
      </w:r>
    </w:p>
    <w:p>
      <w:pPr>
        <w:pStyle w:val="BookText"/>
        <w:rPr/>
      </w:pPr>
      <w:r>
        <w:rPr>
          <w:rFonts w:ascii="Amiri" w:hAnsi="Amiri" w:eastAsia="Amiri" w:cs="Amiri"/>
          <w:color w:val="111111"/>
          <w:sz w:val="28"/>
          <w:sz w:val="28"/>
          <w:szCs w:val="28"/>
          <w:rtl w:val="true"/>
          <w:lang w:bidi="ar-SA"/>
        </w:rPr>
        <w:t>سَبَقَه الإجماع، ولو كان هذا الخلاف مؤثراً في الإجماع لم يُوجد إجماع أصلاً، والإجماع على عدم قتل المسلم بالكافر يختص بغير المعتاد</w:t>
      </w:r>
      <w:r>
        <w:rPr>
          <w:rStyle w:val="FootnoteAnchor"/>
          <w:rtl w:val="true"/>
        </w:rPr>
        <w:footnoteReference w:id="146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وأعجب من ذلك نقل المصنّف ذلك قولاً مُشعِراً بضعفه، بعد ما قرَّره من الإجماع عليه، مع أنّ تصنيفه لهذا الكتاب بعد الشرح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واحتَجَّ في المختلف </w:t>
      </w:r>
      <w:r>
        <w:rPr>
          <w:rStyle w:val="FootnoteAnchor"/>
          <w:rtl w:val="true"/>
        </w:rPr>
        <w:footnoteReference w:id="1467"/>
      </w:r>
      <w:r>
        <w:rPr>
          <w:rFonts w:ascii="Amiri" w:hAnsi="Amiri" w:eastAsia="Amiri" w:cs="Amiri"/>
          <w:color w:val="111111"/>
          <w:sz w:val="28"/>
          <w:sz w:val="28"/>
          <w:szCs w:val="28"/>
          <w:rtl w:val="true"/>
          <w:lang w:bidi="ar-SA"/>
        </w:rPr>
        <w:t>لابن إدريس برواية محمّد بن قيس عن الباقر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يُقاد مسلم بذمّي</w:t>
      </w:r>
      <w:r>
        <w:rPr>
          <w:rFonts w:eastAsia="Amiri" w:cs="Amiri" w:ascii="Amiri" w:hAnsi="Amiri"/>
          <w:color w:val="111111"/>
          <w:sz w:val="28"/>
          <w:szCs w:val="28"/>
          <w:rtl w:val="true"/>
          <w:lang w:bidi="ar-SA"/>
        </w:rPr>
        <w:t>»</w:t>
      </w:r>
      <w:r>
        <w:rPr>
          <w:rStyle w:val="FootnoteAnchor"/>
          <w:rtl w:val="true"/>
        </w:rPr>
        <w:footnoteReference w:id="146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وأجاب بأنه مطلق فيُحمل على المفصل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نَكِرةٌ في سياق النفي فيَعُمّ، ومعه يُخَص العامُ بالمخصّص المفصَّلِ، والمناقشة لفظية، والأقوى المشهور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اختلف القائلون بقتله، فمنهم مَن جَعَلَه قَوْداً كالشيخ</w:t>
      </w:r>
      <w:r>
        <w:rPr>
          <w:rStyle w:val="FootnoteAnchor"/>
          <w:rtl w:val="true"/>
        </w:rPr>
        <w:footnoteReference w:id="1469"/>
      </w:r>
      <w:r>
        <w:rPr>
          <w:rFonts w:ascii="Amiri" w:hAnsi="Amiri" w:eastAsia="Amiri" w:cs="Amiri"/>
          <w:color w:val="111111"/>
          <w:sz w:val="28"/>
          <w:sz w:val="28"/>
          <w:szCs w:val="28"/>
          <w:rtl w:val="true"/>
          <w:lang w:bidi="ar-SA"/>
        </w:rPr>
        <w:t xml:space="preserve">، ومَن تَبِعَه </w:t>
      </w:r>
      <w:r>
        <w:rPr>
          <w:rStyle w:val="FootnoteAnchor"/>
          <w:rtl w:val="true"/>
        </w:rPr>
        <w:footnoteReference w:id="1470"/>
      </w:r>
      <w:r>
        <w:rPr>
          <w:rFonts w:ascii="Amiri" w:hAnsi="Amiri" w:eastAsia="Amiri" w:cs="Amiri"/>
          <w:color w:val="111111"/>
          <w:sz w:val="28"/>
          <w:sz w:val="28"/>
          <w:szCs w:val="28"/>
          <w:rtl w:val="true"/>
          <w:lang w:bidi="ar-SA"/>
        </w:rPr>
        <w:t>فأوجبوا ردَّ الفاضل من ديته، ومنهم مَن جَعَلَه حداً لفَساده، وهو العلّامة في المختلف</w:t>
      </w:r>
      <w:r>
        <w:rPr>
          <w:rStyle w:val="FootnoteAnchor"/>
          <w:rtl w:val="true"/>
        </w:rPr>
        <w:footnoteReference w:id="1471"/>
      </w:r>
      <w:r>
        <w:rPr>
          <w:rFonts w:ascii="Amiri" w:hAnsi="Amiri" w:eastAsia="Amiri" w:cs="Amiri"/>
          <w:color w:val="111111"/>
          <w:sz w:val="28"/>
          <w:sz w:val="28"/>
          <w:szCs w:val="28"/>
          <w:rtl w:val="true"/>
          <w:lang w:bidi="ar-SA"/>
        </w:rPr>
        <w:t>وقَبْلَه ابنُ الجنيد</w:t>
      </w:r>
      <w:r>
        <w:rPr>
          <w:rStyle w:val="FootnoteAnchor"/>
          <w:rtl w:val="true"/>
        </w:rPr>
        <w:footnoteReference w:id="1472"/>
      </w:r>
      <w:r>
        <w:rPr>
          <w:rFonts w:ascii="IRNazanin" w:hAnsi="IRNazanin" w:eastAsia="IRNazanin"/>
          <w:color w:val="111111"/>
          <w:sz w:val="28"/>
          <w:sz w:val="28"/>
          <w:szCs w:val="28"/>
          <w:rtl w:val="true"/>
          <w:lang w:bidi="fa-IR"/>
        </w:rPr>
        <w:t>وأبو الصلاح</w:t>
      </w:r>
      <w:r>
        <w:rPr>
          <w:rStyle w:val="FootnoteAnchor"/>
          <w:rtl w:val="true"/>
        </w:rPr>
        <w:footnoteReference w:id="1473"/>
      </w:r>
      <w:r>
        <w:rPr>
          <w:rFonts w:ascii="Amiri" w:hAnsi="Amiri" w:eastAsia="Amiri" w:cs="Amiri"/>
          <w:color w:val="111111"/>
          <w:sz w:val="28"/>
          <w:sz w:val="28"/>
          <w:szCs w:val="28"/>
          <w:rtl w:val="true"/>
          <w:lang w:bidi="ar-SA"/>
        </w:rPr>
        <w:t>، ويمكن الجمع بين الحكمين فيُقتَل لقتله وإفسادِه ويُرَدّ الورثة الفاضل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وتظهر فائدة القولين في سقوطِ القَود بعفو الوليّ، وتوقفه على طلبه على الأوّل دون الثاني</w:t>
      </w:r>
      <w:r>
        <w:rPr>
          <w:rFonts w:eastAsia="Amiri" w:cs="Amiri" w:ascii="Amiri" w:hAnsi="Amiri"/>
          <w:color w:val="111111"/>
          <w:sz w:val="28"/>
          <w:szCs w:val="28"/>
          <w:rtl w:val="true"/>
          <w:lang w:bidi="ar-SA"/>
        </w:rPr>
        <w:t>.</w:t>
      </w:r>
    </w:p>
    <w:p>
      <w:pPr>
        <w:sectPr>
          <w:footerReference w:type="default" r:id="rId3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وعلى الأوّل ففي توقفه على طلب جميع أولياء المقتولين أو الأخير خاصةً وجهان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منشأ هما كونُ قتل الأوّل جزءاً من السبب أو شرطاً فيه، فعلى الأوّل الأول وعلى الثانى الثاني، ولعله أقوى</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ويَتفرع عليه أنّ المردود عليه هو الفاضل عن دِيَات جميع المقتولين أوعن دية الأخير، فعلى الأوّل الأوّلُ أيضاً، وعلى الثاني الثاني والمرجع في الاعتياد إلى العرف وربما تَحَقَّقَ بالثانية؛ لأنه مشتق من العود فيُقتل فيها، أو في الثالثة وهو الأجود؛ لأنّ الاعتياد شرط في القصاص فلابد من تقدمه على استحقاقه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ويُقتل الذمّى بالذمّي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اختلفت ملّتهما كاليهودي والنصراني،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وبالذمية مع الردّ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ردّ أوليائها عليه فاضل ديته عن دية الذمية وهو نصف ديته،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وبالعكس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تقتل الذمية بالذمّي مطلقاً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وليس عليها غُرْمٌ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كالمسلمة إذا قُتِلَت بالمسلم؛ لأنّ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الجاني لا يجني على أكثر من نفسه</w:t>
      </w:r>
      <w:r>
        <w:rPr>
          <w:rFonts w:eastAsia="Amiri" w:cs="Amiri" w:ascii="Amiri" w:hAnsi="Amiri"/>
          <w:color w:val="111111"/>
          <w:sz w:val="28"/>
          <w:szCs w:val="28"/>
          <w:rtl w:val="true"/>
          <w:lang w:bidi="ar-SA"/>
        </w:rPr>
        <w:t>»</w:t>
      </w:r>
      <w:r>
        <w:rPr>
          <w:rStyle w:val="FootnoteAnchor"/>
          <w:rtl w:val="true"/>
        </w:rPr>
        <w:footnoteReference w:id="147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ويُقتل الذمّي بالمسلم، ويُدفَع ماله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الموجود على ملكه حالة القتل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وولده الصغارُ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غيرُ المكلَّفين إلى أولياء المسلم على وجه الملك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المفيد</w:t>
      </w:r>
      <w:r>
        <w:rPr>
          <w:rStyle w:val="FootnoteAnchor"/>
          <w:rtl w:val="true"/>
        </w:rPr>
        <w:footnoteReference w:id="1475"/>
      </w:r>
      <w:r>
        <w:rPr>
          <w:rFonts w:ascii="Amiri" w:hAnsi="Amiri" w:eastAsia="Amiri" w:cs="Amiri"/>
          <w:color w:val="111111"/>
          <w:sz w:val="28"/>
          <w:sz w:val="28"/>
          <w:szCs w:val="28"/>
          <w:rtl w:val="true"/>
          <w:lang w:bidi="ar-SA"/>
        </w:rPr>
        <w:t>وجماعة</w:t>
      </w:r>
      <w:r>
        <w:rPr>
          <w:rStyle w:val="FootnoteAnchor"/>
          <w:rtl w:val="true"/>
        </w:rPr>
        <w:footnoteReference w:id="1476"/>
      </w:r>
      <w:r>
        <w:rPr>
          <w:rFonts w:ascii="Amiri" w:hAnsi="Amiri" w:eastAsia="Amiri" w:cs="Amiri"/>
          <w:color w:val="111111"/>
          <w:sz w:val="28"/>
          <w:sz w:val="28"/>
          <w:szCs w:val="28"/>
          <w:rtl w:val="true"/>
          <w:lang w:bidi="ar-SA"/>
        </w:rPr>
        <w:t xml:space="preserve">، وربما نُسب إلى الشيخ </w:t>
      </w:r>
      <w:r>
        <w:rPr>
          <w:rStyle w:val="FootnoteAnchor"/>
          <w:rtl w:val="true"/>
        </w:rPr>
        <w:footnoteReference w:id="1477"/>
      </w:r>
      <w:r>
        <w:rPr>
          <w:rFonts w:ascii="Amiri" w:hAnsi="Amiri" w:eastAsia="Amiri" w:cs="Amiri"/>
          <w:color w:val="111111"/>
          <w:sz w:val="28"/>
          <w:sz w:val="28"/>
          <w:szCs w:val="28"/>
          <w:rtl w:val="true"/>
          <w:lang w:bidi="ar-SA"/>
        </w:rPr>
        <w:t xml:space="preserve">أيضاً، ولكن قال المصنّف في الشرح </w:t>
      </w:r>
      <w:r>
        <w:rPr>
          <w:rStyle w:val="FootnoteAnchor"/>
          <w:rtl w:val="true"/>
        </w:rPr>
        <w:footnoteReference w:id="147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لم يجده في كتبه وإنّما نَسَب الحكم إلى القول لعدم ظهور دَلالةٍ عليه، فإنّ رِوايةَ ضَرِيس</w:t>
      </w:r>
      <w:r>
        <w:rPr>
          <w:rStyle w:val="FootnoteAnchor"/>
          <w:rtl w:val="true"/>
        </w:rPr>
        <w:footnoteReference w:id="1479"/>
      </w:r>
      <w:r>
        <w:rPr>
          <w:rFonts w:ascii="Amiri" w:hAnsi="Amiri" w:eastAsia="Amiri" w:cs="Amiri"/>
          <w:color w:val="111111"/>
          <w:sz w:val="28"/>
          <w:sz w:val="28"/>
          <w:szCs w:val="28"/>
          <w:rtl w:val="true"/>
          <w:lang w:bidi="ar-SA"/>
        </w:rPr>
        <w:t>التي هي مستند الحكم خالية عن حكم أولاده وأصالة حريتهم لانعقادهم عليها، وعموم ولَا تَزِرُ وَازِرَةٌ وِزْرَ أُخْرَى</w:t>
      </w:r>
      <w:r>
        <w:rPr>
          <w:rStyle w:val="FootnoteAnchor"/>
          <w:rtl w:val="true"/>
        </w:rPr>
        <w:footnoteReference w:id="1480"/>
      </w:r>
      <w:r>
        <w:rPr>
          <w:rFonts w:ascii="Amiri" w:hAnsi="Amiri" w:eastAsia="Amiri" w:cs="Amiri"/>
          <w:color w:val="111111"/>
          <w:sz w:val="28"/>
          <w:sz w:val="28"/>
          <w:szCs w:val="28"/>
          <w:rtl w:val="true"/>
          <w:lang w:bidi="ar-SA"/>
        </w:rPr>
        <w:t>يَنفيه، ومِن ثُمَّ ردَّه ابن إدريس، وجماعة</w:t>
      </w:r>
      <w:r>
        <w:rPr>
          <w:rStyle w:val="FootnoteAnchor"/>
          <w:rtl w:val="true"/>
        </w:rPr>
        <w:footnoteReference w:id="1481"/>
      </w:r>
      <w:r>
        <w:rPr>
          <w:rFonts w:eastAsia="Times New Roman" w:cs="Times New Roman" w:ascii="Times New Roman" w:hAnsi="Times New Roman"/>
          <w:color w:val="111111"/>
          <w:sz w:val="28"/>
          <w:szCs w:val="28"/>
          <w:rtl w:val="true"/>
          <w:lang w:val="en-US" w:bidi="en-US"/>
        </w:rPr>
        <w:t>.</w:t>
      </w:r>
    </w:p>
    <w:p>
      <w:pPr>
        <w:sectPr>
          <w:footerReference w:type="default" r:id="rId3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ووُجه القولُ بأن الطفل يتبع أباه، فإذا ثبت له الاسترقاق شارَكَه فيه، وبأنّ المقتضي </w:t>
      </w:r>
    </w:p>
    <w:p>
      <w:pPr>
        <w:pStyle w:val="BookText"/>
        <w:rPr/>
      </w:pPr>
      <w:r>
        <w:rPr>
          <w:rFonts w:ascii="Amiri" w:hAnsi="Amiri" w:eastAsia="Amiri" w:cs="Amiri"/>
          <w:color w:val="111111"/>
          <w:sz w:val="28"/>
          <w:sz w:val="28"/>
          <w:szCs w:val="28"/>
          <w:rtl w:val="true"/>
          <w:lang w:bidi="ar-SA"/>
        </w:rPr>
        <w:t>لِحَقْنِ دَمه واحترامِ ماله وولده هو التزامه بالذمة، وقد خَرَقَها بالقتل فيجري عليه أحكامُ أهل الحرب</w:t>
      </w:r>
      <w:r>
        <w:rPr>
          <w:rStyle w:val="FootnoteAnchor"/>
          <w:rtl w:val="true"/>
        </w:rPr>
        <w:footnoteReference w:id="148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وفيه إنّ ذلك يوجب اشتراك المسلمين فيهم لأنهم فَيْء، أو اختصاص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بهم، لا اختصاص أولياء المقتول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والأجود الاقتصار على ما اتَّفق عليه الأصحابُ ووَرَدَتْ به النصوص من جواز قتله والعفو والاسترقاق له وأخذ ماله وللولي استرقاقه إلا أن يُسلم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قبله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فالقتل لا غيرُ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لامتناع استرقاق المسلم ،ابتداء، وأخذ ماله باقٍ على التقديرين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ولو قتل الكافِرُ مثلَه ثمّ أَسلَم القاتلُ فالدية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غير، إن كان المقتول ذِمّيّاً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لامتناع قتل المسلم بالكافر في غير ما استثني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كان المقتول الكافرُ غير ذِمّي فلا قتل على قاتله مطلقاً، ولا دية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وولد الزنى إذا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بَلَغ وعَقَل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وأظهر الإسلامَ مُسلِمٌ يُقتَل به ولد الرشدة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بفتح الراء وكسرها ، خلاف ولد الزنى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كان لشبهة لتساويهما في الإسلام، ولو قتله قبل البلوغ لم يُقتل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وكذا لا يُقتل به المسلم مطلقاً عند مَن يَرَى أنّه كافرٌ وإِنْ أظهر الإسلام </w:t>
      </w:r>
      <w:r>
        <w:rPr>
          <w:rStyle w:val="FootnoteAnchor"/>
          <w:rtl w:val="true"/>
        </w:rPr>
        <w:footnoteReference w:id="148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ويُقتل الذمّى بالمرتد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فطريّاً كان أم مليّاً؛ لأنه محقون الدم بالنسبة إليه لبقاء علقة الإسلام، وكذا العكس على الأقوى؛ لتساويهما في أصل الكفر كما يُقتل اليهودي بالنصراني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لو رَجَع الملّي إلى الإسلام فلا قود، وعليه ديه الذمّي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يُقتل به المسلم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أَساءَ بقتله؛ لأنّ أمره إلى الإمام والأقرب أن لا دية للمرتدّ مطلقاً بقتل المسلم له أيضاً؛ لأنّه بمنزلة الكافر الذي لا دية له وإن كان قبل استتابة الملي؛ لأنّ مفارقته للكافر بذلك لا يُخرجه عن الكفر ولأنّ الدية مقدَّرٌ شرعي فيَقِفُ ثبوتها على الدليل الشرعي وهو مُنتَفٍ</w:t>
      </w:r>
      <w:r>
        <w:rPr>
          <w:rFonts w:eastAsia="Amiri" w:cs="Amiri" w:ascii="Amiri" w:hAnsi="Amiri"/>
          <w:color w:val="111111"/>
          <w:sz w:val="28"/>
          <w:szCs w:val="28"/>
          <w:rtl w:val="true"/>
          <w:lang w:bidi="ar-SA"/>
        </w:rPr>
        <w:t>.</w:t>
      </w:r>
    </w:p>
    <w:p>
      <w:pPr>
        <w:sectPr>
          <w:footerReference w:type="default" r:id="rId3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ويُحتمل وجوب دية الذمي؛ لأنه أقرب منه إلى الإسلام فلا أقل من كون ديته </w:t>
      </w:r>
    </w:p>
    <w:p>
      <w:pPr>
        <w:pStyle w:val="BookText"/>
        <w:rPr/>
      </w:pPr>
      <w:r>
        <w:rPr>
          <w:rFonts w:ascii="Amiri" w:hAnsi="Amiri" w:eastAsia="Amiri" w:cs="Amiri"/>
          <w:color w:val="111111"/>
          <w:sz w:val="28"/>
          <w:sz w:val="28"/>
          <w:szCs w:val="28"/>
          <w:rtl w:val="true"/>
          <w:lang w:bidi="ar-SA"/>
        </w:rPr>
        <w:t>كديته مع أصالة البراءة من الزائد، وهو ضعيف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انتفاء الأبُوَّة فلا يُقتل الوالد وإنْ علا بابنه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نزل؛ لقوله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لا يُقادُ للابن من أبيه</w:t>
      </w:r>
      <w:r>
        <w:rPr>
          <w:rFonts w:eastAsia="Amiri" w:cs="Amiri" w:ascii="Amiri" w:hAnsi="Amiri"/>
          <w:color w:val="111111"/>
          <w:sz w:val="28"/>
          <w:szCs w:val="28"/>
          <w:rtl w:val="true"/>
          <w:lang w:bidi="ar-SA"/>
        </w:rPr>
        <w:t>»</w:t>
      </w:r>
      <w:r>
        <w:rPr>
          <w:rStyle w:val="FootnoteAnchor"/>
          <w:rtl w:val="true"/>
        </w:rPr>
        <w:footnoteReference w:id="1484"/>
      </w:r>
    </w:p>
    <w:p>
      <w:pPr>
        <w:pStyle w:val="BookText"/>
        <w:rPr/>
      </w:pPr>
      <w:r>
        <w:rPr>
          <w:rFonts w:ascii="Amiri" w:hAnsi="Amiri" w:eastAsia="Amiri" w:cs="Amiri"/>
          <w:color w:val="111111"/>
          <w:sz w:val="28"/>
          <w:sz w:val="28"/>
          <w:szCs w:val="28"/>
          <w:rtl w:val="true"/>
          <w:lang w:bidi="ar-SA"/>
        </w:rPr>
        <w:t>باختلاف يسير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والبنتُ كالابن إجماعاً أو بطريقٍ أولى، وفي بعض الأخبار 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يُقتل والد بولده، ويُقتل الولد بوالده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xml:space="preserve">، وهو شامل للأُنثى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وعُدّل أيضاً بأن الأبَ كان سبباً في وجود الولد فلا يكون الولد سبباً في عدمه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وهو لا يتم في الأُمّ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ويُعزّر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الوالد بقتل الولد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ويُكفّر، وتجب الدية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لغيره من الوراث</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ويُقتل باقي الأقارب بعضُهم ببعض كالولد بوالده والأم بابنها والأجداد من قبلها وإن كانت لأب والجدّاتِ مطلقاً، والإخوة والأعمام والأخوال وغيرهم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فرق في الوالد بين المساوي لولده في الدين والحرّيّة والمخالف، فلا يُقتل الأب الكافر بولده المسلم، ولا الأب العبد بولده الحر؛ للعموم</w:t>
      </w:r>
      <w:r>
        <w:rPr>
          <w:rStyle w:val="FootnoteAnchor"/>
          <w:rtl w:val="true"/>
        </w:rPr>
        <w:footnoteReference w:id="1485"/>
      </w:r>
      <w:r>
        <w:rPr>
          <w:rFonts w:ascii="Amiri" w:hAnsi="Amiri" w:eastAsia="Amiri" w:cs="Amiri"/>
          <w:color w:val="111111"/>
          <w:sz w:val="28"/>
          <w:sz w:val="28"/>
          <w:szCs w:val="28"/>
          <w:rtl w:val="true"/>
          <w:lang w:bidi="ar-SA"/>
        </w:rPr>
        <w:t>، ولأنّ المانعَ شَرَفُ الأبوَّة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لا يُقتل الولد المسلم بالأب الكافر، ولا الحرُّ بالعبد لعدم التكافؤ</w:t>
      </w:r>
      <w:r>
        <w:rPr>
          <w:rFonts w:eastAsia="Amiri" w:cs="Amiri" w:ascii="Amiri" w:hAnsi="Amiri"/>
          <w:color w:val="111111"/>
          <w:sz w:val="28"/>
          <w:szCs w:val="28"/>
          <w:rtl w:val="true"/>
          <w:lang w:bidi="ar-SA"/>
        </w:rPr>
        <w:t>.</w:t>
      </w:r>
    </w:p>
    <w:p>
      <w:pPr>
        <w:sectPr>
          <w:footerReference w:type="default" r:id="rId3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كمال العقل، فلا يُقتل المجنون بعاقل ولا مجنون سواء كان الجنونُ دائماً أم أدواراً إذا قتل حال ،جنونه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والدية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ثابتةٌ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عاقلته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لعدم قصده القتل فيكون كخطأ العاقل؛ ولصحيحة محمّد بن مسلم عن أبي جعفر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كان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يَجعَل جناية المعتوه على عاقلته خطأ كان أو عمداً</w:t>
      </w:r>
      <w:r>
        <w:rPr>
          <w:rFonts w:eastAsia="Amiri" w:cs="Amiri" w:ascii="Amiri" w:hAnsi="Amiri"/>
          <w:color w:val="111111"/>
          <w:sz w:val="28"/>
          <w:szCs w:val="28"/>
          <w:rtl w:val="true"/>
          <w:lang w:bidi="ar-SA"/>
        </w:rPr>
        <w:t>»</w:t>
      </w:r>
      <w:r>
        <w:rPr>
          <w:rStyle w:val="FootnoteAnchor"/>
          <w:rtl w:val="true"/>
        </w:rPr>
        <w:footnoteReference w:id="148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وكما يُعتبر العقل في طرف القاتل كذا يُعتبر في طرف المقتول فلو قتل العاقل مجنوناً لم يُقتل به، بل الدية إن كان القتل عمداً أو شبهه وإلّا فعلى العاقلة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لو صال المجنون عليه ولم يُمكنه دفعه إلا بقتله فهَدْرُ</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يقتل الصبيُّ ببالغ ولا صبي</w:t>
      </w:r>
      <w:r>
        <w:rPr>
          <w:rStyle w:val="FootnoteAnchor"/>
          <w:rtl w:val="true"/>
        </w:rPr>
        <w:footnoteReference w:id="148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تثبت الدية على عاقلته بجعل عمده خطأ محضاً، إلى أن يَبلُغ وإن مَيَّزَ؛ لصحيحة محمّد بن مسلم عن أبي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عمدُ الصبي وخطأه واحدٌ</w:t>
      </w:r>
      <w:r>
        <w:rPr>
          <w:rFonts w:eastAsia="Amiri" w:cs="Amiri" w:ascii="Amiri" w:hAnsi="Amiri"/>
          <w:color w:val="111111"/>
          <w:sz w:val="28"/>
          <w:szCs w:val="28"/>
          <w:rtl w:val="true"/>
          <w:lang w:bidi="ar-SA"/>
        </w:rPr>
        <w:t>»</w:t>
      </w:r>
      <w:r>
        <w:rPr>
          <w:rStyle w:val="FootnoteAnchor"/>
          <w:rtl w:val="true"/>
        </w:rPr>
        <w:footnoteReference w:id="148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أنّ عليّاً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عمد الصبيان خطأً تَحَملُه على العاقلة</w:t>
      </w:r>
      <w:r>
        <w:rPr>
          <w:rFonts w:eastAsia="Amiri" w:cs="Amiri" w:ascii="Amiri" w:hAnsi="Amiri"/>
          <w:color w:val="111111"/>
          <w:sz w:val="28"/>
          <w:szCs w:val="28"/>
          <w:rtl w:val="true"/>
          <w:lang w:bidi="ar-SA"/>
        </w:rPr>
        <w:t>»</w:t>
      </w:r>
      <w:r>
        <w:rPr>
          <w:rStyle w:val="FootnoteAnchor"/>
          <w:rtl w:val="true"/>
        </w:rPr>
        <w:footnoteReference w:id="148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واعتبر في التحرير</w:t>
      </w:r>
      <w:r>
        <w:rPr>
          <w:rStyle w:val="FootnoteAnchor"/>
          <w:rtl w:val="true"/>
        </w:rPr>
        <w:footnoteReference w:id="1490"/>
      </w:r>
      <w:r>
        <w:rPr>
          <w:rFonts w:ascii="Amiri" w:hAnsi="Amiri" w:eastAsia="Amiri" w:cs="Amiri"/>
          <w:color w:val="111111"/>
          <w:sz w:val="28"/>
          <w:sz w:val="28"/>
          <w:szCs w:val="28"/>
          <w:rtl w:val="true"/>
          <w:lang w:bidi="ar-SA"/>
        </w:rPr>
        <w:t>مع البلوغ الرشد، وليس بواضح</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ويقتل البالغ بالصبي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أصح القولين</w:t>
      </w:r>
      <w:r>
        <w:rPr>
          <w:rStyle w:val="FootnoteAnchor"/>
          <w:rtl w:val="true"/>
        </w:rPr>
        <w:footnoteReference w:id="1491"/>
      </w:r>
      <w:r>
        <w:rPr>
          <w:rFonts w:ascii="IRNazanin" w:hAnsi="IRNazanin" w:eastAsia="IRNazanin"/>
          <w:color w:val="111111"/>
          <w:sz w:val="28"/>
          <w:sz w:val="28"/>
          <w:szCs w:val="28"/>
          <w:rtl w:val="true"/>
          <w:lang w:bidi="fa-IR"/>
        </w:rPr>
        <w:t>لعموم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النَّفْسَ بِالنَّفْسِ</w:t>
      </w:r>
      <w:r>
        <w:rPr>
          <w:rStyle w:val="FootnoteAnchor"/>
          <w:rtl w:val="true"/>
        </w:rPr>
        <w:footnoteReference w:id="149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وأوجب أبو الصلاح</w:t>
      </w:r>
      <w:r>
        <w:rPr>
          <w:rStyle w:val="FootnoteAnchor"/>
          <w:rtl w:val="true"/>
        </w:rPr>
        <w:footnoteReference w:id="1493"/>
      </w:r>
      <w:r>
        <w:rPr>
          <w:rFonts w:ascii="Amiri" w:hAnsi="Amiri" w:eastAsia="Amiri" w:cs="Amiri"/>
          <w:color w:val="111111"/>
          <w:sz w:val="28"/>
          <w:sz w:val="28"/>
          <w:szCs w:val="28"/>
          <w:rtl w:val="true"/>
          <w:lang w:bidi="ar-SA"/>
        </w:rPr>
        <w:t>في قتل البالغ له الدية كالمجنون؛ لاشتراكهما في نقصان العقل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ويُضعف بأن المجنون خرج بدليل خارج وإلا كانت الآية متناولة له، بخلاف الصبي، مع أن الفرق بينهما متحقق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قتل العاقل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يثبت عليه بقتله القصاص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جُنَّ اقتُصَّ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حالةَ الجنون؛ لثبوت الحق في ذمته عاقلاً فيُستصحب كغيره من الحقوق</w:t>
      </w:r>
      <w:r>
        <w:rPr>
          <w:rFonts w:eastAsia="Amiri" w:cs="Amiri" w:ascii="Amiri" w:hAnsi="Amiri"/>
          <w:color w:val="111111"/>
          <w:sz w:val="28"/>
          <w:szCs w:val="28"/>
          <w:rtl w:val="true"/>
          <w:lang w:bidi="ar-SA"/>
        </w:rPr>
        <w:t>.</w:t>
      </w:r>
    </w:p>
    <w:p>
      <w:pPr>
        <w:sectPr>
          <w:footerReference w:type="default" r:id="rId3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المقتول محقونَ الدم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غيرَ مُباحِ القتل شرعاً،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 أباحَ </w:t>
      </w:r>
      <w:bookmarkStart w:id="160" w:name="pg11049_88668"/>
    </w:p>
    <w:p>
      <w:pPr>
        <w:pStyle w:val="BookText"/>
        <w:rPr/>
      </w:pPr>
      <w:bookmarkEnd w:id="160"/>
      <w:r>
        <w:rPr>
          <w:rFonts w:ascii="Amiri" w:hAnsi="Amiri" w:eastAsia="Amiri" w:cs="Amiri"/>
          <w:color w:val="111111"/>
          <w:sz w:val="28"/>
          <w:sz w:val="28"/>
          <w:szCs w:val="28"/>
          <w:rtl w:val="true"/>
          <w:lang w:bidi="ar-SA"/>
        </w:rPr>
        <w:t xml:space="preserve">الشرعُ قَتْلَه لزنئ أو لِواطٍ أو كُفرٍ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يُقتل به قاتله وإن كان بغير إذن الإمام؛ لأنه مباح الدم في الجملة، وإنْ تَوَقَّفَتْ المباشرة على إذن الحاكم، فيَأْتَمُ بدونه خاصةً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والظاهرُ عدمُ الفرق بين استيفائه بنوع القتل الذي عَيَّنَه الشارع كالرجم والسيف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وغيره لاشتراك الجميع في الأمر المطلوب شرعاً وهو إزهاق الروح</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ولو قتل من وجب عليه قصاص غيرُ الوليّ قُتِل به؛ لأنّه محقون الدم بالنسبة إلى غيره</w:t>
      </w:r>
      <w:r>
        <w:rPr>
          <w:rFonts w:eastAsia="Amiri" w:cs="Amiri" w:ascii="Amiri" w:hAnsi="Amiri"/>
          <w:color w:val="111111"/>
          <w:sz w:val="28"/>
          <w:szCs w:val="28"/>
          <w:rtl w:val="true"/>
          <w:lang w:bidi="ar-SA"/>
        </w:rPr>
        <w:t>.</w:t>
      </w:r>
    </w:p>
    <w:p>
      <w:pPr>
        <w:pStyle w:val="Heading4"/>
        <w:numPr>
          <w:ilvl w:val="3"/>
          <w:numId w:val="1"/>
        </w:numPr>
        <w:rPr/>
      </w:pPr>
      <w:bookmarkStart w:id="161" w:name="__RefHeading___Toc1446171_1067777946"/>
      <w:bookmarkStart w:id="162" w:name="_Toc49"/>
      <w:bookmarkEnd w:id="161"/>
      <w:r>
        <w:rPr>
          <w:rtl w:val="true"/>
        </w:rPr>
        <w:t>القول فيما يثبت به القتل</w:t>
      </w:r>
      <w:bookmarkEnd w:id="16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وهو ثلاثة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الإقرار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والبينة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والقَسَامة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بفتح القاف، وهي الأيمان تُقسم على أولياء الدم، قاله الجوهري</w:t>
      </w:r>
      <w:r>
        <w:rPr>
          <w:rStyle w:val="FootnoteAnchor"/>
          <w:rtl w:val="true"/>
        </w:rPr>
        <w:footnoteReference w:id="149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فالإقرار يكفي فيه المرّة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لعموم إقرار العقلاء على أنفسهم جائز</w:t>
      </w:r>
      <w:r>
        <w:rPr>
          <w:rFonts w:eastAsia="Amiri" w:cs="Amiri" w:ascii="Amiri" w:hAnsi="Amiri"/>
          <w:color w:val="111111"/>
          <w:sz w:val="28"/>
          <w:szCs w:val="28"/>
          <w:rtl w:val="true"/>
          <w:lang w:bidi="ar-SA"/>
        </w:rPr>
        <w:t>»</w:t>
      </w:r>
      <w:r>
        <w:rPr>
          <w:rStyle w:val="FootnoteAnchor"/>
          <w:rtl w:val="true"/>
        </w:rPr>
        <w:footnoteReference w:id="1495"/>
      </w:r>
      <w:r>
        <w:rPr>
          <w:rFonts w:ascii="Amiri" w:hAnsi="Amiri" w:eastAsia="Amiri" w:cs="Amiri"/>
          <w:color w:val="111111"/>
          <w:sz w:val="28"/>
          <w:sz w:val="28"/>
          <w:szCs w:val="28"/>
          <w:rtl w:val="true"/>
          <w:lang w:bidi="ar-SA"/>
        </w:rPr>
        <w:t>وهو يتحقق بالمرّة حيث لا دليل على اعتبار التعدّد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تُعتبر المرتان</w:t>
      </w:r>
      <w:r>
        <w:rPr>
          <w:rStyle w:val="FootnoteAnchor"/>
          <w:rtl w:val="true"/>
        </w:rPr>
        <w:footnoteReference w:id="1496"/>
      </w:r>
      <w:r>
        <w:rPr>
          <w:rFonts w:ascii="Amiri" w:hAnsi="Amiri" w:eastAsia="Amiri" w:cs="Amiri"/>
          <w:color w:val="111111"/>
          <w:sz w:val="28"/>
          <w:sz w:val="28"/>
          <w:szCs w:val="28"/>
          <w:rtl w:val="true"/>
          <w:lang w:bidi="ar-SA"/>
        </w:rPr>
        <w:t>، وهو ضعيف</w:t>
      </w:r>
      <w:r>
        <w:rPr>
          <w:rFonts w:eastAsia="Amiri" w:cs="Amiri" w:ascii="Amiri" w:hAnsi="Amiri"/>
          <w:color w:val="111111"/>
          <w:sz w:val="28"/>
          <w:szCs w:val="28"/>
          <w:rtl w:val="true"/>
          <w:lang w:bidi="ar-SA"/>
        </w:rPr>
        <w:t>.</w:t>
      </w:r>
    </w:p>
    <w:p>
      <w:pPr>
        <w:sectPr>
          <w:footerReference w:type="default" r:id="rId3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ويُشترط أهليّة المقرّ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بالبلوغ والعقل،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واختياره وحريته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 عبرة بإقرار الصبي والمجنونِ والمكرَهِ والعبدِ ما دام رِقّاً ولو بعضه إلّا أن يُصَدِّقَه مولاه فالأقرب القبول؛ لأنّ سَلْبَ عبارته هنا إنما كان لحق المولى حيث كان له نصيب في نفسه فإذا وافَقَه زال المانع، مع وجود المقتضي وهو قبولُ إقرار العقلاء على أنفسهم ووجه عدم القبول مطلقاً كونه مسلوب أهلية الإقرار كالصبي والمجنون؛ لأن العبودية صفة مانعة منه كالصبا ولأنّ المولى ليس له تعلّق بدم العبد، وليس له جرحه ولا قطع شيء من أعضائه فلا يُقبل</w:t>
      </w:r>
      <w:r>
        <w:rPr>
          <w:rStyle w:val="FootnoteAnchor"/>
          <w:rtl w:val="true"/>
        </w:rPr>
        <w:footnoteReference w:id="1497"/>
      </w:r>
      <w:r>
        <w:rPr>
          <w:rFonts w:ascii="Amiri" w:hAnsi="Amiri" w:eastAsia="Amiri" w:cs="Amiri"/>
          <w:color w:val="111111"/>
          <w:sz w:val="28"/>
          <w:sz w:val="28"/>
          <w:szCs w:val="28"/>
          <w:rtl w:val="true"/>
          <w:lang w:bidi="ar-SA"/>
        </w:rPr>
        <w:t>، مطلقاً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فرق في ذلك بين القنّ والمدبَّر وأُمّ الولد والمكاتب وإنْ </w:t>
      </w:r>
    </w:p>
    <w:p>
      <w:pPr>
        <w:pStyle w:val="BookText"/>
        <w:rPr/>
      </w:pPr>
      <w:r>
        <w:rPr>
          <w:rFonts w:ascii="Amiri" w:hAnsi="Amiri" w:eastAsia="Amiri" w:cs="Amiri"/>
          <w:color w:val="111111"/>
          <w:sz w:val="28"/>
          <w:sz w:val="28"/>
          <w:szCs w:val="28"/>
          <w:rtl w:val="true"/>
          <w:lang w:bidi="ar-SA"/>
        </w:rPr>
        <w:t xml:space="preserve">انعَتَق بعضُه كمطلق المُبَعَّض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لو أقرَّ بقتل يُوجب عليه الديةَ لَزِمَه منها بنسبة ما فيه من الحرّيّة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أقرَّ بالعمد ثمّ كَمَل عِتقه اقتص منه لزوال المانع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ويُقبل إقرارُ السفيه والمُفَلَّسِ بالعمد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لأنّ موجَبَه القَوَدُ، وإنّما حُجِر عليهما في المال فيُستوفى منهما القصاصُ في الحال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أقرا بالخطاء الموجب للمال على الجاني لم يُقبل من السفيه مطلقاً، ويُقبل من المُفلس، لكن لا يُشارك المُقر له الغرماء على الأقوى، وقد تقدّم </w:t>
      </w:r>
      <w:r>
        <w:rPr>
          <w:rStyle w:val="FootnoteAnchor"/>
          <w:rtl w:val="true"/>
        </w:rPr>
        <w:footnoteReference w:id="1498"/>
      </w:r>
      <w:r>
        <w:rPr>
          <w:rFonts w:ascii="Amiri" w:hAnsi="Amiri" w:eastAsia="Amiri" w:cs="Amiri"/>
          <w:color w:val="111111"/>
          <w:sz w:val="28"/>
          <w:sz w:val="28"/>
          <w:szCs w:val="28"/>
          <w:rtl w:val="true"/>
          <w:lang w:bidi="ar-SA"/>
        </w:rPr>
        <w:t>في بابه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ولو أقر واحد بقتله عمداً وآخَرُ بقتله خطأ تخيَّر الوليُّ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تصديقِ مَن شاء منهما وإلزامه بموجب جنايته؛ لأنّ كلَّ واحد من الإقرارين سبب مستقل في إيجاب مقتضاه على المُقرّ به، ولمّا لم يمكن الجمعُ تَخيَّر الوليُّ وإنْ جَهل الحال كغيره، وليس له على الآخر سبيلٌ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أقرَّ بقتله عمداً فأقرّ آخَرُ ببراءة المقرّ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ممّا أقرَّ به من قتله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وأنه هو القاتل ورَجَع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إقراره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وُدِيَ المقتول من بيت المال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كان موجوداً،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ودُرِيَّ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دُفعَ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عنهما القصاص كما قَضَى به الحسن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حياة أبيه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معللاً بأن الثاني إن كان ذبح ذاك فقد أحيا هذا وقد قال الله عزّ 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أَحْيَاهَا فَكَأَنَّمَا أَحْيَا النَّاسَ جَمِيعًا</w:t>
      </w:r>
      <w:r>
        <w:rPr>
          <w:rStyle w:val="FootnoteAnchor"/>
          <w:rtl w:val="true"/>
        </w:rPr>
        <w:footnoteReference w:id="149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عَمِل بالرواية أكثر الأصحاب مع أنها مرسلة مخالفة للأصل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والأقوى تخيرُ الولي في تصديق أيهما شاء، والاستيفاء منه كما سبق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وعلى المشهور، لو لم يكن بيتُ مالِ كهذا الزمان أشكل دَرْءُ القصاص عنهما وإذهاب حق المقر له، مع أن مقتضى التعليل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لم يرجع الأوّلُ عن إقراره فمقتضى التعليل بقاء الحكم أيضاً، والمختار التخيير مطلقاً </w:t>
      </w:r>
      <w:r>
        <w:rPr>
          <w:rFonts w:eastAsia="Amiri" w:cs="Amiri" w:ascii="Amiri" w:hAnsi="Amiri"/>
          <w:color w:val="111111"/>
          <w:sz w:val="28"/>
          <w:szCs w:val="28"/>
          <w:rtl w:val="true"/>
          <w:lang w:bidi="ar-SA"/>
        </w:rPr>
        <w:t>.</w:t>
      </w:r>
    </w:p>
    <w:p>
      <w:pPr>
        <w:sectPr>
          <w:footerReference w:type="default" r:id="rId3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وأما البيّنةُ، فعدلان ذَكَران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عبرة بشهادة النساء منفردات ولا منضمات، ولا بالواحد مع اليمين؛ لأنّ متعلَّقهما المال وإنْ عفا المستحِقُ على 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تثبت </w:t>
      </w:r>
    </w:p>
    <w:p>
      <w:pPr>
        <w:pStyle w:val="BookText"/>
        <w:rPr/>
      </w:pPr>
      <w:r>
        <w:rPr>
          <w:rFonts w:ascii="Amiri" w:hAnsi="Amiri" w:eastAsia="Amiri" w:cs="Amiri"/>
          <w:color w:val="111111"/>
          <w:sz w:val="28"/>
          <w:sz w:val="28"/>
          <w:szCs w:val="28"/>
          <w:rtl w:val="true"/>
          <w:lang w:bidi="ar-SA"/>
        </w:rPr>
        <w:t>بالشاهد والمرأتين الدية</w:t>
      </w:r>
      <w:r>
        <w:rPr>
          <w:rStyle w:val="FootnoteAnchor"/>
          <w:rtl w:val="true"/>
        </w:rPr>
        <w:footnoteReference w:id="1500"/>
      </w:r>
      <w:r>
        <w:rPr>
          <w:rFonts w:ascii="IRNazanin" w:hAnsi="IRNazanin" w:eastAsia="IRNazanin"/>
          <w:color w:val="111111"/>
          <w:sz w:val="28"/>
          <w:sz w:val="28"/>
          <w:szCs w:val="28"/>
          <w:rtl w:val="true"/>
          <w:lang w:bidi="fa-IR"/>
        </w:rPr>
        <w:t>، وهو شاذ</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ولْتَكُن الشهادة صافيةً عن الاحتمال، فلو قال جَرَحه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يَكْفِ حتّى يقول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مات مِن جَرحِه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الجرح لا يستلزم الموت مطلقاً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ولو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أَسَالَ دَمَه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تثبت الدامية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خاصةً؛ لأنّها المتيقَنُ من إطلاق اللفظ ثمّ يبقى الكلام في تعيين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الدامية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استيفاءَها مشروط بتعين محلّها فلا يصح بدونه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ولابد من توافقهما على الوصف الواحد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الموجبِ لاتحاد الفعل،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فلو اختلفا زماناً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شهد أحدهما أنه قتله عُدْوَةً والآخَرُ عَشِيّةً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مكاناً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بأن شهد أحدهما أنه قتله في الدار والآخَرُ في السوق،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آلةً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شهد أحدهما أنه قتله بالسكين والآخَرُ بالسَيف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بطلت الشهادة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لأنّها شهادة على فعلين ولم يقم على كلّ واحد إلا شاهد 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يثبت بذلك لَوْتُ على الأقوى للتكاذب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لو شَهد أحدُهما بإقراره والآخَرُ بالمشاهدة لم يثبت وكان لوثاً؛ لإمكان صدقهما وتحقق الظن به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وأما القسامة فتثبت مع اللوث، ومع عدمه يحلف المنكر يميناً واحدةً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نفي الفعل،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نكل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اليمين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حَلَف المدّعِي يميناً واحدةً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بناءً على عدم القضاء بالنكول،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وثبت 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المنكر بيمين المدعي، ولو قضينا بالنكول قُضِيَ عليه به بمجرده </w:t>
      </w:r>
      <w:r>
        <w:rPr>
          <w:rFonts w:eastAsia="Amiri" w:cs="Amiri" w:ascii="Amiri" w:hAnsi="Amiri"/>
          <w:color w:val="111111"/>
          <w:sz w:val="28"/>
          <w:szCs w:val="28"/>
          <w:rtl w:val="true"/>
          <w:lang w:bidi="ar-SA"/>
        </w:rPr>
        <w:t>.</w:t>
      </w:r>
    </w:p>
    <w:p>
      <w:pPr>
        <w:sectPr>
          <w:footerReference w:type="default" r:id="rId3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واللوثُ أَمارةٌ يُظَنّ بها صدقُ المدّعِي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فيما ادعاه من القتل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كوجود ذي سلاح مُلَطَّخ بالدم عند قتيل في دمه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أما لو لم يُوجد القتيلُ مُهرَقَ الدم لم يكن وجود الدم مع ذي السلاح لوثاً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وُجِد القتيل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دارِ قوم أو قريتهم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لا يطرقها غيرُهم،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بين قريتين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يَطرُقهما غير أهلهما،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وقربهما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كان إلى إحداهما أقربُ اختَصَّتْ باللوث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طَرَق القرية غيرُ أهلها اعتُبر في ثبوت اللوث مع ذلك ثبوت العداوة بينهم وبينه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وكشهادة العدل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الواحدِ بقتل المدعى عليه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الصبي ولا الفاسق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والكافر وإن كان مأموناً في مذهبه</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أمّا جماعةُ النساء والفُسّاق فتُفيد اللوثَ </w:t>
      </w:r>
      <w:r>
        <w:rPr>
          <w:rStyle w:val="FootnoteAnchor"/>
          <w:rtl w:val="true"/>
        </w:rPr>
        <w:footnoteReference w:id="1501"/>
      </w:r>
      <w:r>
        <w:rPr>
          <w:rFonts w:ascii="Amiri" w:hAnsi="Amiri" w:eastAsia="Amiri" w:cs="Amiri"/>
          <w:color w:val="111111"/>
          <w:sz w:val="28"/>
          <w:sz w:val="28"/>
          <w:szCs w:val="28"/>
          <w:rtl w:val="true"/>
          <w:lang w:bidi="ar-SA"/>
        </w:rPr>
        <w:t>مع الظنّ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بصدقهم ويُفهم منه أن جماعة الصبيان لا يثبت بهم اللوتُ، وهو كذلك إلا أن يبلغوا حد التواتر، وكذا الكفّار، فالمشهورُ حينئذٍ ثبوتُه بهم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ويُشكل بأنّ التواتر يُثبت القتل؛ لأنه أقوى من البينة واللوتُ يكفي فيه الظنُّ وهو قد يحصل بدون تواترهم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 وُجِد قتيلاً في جامع عظيم أو شارع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يَطرُقه غيرُ منحصرٍ،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فَلاة، أو في زحام على قَنْطَرَةٍ أو خَسْرٍ أو بئرٍ أو مَصنّع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غير مختص بمنحصر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فديته على بيت المال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وقدرُها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قدرُ القَسَامة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خمسون يميناً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العمد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إجماعاً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والخطأ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الأشهر،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خمسة وعشرون</w:t>
      </w:r>
      <w:r>
        <w:rPr>
          <w:rStyle w:val="FootnoteAnchor"/>
          <w:rtl w:val="true"/>
        </w:rPr>
        <w:footnoteReference w:id="1502"/>
      </w:r>
      <w:r>
        <w:rPr>
          <w:rFonts w:ascii="Amiri" w:hAnsi="Amiri" w:eastAsia="Amiri" w:cs="Amiri"/>
          <w:color w:val="111111"/>
          <w:sz w:val="28"/>
          <w:sz w:val="28"/>
          <w:szCs w:val="28"/>
          <w:rtl w:val="true"/>
          <w:lang w:bidi="ar-SA"/>
        </w:rPr>
        <w:t xml:space="preserve">لصحيحة عبد الله بن سنان عن الصادق </w:t>
      </w:r>
      <w:r>
        <w:rPr>
          <w:rStyle w:val="FootnoteAnchor"/>
          <w:rtl w:val="true"/>
        </w:rPr>
        <w:footnoteReference w:id="1503"/>
      </w:r>
      <w:r>
        <w:rPr>
          <w:rFonts w:ascii="Amiri" w:hAnsi="Amiri" w:eastAsia="Amiri" w:cs="Amiri"/>
          <w:color w:val="111111"/>
          <w:sz w:val="28"/>
          <w:sz w:val="28"/>
          <w:szCs w:val="28"/>
          <w:rtl w:val="true"/>
          <w:lang w:bidi="ar-SA"/>
        </w:rPr>
        <w:t>، والأوّل أحوط وأنسب بمراعاة النفس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يحلفها المدعي مع اللوث إن لم يكن له قوم، فإن كان للمدعي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والمراد بهم هنا أقاربه وإن لم يكونوا وارثين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حَلَف كلُّ واحد منهم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يميناً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كانوا خمسين ولو زادوا عنها اقتصر على حلف خمسين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والمدعِي مِن جملتهم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ويتخيَّرون في تعيين الحالف منهم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ولو نقصوا عن الخمسين كُرّرَتْ 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على بعضهم حَسْبَما يقتضيه العدد إلى أن يبلغ الخمسين، وكذا لو امتنع بعضُهم كُرّرت على الباذل متساوياً ومتفاوتاً، وكذا لو امتنع البعض من تكرير اليمين</w:t>
      </w:r>
      <w:r>
        <w:rPr>
          <w:rFonts w:eastAsia="Amiri" w:cs="Amiri" w:ascii="Amiri" w:hAnsi="Amiri"/>
          <w:color w:val="111111"/>
          <w:sz w:val="28"/>
          <w:szCs w:val="28"/>
          <w:rtl w:val="true"/>
          <w:lang w:bidi="ar-SA"/>
        </w:rPr>
        <w:t>.</w:t>
      </w:r>
    </w:p>
    <w:p>
      <w:pPr>
        <w:sectPr>
          <w:footerReference w:type="default" r:id="rId3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تثبت القسامة في الأعضاء بالنسبة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بنسبتها إلى النفس في الدية، فما فيه منها الدية فقسامتُه خمسون كالنفس، وما فيه النصفُ فنصفُها وهكذا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قَسامه الأعضاء الموجبة للدية ستُ أيمان، وما نقص عنها فبالنسبة </w:t>
      </w:r>
      <w:r>
        <w:rPr>
          <w:rStyle w:val="FootnoteAnchor"/>
          <w:rtl w:val="true"/>
        </w:rPr>
        <w:footnoteReference w:id="1504"/>
      </w:r>
      <w:r>
        <w:rPr>
          <w:rFonts w:ascii="IRNazanin" w:hAnsi="IRNazanin" w:eastAsia="IRNazanin"/>
          <w:color w:val="111111"/>
          <w:sz w:val="28"/>
          <w:sz w:val="28"/>
          <w:szCs w:val="28"/>
          <w:rtl w:val="true"/>
          <w:lang w:bidi="fa-IR"/>
        </w:rPr>
        <w:t>والأقوى الأول</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لم يكن له قَسامةً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قوم يُقسمون فإنّ القسامةَ تُطلق على الأيمان وعلى المُقْسِم، وعدم القسامة إما لعدم القوم أو وجودِهم مع عدم علمهم بالواقعة؛ فإنّ الحلف لا يصح إلا مع علمهم بالحال أو لامتناعهم عنها تَشَهياً؛ فإن ذلك غيرُ واجب عليهم مطلقاً،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امتنع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المدعي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اليمين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بَذَلها قومه أو بعضهم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أحلف المنكر وقومه خمسين يميناً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ببراءته،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امتنع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المنكِرُ من الحلفِ أو بعضه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أُلْزِم الدعوى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بَذَلَها قومُه بِناءً على القضاء بالنكول، أو بخصوص هذه المادة من حيث إنّ أصل اليمين هنا على المدّعي وإنّما انتَقَلَتْ إلى المنكر بنكوله فلا تعود إليه، كما لا تعود من المدعي إلى المنكر بعد ردّها عليه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والقائل الشيخ في المبسوط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 رد اليمين على المدعي كغيره من المنكرين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فيكفي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حينئذ اليمين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الواحدة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كغيره</w:t>
      </w:r>
      <w:r>
        <w:rPr>
          <w:rStyle w:val="FootnoteAnchor"/>
          <w:rtl w:val="true"/>
        </w:rPr>
        <w:footnoteReference w:id="1505"/>
      </w:r>
      <w:r>
        <w:rPr>
          <w:rFonts w:ascii="Amiri" w:hAnsi="Amiri" w:eastAsia="Amiri" w:cs="Amiri"/>
          <w:color w:val="111111"/>
          <w:sz w:val="28"/>
          <w:sz w:val="28"/>
          <w:szCs w:val="28"/>
          <w:rtl w:val="true"/>
          <w:lang w:bidi="ar-SA"/>
        </w:rPr>
        <w:t>، وهو ضعيفٌ لما ذُكر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ويُستحب للحاكم العِظَةُ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للحالف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قبل الأيمان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كغيره، بل هنا أولى</w:t>
      </w:r>
      <w:r>
        <w:rPr>
          <w:rFonts w:eastAsia="Amiri" w:cs="Amiri" w:ascii="Amiri" w:hAnsi="Amiri"/>
          <w:color w:val="111111"/>
          <w:sz w:val="28"/>
          <w:szCs w:val="28"/>
          <w:rtl w:val="true"/>
          <w:lang w:bidi="ar-SA"/>
        </w:rPr>
        <w:t>.</w:t>
      </w:r>
    </w:p>
    <w:p>
      <w:pPr>
        <w:sectPr>
          <w:footerReference w:type="default" r:id="rId3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ورَوَى السكوني عن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 يَحبِس في تهمة الدم ستة أيام فإن جاء الأولياء بينة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وإلّا خَلَّى سَبيله</w:t>
      </w:r>
      <w:r>
        <w:rPr>
          <w:rFonts w:eastAsia="IRNazanin" w:cs="IRNazanin"/>
          <w:color w:val="111111"/>
          <w:sz w:val="28"/>
          <w:szCs w:val="28"/>
          <w:rtl w:val="true"/>
          <w:lang w:bidi="fa-IR"/>
        </w:rPr>
        <w:t>»</w:t>
      </w:r>
      <w:r>
        <w:rPr>
          <w:rStyle w:val="FootnoteAnchor"/>
          <w:rtl w:val="true"/>
        </w:rPr>
        <w:footnoteReference w:id="150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وعَمِل بمضمونها الشيخ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w:t>
      </w:r>
      <w:r>
        <w:rPr>
          <w:rStyle w:val="FootnoteAnchor"/>
          <w:rtl w:val="true"/>
        </w:rPr>
        <w:footnoteReference w:id="150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والرواية ضعيفة، والحبس تعجيل عقوبة لم يثبت موجِبُها فعدم جوازه أجود</w:t>
      </w:r>
      <w:r>
        <w:rPr>
          <w:rFonts w:eastAsia="Amiri" w:cs="Amiri" w:ascii="Amiri" w:hAnsi="Amiri"/>
          <w:color w:val="111111"/>
          <w:sz w:val="28"/>
          <w:szCs w:val="28"/>
          <w:rtl w:val="true"/>
          <w:lang w:bidi="ar-SA"/>
        </w:rPr>
        <w:t xml:space="preserve">. </w:t>
      </w:r>
      <w:bookmarkStart w:id="163" w:name="pg11049_88673"/>
    </w:p>
    <w:p>
      <w:pPr>
        <w:pStyle w:val="Heading3"/>
        <w:numPr>
          <w:ilvl w:val="2"/>
          <w:numId w:val="1"/>
        </w:numPr>
        <w:rPr/>
      </w:pPr>
      <w:bookmarkStart w:id="164" w:name="__RefHeading___Toc1446173_1067777946"/>
      <w:bookmarkStart w:id="165" w:name="_Toc50"/>
      <w:bookmarkEnd w:id="163"/>
      <w:bookmarkEnd w:id="164"/>
      <w:r>
        <w:rPr>
          <w:rtl w:val="true"/>
        </w:rPr>
        <w:t>الفصل الثاني في قصاص الطَّرَف</w:t>
      </w:r>
      <w:bookmarkEnd w:id="165"/>
    </w:p>
    <w:p>
      <w:pPr>
        <w:pStyle w:val="BookText"/>
        <w:rPr/>
      </w:pPr>
      <w:r>
        <w:rPr>
          <w:rFonts w:ascii="Amiri" w:hAnsi="Amiri" w:eastAsia="Amiri" w:cs="Amiri"/>
          <w:color w:val="111111"/>
          <w:sz w:val="28"/>
          <w:sz w:val="28"/>
          <w:szCs w:val="28"/>
          <w:rtl w:val="true"/>
          <w:lang w:bidi="ar-SA"/>
        </w:rPr>
        <w:t>والمراد به ما دون النفس وإن لم يتعلق بالأطراف المشهورة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وموجبه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بكسر الجيم أي سبه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إتلافُ العضو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في حكمه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بالمتلف غالباً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لم يُقصد الإتلافُ،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بغيره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غيرِ المُتلف غالباً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القصد إلى الإتلاف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كالجناية على النفس</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وشروطه شروط قصاص النفس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التساوي في الإسلام والحريّة أو كونِ المُقْتَصِ منه أخفض، وانتفاء الأبوة، إلى آخِرِ ما فُضِّل سابقاً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يَزِيد هنا على شروط النفس اشتراط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التساوي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تساوي العضوين المُقتَصّ به ومنه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السلامة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عديها، أو كون المقتص منه أخفض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 تُقطع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الصحيحة بالشلاء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الفاسدة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ولوْ بَذَلها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بَذَل اليد الصحيحة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لأنّ بذله لا يُسَوِّغُ قطعَ ما مَنَع الشارع من قطعه كما لو بَذَل قطعها بغير قصاص</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وتُقطع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الشلاءُ بالصحيحة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لأنها دون حق المُستوفي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 إذا خِيفَ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قطعها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السراية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النفس؛ لعدم انحسامها فتثبت الدية حينئذٍ وحيث يُقطع الشلاءُ يُقتصر عليها ولا يُضَمّ إليها أرشُ التفاوت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تُقطع اليمين باليمين لا باليُسرى ولا بالعكس، كما لا تُقطع السبابة بالوُسْطَى ونحوها ولا بالعكس فإن لم تكن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له أي لقاطع اليمين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يمين فاليُسرى، فإن لم تكن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 يُسرى فالرجلُ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اليمنى، فإن فُقِدَت فاليُسرى</w:t>
      </w:r>
    </w:p>
    <w:p>
      <w:pPr>
        <w:sectPr>
          <w:footerReference w:type="default" r:id="rId3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الرواية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التي رواها حبيب السجستاني عن الباقر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Style w:val="FootnoteAnchor"/>
          <w:rtl w:val="true"/>
        </w:rPr>
        <w:footnoteReference w:id="1508"/>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وإنّما أَسنَد الحكم إليها لمخالفته للأصل من حيث عدم المماثلة بين الأطراف خصوصاً بين الرجل واليد، إلا أن الأصحابَ تَلَقَّوها بالقبول، وكثير منهم لم يتوقف في حكمها هنا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ذكرناه من ترتب الرجلين مشهور، والرواية خالية عنه بل مطلقة في قطع الرجل لليد حيث لا يكون للجاني 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الرواية لو قطع أيدي جماعةٍ قطعت يداه ورجلاه للأوّل فالأول ثمّ تُؤخَذ الدية للمتخلف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يتعدى هذا الحكم إلى غير اليدين ممّا له يمين ويسار كالعينين والأُذُنين؛ وقوفاً فيما خالَفَ الأصل على موضع اليقين وهو الأخذ بالمماثل، وكذا ما ينقسم إلى أعلى وأسفل كالجَفْنَين والشَّفَتَين لا يُؤخَذ الأعلى بالأسفل ولا بالعكس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ويثبُت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القصاص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الحارصة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الشجَاج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والباضعةِ والسِمْحاقِ والمُوضحة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وسيأتي</w:t>
      </w:r>
      <w:r>
        <w:rPr>
          <w:rStyle w:val="FootnoteAnchor"/>
          <w:rtl w:val="true"/>
        </w:rPr>
        <w:footnoteReference w:id="1509"/>
      </w:r>
      <w:r>
        <w:rPr>
          <w:rFonts w:ascii="Amiri" w:hAnsi="Amiri" w:eastAsia="Amiri" w:cs="Amiri"/>
          <w:color w:val="111111"/>
          <w:sz w:val="28"/>
          <w:sz w:val="28"/>
          <w:szCs w:val="28"/>
          <w:rtl w:val="true"/>
          <w:lang w:bidi="ar-SA"/>
        </w:rPr>
        <w:t xml:space="preserve">تفسيرُها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ويُراعى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الاستيفاء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العادية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طولاً وعرضاً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فيُستوفى بقدرها في البُعْدَين،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يُعتبر قدرُ النزول مع صدق الاسم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اسمِ الشَجّةِ المخصوصة؛ من حارصةٍ وباضعةٍ وغيرها؛ لتفاوت الأعضاء بالسمن والهزال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عبرة باستلزام مراعاة الطول والعرض استيعاب رأس الجاني، لصغره دون المجني عليه، وبالعكس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لا يُكمل الزائد عنه من القفا ولا من الجَبْهَة؛ لخروجهما عن موضع الاستيفاء، بل يُقتصر على ما يحتمله العضو، ويُؤخَذ للزائد بنسبة المتخلف إلى أصل الجرح من الدية، فيُستوفى بقدر ما يحتمله الرأس من الشجّة، ويُنسب الباقي إلى الجميع، ويُؤخذ للفائت بنسبته؛ فإن كان الباقي ثلثاً فله ثلث دية تلك الشجّة، وهكذا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يثبت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القصاص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فى الهاشمة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للعظم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والمنقلة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في كسر العظام؛ لتحقق التغرير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بنفس المُقتص منه، ولعدم إمكان استيفاء نحو الهاشمة والمنقلة من غير زيادة ولا نقصان</w:t>
      </w:r>
      <w:r>
        <w:rPr>
          <w:rFonts w:eastAsia="Amiri" w:cs="Amiri" w:ascii="Amiri" w:hAnsi="Amiri"/>
          <w:color w:val="111111"/>
          <w:sz w:val="28"/>
          <w:szCs w:val="28"/>
          <w:rtl w:val="true"/>
          <w:lang w:bidi="ar-SA"/>
        </w:rPr>
        <w:t>.</w:t>
      </w:r>
    </w:p>
    <w:p>
      <w:pPr>
        <w:sectPr>
          <w:footerReference w:type="default" r:id="rId3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ويجوز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القصاص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قبل الاندمال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اندمال جناية الجاني؛ لثبوت أصل </w:t>
      </w:r>
    </w:p>
    <w:p>
      <w:pPr>
        <w:pStyle w:val="BookText"/>
        <w:rPr/>
      </w:pPr>
      <w:r>
        <w:rPr>
          <w:rFonts w:ascii="Amiri" w:hAnsi="Amiri" w:eastAsia="Amiri" w:cs="Amiri"/>
          <w:color w:val="111111"/>
          <w:sz w:val="28"/>
          <w:sz w:val="28"/>
          <w:szCs w:val="28"/>
          <w:rtl w:val="true"/>
          <w:lang w:bidi="ar-SA"/>
        </w:rPr>
        <w:t xml:space="preserve">الاستحقاق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وإن كان الصبر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الاندمال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حذراً من السرايةِ الموجبة لتغيّر الحكم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يجوز؛ لجواز السراية الموجبة للدخول </w:t>
      </w:r>
      <w:r>
        <w:rPr>
          <w:rStyle w:val="FootnoteAnchor"/>
          <w:rtl w:val="true"/>
        </w:rPr>
        <w:footnoteReference w:id="151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 قصاص إلّا بالحديد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قَوَد إلا بحديد</w:t>
      </w:r>
      <w:r>
        <w:rPr>
          <w:rFonts w:eastAsia="IRNazanin" w:cs="IRNazanin"/>
          <w:color w:val="111111"/>
          <w:sz w:val="28"/>
          <w:szCs w:val="28"/>
          <w:rtl w:val="true"/>
          <w:lang w:bidi="fa-IR"/>
        </w:rPr>
        <w:t>»</w:t>
      </w:r>
      <w:r>
        <w:rPr>
          <w:rStyle w:val="FootnoteAnchor"/>
          <w:rtl w:val="true"/>
        </w:rPr>
        <w:footnoteReference w:id="151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فيقاس الجُرح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طولاً وعرضاً بخَيطٍ وشبهه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ويُعلَّم طرفاه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موضع الاقتصاص، ثم يُشَقِّ من إحدى العلامتين إلى الأخرى ولا تجوز الزيادة، فإن اتَّفَقَتْ عمداً اقتص من المستوفى أو خطأ فالدية ويُرجع إلى قوله فيهما بيمينه، أو لاضطراب المستوفى منه فلا شيء لاستنادها إلى تفريطه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وينبغي رَبْطُه على خَشَبة ونحوها لئلا يضطرب حالة الاستيفاء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ويُؤخَّر قصاص الطرف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الحرّ والبَرْد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اعتدال النهار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حذراً من السراية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ويثبت القصاص في العين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للآية</w:t>
      </w:r>
      <w:r>
        <w:rPr>
          <w:rStyle w:val="FootnoteAnchor"/>
          <w:rtl w:val="true"/>
        </w:rPr>
        <w:footnoteReference w:id="151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كان الجاني بعين واحدةٍ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والمجنيَّ عليه باثنتين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قُلِعَت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عين الجاني وإنْ استلزم عَمَاه؛ فإنَّ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الحقَّ أعماه</w:t>
      </w:r>
      <w:r>
        <w:rPr>
          <w:rFonts w:eastAsia="Amiri" w:cs="Amiri" w:ascii="Amiri" w:hAnsi="Amiri"/>
          <w:color w:val="111111"/>
          <w:sz w:val="28"/>
          <w:szCs w:val="28"/>
          <w:rtl w:val="true"/>
          <w:lang w:bidi="ar-SA"/>
        </w:rPr>
        <w:t>»</w:t>
      </w:r>
      <w:r>
        <w:rPr>
          <w:rStyle w:val="FootnoteAnchor"/>
          <w:rtl w:val="true"/>
        </w:rPr>
        <w:footnoteReference w:id="1513"/>
      </w:r>
      <w:r>
        <w:rPr>
          <w:rFonts w:ascii="IRNazanin" w:hAnsi="IRNazanin" w:eastAsia="IRNazanin"/>
          <w:color w:val="111111"/>
          <w:sz w:val="28"/>
          <w:sz w:val="28"/>
          <w:szCs w:val="28"/>
          <w:rtl w:val="true"/>
          <w:lang w:bidi="fa-IR"/>
        </w:rPr>
        <w:t>، ولإطلاق قوله تعالى</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وَالْعَيْنَ بِالْعَيْنِ</w:t>
      </w:r>
      <w:r>
        <w:rPr>
          <w:rStyle w:val="FootnoteAnchor"/>
          <w:rtl w:val="true"/>
        </w:rPr>
        <w:footnoteReference w:id="1514"/>
      </w:r>
      <w:r>
        <w:rPr>
          <w:rFonts w:ascii="Amiri" w:hAnsi="Amiri" w:eastAsia="Amiri" w:cs="Amiri"/>
          <w:color w:val="111111"/>
          <w:sz w:val="28"/>
          <w:sz w:val="28"/>
          <w:szCs w:val="28"/>
          <w:rtl w:val="true"/>
          <w:lang w:bidi="ar-SA"/>
        </w:rPr>
        <w:t xml:space="preserve">ولا ردّ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انعكس بأن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قلع عينه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عين ذي العين الواحدة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صحيحُ العينين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فأذهَبَ بصرَه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اقتُصّ له بعين واحدةٍ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لأنّ ذلك هو المماثل للجناية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والقائل ابن الجنيد</w:t>
      </w:r>
      <w:r>
        <w:rPr>
          <w:rStyle w:val="FootnoteAnchor"/>
          <w:rtl w:val="true"/>
        </w:rPr>
        <w:footnoteReference w:id="1515"/>
      </w:r>
      <w:r>
        <w:rPr>
          <w:rFonts w:ascii="Amiri" w:hAnsi="Amiri" w:eastAsia="Amiri" w:cs="Amiri"/>
          <w:color w:val="111111"/>
          <w:sz w:val="28"/>
          <w:sz w:val="28"/>
          <w:szCs w:val="28"/>
          <w:rtl w:val="true"/>
          <w:lang w:bidi="ar-SA"/>
        </w:rPr>
        <w:t>والشيخ</w:t>
      </w:r>
      <w:r>
        <w:rPr>
          <w:rStyle w:val="FootnoteAnchor"/>
          <w:rtl w:val="true"/>
        </w:rPr>
        <w:footnoteReference w:id="1516"/>
      </w:r>
    </w:p>
    <w:p>
      <w:pPr>
        <w:pStyle w:val="BookText"/>
        <w:rPr/>
      </w:pP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251</w:t>
      </w:r>
      <w:r>
        <w:rPr>
          <w:rFonts w:ascii="Amiri" w:hAnsi="Amiri" w:eastAsia="Amiri" w:cs="Amiri"/>
          <w:color w:val="111111"/>
          <w:sz w:val="28"/>
          <w:sz w:val="28"/>
          <w:szCs w:val="28"/>
          <w:rtl w:val="true"/>
          <w:lang w:bidi="ar-SA"/>
        </w:rPr>
        <w:t xml:space="preserve">، المسألة </w:t>
      </w:r>
      <w:r>
        <w:rPr>
          <w:rFonts w:eastAsia="Amiri" w:cs="Amiri" w:ascii="Amiri" w:hAnsi="Amiri"/>
          <w:color w:val="111111"/>
          <w:sz w:val="28"/>
          <w:szCs w:val="28"/>
          <w:lang w:bidi="ar-SA"/>
        </w:rPr>
        <w:t>57</w:t>
      </w:r>
    </w:p>
    <w:p>
      <w:pPr>
        <w:pStyle w:val="BookText"/>
        <w:rPr/>
      </w:pPr>
      <w:r>
        <w:rPr>
          <w:rFonts w:ascii="Amiri" w:hAnsi="Amiri" w:eastAsia="Amiri" w:cs="Amiri"/>
          <w:color w:val="111111"/>
          <w:sz w:val="28"/>
          <w:sz w:val="28"/>
          <w:szCs w:val="28"/>
          <w:rtl w:val="true"/>
          <w:lang w:bidi="ar-SA"/>
        </w:rPr>
        <w:t>في أحد قوليه، وجماعة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8</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3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وله مع القصاص</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على ذي العينين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نصفُ الدية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لأنه أذهَب بصره أجمع وفيه الدية، وقد استوفى ما فيه نصفُ الدية وهو العين الواحدة فيبقى له النصفُ ولرواية محمد بن قيس عن الباقر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قضى 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رجل أعورَ أُصِيبَت عينه الصحيحةُ فَفُقِئَت أن تُفقَاً إحدى عيني صاحبِه ويَعقِلَ له نصف الدية، وإن شاء أَخَذ ديةً كاملةً ويَعفُو عن صاحبه</w:t>
      </w:r>
      <w:r>
        <w:rPr>
          <w:rFonts w:eastAsia="Amiri" w:cs="Amiri" w:ascii="Amiri" w:hAnsi="Amiri"/>
          <w:color w:val="111111"/>
          <w:sz w:val="28"/>
          <w:szCs w:val="28"/>
          <w:rtl w:val="true"/>
          <w:lang w:bidi="ar-SA"/>
        </w:rPr>
        <w:t>»</w:t>
      </w:r>
      <w:r>
        <w:rPr>
          <w:rStyle w:val="FootnoteAnchor"/>
          <w:rtl w:val="true"/>
        </w:rPr>
        <w:footnoteReference w:id="151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ومثلُها رواية عبد الله بن الحكم عن الصادق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Style w:val="FootnoteAnchor"/>
          <w:rtl w:val="true"/>
        </w:rPr>
        <w:footnoteReference w:id="151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ونسبة المصنّف الحكم إلى القيل مُشعرة برده أو توقفه، ومنشأه قوله تعالى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وَالْعَيْنَ بِالْعَيْنِ فلو وجب معها شيء آخَرُ لم يتحقق ذلك خصوصاً على القول بأن الزيادة على النص نسخ</w:t>
      </w:r>
      <w:r>
        <w:rPr>
          <w:rStyle w:val="FootnoteAnchor"/>
          <w:rtl w:val="true"/>
        </w:rPr>
        <w:footnoteReference w:id="1519"/>
      </w:r>
      <w:r>
        <w:rPr>
          <w:rFonts w:ascii="Amiri" w:hAnsi="Amiri" w:eastAsia="Amiri" w:cs="Amiri"/>
          <w:color w:val="111111"/>
          <w:sz w:val="28"/>
          <w:sz w:val="28"/>
          <w:szCs w:val="28"/>
          <w:rtl w:val="true"/>
          <w:lang w:bidi="ar-SA"/>
        </w:rPr>
        <w:t>، وأصالة البراءة من الزائد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وإليه ذهب جماعة من الأصحاب، منهم المحقق في الشرائع</w:t>
      </w:r>
      <w:r>
        <w:rPr>
          <w:rStyle w:val="FootnoteAnchor"/>
          <w:rtl w:val="true"/>
        </w:rPr>
        <w:footnoteReference w:id="1520"/>
      </w:r>
      <w:r>
        <w:rPr>
          <w:rFonts w:ascii="Amiri" w:hAnsi="Amiri" w:eastAsia="Amiri" w:cs="Amiri"/>
          <w:color w:val="111111"/>
          <w:sz w:val="28"/>
          <w:sz w:val="28"/>
          <w:szCs w:val="28"/>
          <w:rtl w:val="true"/>
          <w:lang w:bidi="ar-SA"/>
        </w:rPr>
        <w:t>، والعلّامة في التحرير</w:t>
      </w:r>
      <w:r>
        <w:rPr>
          <w:rStyle w:val="FootnoteAnchor"/>
          <w:rtl w:val="true"/>
        </w:rPr>
        <w:footnoteReference w:id="1521"/>
      </w:r>
      <w:r>
        <w:rPr>
          <w:rFonts w:ascii="Amiri" w:hAnsi="Amiri" w:eastAsia="Amiri" w:cs="Amiri"/>
          <w:color w:val="111111"/>
          <w:sz w:val="28"/>
          <w:sz w:val="28"/>
          <w:szCs w:val="28"/>
          <w:rtl w:val="true"/>
          <w:lang w:bidi="ar-SA"/>
        </w:rPr>
        <w:t xml:space="preserve">مع موافقته في المختلف </w:t>
      </w:r>
      <w:r>
        <w:rPr>
          <w:rStyle w:val="FootnoteAnchor"/>
          <w:rtl w:val="true"/>
        </w:rPr>
        <w:footnoteReference w:id="1522"/>
      </w:r>
      <w:r>
        <w:rPr>
          <w:rFonts w:ascii="Amiri" w:hAnsi="Amiri" w:eastAsia="Amiri" w:cs="Amiri"/>
          <w:color w:val="111111"/>
          <w:sz w:val="28"/>
          <w:sz w:val="28"/>
          <w:szCs w:val="28"/>
          <w:rtl w:val="true"/>
          <w:lang w:bidi="ar-SA"/>
        </w:rPr>
        <w:t>للأول، وتردّده في باقي كتبه</w:t>
      </w:r>
      <w:r>
        <w:rPr>
          <w:rStyle w:val="FootnoteAnchor"/>
          <w:rtl w:val="true"/>
        </w:rPr>
        <w:footnoteReference w:id="1523"/>
      </w:r>
      <w:r>
        <w:rPr>
          <w:rFonts w:ascii="Amiri" w:hAnsi="Amiri" w:eastAsia="Amiri" w:cs="Amiri"/>
          <w:color w:val="111111"/>
          <w:sz w:val="28"/>
          <w:sz w:val="28"/>
          <w:szCs w:val="28"/>
          <w:rtl w:val="true"/>
          <w:lang w:bidi="ar-SA"/>
        </w:rPr>
        <w:t>، وللتوقف وجه وإن كان الأول لا يخلو من قوة، وهو اختيار المصنف في الشرح</w:t>
      </w:r>
      <w:r>
        <w:rPr>
          <w:rStyle w:val="FootnoteAnchor"/>
          <w:rtl w:val="true"/>
        </w:rPr>
        <w:footnoteReference w:id="152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وأُجيب عن الآية بأنّ العينَ مفرد مُحَلّى فلا يَعُمّ، والأصلَ يُعدل عنه للدليل</w:t>
      </w:r>
      <w:r>
        <w:rPr>
          <w:rStyle w:val="FootnoteAnchor"/>
          <w:rtl w:val="true"/>
        </w:rPr>
        <w:footnoteReference w:id="152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وما قيل من أنّ الآيةَ حكاية عن التوراة فلا يلزمنا</w:t>
      </w:r>
      <w:r>
        <w:rPr>
          <w:rStyle w:val="FootnoteAnchor"/>
          <w:rtl w:val="true"/>
        </w:rPr>
        <w:footnoteReference w:id="1526"/>
      </w:r>
      <w:r>
        <w:rPr>
          <w:rFonts w:ascii="Amiri" w:hAnsi="Amiri" w:eastAsia="Amiri" w:cs="Amiri"/>
          <w:color w:val="111111"/>
          <w:sz w:val="28"/>
          <w:sz w:val="28"/>
          <w:szCs w:val="28"/>
          <w:rtl w:val="true"/>
          <w:lang w:bidi="ar-SA"/>
        </w:rPr>
        <w:t>مندفع بإقرارها في شرعنا؛ الرواية زرارة عن أحدهما</w:t>
      </w:r>
    </w:p>
    <w:p>
      <w:pPr>
        <w:sectPr>
          <w:footerReference w:type="default" r:id="rId3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أنها مُحكمة </w:t>
      </w:r>
      <w:r>
        <w:rPr>
          <w:rStyle w:val="FootnoteAnchor"/>
          <w:rtl w:val="true"/>
        </w:rPr>
        <w:footnoteReference w:id="1527"/>
      </w:r>
      <w:r>
        <w:rPr>
          <w:rFonts w:ascii="IRNazanin" w:hAnsi="IRNazanin" w:eastAsia="IRNazanin"/>
          <w:color w:val="111111"/>
          <w:sz w:val="28"/>
          <w:sz w:val="28"/>
          <w:szCs w:val="28"/>
          <w:rtl w:val="true"/>
          <w:lang w:bidi="fa-IR"/>
        </w:rPr>
        <w:t>وبقوله تعالى بعدها</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وَمَن لَّمْ يَحْكُم بِمَا</w:t>
      </w:r>
    </w:p>
    <w:p>
      <w:pPr>
        <w:pStyle w:val="BookText"/>
        <w:rPr/>
      </w:pPr>
      <w:r>
        <w:rPr>
          <w:rFonts w:ascii="Amiri" w:hAnsi="Amiri" w:eastAsia="Amiri" w:cs="Amiri"/>
          <w:color w:val="111111"/>
          <w:sz w:val="28"/>
          <w:sz w:val="28"/>
          <w:szCs w:val="28"/>
          <w:rtl w:val="true"/>
          <w:lang w:bidi="ar-SA"/>
        </w:rPr>
        <w:t>أَنزَلَ اللَّهُ فَأُوْلَبِكَ هُمُ الظَّلِمُونَ</w:t>
      </w:r>
      <w:r>
        <w:rPr>
          <w:rStyle w:val="FootnoteAnchor"/>
          <w:rtl w:val="true"/>
        </w:rPr>
        <w:footnoteReference w:id="1528"/>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للعموم، والظلم حرام فتركه واجب، وهو لا يتم إلا بالحكم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ينقدِح الشكُ في الثاني باحتمال كونه معطوفاً على اسم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يدلّ على بقائه عندنا لولا النصّ على كونها محكمةً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ولو ذهب ضَوْءُ العين مع سلامة الحدقة، قيل</w:t>
      </w:r>
      <w:r>
        <w:rPr>
          <w:rFonts w:eastAsia="Amiri" w:cs="Amiri" w:ascii="Amiri" w:hAnsi="Amiri"/>
          <w:color w:val="111111"/>
          <w:sz w:val="28"/>
          <w:szCs w:val="28"/>
          <w:rtl w:val="true"/>
          <w:lang w:bidi="ar-SA"/>
        </w:rPr>
        <w:t xml:space="preserve">) </w:t>
      </w:r>
      <w:r>
        <w:rPr>
          <w:rStyle w:val="FootnoteAnchor"/>
          <w:rtl w:val="true"/>
        </w:rPr>
        <w:footnoteReference w:id="1529"/>
      </w:r>
    </w:p>
    <w:p>
      <w:pPr>
        <w:pStyle w:val="BookText"/>
        <w:rPr/>
      </w:pPr>
      <w:r>
        <w:rPr>
          <w:rFonts w:eastAsia="Amiri" w:cs="Amiri" w:ascii="Amiri" w:hAnsi="Amiri"/>
          <w:color w:val="111111"/>
          <w:sz w:val="28"/>
          <w:szCs w:val="28"/>
          <w:lang w:bidi="ar-SA"/>
        </w:rPr>
        <w:t>7151</w:t>
      </w:r>
      <w:r>
        <w:rPr>
          <w:rFonts w:ascii="Amiri" w:hAnsi="Amiri" w:eastAsia="Amiri" w:cs="Amiri"/>
          <w:color w:val="111111"/>
          <w:sz w:val="28"/>
          <w:sz w:val="28"/>
          <w:szCs w:val="28"/>
          <w:rtl w:val="true"/>
          <w:lang w:bidi="ar-SA"/>
        </w:rPr>
        <w:t xml:space="preserve">؛ وتلخيص المرام، ص </w:t>
      </w:r>
      <w:r>
        <w:rPr>
          <w:rFonts w:eastAsia="Amiri" w:cs="Amiri" w:ascii="Amiri" w:hAnsi="Amiri"/>
          <w:color w:val="111111"/>
          <w:sz w:val="28"/>
          <w:szCs w:val="28"/>
          <w:lang w:bidi="ar-SA"/>
        </w:rPr>
        <w:t>346</w:t>
      </w:r>
    </w:p>
    <w:p>
      <w:pPr>
        <w:pStyle w:val="BookText"/>
        <w:rPr/>
      </w:pPr>
      <w:r>
        <w:rPr>
          <w:rFonts w:ascii="Amiri" w:hAnsi="Amiri" w:eastAsia="Amiri" w:cs="Amiri"/>
          <w:color w:val="111111"/>
          <w:sz w:val="28"/>
          <w:sz w:val="28"/>
          <w:szCs w:val="28"/>
          <w:rtl w:val="true"/>
          <w:lang w:bidi="ar-SA"/>
        </w:rPr>
        <w:t>في طريق الاقتصاص منه بإذهاب بصرها مع بقاء حدقته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طرح على الأجفان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أجفان الجاني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قُطن مبلول ويُقابل بمرآةٍ مُحماةٍ مواجهة الشمس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يفتح عينه ويُكلف النظر إليها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حتى يذهب الضوء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عينه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وتبقى الحدقةُ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والقول باستيفائه على هذا الوجه هو المشهور بينالأصحاب ومستنده رواية رفاعةً عن أبي عبد الله أن علياً فعل ذلك فيمن لطم عين غيره فأنزل فيها الماء وأذهَب بصرها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وإنما حكاه قولاً للتنبيه على عدم دليل يفيد انحصار الاستيفاء فيه، بل يجوز بما يُحصل الغرض من إذهاب البصر وإبقاء الحدقة بأي وجهِ اتَّفق مع أنّ في طريق الرواية ضعفاً وجهالةً يمنع من تعين ما دلّت عليه وإن كان جائزاً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ويثبُت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القصاص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الشعر إن أمكن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الاستيفاء المماثل للجناية؛ بأن يُستوفى ما يَنبُت على وجه يَنبُت وما لا ينبت كذلك على وجه لا يتعدى إلى فساد البشرة ولا الشعرِ زيادةً عن الجناية، وهذا أمر بعيد، ومن ثَمَّ مَنَعَه جماعةٌ </w:t>
      </w:r>
      <w:r>
        <w:rPr>
          <w:rStyle w:val="FootnoteAnchor"/>
          <w:rtl w:val="true"/>
        </w:rPr>
        <w:footnoteReference w:id="1530"/>
      </w:r>
      <w:r>
        <w:rPr>
          <w:rFonts w:ascii="Amiri" w:hAnsi="Amiri" w:eastAsia="Amiri" w:cs="Amiri"/>
          <w:color w:val="111111"/>
          <w:sz w:val="28"/>
          <w:sz w:val="28"/>
          <w:szCs w:val="28"/>
          <w:rtl w:val="true"/>
          <w:lang w:bidi="ar-SA"/>
        </w:rPr>
        <w:t>، وتَوَقَّف آخَرون</w:t>
      </w:r>
      <w:r>
        <w:rPr>
          <w:rStyle w:val="FootnoteAnchor"/>
          <w:rtl w:val="true"/>
        </w:rPr>
        <w:footnoteReference w:id="1531"/>
      </w:r>
      <w:r>
        <w:rPr>
          <w:rFonts w:ascii="Amiri" w:hAnsi="Amiri" w:eastAsia="Amiri" w:cs="Amiri"/>
          <w:color w:val="111111"/>
          <w:sz w:val="28"/>
          <w:sz w:val="28"/>
          <w:szCs w:val="28"/>
          <w:rtl w:val="true"/>
          <w:lang w:bidi="ar-SA"/>
        </w:rPr>
        <w:t>، منهم العلامة في القواعد</w:t>
      </w:r>
      <w:r>
        <w:rPr>
          <w:rStyle w:val="FootnoteAnchor"/>
          <w:rtl w:val="true"/>
        </w:rPr>
        <w:footnoteReference w:id="1532"/>
      </w:r>
      <w:r>
        <w:rPr>
          <w:rFonts w:eastAsia="Times New Roman" w:cs="Times New Roman" w:ascii="Times New Roman" w:hAnsi="Times New Roman"/>
          <w:color w:val="111111"/>
          <w:sz w:val="28"/>
          <w:szCs w:val="28"/>
          <w:rtl w:val="true"/>
          <w:lang w:val="en-US" w:bidi="en-US"/>
        </w:rPr>
        <w:t>.</w:t>
      </w:r>
    </w:p>
    <w:p>
      <w:pPr>
        <w:sectPr>
          <w:footerReference w:type="default" r:id="rId3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ويُقطَع ذَكَرُ الشاب بذكر الشيخ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ذَكَرُ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المختون بالأغلف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والفَحْلُ بمسلول </w:t>
      </w:r>
    </w:p>
    <w:p>
      <w:pPr>
        <w:pStyle w:val="BookText"/>
        <w:rPr/>
      </w:pPr>
      <w:r>
        <w:rPr>
          <w:rFonts w:ascii="Amiri" w:hAnsi="Amiri" w:eastAsia="Amiri" w:cs="Amiri"/>
          <w:color w:val="111111"/>
          <w:sz w:val="28"/>
          <w:sz w:val="28"/>
          <w:szCs w:val="28"/>
          <w:rtl w:val="true"/>
          <w:lang w:bidi="ar-SA"/>
        </w:rPr>
        <w:t>الخُصْيَتَين؛ لثبوتِ أصل المماثلة، وعدم اعتبار زيادة المنفعة ونقصانها، كما تُقطع 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 القوي بيد الضعيف وعين الصحيح بالأعشى، ولسانُ الفصيح بغيره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لا يُقطع الصحيح بالعِنّين، ويثبت في العكس</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وفي الخُصْيَتَين وفي إحداهما القصاص إن لم يُخف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بقطع الواحدة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ذَهابُ منفعة الأخرى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خِيفَ فالديه ولا فرق في جواز الاقتصاص فيهما بين كون الذكر صحيحاً وعدمه؛ لثبوت أصل المماثلة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تُقطع الأُذُنُ الصحيحةُ بالصَّمّاء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لأنّ السمع منفعة أُخرى خارجة عن نفس الأُذُن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فليس الأمر كالذكر الصحيح والعِنّينِ، حتّى لو قطع أذنه فأزال سمعه فهما جنايتان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لا تُؤخَذ الصحيحة بالمخرومة، بل يُقتَص إلى حدّ الخَرْم ويؤخذ حكومة الباقي، أما الثقب فليس بمانع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والأَنْفُ الشام بالأخْشَم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بالمعجمتين، وهو الذي لا يسم؛ لأن منفعة الشمّ خارجة عن الأنف، والخَلَلَ حينئذ في الدماغ لا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وكذا يستوي الأقنى والأفطس والكبير والصغيرُ</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وأَحَدُ المَنْخَرَين بصاحبه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المماثل له في اليمين واليسار، كما يُعتبر ذلك في نحوهما من الأُذُنين واليدين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وكما يثبت في جميعه فكذا في بعضه، لكن يُنسب المقطوع إلى أصله ويُؤخذ من الجاني بحسابه؛ لئلا يُستَوعَبَ بالبعض أَنْفُ الصغير، فالنصفُ بالنصف والثلث بالثلث، وهكذا</w:t>
      </w:r>
      <w:r>
        <w:rPr>
          <w:rFonts w:eastAsia="Amiri" w:cs="Amiri" w:ascii="Amiri" w:hAnsi="Amiri"/>
          <w:color w:val="111111"/>
          <w:sz w:val="28"/>
          <w:szCs w:val="28"/>
          <w:rtl w:val="true"/>
          <w:lang w:bidi="ar-SA"/>
        </w:rPr>
        <w:t>.</w:t>
      </w:r>
    </w:p>
    <w:p>
      <w:pPr>
        <w:sectPr>
          <w:footerReference w:type="default" r:id="rId3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وتُقلَع السن بالسن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المماثلة كالثنية بالثنية والرباعية بها والضرس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وإنما يُقتَص إذا لم تَعُد المَجْنيُّ عليها أو يَقْضِ أهلُ الخُبرة بعودها،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ولو عادت السن فلا قصاص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أنه لو قُضي بعودها أُخر إلى أن تمضي مدة القضاء، فإن لم تَعُدْ اقتص وإنْ عادت بعده لأنها حينئذٍ هبة جديدة، وعلى هذا فيُقتَصٌ وإن عادت على هذا الوجه؛ لأنها ليست بدلاً عادةً، بخلاف ما تقضي العادة بعودها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انعكس الفرضُ بأن عادت س الجاني بخلاف العادة لم يكن للمجنى عليه إزالتها؛ لما ذُكِر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 عادت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السنُ </w:t>
      </w:r>
    </w:p>
    <w:p>
      <w:pPr>
        <w:pStyle w:val="BookText"/>
        <w:rPr/>
      </w:pPr>
      <w:r>
        <w:rPr>
          <w:rFonts w:ascii="Amiri" w:hAnsi="Amiri" w:eastAsia="Amiri" w:cs="Amiri"/>
          <w:color w:val="111111"/>
          <w:sz w:val="28"/>
          <w:sz w:val="28"/>
          <w:szCs w:val="28"/>
          <w:rtl w:val="true"/>
          <w:lang w:bidi="ar-SA"/>
        </w:rPr>
        <w:t xml:space="preserve">المقضي بعودها عادةً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متغيّرةً فالحكومة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الأرش؛ لتفاوت ما بينها صحيحةً ومتغيرة كما هي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ويُنتظر بسنّ الصبي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لم تسقط سنه ويَنْبُت بدلُها؛ لقضاء العادة بعودها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لم تعد على خلاف العادة ففيها القصاص، وإلّا فالحكومة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أرش ما بين كونه فاقد السنّ زَمَن ذَهابها و واجدها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عادت متغيّرةً أو مائلةً فعليه الحكومة الأولى ونقصُ الثانية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ولو مات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قبل اليأس من عودها فالأرشُ</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تُقلع سن بضرس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ولا تَنيَّةٌ برباعية ولا بناب،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بالعكس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وكذا يُعتبر العِلْوُ والسَّفْلُ واليمين واليسار وغيرها من الاعتبارات المماثلة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أصلية بزائدة ولا زائدة بزائدة مع تغاير المحلّ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بل الحكومة فيهما، ولو اتحد المحلُّ قُلِعَتْ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وكل عضو وجب القصاص فيه لو فُقد انتقل إلى الدية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لأنها قيمة العضو حيث لا يمكن استيفاؤه</w:t>
      </w:r>
      <w:r>
        <w:rPr>
          <w:rFonts w:eastAsia="Amiri" w:cs="Amiri" w:ascii="Amiri" w:hAnsi="Amiri"/>
          <w:color w:val="111111"/>
          <w:sz w:val="28"/>
          <w:szCs w:val="28"/>
          <w:rtl w:val="true"/>
          <w:lang w:bidi="ar-SA"/>
        </w:rPr>
        <w:t>.</w:t>
      </w:r>
    </w:p>
    <w:p>
      <w:pPr>
        <w:sectPr>
          <w:footerReference w:type="default" r:id="rId3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ولو قطع إصبع رجلٍ ويدَ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مناسِبةً لذات الإصبع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اقتص لصاحب الإصبع إن سَبَق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الجناية لسبْقِ استحقاقه إصبع الجاني، قبل تعلّق حق الثاني باليدِ المشتملة عليها،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يُستوفى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الصاحب اليد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الباقي من اليد ويُؤخَذ دية الإصبع؛ لعدم استيفاء تمام حقه فيدخُل فيما تقدّم من القاعدة؛ لوجوب الدية لكل عضو مفقود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ولو بدأ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بقطع اليد قطعت يده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للجناية الأولى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وألزمه الثاني دية إصبع لفوات محلّ القصاص </w:t>
      </w:r>
      <w:r>
        <w:rPr>
          <w:rFonts w:eastAsia="Amiri" w:cs="Amiri" w:ascii="Amiri" w:hAnsi="Amiri"/>
          <w:color w:val="111111"/>
          <w:sz w:val="28"/>
          <w:szCs w:val="28"/>
          <w:rtl w:val="true"/>
          <w:lang w:bidi="ar-SA"/>
        </w:rPr>
        <w:t xml:space="preserve">). </w:t>
      </w:r>
      <w:bookmarkStart w:id="166" w:name="pg11049_88680"/>
    </w:p>
    <w:p>
      <w:pPr>
        <w:pStyle w:val="Heading3"/>
        <w:numPr>
          <w:ilvl w:val="2"/>
          <w:numId w:val="1"/>
        </w:numPr>
        <w:rPr/>
      </w:pPr>
      <w:bookmarkStart w:id="167" w:name="__RefHeading___Toc1446175_1067777946"/>
      <w:bookmarkStart w:id="168" w:name="_Toc51"/>
      <w:bookmarkEnd w:id="166"/>
      <w:bookmarkEnd w:id="167"/>
      <w:r>
        <w:rPr>
          <w:rtl w:val="true"/>
        </w:rPr>
        <w:t>الفصل الثالث في اللواحق</w:t>
      </w:r>
      <w:bookmarkEnd w:id="16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الواجب في قتل العمد القصاص، لا أحد الأمرين من الدية والقصاص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زعمه بعض العامة </w:t>
      </w:r>
      <w:r>
        <w:rPr>
          <w:rStyle w:val="FootnoteAnchor"/>
          <w:rtl w:val="true"/>
        </w:rPr>
        <w:footnoteReference w:id="1533"/>
      </w:r>
      <w:r>
        <w:rPr>
          <w:rFonts w:ascii="IRNazanin" w:hAnsi="IRNazanin" w:eastAsia="IRNazanin"/>
          <w:color w:val="111111"/>
          <w:sz w:val="28"/>
          <w:sz w:val="28"/>
          <w:szCs w:val="28"/>
          <w:rtl w:val="true"/>
          <w:lang w:bidi="fa-IR"/>
        </w:rPr>
        <w:t xml:space="preserve">لقوله تعالى </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النَّفْسَ بِالنَّفْسِ</w:t>
      </w:r>
      <w:r>
        <w:rPr>
          <w:rStyle w:val="FootnoteAnchor"/>
          <w:rtl w:val="true"/>
        </w:rPr>
        <w:footnoteReference w:id="1534"/>
      </w:r>
      <w:r>
        <w:rPr>
          <w:rFonts w:ascii="IRNazanin" w:hAnsi="IRNazanin" w:eastAsia="IRNazanin"/>
          <w:color w:val="111111"/>
          <w:sz w:val="28"/>
          <w:sz w:val="28"/>
          <w:szCs w:val="28"/>
          <w:rtl w:val="true"/>
          <w:lang w:bidi="fa-IR"/>
        </w:rPr>
        <w:t xml:space="preserve">وقوله </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كُتِبَ عَلَيْكُمُ الْقِصَاصُ فِي الْقَتْلَى الْحُرُّ بِالْحُرِّ</w:t>
      </w:r>
      <w:r>
        <w:rPr>
          <w:rStyle w:val="FootnoteAnchor"/>
          <w:rtl w:val="true"/>
        </w:rPr>
        <w:footnoteReference w:id="1535"/>
      </w:r>
      <w:r>
        <w:rPr>
          <w:rFonts w:ascii="Amiri" w:hAnsi="Amiri" w:eastAsia="Amiri" w:cs="Amiri"/>
          <w:color w:val="111111"/>
          <w:sz w:val="28"/>
          <w:sz w:val="28"/>
          <w:szCs w:val="28"/>
          <w:rtl w:val="true"/>
          <w:lang w:bidi="ar-SA"/>
        </w:rPr>
        <w:t xml:space="preserve">الآية وصحيحة الحلبي وعبد الله بن سنان عن الصادق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قَتَل مؤمناً متعمّداً قِيدَ به إلّا أن يَرضَى أولياء المقتول أن يقبلوا الدية، فإن رَضُوا بالدية وأحَبَّ ذلك القاتلُ فالدية</w:t>
      </w:r>
      <w:r>
        <w:rPr>
          <w:rFonts w:eastAsia="Amiri" w:cs="Amiri" w:ascii="Amiri" w:hAnsi="Amiri"/>
          <w:color w:val="111111"/>
          <w:sz w:val="28"/>
          <w:szCs w:val="28"/>
          <w:rtl w:val="true"/>
          <w:lang w:bidi="ar-SA"/>
        </w:rPr>
        <w:t>»</w:t>
      </w:r>
      <w:r>
        <w:rPr>
          <w:rStyle w:val="FootnoteAnchor"/>
          <w:rtl w:val="true"/>
        </w:rPr>
        <w:footnoteReference w:id="1536"/>
      </w:r>
      <w:r>
        <w:rPr>
          <w:rFonts w:ascii="IRNazanin" w:hAnsi="IRNazanin" w:eastAsia="IRNazanin"/>
          <w:color w:val="111111"/>
          <w:sz w:val="28"/>
          <w:sz w:val="28"/>
          <w:szCs w:val="28"/>
          <w:rtl w:val="true"/>
          <w:lang w:bidi="fa-IR"/>
        </w:rPr>
        <w:t>، إلى آخره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 لو اصطلحا على الدية جاز</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للخبر</w:t>
      </w:r>
      <w:r>
        <w:rPr>
          <w:rStyle w:val="FootnoteAnchor"/>
          <w:rtl w:val="true"/>
        </w:rPr>
        <w:footnoteReference w:id="1537"/>
      </w:r>
      <w:r>
        <w:rPr>
          <w:rFonts w:ascii="Amiri" w:hAnsi="Amiri" w:eastAsia="Amiri" w:cs="Amiri"/>
          <w:color w:val="111111"/>
          <w:sz w:val="28"/>
          <w:sz w:val="28"/>
          <w:szCs w:val="28"/>
          <w:rtl w:val="true"/>
          <w:lang w:bidi="ar-SA"/>
        </w:rPr>
        <w:t>، ولأنّ القصاص حقٌّ فيجوز الصلحُ على إسقاطه بمال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وتجوز الزيادة عنها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عن الدية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والنقيصة مع التراضي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تراضي الجاني والولى لأن الصلح إليهما فلا يُتَقَدَّر إلا برضاهما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وفي وجوبها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الدية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الجاني بطلب الوليّ وجه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قول لابن الجنيد</w:t>
      </w:r>
      <w:r>
        <w:rPr>
          <w:rStyle w:val="FootnoteAnchor"/>
          <w:rtl w:val="true"/>
        </w:rPr>
        <w:footnoteReference w:id="153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لوجوب حفظ نفسه الموقوفِ على بذل الدية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فيجب مع القدرة؛ ولرواية الفضيل عن الصادق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والعمد هو القودُ أو رضى ولى المقتول</w:t>
      </w:r>
      <w:r>
        <w:rPr>
          <w:rFonts w:eastAsia="Amiri" w:cs="Amiri" w:ascii="Amiri" w:hAnsi="Amiri"/>
          <w:color w:val="111111"/>
          <w:sz w:val="28"/>
          <w:szCs w:val="28"/>
          <w:rtl w:val="true"/>
          <w:lang w:bidi="ar-SA"/>
        </w:rPr>
        <w:t>»</w:t>
      </w:r>
      <w:r>
        <w:rPr>
          <w:rStyle w:val="FootnoteAnchor"/>
          <w:rtl w:val="true"/>
        </w:rPr>
        <w:footnoteReference w:id="153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بأس به، وعلى التعليل لا يُتَقَدَّر بالدية بل لو طلب منه أزيدَ وتَمَكَّن منه وجب</w:t>
      </w:r>
      <w:r>
        <w:rPr>
          <w:rFonts w:eastAsia="Amiri" w:cs="Amiri" w:ascii="Amiri" w:hAnsi="Amiri"/>
          <w:color w:val="111111"/>
          <w:sz w:val="28"/>
          <w:szCs w:val="28"/>
          <w:rtl w:val="true"/>
          <w:lang w:bidi="ar-SA"/>
        </w:rPr>
        <w:t>.</w:t>
      </w:r>
    </w:p>
    <w:p>
      <w:pPr>
        <w:sectPr>
          <w:footerReference w:type="default" r:id="rId3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ولو جَنّى على الطَّرَف ومات واشتبه استناد الموت إلى الجناية فلا قصاص في </w:t>
      </w:r>
    </w:p>
    <w:p>
      <w:pPr>
        <w:pStyle w:val="BookText"/>
        <w:rPr/>
      </w:pPr>
      <w:r>
        <w:rPr>
          <w:rFonts w:ascii="Amiri" w:hAnsi="Amiri" w:eastAsia="Amiri" w:cs="Amiri"/>
          <w:color w:val="111111"/>
          <w:sz w:val="28"/>
          <w:sz w:val="28"/>
          <w:szCs w:val="28"/>
          <w:rtl w:val="true"/>
          <w:lang w:bidi="ar-SA"/>
        </w:rPr>
        <w:t>النفس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للشكّ في سببه بل في الطرف خاصة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ويُستحبّ إحضار شاهدين عند الاستيفاء احتياطاً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إيقاعه على الوجه المعتبر،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وللمنع من حصول الاختلاف في الاستيفاء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فيُنكره الوليُّ فيُدفَع بالبينة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وتُعتبر الآله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تُختبر بوجه يظهر حالها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حذراً 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يكون قد وضَع المستوفي فيها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السم، وخصوصاً في الطرف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لأنّ البقاء معه مطلوب والسم ينافيه غالباً،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فلو حصل منها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من الآلة المقتص بها في الطرف</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جناية بالسمّ ضَمِن المقتصُّ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عَلِمَ به، ولو كان القصاص في النفس أساءَ واستوفى ولا شيء عليه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يقتص إلّا بالسيف فيُضرَب العنق لا غير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 الجاني أبانه، وإلا ففي جوازه نظر من صدقِ استيفاء النفس بالنفس، وزيادة الاستيفاء، وبقاء حرمة الآدمي بعد موته واستقرب في القواعد المنع</w:t>
      </w:r>
      <w:r>
        <w:rPr>
          <w:rStyle w:val="FootnoteAnchor"/>
          <w:rtl w:val="true"/>
        </w:rPr>
        <w:footnoteReference w:id="154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يجوز التمثيل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بالجاني بأن يُقطع بعض أعضائه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ولؤ كانت جنايته تمثيلاً، أو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وَقَعَتْ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بالتغريق والتحريق والمُثْقِل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بل يُستوفى في جميع ذلك بالسيف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ابن الجنيد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يجوز قتله بمثل القتلة التي قتل بها </w:t>
      </w:r>
      <w:r>
        <w:rPr>
          <w:rStyle w:val="FootnoteAnchor"/>
          <w:rtl w:val="true"/>
        </w:rPr>
        <w:footnoteReference w:id="1541"/>
      </w:r>
      <w:r>
        <w:rPr>
          <w:rFonts w:ascii="IRNazanin" w:hAnsi="IRNazanin" w:eastAsia="IRNazanin"/>
          <w:color w:val="111111"/>
          <w:sz w:val="28"/>
          <w:sz w:val="28"/>
          <w:szCs w:val="28"/>
          <w:rtl w:val="true"/>
          <w:lang w:bidi="fa-IR"/>
        </w:rPr>
        <w:t xml:space="preserve">لقوله تعالى </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بِمِثْلِ مَا أعْتَدَى عَلَيْكُمْ</w:t>
      </w:r>
      <w:r>
        <w:rPr>
          <w:rStyle w:val="FootnoteAnchor"/>
          <w:rtl w:val="true"/>
        </w:rPr>
        <w:footnoteReference w:id="1542"/>
      </w:r>
      <w:r>
        <w:rPr>
          <w:rFonts w:ascii="IRNazanin" w:hAnsi="IRNazanin" w:eastAsia="IRNazanin"/>
          <w:color w:val="111111"/>
          <w:sz w:val="28"/>
          <w:sz w:val="28"/>
          <w:szCs w:val="28"/>
          <w:rtl w:val="true"/>
          <w:lang w:bidi="fa-IR"/>
        </w:rPr>
        <w:t>وهو متجه لولا الاتفاق على خلافه</w:t>
      </w:r>
      <w:r>
        <w:rPr>
          <w:rFonts w:eastAsia="IRNazanin" w:cs="IRNazanin"/>
          <w:color w:val="111111"/>
          <w:sz w:val="28"/>
          <w:szCs w:val="28"/>
          <w:rtl w:val="true"/>
          <w:lang w:bidi="fa-IR"/>
        </w:rPr>
        <w:t>.</w:t>
      </w:r>
    </w:p>
    <w:p>
      <w:pPr>
        <w:sectPr>
          <w:footerReference w:type="default" r:id="rId3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 قد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والقائل الشيخ فى النهاية</w:t>
      </w:r>
      <w:r>
        <w:rPr>
          <w:rStyle w:val="FootnoteAnchor"/>
          <w:rtl w:val="true"/>
        </w:rPr>
        <w:footnoteReference w:id="1543"/>
      </w:r>
      <w:r>
        <w:rPr>
          <w:rFonts w:ascii="Amiri" w:hAnsi="Amiri" w:eastAsia="Amiri" w:cs="Amiri"/>
          <w:color w:val="111111"/>
          <w:sz w:val="28"/>
          <w:sz w:val="28"/>
          <w:szCs w:val="28"/>
          <w:rtl w:val="true"/>
          <w:lang w:bidi="ar-SA"/>
        </w:rPr>
        <w:t>، وأكثر المتأخرين</w:t>
      </w:r>
      <w:r>
        <w:rPr>
          <w:rStyle w:val="FootnoteAnchor"/>
          <w:rtl w:val="true"/>
        </w:rPr>
        <w:footnoteReference w:id="154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مع جمع الجاني بين التمثيل بقطع شيء من أعضائه وقتله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يَقتَص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الوليُّ منه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الطرف ثمّ يقتص في النفس إن كان الجاني فَعَلَ ذلك بضرباتٍ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متعدّدةٍ؛ لأنّ ذلك بمنزلة جناياتٍ متعدّدة، وقد وجب القصاصُ بالجناية الأولى فيُستصحب، ولرواية محمد بن قيس عن </w:t>
      </w:r>
    </w:p>
    <w:p>
      <w:pPr>
        <w:pStyle w:val="BookText"/>
        <w:rPr/>
      </w:pP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Style w:val="FootnoteAnchor"/>
          <w:rtl w:val="true"/>
        </w:rPr>
        <w:footnoteReference w:id="154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فَعَل ذلك بضربة واحدة لم يكن عليه أكثر من القتل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يدخُل قصاص الطرف في قصاص النفس مطلقاً ذهب إليه الشيخ في المبسوط</w:t>
      </w:r>
      <w:r>
        <w:rPr>
          <w:rStyle w:val="FootnoteAnchor"/>
          <w:rtl w:val="true"/>
        </w:rPr>
        <w:footnoteReference w:id="1546"/>
      </w:r>
      <w:r>
        <w:rPr>
          <w:rFonts w:ascii="IRNazanin" w:hAnsi="IRNazanin" w:eastAsia="IRNazanin"/>
          <w:color w:val="111111"/>
          <w:sz w:val="28"/>
          <w:sz w:val="28"/>
          <w:szCs w:val="28"/>
          <w:rtl w:val="true"/>
          <w:lang w:bidi="fa-IR"/>
        </w:rPr>
        <w:t>والخلاف</w:t>
      </w:r>
      <w:r>
        <w:rPr>
          <w:rStyle w:val="FootnoteAnchor"/>
          <w:rtl w:val="true"/>
        </w:rPr>
        <w:footnoteReference w:id="1547"/>
      </w:r>
      <w:r>
        <w:rPr>
          <w:rFonts w:ascii="Amiri" w:hAnsi="Amiri" w:eastAsia="Amiri" w:cs="Amiri"/>
          <w:color w:val="111111"/>
          <w:sz w:val="28"/>
          <w:sz w:val="28"/>
          <w:szCs w:val="28"/>
          <w:rtl w:val="true"/>
          <w:lang w:bidi="ar-SA"/>
        </w:rPr>
        <w:t>ورواه أبو عبد الله عن الباقر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Style w:val="FootnoteAnchor"/>
          <w:rtl w:val="true"/>
        </w:rPr>
        <w:footnoteReference w:id="1548"/>
      </w:r>
      <w:r>
        <w:rPr>
          <w:rFonts w:ascii="IRNazanin" w:hAnsi="IRNazanin" w:eastAsia="IRNazanin"/>
          <w:color w:val="111111"/>
          <w:sz w:val="28"/>
          <w:sz w:val="28"/>
          <w:szCs w:val="28"/>
          <w:rtl w:val="true"/>
          <w:lang w:bidi="fa-IR"/>
        </w:rPr>
        <w:t>، والأقرب الأول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يُقتَصّ بالآلة الكالّة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التى لا تقطع، أو لا تقتل إلا بمبالغة كثيرة؛ لئلا يَتَعَذَّبَ المقتص منه سواءٌ في ذلك النفس والطرفُ،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فيَأْثَمُ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المقتص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شيء عليه سواه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يضمن المقتصُّ سراية القصاص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لأنه فعل سائغ فلا يَتَعَقَّبه ضمان؛ ولقول الصادق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حسنة الحلبي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أيما رجل قَتَلَه الحد والقصاص فلا دية له</w:t>
      </w:r>
      <w:r>
        <w:rPr>
          <w:rFonts w:eastAsia="Amiri" w:cs="Amiri" w:ascii="Amiri" w:hAnsi="Amiri"/>
          <w:color w:val="111111"/>
          <w:sz w:val="28"/>
          <w:szCs w:val="28"/>
          <w:rtl w:val="true"/>
          <w:lang w:bidi="ar-SA"/>
        </w:rPr>
        <w:t>»</w:t>
      </w:r>
      <w:r>
        <w:rPr>
          <w:rStyle w:val="FootnoteAnchor"/>
          <w:rtl w:val="true"/>
        </w:rPr>
        <w:footnoteReference w:id="1549"/>
      </w:r>
      <w:r>
        <w:rPr>
          <w:rFonts w:ascii="Amiri" w:hAnsi="Amiri" w:eastAsia="Amiri" w:cs="Amiri"/>
          <w:color w:val="111111"/>
          <w:sz w:val="28"/>
          <w:sz w:val="28"/>
          <w:szCs w:val="28"/>
          <w:rtl w:val="true"/>
          <w:lang w:bidi="ar-SA"/>
        </w:rPr>
        <w:t>وغيرها</w:t>
      </w:r>
      <w:r>
        <w:rPr>
          <w:rStyle w:val="FootnoteAnchor"/>
          <w:rtl w:val="true"/>
        </w:rPr>
        <w:footnoteReference w:id="1550"/>
      </w: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ديته في بيت المال</w:t>
      </w:r>
      <w:r>
        <w:rPr>
          <w:rStyle w:val="FootnoteAnchor"/>
          <w:rtl w:val="true"/>
        </w:rPr>
        <w:footnoteReference w:id="1551"/>
      </w:r>
      <w:r>
        <w:rPr>
          <w:rFonts w:ascii="IRNazanin" w:hAnsi="IRNazanin" w:eastAsia="IRNazanin"/>
          <w:color w:val="111111"/>
          <w:sz w:val="28"/>
          <w:sz w:val="28"/>
          <w:szCs w:val="28"/>
          <w:rtl w:val="true"/>
          <w:lang w:bidi="fa-IR"/>
        </w:rPr>
        <w:t>استناداً إلى خبر</w:t>
      </w:r>
      <w:r>
        <w:rPr>
          <w:rStyle w:val="FootnoteAnchor"/>
          <w:rtl w:val="true"/>
        </w:rPr>
        <w:footnoteReference w:id="1552"/>
      </w:r>
      <w:r>
        <w:rPr>
          <w:rFonts w:ascii="Amiri" w:hAnsi="Amiri" w:eastAsia="Amiri" w:cs="Amiri"/>
          <w:color w:val="111111"/>
          <w:sz w:val="28"/>
          <w:sz w:val="28"/>
          <w:szCs w:val="28"/>
          <w:rtl w:val="true"/>
          <w:lang w:bidi="ar-SA"/>
        </w:rPr>
        <w:t>ضعيف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لم يَتَعَدَّ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حقَّه فيَضمَن حينئذٍ الزائد قصاصاً أو ديةً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وأُجرة المقتص من بيت المال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لأنه من جملة المصالح،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فقد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بيت المال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كان هناك ما هو أهم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كسدٌ تَغْرٍ ودفع عدةٍ، ولم يَسَعُ لهما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فعلى الجاني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لأن الحق لازم له فيكون مؤونته عليه،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المجني عليه </w:t>
      </w:r>
      <w:r>
        <w:rPr>
          <w:rStyle w:val="FootnoteAnchor"/>
          <w:rtl w:val="true"/>
        </w:rPr>
        <w:footnoteReference w:id="1553"/>
      </w:r>
      <w:r>
        <w:rPr>
          <w:rFonts w:ascii="IRNazanin" w:hAnsi="IRNazanin" w:eastAsia="IRNazanin"/>
          <w:color w:val="111111"/>
          <w:sz w:val="28"/>
          <w:sz w:val="28"/>
          <w:szCs w:val="28"/>
          <w:rtl w:val="true"/>
          <w:lang w:bidi="fa-IR"/>
        </w:rPr>
        <w:t>لأنه لمصلحته</w:t>
      </w:r>
      <w:r>
        <w:rPr>
          <w:rFonts w:eastAsia="IRNazanin" w:cs="IRNazanin"/>
          <w:color w:val="111111"/>
          <w:sz w:val="28"/>
          <w:szCs w:val="28"/>
          <w:rtl w:val="true"/>
          <w:lang w:bidi="fa-IR"/>
        </w:rPr>
        <w:t>.</w:t>
      </w:r>
    </w:p>
    <w:p>
      <w:pPr>
        <w:sectPr>
          <w:footerReference w:type="default" r:id="rId3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ويَرِثُه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القصاص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وارث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مطلقاً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 الزوجين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لعموم آيةِ أُولى الأرحام</w:t>
      </w:r>
      <w:r>
        <w:rPr>
          <w:rStyle w:val="FootnoteAnchor"/>
          <w:rtl w:val="true"/>
        </w:rPr>
        <w:footnoteReference w:id="1554"/>
      </w:r>
      <w:r>
        <w:rPr>
          <w:rFonts w:ascii="Amiri" w:hAnsi="Amiri" w:eastAsia="Amiri" w:cs="Amiri"/>
          <w:color w:val="111111"/>
          <w:sz w:val="28"/>
          <w:sz w:val="28"/>
          <w:szCs w:val="28"/>
          <w:rtl w:val="true"/>
          <w:lang w:bidi="ar-SA"/>
        </w:rPr>
        <w:t>، خرج منه الزوجان بالإجماع فيبقى الباقي</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العَصَبَةُ</w:t>
      </w:r>
      <w:r>
        <w:rPr>
          <w:rFonts w:eastAsia="Amiri" w:cs="Amiri" w:ascii="Amiri" w:hAnsi="Amiri"/>
          <w:color w:val="111111"/>
          <w:sz w:val="28"/>
          <w:szCs w:val="28"/>
          <w:rtl w:val="true"/>
          <w:lang w:bidi="ar-SA"/>
        </w:rPr>
        <w:t>)</w:t>
      </w:r>
      <w:r>
        <w:rPr>
          <w:rStyle w:val="FootnoteAnchor"/>
          <w:rtl w:val="true"/>
        </w:rPr>
        <w:footnoteReference w:id="1555"/>
      </w:r>
      <w:r>
        <w:rPr>
          <w:rFonts w:ascii="Amiri" w:hAnsi="Amiri" w:eastAsia="Amiri" w:cs="Amiri"/>
          <w:color w:val="111111"/>
          <w:sz w:val="28"/>
          <w:sz w:val="28"/>
          <w:szCs w:val="28"/>
          <w:rtl w:val="true"/>
          <w:lang w:bidi="ar-SA"/>
        </w:rPr>
        <w:t xml:space="preserve">وهم الأبُ ومَن تَقَرَّب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غيرُ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دون الإخوةِ والأخوات من الأُمِّ ومَن يتقرب بها من الخُؤُولة وأولادهم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ثالث يَختَصّ المنعُ بالنساء </w:t>
      </w:r>
      <w:r>
        <w:rPr>
          <w:rStyle w:val="FootnoteAnchor"/>
          <w:rtl w:val="true"/>
        </w:rPr>
        <w:footnoteReference w:id="1556"/>
      </w:r>
      <w:r>
        <w:rPr>
          <w:rFonts w:ascii="Amiri" w:hAnsi="Amiri" w:eastAsia="Amiri" w:cs="Amiri"/>
          <w:color w:val="111111"/>
          <w:sz w:val="28"/>
          <w:sz w:val="28"/>
          <w:szCs w:val="28"/>
          <w:rtl w:val="true"/>
          <w:lang w:bidi="ar-SA"/>
        </w:rPr>
        <w:t>لرواية أبي العبّاس عن الصادق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Style w:val="FootnoteAnchor"/>
          <w:rtl w:val="true"/>
        </w:rPr>
        <w:footnoteReference w:id="1557"/>
      </w:r>
      <w:r>
        <w:rPr>
          <w:rFonts w:ascii="IRNazanin" w:hAnsi="IRNazanin" w:eastAsia="IRNazanin"/>
          <w:color w:val="111111"/>
          <w:sz w:val="28"/>
          <w:sz w:val="28"/>
          <w:szCs w:val="28"/>
          <w:rtl w:val="true"/>
          <w:lang w:bidi="fa-IR"/>
        </w:rPr>
        <w:t>، والأول أقوى</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ويجوز للولي الواحد المبادرة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الاقتصاص من الجاني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غير إذن الإمام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جَعَلْنَا لِوَلِيّهِ، سُلْطَنًا</w:t>
      </w:r>
      <w:r>
        <w:rPr>
          <w:rStyle w:val="FootnoteAnchor"/>
          <w:rtl w:val="true"/>
        </w:rPr>
        <w:footnoteReference w:id="1558"/>
      </w:r>
      <w:r>
        <w:rPr>
          <w:rFonts w:ascii="Amiri" w:hAnsi="Amiri" w:eastAsia="Amiri" w:cs="Amiri"/>
          <w:color w:val="111111"/>
          <w:sz w:val="28"/>
          <w:sz w:val="28"/>
          <w:szCs w:val="28"/>
          <w:rtl w:val="true"/>
          <w:lang w:bidi="ar-SA"/>
        </w:rPr>
        <w:t xml:space="preserve">، لأنه حقه والأصل براءة الذمة من توقف استيفاء الحق على استئذان غير المستحق،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 كان استئذانه 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لخطره واحتياجه إلى النظر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وخصوصاً في قصاص الطرف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لأن الغرض معه بقاء النفس، ولموضع الاستيفاء حدودٌ لا يُؤمَن مِن تَخَطَّيها لغيره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وذهب جماعة</w:t>
      </w:r>
      <w:r>
        <w:rPr>
          <w:rStyle w:val="FootnoteAnchor"/>
          <w:rtl w:val="true"/>
        </w:rPr>
        <w:footnoteReference w:id="1559"/>
      </w:r>
    </w:p>
    <w:p>
      <w:pPr>
        <w:pStyle w:val="BookText"/>
        <w:rPr/>
      </w:pPr>
      <w:r>
        <w:rPr>
          <w:rFonts w:ascii="Amiri" w:hAnsi="Amiri" w:eastAsia="Amiri" w:cs="Amiri"/>
          <w:color w:val="111111"/>
          <w:sz w:val="28"/>
          <w:sz w:val="28"/>
          <w:szCs w:val="28"/>
          <w:rtl w:val="true"/>
          <w:lang w:bidi="ar-SA"/>
        </w:rPr>
        <w:t xml:space="preserve">المسألة </w:t>
      </w:r>
      <w:r>
        <w:rPr>
          <w:rFonts w:eastAsia="Amiri" w:cs="Amiri" w:ascii="Amiri" w:hAnsi="Amiri"/>
          <w:color w:val="111111"/>
          <w:sz w:val="28"/>
          <w:szCs w:val="28"/>
          <w:lang w:bidi="ar-SA"/>
        </w:rPr>
        <w:t>80</w:t>
      </w:r>
      <w:r>
        <w:rPr>
          <w:rFonts w:ascii="Amiri" w:hAnsi="Amiri" w:eastAsia="Amiri" w:cs="Amiri"/>
          <w:color w:val="111111"/>
          <w:sz w:val="28"/>
          <w:sz w:val="28"/>
          <w:szCs w:val="28"/>
          <w:rtl w:val="true"/>
          <w:lang w:bidi="ar-SA"/>
        </w:rPr>
        <w:t xml:space="preserve">؛ والعلّامة في قواعد الأحكام، ج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662</w:t>
      </w:r>
    </w:p>
    <w:p>
      <w:pPr>
        <w:pStyle w:val="BookText"/>
        <w:rPr/>
      </w:pPr>
      <w:r>
        <w:rPr>
          <w:rFonts w:ascii="Amiri" w:hAnsi="Amiri" w:eastAsia="Amiri" w:cs="Amiri"/>
          <w:color w:val="111111"/>
          <w:sz w:val="28"/>
          <w:sz w:val="28"/>
          <w:szCs w:val="28"/>
          <w:rtl w:val="true"/>
          <w:lang w:bidi="ar-SA"/>
        </w:rPr>
        <w:t>إلى وجوب استئذانه مطلقاً فيُعزر لو استقل واعتد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كانوا جماعةً تَوَقَّف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الاستيفاء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إذنهم أجمعَ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سواء كانوا حاضرين أم لا؛ لتساويهم في السلطان، ولاشتراك الحق فلا يستوفيه ،بعضُهم، ولأن القصاص موضوع للتشفّي ولا يحصل بفعل البعض</w:t>
      </w:r>
      <w:r>
        <w:rPr>
          <w:rFonts w:eastAsia="Amiri" w:cs="Amiri" w:ascii="Amiri" w:hAnsi="Amiri"/>
          <w:color w:val="111111"/>
          <w:sz w:val="28"/>
          <w:szCs w:val="28"/>
          <w:rtl w:val="true"/>
          <w:lang w:bidi="ar-SA"/>
        </w:rPr>
        <w:t>.</w:t>
      </w:r>
    </w:p>
    <w:p>
      <w:pPr>
        <w:sectPr>
          <w:footerReference w:type="default" r:id="rId3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والقائل به جماعة، منهم الشيخ</w:t>
      </w:r>
      <w:r>
        <w:rPr>
          <w:rStyle w:val="FootnoteAnchor"/>
          <w:rtl w:val="true"/>
        </w:rPr>
        <w:footnoteReference w:id="1560"/>
      </w:r>
      <w:r>
        <w:rPr>
          <w:rFonts w:ascii="IRNazanin" w:hAnsi="IRNazanin" w:eastAsia="IRNazanin"/>
          <w:color w:val="111111"/>
          <w:sz w:val="28"/>
          <w:sz w:val="28"/>
          <w:szCs w:val="28"/>
          <w:rtl w:val="true"/>
          <w:lang w:bidi="fa-IR"/>
        </w:rPr>
        <w:t>والمرتضى</w:t>
      </w:r>
      <w:r>
        <w:rPr>
          <w:rStyle w:val="FootnoteAnchor"/>
          <w:rtl w:val="true"/>
        </w:rPr>
        <w:footnoteReference w:id="1561"/>
      </w:r>
      <w:r>
        <w:rPr>
          <w:rFonts w:ascii="Amiri" w:hAnsi="Amiri" w:eastAsia="Amiri" w:cs="Amiri"/>
          <w:color w:val="111111"/>
          <w:sz w:val="28"/>
          <w:sz w:val="28"/>
          <w:szCs w:val="28"/>
          <w:rtl w:val="true"/>
          <w:lang w:bidi="ar-SA"/>
        </w:rPr>
        <w:t>مدَّعيَيْنِ الإجماع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للحاضر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الأولياء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الاستيفاء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غير ارتقاب حضور الغائب ولا استئذانه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ويَضمَن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المستوفي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حصص الباقين من الدية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لتحقق الولاية للحاضر فيتناوله العموم، ولبناء القصاص على التغليب، ومِن ثَمّ لا يسقط بعفو البعض على مال أو مطلقاً، بل للباقين الاقتصاص مع أن القاتل قد أَحرَزَ بعض نفسه فهنا 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وتظهر الفائدة في تعزير </w:t>
      </w:r>
    </w:p>
    <w:p>
      <w:pPr>
        <w:pStyle w:val="BookText"/>
        <w:rPr/>
      </w:pPr>
      <w:r>
        <w:rPr>
          <w:rFonts w:ascii="Amiri" w:hAnsi="Amiri" w:eastAsia="Amiri" w:cs="Amiri"/>
          <w:color w:val="111111"/>
          <w:sz w:val="28"/>
          <w:sz w:val="28"/>
          <w:szCs w:val="28"/>
          <w:rtl w:val="true"/>
          <w:lang w:bidi="ar-SA"/>
        </w:rPr>
        <w:t>المبادر إليه ،وعدمه، أما قتله فلا؛ لأنه مُهْدَرُ بالنسبة إليه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ولو كان الولي صغيراً وله أب أو جد لم يكن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لوليه من الأب والجد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الاستيفاء إلى بلوغه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لأنّ الحق له ولا يُعلم ما يريده حينئذ، ولأن الغرض التشفّي ولا يتحقق بتعجيله قبله، وحينئذٍ فيُحبَس القاتل حتى يَبلُغ</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والقائل الشيخ</w:t>
      </w:r>
      <w:r>
        <w:rPr>
          <w:rStyle w:val="FootnoteAnchor"/>
          <w:rtl w:val="true"/>
        </w:rPr>
        <w:footnoteReference w:id="1562"/>
      </w:r>
      <w:r>
        <w:rPr>
          <w:rFonts w:ascii="Amiri" w:hAnsi="Amiri" w:eastAsia="Amiri" w:cs="Amiri"/>
          <w:color w:val="111111"/>
          <w:sz w:val="28"/>
          <w:sz w:val="28"/>
          <w:szCs w:val="28"/>
          <w:rtl w:val="true"/>
          <w:lang w:bidi="ar-SA"/>
        </w:rPr>
        <w:t>وأكثرُ المتأخرين</w:t>
      </w:r>
      <w:r>
        <w:rPr>
          <w:rStyle w:val="FootnoteAnchor"/>
          <w:rtl w:val="true"/>
        </w:rPr>
        <w:footnoteReference w:id="1563"/>
      </w:r>
    </w:p>
    <w:p>
      <w:pPr>
        <w:pStyle w:val="BookText"/>
        <w:rPr/>
      </w:pPr>
      <w:r>
        <w:rPr>
          <w:rFonts w:ascii="Amiri" w:hAnsi="Amiri" w:eastAsia="Amiri" w:cs="Amiri"/>
          <w:color w:val="111111"/>
          <w:sz w:val="28"/>
          <w:sz w:val="28"/>
          <w:szCs w:val="28"/>
          <w:rtl w:val="true"/>
          <w:lang w:bidi="ar-SA"/>
        </w:rPr>
        <w:t xml:space="preserve">والشهيد في غاية المراد، ج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240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ضمن موسوعة الشهيد الأول، 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تُراعَى المصلحةُ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اقْتَضَتْ تعجيله جاز؛ لأنّ مصالح الطفل منوطة بنظر الولي، ولأنّ التأخير ربما استلزم تفويت القصاص وهو أجود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حكمه المجنون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ولو صالحه بعضُ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الأولياء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الدية لم يَسقُط القَودُ عنه للباقين على الأشهر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لا نعلم فيه خلافاً، وقد تقدَّم ما يدلّ عليه </w:t>
      </w:r>
      <w:r>
        <w:rPr>
          <w:rStyle w:val="FootnoteAnchor"/>
          <w:rtl w:val="true"/>
        </w:rPr>
        <w:footnoteReference w:id="1564"/>
      </w:r>
      <w:r>
        <w:rPr>
          <w:rFonts w:ascii="Amiri" w:hAnsi="Amiri" w:eastAsia="Amiri" w:cs="Amiri"/>
          <w:color w:val="111111"/>
          <w:sz w:val="28"/>
          <w:sz w:val="28"/>
          <w:szCs w:val="28"/>
          <w:rtl w:val="true"/>
          <w:lang w:bidi="ar-SA"/>
        </w:rPr>
        <w:t xml:space="preserve">، ورواه الحسن بن محبوب، عن أبي ولاد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رجل قتل وله أبٌ وأُم وابن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الابن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أريد أن أقتل قاتل أبي، وقال الأب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أَعْفُو، وقالت الأم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أخُذُ الدية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فَلْيُعْطِ الابنُ لأُمّ المقتول السدس من الدية، ويُعطي ورثة القاتل السدس الآخَرَ حَقَّ الأب الذي عَفَا عنه ولْيَقتُله</w:t>
      </w:r>
      <w:r>
        <w:rPr>
          <w:rFonts w:eastAsia="Amiri" w:cs="Amiri" w:ascii="Amiri" w:hAnsi="Amiri"/>
          <w:color w:val="111111"/>
          <w:sz w:val="28"/>
          <w:szCs w:val="28"/>
          <w:rtl w:val="true"/>
          <w:lang w:bidi="ar-SA"/>
        </w:rPr>
        <w:t>»</w:t>
      </w:r>
      <w:r>
        <w:rPr>
          <w:rStyle w:val="FootnoteAnchor"/>
          <w:rtl w:val="true"/>
        </w:rPr>
        <w:footnoteReference w:id="156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وكثير من الأصحاب لم يتوقف في الحكم، وإنما نسبه المصنف إلى الشهرة لورود روايات</w:t>
      </w:r>
      <w:r>
        <w:rPr>
          <w:rStyle w:val="FootnoteAnchor"/>
          <w:rtl w:val="true"/>
        </w:rPr>
        <w:footnoteReference w:id="1566"/>
      </w:r>
      <w:r>
        <w:rPr>
          <w:rFonts w:ascii="Amiri" w:hAnsi="Amiri" w:eastAsia="Amiri" w:cs="Amiri"/>
          <w:color w:val="111111"/>
          <w:sz w:val="28"/>
          <w:sz w:val="28"/>
          <w:szCs w:val="28"/>
          <w:rtl w:val="true"/>
          <w:lang w:bidi="ar-SA"/>
        </w:rPr>
        <w:t>بسقوط القَوَد وثبوتِ الدية؛ كرواية زرارة عن الباقر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Style w:val="FootnoteAnchor"/>
          <w:rtl w:val="true"/>
        </w:rPr>
        <w:footnoteReference w:id="1567"/>
      </w:r>
      <w:r>
        <w:rPr>
          <w:rFonts w:eastAsia="Times New Roman" w:cs="Times New Roman" w:ascii="Times New Roman" w:hAnsi="Times New Roman"/>
          <w:color w:val="111111"/>
          <w:sz w:val="28"/>
          <w:szCs w:val="28"/>
          <w:rtl w:val="true"/>
          <w:lang w:val="en-US" w:bidi="en-US"/>
        </w:rPr>
        <w:t>.</w:t>
      </w:r>
    </w:p>
    <w:p>
      <w:pPr>
        <w:sectPr>
          <w:footerReference w:type="default" r:id="rId3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المشهور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يَرُدّون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من يريد القود عليه، أي على المقتول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نصيب المُصالح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الدية وإن كان قد صالح على أقل من نصيبه؛ لأنه قد مَلَك من نفسه بمقدار النصيب فيستحق ديته</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ولو اشتَرَك الأب والأجنبيُّ في قتل الولد اقتُصَّ من الأجنبي، ورَدَّ الأبُ نصف الدية عليه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وكذا لو اشترك المسلمُ والكافرُ في قتل الذمّي فيُقتَل الكافر إن شاء الوليُّ ويَرُدّ المسلم نصف ديته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وكذا الكلام 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اشتراك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العامدِ والخاطئ</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فإنّه يجوز قتل العامد بعد أن يُردّ عليه نصف ديته،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والراد هنا العاقله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عاقله الخاطئ لو كان الخطأ محضاً، ولو كان شبية عمدٍ فالخاطئ</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ويجوز للمحجور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للسّفَهِ والفَلَس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استيفاء القصاص إذا كان بالغاً عاقلاً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القصاص ليس بمال فلا يتعلق به الحجرُ فيهما؛ ولأنه موضوع للتشفّي وهو أهل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ويجوز له العفو أيضاً عنه والصلحُ على مال لكن لا يُدفَع إليه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وفي جواز استيفاء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وليّ المقتول مديوناً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القصاص من دون ضمان الدين على الميت قولان</w:t>
      </w:r>
      <w:r>
        <w:rPr>
          <w:rFonts w:eastAsia="Amiri" w:cs="Amiri" w:ascii="Amiri" w:hAnsi="Amiri"/>
          <w:color w:val="111111"/>
          <w:sz w:val="28"/>
          <w:szCs w:val="28"/>
          <w:rtl w:val="true"/>
          <w:lang w:bidi="ar-SA"/>
        </w:rPr>
        <w:t>)</w:t>
      </w:r>
      <w:r>
        <w:rPr>
          <w:rStyle w:val="FootnoteAnchor"/>
          <w:rtl w:val="true"/>
        </w:rPr>
        <w:footnoteReference w:id="1568"/>
      </w:r>
      <w:r>
        <w:rPr>
          <w:rFonts w:ascii="Amiri" w:hAnsi="Amiri" w:eastAsia="Amiri" w:cs="Amiri"/>
          <w:color w:val="111111"/>
          <w:sz w:val="28"/>
          <w:sz w:val="28"/>
          <w:szCs w:val="28"/>
          <w:rtl w:val="true"/>
          <w:lang w:bidi="ar-SA"/>
        </w:rPr>
        <w:t>أصحهما الجواز؛ لأنّ موجَبَ العمد القصاص، وأخذُ الدية اكتساب وهو غيرُ واجب على الوارث في دَينِ مُوَرِّتِه، ولعموم الآية</w:t>
      </w:r>
      <w:r>
        <w:rPr>
          <w:rStyle w:val="FootnoteAnchor"/>
          <w:rtl w:val="true"/>
        </w:rPr>
        <w:footnoteReference w:id="156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وذهب الشيخ</w:t>
      </w:r>
      <w:r>
        <w:rPr>
          <w:rStyle w:val="FootnoteAnchor"/>
          <w:rtl w:val="true"/>
        </w:rPr>
        <w:footnoteReference w:id="1570"/>
      </w:r>
      <w:r>
        <w:rPr>
          <w:rFonts w:ascii="Amiri" w:hAnsi="Amiri" w:eastAsia="Amiri" w:cs="Amiri"/>
          <w:color w:val="111111"/>
          <w:sz w:val="28"/>
          <w:sz w:val="28"/>
          <w:szCs w:val="28"/>
          <w:rtl w:val="true"/>
          <w:lang w:bidi="ar-SA"/>
        </w:rPr>
        <w:t>وجماعة</w:t>
      </w:r>
      <w:r>
        <w:rPr>
          <w:rStyle w:val="FootnoteAnchor"/>
          <w:rtl w:val="true"/>
        </w:rPr>
        <w:footnoteReference w:id="1571"/>
      </w:r>
      <w:r>
        <w:rPr>
          <w:rFonts w:ascii="Amiri" w:hAnsi="Amiri" w:eastAsia="Amiri" w:cs="Amiri"/>
          <w:color w:val="111111"/>
          <w:sz w:val="28"/>
          <w:sz w:val="28"/>
          <w:szCs w:val="28"/>
          <w:rtl w:val="true"/>
          <w:lang w:bidi="ar-SA"/>
        </w:rPr>
        <w:t>، إلى المنع؛ استناداً إلى روايات</w:t>
      </w:r>
      <w:r>
        <w:rPr>
          <w:rStyle w:val="FootnoteAnchor"/>
          <w:rtl w:val="true"/>
        </w:rPr>
        <w:footnoteReference w:id="157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سلامة سندها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تدلّ على مطلوبهم</w:t>
      </w:r>
      <w:r>
        <w:rPr>
          <w:rFonts w:eastAsia="Amiri" w:cs="Amiri" w:ascii="Amiri" w:hAnsi="Amiri"/>
          <w:color w:val="111111"/>
          <w:sz w:val="28"/>
          <w:szCs w:val="28"/>
          <w:rtl w:val="true"/>
          <w:lang w:bidi="ar-SA"/>
        </w:rPr>
        <w:t>.</w:t>
      </w:r>
    </w:p>
    <w:p>
      <w:pPr>
        <w:sectPr>
          <w:footerReference w:type="default" r:id="rId3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ويجوز التوكيل في استيفائه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لأنه من الأفعال التي تدخلها النيابة؛ إذ لا تعلق لغرض الشارع فيه بشخص معين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فلو عزله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الموكَّلُ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واقتَصَّ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الوكيل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ولما يَعلَم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بالعزل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من قصاص ولا دية؛ لأن الوكيل لا ينعزل إلا مع علمه بالعزل </w:t>
      </w:r>
    </w:p>
    <w:p>
      <w:pPr>
        <w:pStyle w:val="BookText"/>
        <w:rPr/>
      </w:pPr>
      <w:r>
        <w:rPr>
          <w:rFonts w:ascii="Amiri" w:hAnsi="Amiri" w:eastAsia="Amiri" w:cs="Amiri"/>
          <w:color w:val="111111"/>
          <w:sz w:val="28"/>
          <w:sz w:val="28"/>
          <w:szCs w:val="28"/>
          <w:rtl w:val="true"/>
          <w:lang w:bidi="ar-SA"/>
        </w:rPr>
        <w:t>كما تقدّم، فوقع استيفاؤُه مَوقِعَه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لو عَفَا الموكَّلُ فاستوفى الوكيل بعده قبل العلم، فلا قصاص أيضاً لكن عليه الدية لمباشرته، وبطلان وكالته بالعفو، كما لو اتفق الاستيفاء بعد موت الموكل أو خروجه عن أهليّة الوكالة ويرجع بها على الموكل ؛ لغروره بعدم إعلامه بالعفو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يتم مع تمكنه من الإعلام وإلا فلا غرور ويُحتمل حينئذٍ عدم وجوبها على الوكيل؛ لحصول العفو بعد وجود سبب الهلاك كما لو عفا بعد رمي السهم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يقتص من الحامل حتَّى تَضَعَ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وتُرضِعَه اللَّبَأُ مراعاة لحق الولد،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ويُقبل قولُها في الحمل وإنْ لم تَشهَد القوابل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لأنّ له أمارات قد تخفى على غيرها وتَجِدُها من نفسها فتُنتظَر المُخَيَّلَةُ إلى أن تستبين الحال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يُقبل قولها مع عدم شهادتهن</w:t>
      </w:r>
      <w:r>
        <w:rPr>
          <w:rStyle w:val="FootnoteAnchor"/>
          <w:rtl w:val="true"/>
        </w:rPr>
        <w:footnoteReference w:id="1573"/>
      </w:r>
      <w:r>
        <w:rPr>
          <w:rFonts w:ascii="Amiri" w:hAnsi="Amiri" w:eastAsia="Amiri" w:cs="Amiri"/>
          <w:color w:val="111111"/>
          <w:sz w:val="28"/>
          <w:sz w:val="28"/>
          <w:szCs w:val="28"/>
          <w:rtl w:val="true"/>
          <w:lang w:bidi="ar-SA"/>
        </w:rPr>
        <w:t>لأصالة عدمه، ولأن فيه دفعاً للولي عن السلطانِ الثابتِ له بمجرد الاحتمال والأوّل أجودُ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يجب الصبر بعد ذلك إلا أن يَتَوَقَّف حياة الولد على إرضاعها فيُنتظَر مقدار ما تندفع حاجته</w:t>
      </w:r>
      <w:r>
        <w:rPr>
          <w:rFonts w:eastAsia="Amiri" w:cs="Amiri" w:ascii="Amiri" w:hAnsi="Amiri"/>
          <w:color w:val="111111"/>
          <w:sz w:val="28"/>
          <w:szCs w:val="28"/>
          <w:rtl w:val="true"/>
          <w:lang w:bidi="ar-SA"/>
        </w:rPr>
        <w:t>.</w:t>
      </w:r>
    </w:p>
    <w:p>
      <w:pPr>
        <w:sectPr>
          <w:footerReference w:type="default" r:id="rId3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ولو هَلَك قاتلُ العمد فالمروى</w:t>
      </w:r>
      <w:r>
        <w:rPr>
          <w:rStyle w:val="FootnoteAnchor"/>
          <w:rtl w:val="true"/>
        </w:rPr>
        <w:footnoteReference w:id="157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الباقر والصادق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Style w:val="FootnoteAnchor"/>
          <w:rtl w:val="true"/>
        </w:rPr>
        <w:footnoteReference w:id="157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أخذ الدية من ماله وإلّا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يكن له مال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فمن الأقرب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فالأقرب</w:t>
      </w:r>
      <w:r>
        <w:rPr>
          <w:rFonts w:eastAsia="Amiri" w:cs="Amiri" w:ascii="Amiri" w:hAnsi="Amiri"/>
          <w:color w:val="111111"/>
          <w:sz w:val="28"/>
          <w:szCs w:val="28"/>
          <w:rtl w:val="true"/>
          <w:lang w:bidi="ar-SA"/>
        </w:rPr>
        <w:t>)</w:t>
      </w:r>
      <w:r>
        <w:rPr>
          <w:rStyle w:val="FootnoteAnchor"/>
          <w:rtl w:val="true"/>
        </w:rPr>
        <w:footnoteReference w:id="157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وإنّما نَسَب الحكم إلى الرواية؛ لقصورها عنه من حيث السند، فإنّهما روايتان في إحداهما ضعف وفي الأخرى إرسال، لكن عَمِل بهما جماعةٌ</w:t>
      </w:r>
      <w:r>
        <w:rPr>
          <w:rStyle w:val="FootnoteAnchor"/>
          <w:rtl w:val="true"/>
        </w:rPr>
        <w:footnoteReference w:id="1577"/>
      </w:r>
      <w:r>
        <w:rPr>
          <w:rFonts w:ascii="Amiri" w:hAnsi="Amiri" w:eastAsia="Amiri" w:cs="Amiri"/>
          <w:color w:val="111111"/>
          <w:sz w:val="28"/>
          <w:sz w:val="28"/>
          <w:szCs w:val="28"/>
          <w:rtl w:val="true"/>
          <w:lang w:bidi="ar-SA"/>
        </w:rPr>
        <w:t>، بل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إجماع</w:t>
      </w:r>
      <w:r>
        <w:rPr>
          <w:rStyle w:val="FootnoteAnchor"/>
          <w:rtl w:val="true"/>
        </w:rPr>
        <w:footnoteReference w:id="1578"/>
      </w:r>
      <w:r>
        <w:rPr>
          <w:rFonts w:ascii="Amiri" w:hAnsi="Amiri" w:eastAsia="Amiri" w:cs="Amiri"/>
          <w:color w:val="111111"/>
          <w:sz w:val="28"/>
          <w:sz w:val="28"/>
          <w:szCs w:val="28"/>
          <w:rtl w:val="true"/>
          <w:lang w:bidi="ar-SA"/>
        </w:rPr>
        <w:t>، ويؤيده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لا يُطَلُ دمُ امْرِئ مسلم</w:t>
      </w:r>
      <w:r>
        <w:rPr>
          <w:rFonts w:eastAsia="Amiri" w:cs="Amiri" w:ascii="Amiri" w:hAnsi="Amiri"/>
          <w:color w:val="111111"/>
          <w:sz w:val="28"/>
          <w:szCs w:val="28"/>
          <w:rtl w:val="true"/>
          <w:lang w:bidi="ar-SA"/>
        </w:rPr>
        <w:t>»</w:t>
      </w:r>
      <w:r>
        <w:rPr>
          <w:rStyle w:val="FootnoteAnchor"/>
          <w:rtl w:val="true"/>
        </w:rPr>
        <w:footnoteReference w:id="157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وذهب ابن إدريس إلى سقوط القصاص لا إلى بدل؛ لفوات محله، </w:t>
      </w:r>
    </w:p>
    <w:p>
      <w:pPr>
        <w:pStyle w:val="BookText"/>
        <w:rPr/>
      </w:pPr>
      <w:r>
        <w:rPr>
          <w:rFonts w:ascii="Amiri" w:hAnsi="Amiri" w:eastAsia="Amiri" w:cs="Amiri"/>
          <w:color w:val="111111"/>
          <w:sz w:val="28"/>
          <w:sz w:val="28"/>
          <w:szCs w:val="28"/>
          <w:rtl w:val="true"/>
          <w:lang w:bidi="ar-SA"/>
        </w:rPr>
        <w:t>بل ادَّعَى عليه الإجماع</w:t>
      </w:r>
      <w:r>
        <w:rPr>
          <w:rStyle w:val="FootnoteAnchor"/>
          <w:rtl w:val="true"/>
        </w:rPr>
        <w:footnoteReference w:id="1580"/>
      </w:r>
      <w:r>
        <w:rPr>
          <w:rFonts w:ascii="Amiri" w:hAnsi="Amiri" w:eastAsia="Amiri" w:cs="Amiri"/>
          <w:color w:val="111111"/>
          <w:sz w:val="28"/>
          <w:sz w:val="28"/>
          <w:szCs w:val="28"/>
          <w:rtl w:val="true"/>
          <w:lang w:bidi="ar-SA"/>
        </w:rPr>
        <w:t>، وهو غريب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واعلم أنّ الروايتين دلتا على وجوب الدية على تقدير هَرَب القاتل إلى أن مات والمصنّف جعل متعلّق المروي هلاكه مطلقاً، وليس كذلك، مع أنه في الشرح أجاب عن حجّة المختلف</w:t>
      </w:r>
      <w:r>
        <w:rPr>
          <w:rStyle w:val="FootnoteAnchor"/>
          <w:rtl w:val="true"/>
        </w:rPr>
        <w:footnoteReference w:id="1581"/>
      </w:r>
      <w:r>
        <w:rPr>
          <w:rFonts w:ascii="Amiri" w:hAnsi="Amiri" w:eastAsia="Amiri" w:cs="Amiri"/>
          <w:color w:val="111111"/>
          <w:sz w:val="28"/>
          <w:sz w:val="28"/>
          <w:szCs w:val="28"/>
          <w:rtl w:val="true"/>
          <w:lang w:bidi="ar-SA"/>
        </w:rPr>
        <w:t>بوجوب الدية من حيث إنّه فَوَّت العِوَض مع مباشرة إتلاف العوض فيضمن البدل بأنه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لو مات فَجْأَةً، أو لم يمتنع من القصاص ولم يَهرُب حتى مات لم يتحقق منه تفويت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إلا أن تُخَصَّص الدعوى بالهارب فيموت، وبه نَطَقتْ الروايات وأكثر كلام الأصحاب</w:t>
      </w:r>
      <w:r>
        <w:rPr>
          <w:rStyle w:val="FootnoteAnchor"/>
          <w:rtl w:val="true"/>
        </w:rPr>
        <w:footnoteReference w:id="1582"/>
      </w:r>
      <w:r>
        <w:rPr>
          <w:rFonts w:eastAsia="Times New Roman" w:cs="Times New Roman" w:ascii="Times New Roman" w:hAnsi="Times New Roman"/>
          <w:color w:val="111111"/>
          <w:sz w:val="28"/>
          <w:szCs w:val="28"/>
          <w:rtl w:val="true"/>
          <w:lang w:val="en-US" w:bidi="en-US"/>
        </w:rPr>
        <w:t>.</w:t>
      </w:r>
    </w:p>
    <w:p>
      <w:pPr>
        <w:sectPr>
          <w:footerReference w:type="default" r:id="rId3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وهذا مخالف لما أطلقه هنا، كما لا يخفى</w:t>
      </w:r>
      <w:r>
        <w:rPr>
          <w:rFonts w:eastAsia="Amiri" w:cs="Amiri" w:ascii="Amiri" w:hAnsi="Amiri"/>
          <w:color w:val="111111"/>
          <w:sz w:val="28"/>
          <w:szCs w:val="28"/>
          <w:rtl w:val="true"/>
          <w:lang w:bidi="ar-SA"/>
        </w:rPr>
        <w:t xml:space="preserve">. </w:t>
      </w:r>
    </w:p>
    <w:p>
      <w:pPr>
        <w:sectPr>
          <w:footerReference w:type="default" r:id="rId3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69" w:name="pg11049_88689"/>
      <w:bookmarkStart w:id="170" w:name="pg11049_88689"/>
      <w:bookmarkEnd w:id="170"/>
    </w:p>
    <w:p>
      <w:pPr>
        <w:pStyle w:val="Heading2"/>
        <w:numPr>
          <w:ilvl w:val="1"/>
          <w:numId w:val="1"/>
        </w:numPr>
        <w:rPr/>
      </w:pPr>
      <w:bookmarkStart w:id="171" w:name="pg11049_88689"/>
      <w:bookmarkStart w:id="172" w:name="__RefHeading___Toc1446177_1067777946"/>
      <w:bookmarkStart w:id="173" w:name="_Toc52"/>
      <w:bookmarkEnd w:id="171"/>
      <w:bookmarkEnd w:id="172"/>
      <w:r>
        <w:rPr>
          <w:rtl w:val="true"/>
        </w:rPr>
        <w:t>كتاب الديات</w:t>
      </w:r>
      <w:bookmarkEnd w:id="173"/>
    </w:p>
    <w:p>
      <w:pPr>
        <w:sectPr>
          <w:footerReference w:type="default" r:id="rId3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74" w:name="__RefHeading___Toc1446179_1067777946"/>
      <w:bookmarkStart w:id="175" w:name="_Toc53"/>
      <w:bookmarkEnd w:id="174"/>
      <w:r>
        <w:rPr>
          <w:rtl w:val="true"/>
        </w:rPr>
        <w:t>اشارة</w:t>
      </w:r>
      <w:bookmarkEnd w:id="175"/>
    </w:p>
    <w:p>
      <w:pPr>
        <w:sectPr>
          <w:footerReference w:type="default" r:id="rId3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76" w:name="pg11049_88691"/>
      <w:bookmarkStart w:id="177" w:name="pg11049_88691"/>
      <w:bookmarkEnd w:id="177"/>
    </w:p>
    <w:p>
      <w:pPr>
        <w:pStyle w:val="BookText"/>
        <w:rPr/>
      </w:pPr>
      <w:bookmarkStart w:id="178" w:name="pg11049_88691"/>
      <w:bookmarkEnd w:id="178"/>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 الدِيَات</w:t>
      </w:r>
      <w:r>
        <w:rPr>
          <w:rStyle w:val="FootnoteAnchor"/>
          <w:rtl w:val="true"/>
        </w:rPr>
        <w:footnoteReference w:id="1583"/>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هي جمع دية بتخفيف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الياء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ولا يجوز تشديدها، وسمّيت دية ؛ لأنها تؤدى عوضاً عن النفس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تسمّى لغةً عقلاً ؛ لمنعها من التجري على الدماء ؛ فإنّ من معاني العقل المنع وكان في التوراة شرع القصاص لا غير، وفي الإنجيل الدية لا غير، فجاء الأمران في هذا الشرع الشريف توسعةٌ ووضعاً للأوزار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الأثقال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ثبوت الدية بالكتاب قال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فَدِيَةٌ مُسَلَّمَةٌ إِلَى أَهْلِهِ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النساء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وبالسنة قال في كتابه إلى أهل اليمن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وفي النفس المؤمنة مائة من الإبل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سنن النسائي، ج </w:t>
      </w:r>
      <w:r>
        <w:rPr>
          <w:rFonts w:eastAsia="Amiri" w:cs="Amiri" w:ascii="Amiri" w:hAnsi="Amiri"/>
          <w:color w:val="111111"/>
          <w:sz w:val="28"/>
          <w:szCs w:val="28"/>
          <w:lang w:bidi="ar-SA"/>
        </w:rPr>
        <w:t>8</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4863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وبالإجماع من الأمة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زين رحمه الله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جمعُ دِيَةٍ، والهاءُ عِوَضٌ من واو فاء الكلمة،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وَدَيْتُ القتيل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أعطيتُ دِيَتَه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وفيه فصول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أربعة</w:t>
      </w:r>
      <w:r>
        <w:rPr>
          <w:rFonts w:eastAsia="Amiri" w:cs="Amiri" w:ascii="Amiri" w:hAnsi="Amiri"/>
          <w:color w:val="111111"/>
          <w:sz w:val="28"/>
          <w:szCs w:val="28"/>
          <w:rtl w:val="true"/>
          <w:lang w:bidi="ar-SA"/>
        </w:rPr>
        <w:t>:</w:t>
      </w:r>
    </w:p>
    <w:p>
      <w:pPr>
        <w:pStyle w:val="Heading3"/>
        <w:numPr>
          <w:ilvl w:val="2"/>
          <w:numId w:val="1"/>
        </w:numPr>
        <w:rPr/>
      </w:pPr>
      <w:bookmarkStart w:id="179" w:name="__RefHeading___Toc1446181_1067777946"/>
      <w:bookmarkStart w:id="180" w:name="_Toc54"/>
      <w:bookmarkEnd w:id="179"/>
      <w:r>
        <w:rPr>
          <w:rtl w:val="true"/>
        </w:rPr>
        <w:t>الفصل الأوّل في مَوْرِد الدية</w:t>
      </w:r>
      <w:bookmarkEnd w:id="180"/>
    </w:p>
    <w:p>
      <w:pPr>
        <w:sectPr>
          <w:footerReference w:type="default" r:id="rId4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بفتح الميم، وهو موضع ورودِها مجازاً، والمراد بيان ما تجب فيه الدية من أنواع القتل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تثبت الدية بالأصالة في الخطأ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المحض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وشبهه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وهو العمد الذي يُشبه الخطأ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واحترز بالأصالة عمّا لو وَجَبَتْ صلحاً فإنّها تقع حينئذٍ عن العمد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الخطأ المحض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مثل أن يرمي حيواناً فيُصِيب إنساناً أو إنساناً معيناً فيصيب </w:t>
      </w:r>
    </w:p>
    <w:p>
      <w:pPr>
        <w:pStyle w:val="BookText"/>
        <w:rPr/>
      </w:pPr>
      <w:r>
        <w:rPr>
          <w:rFonts w:ascii="Amiri" w:hAnsi="Amiri" w:eastAsia="Amiri" w:cs="Amiri"/>
          <w:color w:val="111111"/>
          <w:sz w:val="28"/>
          <w:sz w:val="28"/>
          <w:szCs w:val="28"/>
          <w:rtl w:val="true"/>
          <w:lang w:bidi="ar-SA"/>
        </w:rPr>
        <w:t>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ومرجعه إلى عدم قصد الإنسان أو الشخص، والثاني لازم للأول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الخطأ الشبيه بالعمد وبالعكس أن يقصدهما بما لا يقتل غالباً وإنْ لم يكن عدواناً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مثل أن يضرِبَ للتأديب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ضرباً لا يقتل عادةً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فيموت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المضروب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والضابط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العمد وقَسِيمَيْه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العمد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يَتَعَمَّدَ الفعل والقصد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بمعنى أن يقصد قتل الشخص المعيَّن، وفي حكمه تعمّد الفعل دون القصد إذا كان الفعل ممّا يقتل غالباً، كما سبق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والخطأ المحض أن لا يَتَعمَّد فعلاً ولا قصداً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بالمجنى عليه وإن قصد الفعل في غيره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الخطأ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الشبيه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بالعمد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يَتَعَمَّد الفعل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ويقصد إيقاعه بالشخص المعيَّنِ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ويُخْطِئ في القصد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القتل أي لا يقصده مع أنّ الفعل لا يقتل غالباً</w:t>
      </w:r>
      <w:r>
        <w:rPr>
          <w:rFonts w:eastAsia="Amiri" w:cs="Amiri" w:ascii="Amiri" w:hAnsi="Amiri"/>
          <w:color w:val="111111"/>
          <w:sz w:val="28"/>
          <w:szCs w:val="28"/>
          <w:rtl w:val="true"/>
          <w:lang w:bidi="ar-SA"/>
        </w:rPr>
        <w:t>.</w:t>
      </w:r>
    </w:p>
    <w:p>
      <w:pPr>
        <w:sectPr>
          <w:footerReference w:type="default" r:id="rId4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فالطبيبُ يَضمَن في ماله ما يَتلَف بعلاجه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نفساً وطَرَفاً؛ لحصول التلف المستند إلى فعله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يُطَلُّ دمُ امْرِئ مسلم</w:t>
      </w:r>
      <w:r>
        <w:rPr>
          <w:rFonts w:eastAsia="Amiri" w:cs="Amiri" w:ascii="Amiri" w:hAnsi="Amiri"/>
          <w:color w:val="111111"/>
          <w:sz w:val="28"/>
          <w:szCs w:val="28"/>
          <w:rtl w:val="true"/>
          <w:lang w:bidi="ar-SA"/>
        </w:rPr>
        <w:t>»</w:t>
      </w:r>
      <w:r>
        <w:rPr>
          <w:rStyle w:val="FootnoteAnchor"/>
          <w:rtl w:val="true"/>
        </w:rPr>
        <w:footnoteReference w:id="1584"/>
      </w:r>
      <w:r>
        <w:rPr>
          <w:rFonts w:ascii="Amiri" w:hAnsi="Amiri" w:eastAsia="Amiri" w:cs="Amiri"/>
          <w:color w:val="111111"/>
          <w:sz w:val="28"/>
          <w:sz w:val="28"/>
          <w:szCs w:val="28"/>
          <w:rtl w:val="true"/>
          <w:lang w:bidi="ar-SA"/>
        </w:rPr>
        <w:t xml:space="preserve">، ولأنه قاصد إلى الفعل مُخْطِئُ في القصد، فكان فعله شبية عمدٍ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 احتاط واجتهد وأذن المريضُ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لأنّ ذلك لا دخل له في عدم الضمان هنا؛ لتحقق الضمان مع الخطأ المحض فهنا أولى وإن اختلف الضامن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ابنُ إدريس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يَضمَن مع العلم والاجتهاد؛ للأصل، ولسقوطه بإذنه، ولأنه فعل سائغ شرعاً فلايستعقب ضماناً</w:t>
      </w:r>
      <w:r>
        <w:rPr>
          <w:rFonts w:eastAsia="Amiri" w:cs="Amiri" w:ascii="Amiri" w:hAnsi="Amiri"/>
          <w:color w:val="111111"/>
          <w:sz w:val="28"/>
          <w:szCs w:val="28"/>
          <w:rtl w:val="true"/>
          <w:lang w:bidi="ar-SA"/>
        </w:rPr>
        <w:t>»</w:t>
      </w:r>
      <w:r>
        <w:rPr>
          <w:rStyle w:val="FootnoteAnchor"/>
          <w:rtl w:val="true"/>
        </w:rPr>
        <w:footnoteReference w:id="158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أصالة البراءة تنقطع بدليل الشغل، والإذنُ في العِلاج لا في الإتلاف، ولا منافاة بين الجواز والضمان كالضارب للتأديب، وقد رُوي أنّ أمير المؤمنين ضَمَّنَ خَنّاناً قَطَع حشفة غلام</w:t>
      </w:r>
      <w:r>
        <w:rPr>
          <w:rStyle w:val="FootnoteAnchor"/>
          <w:rtl w:val="true"/>
        </w:rPr>
        <w:footnoteReference w:id="158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والأولى الاعتماد على الإجماع، فقد نقله المصنِّفُ في الشرح</w:t>
      </w:r>
      <w:r>
        <w:rPr>
          <w:rStyle w:val="FootnoteAnchor"/>
          <w:rtl w:val="true"/>
        </w:rPr>
        <w:footnoteReference w:id="1587"/>
      </w:r>
      <w:r>
        <w:rPr>
          <w:rFonts w:ascii="Amiri" w:hAnsi="Amiri" w:eastAsia="Amiri" w:cs="Amiri"/>
          <w:color w:val="111111"/>
          <w:sz w:val="28"/>
          <w:sz w:val="28"/>
          <w:szCs w:val="28"/>
          <w:rtl w:val="true"/>
          <w:lang w:bidi="ar-SA"/>
        </w:rPr>
        <w:t>، وجماعة</w:t>
      </w:r>
      <w:r>
        <w:rPr>
          <w:rStyle w:val="FootnoteAnchor"/>
          <w:rtl w:val="true"/>
        </w:rPr>
        <w:footnoteReference w:id="1588"/>
      </w:r>
      <w:r>
        <w:rPr>
          <w:rFonts w:ascii="Amiri" w:hAnsi="Amiri" w:eastAsia="Amiri" w:cs="Amiri"/>
          <w:color w:val="111111"/>
          <w:sz w:val="28"/>
          <w:sz w:val="28"/>
          <w:szCs w:val="28"/>
          <w:rtl w:val="true"/>
          <w:lang w:bidi="ar-SA"/>
        </w:rPr>
        <w:t>، لا على الرواية؛ لضعف سندها بالسكوني</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ولو أَبرَأه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المعالج من الجناية قبل وقوعها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فالأقرب الصحة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لمسيس الحاجة إلى مثل ذلك؛ إذ لا غنى عن العلاج، وإذا عَرَف الطبيب أنّه لا مَخْلَص له عن الضمان تَوَقَّف عن العمل مع الضرورة إليه، فوجب في الحكمة شرع الإبراء دفعاً للضرورة؛ ولرواية السكوني عن أبي عبد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أمير المؤمنين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تَطَبَّبَ أو تَبَيْطَر فليأخُذ البراءة من وليه، وإلّا فهو ضامن</w:t>
      </w:r>
      <w:r>
        <w:rPr>
          <w:rFonts w:eastAsia="Amiri" w:cs="Amiri" w:ascii="Amiri" w:hAnsi="Amiri"/>
          <w:color w:val="111111"/>
          <w:sz w:val="28"/>
          <w:szCs w:val="28"/>
          <w:rtl w:val="true"/>
          <w:lang w:bidi="ar-SA"/>
        </w:rPr>
        <w:t>»</w:t>
      </w:r>
      <w:r>
        <w:rPr>
          <w:rStyle w:val="FootnoteAnchor"/>
          <w:rtl w:val="true"/>
        </w:rPr>
        <w:footnoteReference w:id="158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وإنما ذكر الوليَّ؛ لأنه هو المُطالِبُ على تقدير التلف، فلمّا شُرع الإبراء قبل الاستقرار صُرِف إلى مَن يَتَوَلَّى المطالبة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وظاهر العبارة أنّ المُبرِئَ المريضُ وحكمه كذلك للعلة الأولى، ويمكن تكلّف إدخاله في الوليّ، أو لأنّ المجني عليه إذا أذن في الجناية سَقَط ضمانها فكيف بإذنه في المباح المأذون في فعله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يخفى عليك ضعفُ هذه الأدلّةِ، فإنّ الحاجة لا تكفي في شرعيّة الحكم بمجردها مع قيام الأدلة على خلافه، والخبرُ سكوني، مع أن البراءة حقيقة لا تكون إلا بعد ثبوت الحق؛ لأنّها إسقاط ما في الذمة من الحق، ويُنيه عليه أيضاً أخذُها من الولي إذ لا حق له قبل الجناية، وقد لا تصير إليه بتقدير عدم بلوغها القتل إذا أدت إلى الأذى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ثَمَّ ذهب ابنُ إدريس</w:t>
      </w:r>
      <w:r>
        <w:rPr>
          <w:rStyle w:val="FootnoteAnchor"/>
          <w:rtl w:val="true"/>
        </w:rPr>
        <w:footnoteReference w:id="1590"/>
      </w:r>
      <w:r>
        <w:rPr>
          <w:rFonts w:ascii="Amiri" w:hAnsi="Amiri" w:eastAsia="Amiri" w:cs="Amiri"/>
          <w:color w:val="111111"/>
          <w:sz w:val="28"/>
          <w:sz w:val="28"/>
          <w:szCs w:val="28"/>
          <w:rtl w:val="true"/>
          <w:lang w:bidi="ar-SA"/>
        </w:rPr>
        <w:t>إلى عدم صحتها قَبْلَه، وهو حسن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والنائمُ يَضمَن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يَجْنِيه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مال العاقلة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لأنه مخطئ في فعله وقصده فيكون خطأ محضاً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والقائل الشيخ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يَضمنه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ماله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جعلاً له من باب الأسباب لا الجنايات</w:t>
      </w:r>
      <w:r>
        <w:rPr>
          <w:rStyle w:val="FootnoteAnchor"/>
          <w:rtl w:val="true"/>
        </w:rPr>
        <w:footnoteReference w:id="159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والأقوى الأوّل اطّراداً للقاعدة</w:t>
      </w:r>
      <w:r>
        <w:rPr>
          <w:rFonts w:eastAsia="Amiri" w:cs="Amiri" w:ascii="Amiri" w:hAnsi="Amiri"/>
          <w:color w:val="111111"/>
          <w:sz w:val="28"/>
          <w:szCs w:val="28"/>
          <w:rtl w:val="true"/>
          <w:lang w:bidi="ar-SA"/>
        </w:rPr>
        <w:t>.</w:t>
      </w:r>
    </w:p>
    <w:p>
      <w:pPr>
        <w:sectPr>
          <w:footerReference w:type="default" r:id="rId4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وحامل المتاع يضمن لو أصاب به إنساناً في ماله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أصلُ الضمان فلاستناد تلفه إلى فعله وأما كونه في ماله فلقصده الفعل الذي هو سبب الجناية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ويُشكل إذا </w:t>
      </w:r>
    </w:p>
    <w:p>
      <w:pPr>
        <w:pStyle w:val="BookText"/>
        <w:rPr/>
      </w:pPr>
      <w:r>
        <w:rPr>
          <w:rFonts w:ascii="Amiri" w:hAnsi="Amiri" w:eastAsia="Amiri" w:cs="Amiri"/>
          <w:color w:val="111111"/>
          <w:sz w:val="28"/>
          <w:sz w:val="28"/>
          <w:szCs w:val="28"/>
          <w:rtl w:val="true"/>
          <w:lang w:bidi="ar-SA"/>
        </w:rPr>
        <w:t>لم يقصد الفعل بالمجني عليه فإنه حينئذ يكون خطاً محضاً كما من، إلا أنهم أطلقوا الحكم هنا</w:t>
      </w:r>
      <w:r>
        <w:rPr>
          <w:rStyle w:val="FootnoteAnchor"/>
          <w:rtl w:val="true"/>
        </w:rPr>
        <w:footnoteReference w:id="1592"/>
      </w:r>
    </w:p>
    <w:p>
      <w:pPr>
        <w:pStyle w:val="BookText"/>
        <w:rPr/>
      </w:pPr>
      <w:r>
        <w:rPr>
          <w:rFonts w:ascii="Amiri" w:hAnsi="Amiri" w:eastAsia="Amiri" w:cs="Amiri"/>
          <w:color w:val="111111"/>
          <w:sz w:val="28"/>
          <w:sz w:val="28"/>
          <w:szCs w:val="28"/>
          <w:rtl w:val="true"/>
          <w:lang w:bidi="ar-SA"/>
        </w:rPr>
        <w:t xml:space="preserve">طريقها سهل بن زياد فهي مطرحة ويرجع في الحكم إلى القواعد المقررة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 رحمه الله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يَضمَن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المُعْنِفُ بزوجته جماعاً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قبلاً أو دُبُراً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ضَمّاً فيَجنِي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عليها في ماله أيضاً، وهو واضح لقصده الفعل وإنما أخطأ في القصد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وكذا القول في الزوجة لو أَعْنَفَتْ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به وللشيخ قول بأنّهما إن كانا مأمونين فلا شيء عليهما، وإن كانا متهمين فالدية </w:t>
      </w:r>
      <w:r>
        <w:rPr>
          <w:rStyle w:val="FootnoteAnchor"/>
          <w:rtl w:val="true"/>
        </w:rPr>
        <w:footnoteReference w:id="1593"/>
      </w:r>
      <w:r>
        <w:rPr>
          <w:rFonts w:ascii="Amiri" w:hAnsi="Amiri" w:eastAsia="Amiri" w:cs="Amiri"/>
          <w:color w:val="111111"/>
          <w:sz w:val="28"/>
          <w:sz w:val="28"/>
          <w:szCs w:val="28"/>
          <w:rtl w:val="true"/>
          <w:lang w:bidi="ar-SA"/>
        </w:rPr>
        <w:t>استناداً إلى روايةٍ مرسلة</w:t>
      </w:r>
      <w:r>
        <w:rPr>
          <w:rStyle w:val="FootnoteAnchor"/>
          <w:rtl w:val="true"/>
        </w:rPr>
        <w:footnoteReference w:id="159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والأقوى الأول؛ لرواية سليمان بن خالد عن الصادق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Style w:val="FootnoteAnchor"/>
          <w:rtl w:val="true"/>
        </w:rPr>
        <w:footnoteReference w:id="1595"/>
      </w:r>
      <w:r>
        <w:rPr>
          <w:rFonts w:ascii="Amiri" w:hAnsi="Amiri" w:eastAsia="Amiri" w:cs="Amiri"/>
          <w:color w:val="111111"/>
          <w:sz w:val="28"/>
          <w:sz w:val="28"/>
          <w:szCs w:val="28"/>
          <w:rtl w:val="true"/>
          <w:lang w:bidi="ar-SA"/>
        </w:rPr>
        <w:t>، ولتحقق الجناية وليست بخطأ محض، ونفي التهمة ينفي العمد لا أصل القتل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والصائح بالطفل أو المجنون أو المريض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مطلقاً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الصحيح على حين غفلة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يضمن في ماله أيضاً لأنه خطاً مقصود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والقائل الشيخ في المبسوط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الضامن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عاقلته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جعلاً له من قبيل الأسباب</w:t>
      </w:r>
      <w:r>
        <w:rPr>
          <w:rStyle w:val="FootnoteAnchor"/>
          <w:rtl w:val="true"/>
        </w:rPr>
        <w:footnoteReference w:id="1596"/>
      </w:r>
      <w:r>
        <w:rPr>
          <w:rFonts w:ascii="Amiri" w:hAnsi="Amiri" w:eastAsia="Amiri" w:cs="Amiri"/>
          <w:color w:val="111111"/>
          <w:sz w:val="28"/>
          <w:sz w:val="28"/>
          <w:szCs w:val="28"/>
          <w:rtl w:val="true"/>
          <w:lang w:bidi="ar-SA"/>
        </w:rPr>
        <w:t>، وهو ضعيف؛ ولأنّ ضمان الغير جنايةَ غيره على خلاف الأصل فلا يُصار إليه بمثل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كان الصياح بالصحيح الكامل على غير غفلة فلا ضمان؛ لأنه ليس من أسباب الإتلاف بل هو اتفاقي، لا بسبب الصيحة، إلا أن يُعلم استناده إليها فالدية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والصادم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لغيره يَضمَن في ماله دية المصدوم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لاستناد التلف إليه مع قصده الفعل، ولو مات الصادمُ فَهَدْرُ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لموته بفعل نفسه إن كان المصدومُ في ملكه أو مباح أو طريقٍ واسع</w:t>
      </w:r>
      <w:r>
        <w:rPr>
          <w:rFonts w:eastAsia="Amiri" w:cs="Amiri" w:ascii="Amiri" w:hAnsi="Amiri"/>
          <w:color w:val="111111"/>
          <w:sz w:val="28"/>
          <w:szCs w:val="28"/>
          <w:rtl w:val="true"/>
          <w:lang w:bidi="ar-SA"/>
        </w:rPr>
        <w:t>.</w:t>
      </w:r>
    </w:p>
    <w:p>
      <w:pPr>
        <w:sectPr>
          <w:footerReference w:type="default" r:id="rId4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ولو وقف المصدوم في موضع ليس له الوقوفُ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فيه فمات الصادم بصدمه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المصدومُ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الصادم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لتعديه بالوقوف فيما ليس له الوقوف فيه إذا لم يكن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للصادم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مندوحةً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العدول عنه كالطريقِ الضَيِّقِ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ولو تَصادَمَ حران فماتا فلورثة كلّ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واحد منهما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نصفُ ديته ويَسقُط النصفُ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لاستناد موت كلّ منهما إلى سببين أحدهما من فعله والآخر من غيره فيسقُط ما قابَلَ فِعْلَه فعله وهو النصف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ولو كانا فارِسَين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مطلق الراكبين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على كلّ منهما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مضافاً إلى نصف الدية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نصفُ قيمة فرس 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تَلِفَتْ بالتصادم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ويقع التقاص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الدية والقيمة ويرجع صاحب الفضل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إذا استند الصَدْمُ إلى اختيارهما، أمّا لو غَلَبَتْهما الدابّتان احتُمِل كونه كذلك إحالة على ركوبهما ،مختارين فكان السبب من فعلهما وإهدار الهالك إحالةً على فعل الدايتين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كان أحدهما فارساً والآخَرُ راجلاً ضَمِن الراجل نصف دية الفارس ونصف قيمة فرسه والفارسُ نصف دية الراجل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كانا صبيين والركوب منهما فنصفُ دية كلّ على عاقلة الآخر؛ لأن فعلهما خطأ مطلقاً، وكذا لو أركبهما وليُّهما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أركبهما أجنبي ضَمِن ديتهما معاً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كانا عبدَين بالغين فهَدْرُ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لأنّ نصيب كلّ منهما هدر وما على صاحبه فات بموته لا يضمنه المولى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مات أحدهما خاصةً تعلّقت قيمته برقبة الحي، فإن هلك قبل استيفائها منه فاتت لفوات محلّها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كان أحدهما حرّاً والآخَرُ عبداً فماتا تعلَّقت نصفُ دية الحرّ برقبة العبد وتعلقت نصف قيمة العبد بتركة الحرّ فيتقاصان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مات أحدهما خاصةً تعلّقت جنايته بالآخر، كما مرّ</w:t>
      </w:r>
      <w:r>
        <w:rPr>
          <w:rFonts w:eastAsia="Amiri" w:cs="Amiri" w:ascii="Amiri" w:hAnsi="Amiri"/>
          <w:color w:val="111111"/>
          <w:sz w:val="28"/>
          <w:szCs w:val="28"/>
          <w:rtl w:val="true"/>
          <w:lang w:bidi="ar-SA"/>
        </w:rPr>
        <w:t>.</w:t>
      </w:r>
    </w:p>
    <w:p>
      <w:pPr>
        <w:sectPr>
          <w:footerReference w:type="default" r:id="rId4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ولو قال الرامي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حَذَارِ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بفتح الحاء وكسرِ آخِرِه مبنياً عليه، هذا هو الأصل في الكلمة، لكن ينبغي أن يراد هنا ما دلّ على معناها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 ضمان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سماع المجني عليه لما رُوِيَ مِن حُكم 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 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قد أَعْذَرَ مَن حَذَرَ</w:t>
      </w:r>
      <w:r>
        <w:rPr>
          <w:rFonts w:eastAsia="Amiri" w:cs="Amiri" w:ascii="Amiri" w:hAnsi="Amiri"/>
          <w:color w:val="111111"/>
          <w:sz w:val="28"/>
          <w:szCs w:val="28"/>
          <w:rtl w:val="true"/>
          <w:lang w:bidi="ar-SA"/>
        </w:rPr>
        <w:t>»</w:t>
      </w:r>
      <w:r>
        <w:rPr>
          <w:rStyle w:val="FootnoteAnchor"/>
          <w:rtl w:val="true"/>
        </w:rPr>
        <w:footnoteReference w:id="159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لم يَقُل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حَذارِ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قالها في وقت لا يتمكَّن المَرْمِيُّ من الحذر، أو لم يسمع فالدية على عاقلة الرامي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ولو وقع من عُلْوِ على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قاصداً للوقوع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ولم يقصد القتل فقُتِل فهو شبيه عمد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يلزمه الدية في ماله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كان الوقوع لا يقتل غالباً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وإلا فهو عامد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وإن وقع مضطراً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الوقوع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قصد الوقوع على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لغير 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فعلى العاقلة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دية جنايته؛ لأنه خطاً محض حيث لم يقصد الفعل الخاص المتعلّق بالمجني عليه وإنْ قصد غيره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أمّا لو ألْقَتْه الريحُ أو زَلَقَ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فوقع بغير اختياره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فهدر جنايته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غيره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تؤخذ دية المجني عليه من بيت المال</w:t>
      </w:r>
      <w:r>
        <w:rPr>
          <w:rStyle w:val="FootnoteAnchor"/>
          <w:rtl w:val="true"/>
        </w:rPr>
        <w:footnoteReference w:id="159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ولو دفع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الواقع من إنسانٍ غيرُه ضَمِنَه الدافع وما يجنيه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لكونه سبباً في الجنايتين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دية الأسفل على الواقع ويرجع بها على الدافع </w:t>
      </w:r>
      <w:r>
        <w:rPr>
          <w:rStyle w:val="FootnoteAnchor"/>
          <w:rtl w:val="true"/>
        </w:rPr>
        <w:footnoteReference w:id="1599"/>
      </w:r>
      <w:r>
        <w:rPr>
          <w:rFonts w:ascii="Amiri" w:hAnsi="Amiri" w:eastAsia="Amiri" w:cs="Amiri"/>
          <w:color w:val="111111"/>
          <w:sz w:val="28"/>
          <w:sz w:val="28"/>
          <w:szCs w:val="28"/>
          <w:rtl w:val="true"/>
          <w:lang w:bidi="ar-SA"/>
        </w:rPr>
        <w:t>لصحيحة عبد الله بن سنان عن الصادق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Style w:val="FootnoteAnchor"/>
          <w:rtl w:val="true"/>
        </w:rPr>
        <w:footnoteReference w:id="1600"/>
      </w:r>
      <w:r>
        <w:rPr>
          <w:rFonts w:ascii="IRNazanin" w:hAnsi="IRNazanin" w:eastAsia="IRNazanin"/>
          <w:color w:val="111111"/>
          <w:sz w:val="28"/>
          <w:sz w:val="28"/>
          <w:szCs w:val="28"/>
          <w:rtl w:val="true"/>
          <w:lang w:bidi="fa-IR"/>
        </w:rPr>
        <w:t>، والأوّل أشهر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وهنا مسائلُ</w:t>
      </w:r>
      <w:r>
        <w:rPr>
          <w:rFonts w:eastAsia="Amiri" w:cs="Amiri" w:ascii="Amiri" w:hAnsi="Amiri"/>
          <w:color w:val="111111"/>
          <w:sz w:val="28"/>
          <w:szCs w:val="28"/>
          <w:rtl w:val="true"/>
          <w:lang w:bidi="ar-SA"/>
        </w:rPr>
        <w:t>:)</w:t>
      </w:r>
    </w:p>
    <w:p>
      <w:pPr>
        <w:sectPr>
          <w:footerReference w:type="default" r:id="rId4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المسألة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الأولى من دعا غيره</w:t>
      </w:r>
      <w:r>
        <w:rPr>
          <w:rStyle w:val="FootnoteAnchor"/>
          <w:rtl w:val="true"/>
        </w:rPr>
        <w:footnoteReference w:id="1601"/>
      </w:r>
      <w:r>
        <w:rPr>
          <w:rFonts w:ascii="Amiri" w:hAnsi="Amiri" w:eastAsia="Amiri" w:cs="Amiri"/>
          <w:color w:val="111111"/>
          <w:sz w:val="28"/>
          <w:sz w:val="28"/>
          <w:szCs w:val="28"/>
          <w:rtl w:val="true"/>
          <w:lang w:bidi="ar-SA"/>
        </w:rPr>
        <w:t>ليلاً فأخرجه من منزله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بغير سؤاله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فهو ضامن له إن وُجد مقتولاً بالدية على الأقرب أمّا ضَمانه في الجملة فهو موضع وفاق، ورواه عبد اللهِ بنُ مَيمون عن الصادق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دعا الرجلُ أخاه بالليل فهو ضامن له حتّى يرجع إلى بيته</w:t>
      </w:r>
      <w:r>
        <w:rPr>
          <w:rFonts w:eastAsia="Amiri" w:cs="Amiri" w:ascii="Amiri" w:hAnsi="Amiri"/>
          <w:color w:val="111111"/>
          <w:sz w:val="28"/>
          <w:szCs w:val="28"/>
          <w:rtl w:val="true"/>
          <w:lang w:bidi="ar-SA"/>
        </w:rPr>
        <w:t>»</w:t>
      </w:r>
      <w:r>
        <w:rPr>
          <w:rStyle w:val="FootnoteAnchor"/>
          <w:rtl w:val="true"/>
        </w:rPr>
        <w:footnoteReference w:id="160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ورواه عبد الله بن المقدام عنه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حديث طويل، وفيه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كلُّ مَن طَرَق رجلاً آناء الليل فأخرجه من منزله فهو له ضامن، إلّا </w:t>
      </w:r>
    </w:p>
    <w:p>
      <w:pPr>
        <w:pStyle w:val="BookText"/>
        <w:rPr/>
      </w:pPr>
      <w:r>
        <w:rPr>
          <w:rFonts w:ascii="Amiri" w:hAnsi="Amiri" w:eastAsia="Amiri" w:cs="Amiri"/>
          <w:color w:val="111111"/>
          <w:sz w:val="28"/>
          <w:sz w:val="28"/>
          <w:szCs w:val="28"/>
          <w:rtl w:val="true"/>
          <w:lang w:bidi="ar-SA"/>
        </w:rPr>
        <w:t>أن يُقيم البيِّنةَ أنّه ردّه إلى منزله</w:t>
      </w:r>
      <w:r>
        <w:rPr>
          <w:rFonts w:eastAsia="Amiri" w:cs="Amiri" w:ascii="Amiri" w:hAnsi="Amiri"/>
          <w:color w:val="111111"/>
          <w:sz w:val="28"/>
          <w:szCs w:val="28"/>
          <w:rtl w:val="true"/>
          <w:lang w:bidi="ar-SA"/>
        </w:rPr>
        <w:t>»</w:t>
      </w:r>
      <w:r>
        <w:rPr>
          <w:rStyle w:val="FootnoteAnchor"/>
          <w:rtl w:val="true"/>
        </w:rPr>
        <w:footnoteReference w:id="160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ضمانه بالدية فللشك في موجب القصاص فينتفي للشبهة، والضمان المذكورُ في الأخبار يتحقق بضمان الدية؛ لأنّها بدلُ النفس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تخصيصه الضمانَ بما لو وُجِدَ مقتولاً فلأصالة البراءة من الضمان ديةً ونفساً حتى يتحقق سببه، وهو في غير حالة القتل مشكوك فيه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ولو وُجد ميتا ففي الضمان نظر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إطلاق الأخبار</w:t>
      </w:r>
      <w:r>
        <w:rPr>
          <w:rStyle w:val="FootnoteAnchor"/>
          <w:rtl w:val="true"/>
        </w:rPr>
        <w:footnoteReference w:id="1604"/>
      </w:r>
      <w:r>
        <w:rPr>
          <w:rFonts w:ascii="Amiri" w:hAnsi="Amiri" w:eastAsia="Amiri" w:cs="Amiri"/>
          <w:color w:val="111111"/>
          <w:sz w:val="28"/>
          <w:sz w:val="28"/>
          <w:szCs w:val="28"/>
          <w:rtl w:val="true"/>
          <w:lang w:bidi="ar-SA"/>
        </w:rPr>
        <w:t>وفتوى الأصحاب ضمانه الشامل لحالة الموت، بل للشك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أصالة البراءة، والاقتصار في الحكم المخالفِ للأصل على موضع اليقين وهو القتل، ولأنّه مع الموت لم يُوجد أثرُ القتل ولا لوث ولا تهمة، وعلى تقديرها فحكمه حكم اللوث لا أنه يوجب الضمان مطلقاً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وإلى الضمان ذهب الأكثر بل حكموا به مع اشتباه حاله، ثم اختلفوا في أنّ ضمانه مطلقاً هل هو بالقود أو بالدية، فذهب الشيخ</w:t>
      </w:r>
      <w:r>
        <w:rPr>
          <w:rStyle w:val="FootnoteAnchor"/>
          <w:rtl w:val="true"/>
        </w:rPr>
        <w:footnoteReference w:id="1605"/>
      </w:r>
      <w:r>
        <w:rPr>
          <w:rFonts w:ascii="Amiri" w:hAnsi="Amiri" w:eastAsia="Amiri" w:cs="Amiri"/>
          <w:color w:val="111111"/>
          <w:sz w:val="28"/>
          <w:sz w:val="28"/>
          <w:szCs w:val="28"/>
          <w:rtl w:val="true"/>
          <w:lang w:bidi="ar-SA"/>
        </w:rPr>
        <w:t>وجماعة</w:t>
      </w:r>
      <w:r>
        <w:rPr>
          <w:rStyle w:val="FootnoteAnchor"/>
          <w:rtl w:val="true"/>
        </w:rPr>
        <w:footnoteReference w:id="1606"/>
      </w:r>
    </w:p>
    <w:p>
      <w:p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454</w:t>
      </w:r>
    </w:p>
    <w:p>
      <w:pPr>
        <w:pStyle w:val="BookText"/>
        <w:rPr/>
      </w:pPr>
      <w:r>
        <w:rPr>
          <w:rFonts w:ascii="Amiri" w:hAnsi="Amiri" w:eastAsia="Amiri" w:cs="Amiri"/>
          <w:color w:val="111111"/>
          <w:sz w:val="28"/>
          <w:sz w:val="28"/>
          <w:szCs w:val="28"/>
          <w:rtl w:val="true"/>
          <w:lang w:bidi="ar-SA"/>
        </w:rPr>
        <w:t>، إلى ضمانه بالقَوَدِ إِن وُجِد مقتولاً، إلا أن يُقيم البيِّنةَ على قتل غيره له والديةِ إن لم يُعلَم قتله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واختلف كلام المحقق فحكم في الشرائع بضمانه بالدية إن وُجد مقتولاً وعدم الضمان لو وُجد ميتاً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وفي النافع بضمانه بالدية فيهما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وكذلك العلّامة فحكم في التحرير بضمان الدية مع فقده أو قتله حيث لا يقيم البينة به على غيره، وبعدمها لو وُجد ميتاً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7</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وفي المختلف بالدية مع فقده، وبالقود إن وُجد مقتولاً مع التهمةِ والقَسَامَةِ، إلّا أن يُقيم البيِّنةَ على غيره، وبالدية إن وُجد ميتاً مع دعواه موتَه حَتْفَ أَنْفِه، ووجود اللوث وقسامة الوارث</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8</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4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وتوقف في القواعد والإرشاد في الضمان مع الموت</w:t>
      </w:r>
      <w:r>
        <w:rPr>
          <w:rStyle w:val="FootnoteAnchor"/>
          <w:rtl w:val="true"/>
        </w:rPr>
        <w:footnoteReference w:id="160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والأجودُ في هذه المسألة الاقتصارُ بالضمان على موضع الوفاق لضعف أدلّته؛ فإنّ في سند الخبرين مَن لا تَثبت عدالته والمشترك بين الضعيف والثقة، وأصالة البراءة تدلّ على عدم الضمان في موضع الشكّ مخالفة حكم المسألة للأصل من ضمان الحرّ بإثبات اليد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واللازم من ذلك ضمانه بالدية إن وُجد مقتولاً ولا لوثَ هناك، وإلا فبموجب ما أَقسَم عليه الوليُّ من عمدٍ أو خطأ، ومع عدم قسامته يُقسم المُخرِجُ وعدمُ ضمانه إن وُجد ميتاً؛ للشك مع احتمال موته حَتْفَ أنفه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يَعتمد الأخبارَ يَلزَمه الحكم بضمانه مطلقاً إلى أن يرجع لدلالتها على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يُحتمل كونه القَوَدَ مطلقاً؟ لظاهر الرواية</w:t>
      </w:r>
      <w:r>
        <w:rPr>
          <w:rStyle w:val="FootnoteAnchor"/>
          <w:rtl w:val="true"/>
        </w:rPr>
        <w:footnoteReference w:id="1608"/>
      </w:r>
      <w:r>
        <w:rPr>
          <w:rFonts w:ascii="Amiri" w:hAnsi="Amiri" w:eastAsia="Amiri" w:cs="Amiri"/>
          <w:color w:val="111111"/>
          <w:sz w:val="28"/>
          <w:sz w:val="28"/>
          <w:szCs w:val="28"/>
          <w:rtl w:val="true"/>
          <w:lang w:bidi="ar-SA"/>
        </w:rPr>
        <w:t>، والدية؛ لما مرّ، والتفصيل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فرق في الداعي بين الذكر والأنثى، والكبير والصغير، والحر والعبد؛ للعموم</w:t>
      </w:r>
      <w:r>
        <w:rPr>
          <w:rStyle w:val="FootnoteAnchor"/>
          <w:rtl w:val="true"/>
        </w:rPr>
        <w:footnoteReference w:id="1609"/>
      </w:r>
      <w:r>
        <w:rPr>
          <w:rFonts w:ascii="IRNazanin" w:hAnsi="IRNazanin" w:eastAsia="IRNazanin"/>
          <w:color w:val="111111"/>
          <w:sz w:val="28"/>
          <w:sz w:val="28"/>
          <w:szCs w:val="28"/>
          <w:rtl w:val="true"/>
          <w:lang w:bidi="fa-IR"/>
        </w:rPr>
        <w:t xml:space="preserve">أو الإطلاق </w:t>
      </w:r>
      <w:r>
        <w:rPr>
          <w:rStyle w:val="FootnoteAnchor"/>
          <w:rtl w:val="true"/>
        </w:rPr>
        <w:footnoteReference w:id="1610"/>
      </w:r>
      <w:r>
        <w:rPr>
          <w:rFonts w:ascii="Amiri" w:hAnsi="Amiri" w:eastAsia="Amiri" w:cs="Amiri"/>
          <w:color w:val="111111"/>
          <w:sz w:val="28"/>
          <w:sz w:val="28"/>
          <w:szCs w:val="28"/>
          <w:rtl w:val="true"/>
          <w:lang w:bidi="ar-SA"/>
        </w:rPr>
        <w:t>، ولا بين أن يُعلَم سببُ الدعاء وعدمه، ولا بين أن يُقتل بسبب الدعاء وعدمه، ولا في المنزل بين البيت وغيره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ويَختصّ الحكم بالليل فلا يَضمَن المُخرِج نهاراً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وغايةُ الضمان وصوله إلى منزله وإن خرج بعد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ناداه وأعْرَض</w:t>
      </w:r>
      <w:r>
        <w:rPr>
          <w:rStyle w:val="FootnoteAnchor"/>
          <w:rtl w:val="true"/>
        </w:rPr>
        <w:footnoteReference w:id="1611"/>
      </w:r>
      <w:r>
        <w:rPr>
          <w:rFonts w:ascii="Amiri" w:hAnsi="Amiri" w:eastAsia="Amiri" w:cs="Amiri"/>
          <w:color w:val="111111"/>
          <w:sz w:val="28"/>
          <w:sz w:val="28"/>
          <w:szCs w:val="28"/>
          <w:rtl w:val="true"/>
          <w:lang w:bidi="ar-SA"/>
        </w:rPr>
        <w:t>عليه الخروج مخيّراً له من غير دعاء، ففي إلحاقه بالإخراج نظر، وأصالة البراءة تقتضي العدمَ مع أنّ الإخراج والدعاء لا يتحقق بمثل ذلك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كان إخراجه بالتماسه الدعاء فلا ضمان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لزوال التهمة حينئذٍ وأصالة البراءة، ويُحتمل الضمانُ؛ لعموم النص</w:t>
      </w:r>
      <w:r>
        <w:rPr>
          <w:rStyle w:val="FootnoteAnchor"/>
          <w:rtl w:val="true"/>
        </w:rPr>
        <w:footnoteReference w:id="1612"/>
      </w:r>
      <w:r>
        <w:rPr>
          <w:rFonts w:ascii="IRNazanin" w:hAnsi="IRNazanin" w:eastAsia="IRNazanin"/>
          <w:color w:val="111111"/>
          <w:sz w:val="28"/>
          <w:sz w:val="28"/>
          <w:szCs w:val="28"/>
          <w:rtl w:val="true"/>
          <w:lang w:bidi="fa-IR"/>
        </w:rPr>
        <w:t>والفتوى</w:t>
      </w:r>
      <w:r>
        <w:rPr>
          <w:rFonts w:eastAsia="IRNazanin" w:cs="IRNazanin"/>
          <w:color w:val="111111"/>
          <w:sz w:val="28"/>
          <w:szCs w:val="28"/>
          <w:rtl w:val="true"/>
          <w:lang w:bidi="fa-IR"/>
        </w:rPr>
        <w:t>.</w:t>
      </w:r>
    </w:p>
    <w:p>
      <w:pPr>
        <w:sectPr>
          <w:footerReference w:type="default" r:id="rId4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وتوقَّفَ المصنّف في الشرح</w:t>
      </w:r>
      <w:r>
        <w:rPr>
          <w:rStyle w:val="FootnoteAnchor"/>
          <w:rtl w:val="true"/>
        </w:rPr>
        <w:footnoteReference w:id="1613"/>
      </w:r>
      <w:r>
        <w:rPr>
          <w:rFonts w:ascii="Amiri" w:hAnsi="Amiri" w:eastAsia="Amiri" w:cs="Amiri"/>
          <w:color w:val="111111"/>
          <w:sz w:val="28"/>
          <w:sz w:val="28"/>
          <w:szCs w:val="28"/>
          <w:rtl w:val="true"/>
          <w:lang w:bidi="ar-SA"/>
        </w:rPr>
        <w:t>هنا، وجَعَل السقوط احتمالاً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وللتوقف مجال حيث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يُعمَل بالنص وإلا فعدم الضمان أقوى؛ نعم، لا ينسحب الحكم لو دعا غيره فخرج هو </w:t>
      </w:r>
    </w:p>
    <w:p>
      <w:pPr>
        <w:pStyle w:val="BookText"/>
        <w:rPr/>
      </w:pPr>
      <w:r>
        <w:rPr>
          <w:rFonts w:ascii="Amiri" w:hAnsi="Amiri" w:eastAsia="Amiri" w:cs="Amiri"/>
          <w:color w:val="111111"/>
          <w:sz w:val="28"/>
          <w:sz w:val="28"/>
          <w:szCs w:val="28"/>
          <w:rtl w:val="true"/>
          <w:lang w:bidi="ar-SA"/>
        </w:rPr>
        <w:t>قطعاً؛ لعدم تناول النصّ والفتوى له ولو تعدَّد الداعي اشتركوا في الضمان حيث يثبت قصاصاً وديةً كما لو اشتركوا في الجناية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كان المَدْعُو جماعةً ضَمِن الداعي مطلقاً كلَّ واحدٍ منهم باستقلاله على الوجه الذي فصل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المسألة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انقَلَبت الظفْرُ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بكسر الظاءِ المُشالة فالهمز ساكناً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المرضعة غير ولدها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فقَتَلَتْ الولد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بانقلابها نائمةً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ضَمِنَتْه في مالها إن 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فعلها المظائرة وقع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للفخر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 كان للحاجة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والضرورة إلى الأجرة والبِرِّ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الضمان لديته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عاقلتها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ومستند التفصيل رواية عبد الرحمن بن سالم عن الباقر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أيُّما ظِفْرِ قومٍ قَتَلَتْ صبياً لهم وهي نائمة فانقَلَبَتْ عليه فقَتَلَتْه فإنّما عليها الدية في مالها خاصّةً إن كانت إنّما ظاءرت طلب العزّ والفخر، وإن كانت إنّما ظاءرت من الفقر فإنّما الدية على عاقلتها</w:t>
      </w:r>
      <w:r>
        <w:rPr>
          <w:rFonts w:eastAsia="Amiri" w:cs="Amiri" w:ascii="Amiri" w:hAnsi="Amiri"/>
          <w:color w:val="111111"/>
          <w:sz w:val="28"/>
          <w:szCs w:val="28"/>
          <w:rtl w:val="true"/>
          <w:lang w:bidi="ar-SA"/>
        </w:rPr>
        <w:t>»</w:t>
      </w:r>
      <w:r>
        <w:rPr>
          <w:rStyle w:val="FootnoteAnchor"/>
          <w:rtl w:val="true"/>
        </w:rPr>
        <w:footnoteReference w:id="161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سند الرواية ضعف أو جَهالةٌ يَمنَع من العمل بها وإن كانت مشهورةً، مع مخالفتها للأصول من أنّ قتل النائم خطأ على العاقلة أو في ماله على ما تقدّم</w:t>
      </w:r>
      <w:r>
        <w:rPr>
          <w:rStyle w:val="FootnoteAnchor"/>
          <w:rtl w:val="true"/>
        </w:rPr>
        <w:footnoteReference w:id="161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والأقوى أن ديته على العاقلة مطلقاً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ولو أعادت الولد فأنكره أهله صُدِّقَتْ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لصحيحة الحلبي عن أبي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Style w:val="FootnoteAnchor"/>
          <w:rtl w:val="true"/>
        </w:rPr>
        <w:footnoteReference w:id="161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ولأنّها أمينة،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 مع كذبها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يقيناً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فيلزمها الدية حتى تُحضِرَه أو مَن يَحتمله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لأنّها لا تَدَّعِي موته وقد تَسَلَّمَتْه فيكون في ضمانها، ولو ادَّعَتْ الموتَ فلا ضمان، وحيث تُحضر من يحتمله يُقبل وإنْ كَذَبَتْ سابقاً؛ لأنّها أمينة لم يُعلَم كذبُها ثانياً </w:t>
      </w:r>
      <w:r>
        <w:rPr>
          <w:rFonts w:eastAsia="Amiri" w:cs="Amiri" w:ascii="Amiri" w:hAnsi="Amiri"/>
          <w:color w:val="111111"/>
          <w:sz w:val="28"/>
          <w:szCs w:val="28"/>
          <w:rtl w:val="true"/>
          <w:lang w:bidi="ar-SA"/>
        </w:rPr>
        <w:t>.</w:t>
      </w:r>
    </w:p>
    <w:p>
      <w:pPr>
        <w:sectPr>
          <w:footerReference w:type="default" r:id="rId4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المسألة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رَكِبَتْ جاريةٌ أُخرى فنَخَسَتْها ثالثةٌ فَقَمَصَت المركوبةُ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أي نَفَرَتْ ورَفَعَتْ يديها وطَرَحَتْهما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فصُرِعَت الراكبة فماتت فالمروي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أمير المؤمنين بطريق ضعيف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وجوب ديتها على الناخسة والقامصة نصفين</w:t>
      </w:r>
      <w:r>
        <w:rPr>
          <w:rFonts w:eastAsia="Amiri" w:cs="Amiri" w:ascii="Amiri" w:hAnsi="Amiri"/>
          <w:color w:val="111111"/>
          <w:sz w:val="28"/>
          <w:szCs w:val="28"/>
          <w:rtl w:val="true"/>
          <w:lang w:bidi="ar-SA"/>
        </w:rPr>
        <w:t>)</w:t>
      </w:r>
      <w:r>
        <w:rPr>
          <w:rStyle w:val="FootnoteAnchor"/>
          <w:rtl w:val="true"/>
        </w:rPr>
        <w:footnoteReference w:id="161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وعَمِل بمضمونها الشيخ </w:t>
      </w:r>
      <w:r>
        <w:rPr>
          <w:rStyle w:val="FootnoteAnchor"/>
          <w:rtl w:val="true"/>
        </w:rPr>
        <w:footnoteReference w:id="1618"/>
      </w:r>
      <w:r>
        <w:rPr>
          <w:rFonts w:ascii="Amiri" w:hAnsi="Amiri" w:eastAsia="Amiri" w:cs="Amiri"/>
          <w:color w:val="111111"/>
          <w:sz w:val="28"/>
          <w:sz w:val="28"/>
          <w:szCs w:val="28"/>
          <w:rtl w:val="true"/>
          <w:lang w:bidi="ar-SA"/>
        </w:rPr>
        <w:t>وجماعة</w:t>
      </w:r>
      <w:r>
        <w:rPr>
          <w:rStyle w:val="FootnoteAnchor"/>
          <w:rtl w:val="true"/>
        </w:rPr>
        <w:footnoteReference w:id="1619"/>
      </w:r>
      <w:r>
        <w:rPr>
          <w:rFonts w:ascii="Amiri" w:hAnsi="Amiri" w:eastAsia="Amiri" w:cs="Amiri"/>
          <w:color w:val="111111"/>
          <w:sz w:val="28"/>
          <w:sz w:val="28"/>
          <w:szCs w:val="28"/>
          <w:rtl w:val="true"/>
          <w:lang w:bidi="ar-SA"/>
        </w:rPr>
        <w:t>، وضعفُ سندها يَمنَعه</w:t>
      </w:r>
      <w:r>
        <w:rPr>
          <w:rFonts w:eastAsia="Amiri" w:cs="Amiri" w:ascii="Amiri" w:hAnsi="Amiri"/>
          <w:color w:val="111111"/>
          <w:sz w:val="28"/>
          <w:szCs w:val="28"/>
          <w:rtl w:val="true"/>
          <w:lang w:bidi="ar-SA"/>
        </w:rPr>
        <w:t>.</w:t>
      </w:r>
    </w:p>
    <w:p>
      <w:pPr>
        <w:sectPr>
          <w:footerReference w:type="default" r:id="rId4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وقائله المفيد، ونَسَبه إلى الرواية</w:t>
      </w:r>
      <w:r>
        <w:rPr>
          <w:rStyle w:val="FootnoteAnchor"/>
          <w:rtl w:val="true"/>
        </w:rPr>
        <w:footnoteReference w:id="1620"/>
      </w:r>
      <w:r>
        <w:rPr>
          <w:rFonts w:ascii="Amiri" w:hAnsi="Amiri" w:eastAsia="Amiri" w:cs="Amiri"/>
          <w:color w:val="111111"/>
          <w:sz w:val="28"/>
          <w:sz w:val="28"/>
          <w:szCs w:val="28"/>
          <w:rtl w:val="true"/>
          <w:lang w:bidi="ar-SA"/>
        </w:rPr>
        <w:t>، وتبعه جماعة منهم المحقق</w:t>
      </w:r>
      <w:r>
        <w:rPr>
          <w:rStyle w:val="FootnoteAnchor"/>
          <w:rtl w:val="true"/>
        </w:rPr>
        <w:footnoteReference w:id="1621"/>
      </w:r>
      <w:r>
        <w:rPr>
          <w:rFonts w:ascii="Amiri" w:hAnsi="Amiri" w:eastAsia="Amiri" w:cs="Amiri"/>
          <w:color w:val="111111"/>
          <w:sz w:val="28"/>
          <w:sz w:val="28"/>
          <w:szCs w:val="28"/>
          <w:rtl w:val="true"/>
          <w:lang w:bidi="ar-SA"/>
        </w:rPr>
        <w:t xml:space="preserve">والعلّامة في أحد قوليهما </w:t>
      </w:r>
      <w:r>
        <w:rPr>
          <w:rStyle w:val="FootnoteAnchor"/>
          <w:rtl w:val="true"/>
        </w:rPr>
        <w:footnoteReference w:id="1622"/>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عليهما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الناخسةِ والقامصةِ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الثلثان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ويَسقُط ثلث الدية لركوبها عَبَناً، وكونِ القتل مستنداً إلى فعل الثلاثة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وخرج ابن إدريس ثالثاً، وهو وجوب الدية بأجمعها على الناخسة إن كانت مُلْجِئَةٌ للمركوبة إلى القُموص، وإلا فعلى القامصة</w:t>
      </w:r>
      <w:r>
        <w:rPr>
          <w:rStyle w:val="FootnoteAnchor"/>
          <w:rtl w:val="true"/>
        </w:rPr>
        <w:footnoteReference w:id="1623"/>
      </w:r>
      <w:r>
        <w:rPr>
          <w:rFonts w:ascii="Amiri" w:hAnsi="Amiri" w:eastAsia="Amiri" w:cs="Amiri"/>
          <w:color w:val="111111"/>
          <w:sz w:val="28"/>
          <w:sz w:val="28"/>
          <w:szCs w:val="28"/>
          <w:rtl w:val="true"/>
          <w:lang w:bidi="ar-SA"/>
        </w:rPr>
        <w:t>، أمّا الأوّل فلأنّ فعل المكره مستند إلى مكرهه فيكون توسُّطُ المكره كالآلة فيتعلَّق الحكم بالمكره، وأما الثاني فلاستناد القتل إلى القامصة وَحْدَها حيث فعلت ذلك مختارةً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هو الأقوى، ولا يُشكل بما أورده المصنّف في الشرح</w:t>
      </w:r>
      <w:r>
        <w:rPr>
          <w:rStyle w:val="FootnoteAnchor"/>
          <w:rtl w:val="true"/>
        </w:rPr>
        <w:footnoteReference w:id="1624"/>
      </w:r>
      <w:r>
        <w:rPr>
          <w:rFonts w:ascii="Amiri" w:hAnsi="Amiri" w:eastAsia="Amiri" w:cs="Amiri"/>
          <w:color w:val="111111"/>
          <w:sz w:val="28"/>
          <w:sz w:val="28"/>
          <w:szCs w:val="28"/>
          <w:rtl w:val="true"/>
          <w:lang w:bidi="ar-SA"/>
        </w:rPr>
        <w:t>من أن الإكراه على القتل لا يُسقِط الضمان، وأنّ القَمْصَ في الحالة الثانية ربما كان يقتل غالباً فيجب القصاص؛ لأنّ الإكراه الذي لا يُسقط الضمان ما كان معه قصد المكره إلى الفعل، وبالإلجاء يسقط ذلك فيكون كالآلة، ومِن ثَمَّ وجب القصاص على الدافع دون الواقع حيث يبلغ الإلجاء، والقمص لا يستلزم الوقوع بحسب ذاته فضلاً عن كونه ممّا يقتل غالباً، فيكون من باب الأسباب لا الجنايات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لو فُرِض استلزامه له قطعاً وقَصَدَتْه تَوجَّه القصاص، إلا أنه خلافُ الظاهر</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المسألة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الرابعة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عبد الله بن طلحةَ عن أبي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لص جَمَع ثياباً ووَطِئ امرأةً وقَتَل ولدها فقَتَلَتْه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المرأةُ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إنّه هَدْرٌ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دمه باطل لا عوض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وفي ماله أربعة آلاف درهم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عِوَضاً عن البضع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ويَضمن مواليه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وورثته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ديةً الغلام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قتله</w:t>
      </w:r>
      <w:r>
        <w:rPr>
          <w:rStyle w:val="FootnoteAnchor"/>
          <w:rtl w:val="true"/>
        </w:rPr>
        <w:footnoteReference w:id="162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ووجه الأوّل أنّه محارِبُ يُقتل إذا لم يندفع إلا به، ويُحْمَل المقدَّر من الدراهم على أنّه مهرُ أمثالها بناءً على أنّه لا يتقدر بالسُنّة؛ لأنّه جناية يغلب فيه جانب الماليّة؛ كما يضمن الغاصب قيمة العبدِ المغصوب وإن تجاوَزَت دية الحرّ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ووجه ضمان دية الغلام مع أنه مقتول عمداً فواتُ محلّ القصاص، وقد تقدَّم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وبهذا التنزيل لا تُنا في الرواية الأصول، لكن لا يتعيَّن ما قدر فيها من عوض البضع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فُرِض قتلُ المرأة له قصاصاً عن ولدها سَقَط غُرْمُ الأولياء، أو أسقطنا الحقَّ بفوات محلّ القصاص فلا دية، وإنْ قَتَلَتْه دفاعاً أو قتلته لا لذلك قيدَتْ به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وعنه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بالطريق السابق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صديق عروس قَتَلَه الزوجُ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وَجَده عندها في الحَجَلَة ليلةَ العُرْس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فقَتَلَت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المرأةُ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الزوج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أنّها تُقتَل به أي بالزوج،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وتضمن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الصديق</w:t>
      </w:r>
      <w:r>
        <w:rPr>
          <w:rFonts w:eastAsia="Amiri" w:cs="Amiri" w:ascii="Amiri" w:hAnsi="Amiri"/>
          <w:color w:val="111111"/>
          <w:sz w:val="28"/>
          <w:szCs w:val="28"/>
          <w:rtl w:val="true"/>
          <w:lang w:bidi="ar-SA"/>
        </w:rPr>
        <w:t>)</w:t>
      </w:r>
      <w:r>
        <w:rPr>
          <w:rStyle w:val="FootnoteAnchor"/>
          <w:rtl w:val="true"/>
        </w:rPr>
        <w:footnoteReference w:id="1626"/>
      </w:r>
      <w:r>
        <w:rPr>
          <w:rFonts w:ascii="Amiri" w:hAnsi="Amiri" w:eastAsia="Amiri" w:cs="Amiri"/>
          <w:color w:val="111111"/>
          <w:sz w:val="28"/>
          <w:sz w:val="28"/>
          <w:szCs w:val="28"/>
          <w:rtl w:val="true"/>
          <w:lang w:bidi="ar-SA"/>
        </w:rPr>
        <w:t>بناءً على أنها سبب تلفه بغرورها إياه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والأقرب أنّه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الصديق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هَدْرٌ إِن 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بالحال؛ لأنّ للزوج قتل من يجد في داره للزنى، فسَقَط القَودُ عن الزوج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ويُشكل بأنّ دخوله أعم من قصد الزنى ولو سُلّم مَنَعنا الحكم بجواز قتلِ مُريدِه مطلقاً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والحكم المذكور في الرواية مع ضعف سندها ضعف سندها في واقعة، مخالفاً للأُصول فلا يَتَعَدَّى، فلعله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عَلم بموجب ذلك</w:t>
      </w:r>
      <w:r>
        <w:rPr>
          <w:rFonts w:eastAsia="Amiri" w:cs="Amiri" w:ascii="Amiri" w:hAnsi="Amiri"/>
          <w:color w:val="111111"/>
          <w:sz w:val="28"/>
          <w:szCs w:val="28"/>
          <w:rtl w:val="true"/>
          <w:lang w:bidi="ar-SA"/>
        </w:rPr>
        <w:t>.</w:t>
      </w:r>
    </w:p>
    <w:p>
      <w:pPr>
        <w:sectPr>
          <w:footerReference w:type="default" r:id="rId4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ورَوَى محمدُ بنُ قيس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 جعفر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قضى 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أربعة شكارَى فجُرِح اثنان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وقُتِل اثنان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يُعلم القاتل والجارحُ</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يَضمنهما </w:t>
      </w:r>
    </w:p>
    <w:p>
      <w:pPr>
        <w:pStyle w:val="BookText"/>
        <w:rPr/>
      </w:pPr>
      <w:r>
        <w:rPr>
          <w:rFonts w:ascii="Amiri" w:hAnsi="Amiri" w:eastAsia="Amiri" w:cs="Amiri"/>
          <w:color w:val="111111"/>
          <w:sz w:val="28"/>
          <w:sz w:val="28"/>
          <w:szCs w:val="28"/>
          <w:rtl w:val="true"/>
          <w:lang w:bidi="ar-SA"/>
        </w:rPr>
        <w:t xml:space="preserve">الجارحان بعد وضع جراحاتهما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الدية</w:t>
      </w:r>
      <w:r>
        <w:rPr>
          <w:rFonts w:eastAsia="Amiri" w:cs="Amiri" w:ascii="Amiri" w:hAnsi="Amiri"/>
          <w:color w:val="111111"/>
          <w:sz w:val="28"/>
          <w:szCs w:val="28"/>
          <w:rtl w:val="true"/>
          <w:lang w:bidi="ar-SA"/>
        </w:rPr>
        <w:t>.</w:t>
      </w:r>
      <w:r>
        <w:rPr>
          <w:rStyle w:val="FootnoteAnchor"/>
          <w:rtl w:val="true"/>
        </w:rPr>
        <w:footnoteReference w:id="1627"/>
      </w:r>
      <w:r>
        <w:rPr>
          <w:rFonts w:ascii="Amiri" w:hAnsi="Amiri" w:eastAsia="Amiri" w:cs="Amiri"/>
          <w:color w:val="111111"/>
          <w:sz w:val="28"/>
          <w:sz w:val="28"/>
          <w:szCs w:val="28"/>
          <w:rtl w:val="true"/>
          <w:lang w:bidi="ar-SA"/>
        </w:rPr>
        <w:t xml:space="preserve">وفي الرواية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اشتراك محمد بن قيس الذي يروي عن الباقر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بين الثقة وغيره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استلزام الاجتماع المذكور والاقتتال كونَ القاتل هو المجروح وبالعكس فيختص حكمُها بواقعتها؛ لجواز علمه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بما أَوجَبه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 يمكن الحكم بكون ذلك لوثاً، يثبت الفعلُ بالقسامة من عمدٍ أو خطأ وقتل وجرح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ما استشكله المصنف في الشرح على الرواية من أنّه إذا حُكم بأنّ المجروحين قاتلان فلِمَ لا يُستعدّى منهما، وأن إطلاق الحكم بأخذ دية الجُرح وإهدار الدية لو ماتا لا يتم أيضاً، وكذا الحكم بوجوب الدية في جراحتهما؛ لأنّ موجَبَ العمد القصاص</w:t>
      </w:r>
      <w:r>
        <w:rPr>
          <w:rStyle w:val="FootnoteAnchor"/>
          <w:rtl w:val="true"/>
        </w:rPr>
        <w:footnoteReference w:id="162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فيمكن دفعه بكون القتل وقع منهما حالة السكر، فلا يُوجِب إِلَّا الدية على أصح القولين</w:t>
      </w:r>
      <w:r>
        <w:rPr>
          <w:rStyle w:val="FootnoteAnchor"/>
          <w:rtl w:val="true"/>
        </w:rPr>
        <w:footnoteReference w:id="1629"/>
      </w:r>
    </w:p>
    <w:p>
      <w:pPr>
        <w:pStyle w:val="BookText"/>
        <w:rPr/>
      </w:pP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والمحقق في شرائع الإسلام، ج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236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وفرض الجرح غير قاتل كما هو ظاهر الرواية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ووجوب دية الجرح لوقوعه أيضاً من السكران كالقتل، أو لفوات محلّ القصاص والحق الاقتصارُ على الحكم باللوث وإثباتِ ما يوجبه فيهما</w:t>
      </w:r>
      <w:r>
        <w:rPr>
          <w:rFonts w:eastAsia="Amiri" w:cs="Amiri" w:ascii="Amiri" w:hAnsi="Amiri"/>
          <w:color w:val="111111"/>
          <w:sz w:val="28"/>
          <w:szCs w:val="28"/>
          <w:rtl w:val="true"/>
          <w:lang w:bidi="ar-SA"/>
        </w:rPr>
        <w:t>.</w:t>
      </w:r>
    </w:p>
    <w:p>
      <w:pPr>
        <w:sectPr>
          <w:footerReference w:type="default" r:id="rId4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وعن أبي جعفر الباقر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ستة غلمان بالفرات فغَرِقَ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وبَقِيَ خمسةٌ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فشَهِد اثنان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ثلاثة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أنهم غَرَّقوه،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وبالعكس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شهد الثلاثة على الاثنين أنهم غَرَّقوه</w:t>
      </w:r>
      <w:r>
        <w:rPr>
          <w:rStyle w:val="FootnoteAnchor"/>
          <w:rtl w:val="true"/>
        </w:rPr>
        <w:footnoteReference w:id="1630"/>
      </w:r>
      <w:r>
        <w:rPr>
          <w:rFonts w:ascii="Amiri" w:hAnsi="Amiri" w:eastAsia="Amiri" w:cs="Amiri"/>
          <w:color w:val="111111"/>
          <w:sz w:val="28"/>
          <w:sz w:val="28"/>
          <w:szCs w:val="28"/>
          <w:rtl w:val="true"/>
          <w:lang w:bidi="ar-SA"/>
        </w:rPr>
        <w:t xml:space="preserve">، فحكم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 الدية أخماس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على كلّ واحد منهم خُمس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بنسبة الشهادة</w:t>
      </w:r>
      <w:r>
        <w:rPr>
          <w:rFonts w:eastAsia="Amiri" w:cs="Amiri" w:ascii="Amiri" w:hAnsi="Amiri"/>
          <w:color w:val="111111"/>
          <w:sz w:val="28"/>
          <w:szCs w:val="28"/>
          <w:rtl w:val="true"/>
          <w:lang w:bidi="ar-SA"/>
        </w:rPr>
        <w:t>.</w:t>
      </w:r>
      <w:r>
        <w:rPr>
          <w:rStyle w:val="FootnoteAnchor"/>
          <w:rtl w:val="true"/>
        </w:rPr>
        <w:footnoteReference w:id="1631"/>
      </w:r>
      <w:r>
        <w:rPr>
          <w:rFonts w:ascii="Amiri" w:hAnsi="Amiri" w:eastAsia="Amiri" w:cs="Amiri"/>
          <w:color w:val="111111"/>
          <w:sz w:val="28"/>
          <w:sz w:val="28"/>
          <w:szCs w:val="28"/>
          <w:rtl w:val="true"/>
          <w:lang w:bidi="ar-SA"/>
        </w:rPr>
        <w:t>وهي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مع ضعف سندها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قضيّةً في واقعة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مخالفة لأُصول المذهب فلا يتعدى</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والموافق لها من الحكم أن شهادة السابقين إن كانت مع استدعاء الولي وعدالتهم قُبِلَتْ، ثمّ لا تقبل شهادة الآخرين للتهمة، وإن كانت الدعوى على الجميع أو حَصَلَتْ التهمةُ عليهم لم تُقبل شهادة أحدهم مطلقاً، ويكون ذلك لوثاً يمكن إثباته بالقسامة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واعلم أنّ عادة الأصحاب جَرَتْ بحكاية هذه الأحكام هنا بلفظ الرواية، نظراً إلى مخالفتها للأصل واحتياجها أو بعضها في ردّها إليه إلى التأويل أو التقييد، أو للتنبيه على مأخذ الحكم المخالف للأصل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يَزِيد بعضُهم التنبية على ضعف المستند تحقيقاً لعذر اطراحها</w:t>
      </w:r>
      <w:r>
        <w:rPr>
          <w:rFonts w:eastAsia="Amiri" w:cs="Amiri" w:ascii="Amiri" w:hAnsi="Amiri"/>
          <w:color w:val="111111"/>
          <w:sz w:val="28"/>
          <w:szCs w:val="28"/>
          <w:rtl w:val="true"/>
          <w:lang w:bidi="ar-SA"/>
        </w:rPr>
        <w:t>.</w:t>
      </w:r>
      <w:r>
        <w:rPr>
          <w:rStyle w:val="FootnoteAnchor"/>
          <w:rtl w:val="true"/>
        </w:rPr>
        <w:footnoteReference w:id="1632"/>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المسألة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الخامسة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يَضمن معلّمُ السباحة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المتعلم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الصغير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غير البالغ لو جني عليه بها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ماله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لأنّه شبيه عمدٍ، سواءٌ فَرَّط أم لا على ما يقتضيه إطلاق العبارة، ويؤيّده ما رُوي من ضمان الصانع وإن اجتهد</w:t>
      </w:r>
      <w:r>
        <w:rPr>
          <w:rStyle w:val="FootnoteAnchor"/>
          <w:rtl w:val="true"/>
        </w:rPr>
        <w:footnoteReference w:id="163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 القواعد علَّل الضمان بالتفريط</w:t>
      </w:r>
      <w:r>
        <w:rPr>
          <w:rStyle w:val="FootnoteAnchor"/>
          <w:rtl w:val="true"/>
        </w:rPr>
        <w:footnoteReference w:id="1634"/>
      </w:r>
      <w:r>
        <w:rPr>
          <w:rFonts w:ascii="Amiri" w:hAnsi="Amiri" w:eastAsia="Amiri" w:cs="Amiri"/>
          <w:color w:val="111111"/>
          <w:sz w:val="28"/>
          <w:sz w:val="28"/>
          <w:szCs w:val="28"/>
          <w:rtl w:val="true"/>
          <w:lang w:bidi="ar-SA"/>
        </w:rPr>
        <w:t>، ومقتضاه أنه لو لم يُفرّط فلا ضمان، وتوقف في التحرير في الضمان على تقدير عدمه</w:t>
      </w:r>
      <w:r>
        <w:rPr>
          <w:rStyle w:val="FootnoteAnchor"/>
          <w:rtl w:val="true"/>
        </w:rPr>
        <w:footnoteReference w:id="163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إذا كان قد دَفَعه إليه وليه ومَن بحكمه، وإلَّا ضَمِن الصغير مطلقاً قطعاً، وفي حكمه المجنون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بخلاف البالغ الرشيد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لا يضمنه وإنْ فَرَّط لأنه في يد نفسه</w:t>
      </w:r>
      <w:r>
        <w:rPr>
          <w:rFonts w:eastAsia="Amiri" w:cs="Amiri" w:ascii="Amiri" w:hAnsi="Amiri"/>
          <w:color w:val="111111"/>
          <w:sz w:val="28"/>
          <w:szCs w:val="28"/>
          <w:rtl w:val="true"/>
          <w:lang w:bidi="ar-SA"/>
        </w:rPr>
        <w:t>.</w:t>
      </w:r>
    </w:p>
    <w:p>
      <w:pPr>
        <w:sectPr>
          <w:footerReference w:type="default" r:id="rId4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ولو بنى مسجداً في الطريق ضَمِن؛ للعدوان بوضعه فيما لا يصح الانتفاع فيه بما ينافي الاستطراق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إلّا أن يكون الطريق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واسعاً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زائداً عن القدر المحتاج إليه للاستطراق؛ كزاوية في الطريق أو كونه زائداً عن المقدَّر شرعاً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واعلم أن الطريق </w:t>
      </w:r>
    </w:p>
    <w:p>
      <w:pPr>
        <w:pStyle w:val="BookText"/>
        <w:rPr/>
      </w:pPr>
      <w:r>
        <w:rPr>
          <w:rFonts w:ascii="Amiri" w:hAnsi="Amiri" w:eastAsia="Amiri" w:cs="Amiri"/>
          <w:color w:val="111111"/>
          <w:sz w:val="28"/>
          <w:sz w:val="28"/>
          <w:szCs w:val="28"/>
          <w:rtl w:val="true"/>
          <w:lang w:bidi="ar-SA"/>
        </w:rPr>
        <w:t>مؤنّتُ سَماعي فكان ينبغي إلحاق التاء في خبره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ويأذن الإمام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في عمارته فلا ضمان حينئذ، وهذا يدلّ على عدم جواز إحياء الزائد من الطريق عن المقدر بدون إذن الإمام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الدروس أطلق جواز إحياء الزائد وغَرْسِه والبناء فيه</w:t>
      </w:r>
      <w:r>
        <w:rPr>
          <w:rStyle w:val="FootnoteAnchor"/>
          <w:rtl w:val="true"/>
        </w:rPr>
        <w:footnoteReference w:id="1636"/>
      </w:r>
      <w:r>
        <w:rPr>
          <w:rFonts w:ascii="Amiri" w:hAnsi="Amiri" w:eastAsia="Amiri" w:cs="Amiri"/>
          <w:color w:val="111111"/>
          <w:sz w:val="28"/>
          <w:sz w:val="28"/>
          <w:szCs w:val="28"/>
          <w:rtl w:val="true"/>
          <w:lang w:bidi="ar-SA"/>
        </w:rPr>
        <w:t>، وكذا أطلق في التحرير جواز وضع المسجد في القدر الزائد</w:t>
      </w:r>
      <w:r>
        <w:rPr>
          <w:rStyle w:val="FootnoteAnchor"/>
          <w:rtl w:val="true"/>
        </w:rPr>
        <w:footnoteReference w:id="163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حسن مع عدم الحاجة إليه بحسب العادة في تلك الطريق، وإلا فالمنع أحسن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ويَضمَن واضع الحجر في مِلكِ غيره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مطلقاً إذا حصل بسببه جناية،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طريقٍ مباح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عبثاً أو لمصلحة نفسه أو ليتضرر به المارّة، أما لو وضعه لمصلحة عامة كوضعه فى الطين ليطا الناسُ عليه، أو سَقَفَ به ساقيةً فيها ونحوه فلا ضمان؛ لأنه محسن، وبه قطع في التحرير</w:t>
      </w:r>
      <w:r>
        <w:rPr>
          <w:rStyle w:val="FootnoteAnchor"/>
          <w:rtl w:val="true"/>
        </w:rPr>
        <w:footnoteReference w:id="1638"/>
      </w:r>
      <w:r>
        <w:rPr>
          <w:rFonts w:eastAsia="Times New Roman" w:cs="Times New Roman" w:ascii="Times New Roman" w:hAnsi="Times New Roman"/>
          <w:color w:val="111111"/>
          <w:sz w:val="28"/>
          <w:szCs w:val="28"/>
          <w:rtl w:val="true"/>
          <w:lang w:val="en-US" w:bidi="en-US"/>
        </w:rPr>
        <w:t>.</w:t>
      </w:r>
    </w:p>
    <w:p>
      <w:pPr>
        <w:sectPr>
          <w:footerReference w:type="default" r:id="rId4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المسألة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السادسة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وقع حائطه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المائل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بعد علمه بميله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الطريق أو ملك الغير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وتمكنه من إصلاحه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العلم وقبل الوقوع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بناه مائلاً إلى الطريق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ابتداءً، ومثله ما لو بناه على غير أساس مثلِه،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يتلف بسببه من نفس ومال،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يتفق ذلك بقيوده أجمع بأن لم يعلم بفساده حتى وقع، مع كونه مؤسساً على الوجه المعتبر في مثله، أو علم ولكن لم يتمكن من إصلاحه حتى وقع، أو كان ميله إلى ملكه أو ملكٍ أُذن فيه ولو بعد الميل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ضمان؛ لعدم العدوان، إلا أن يَعلَم على تقدير علمه بفساده كميله إلى ملكه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بوقوع أطرافِ الخُشُب والآلاتِ إلى الطريق فيكون كميله إلى الطريق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كان الحائط لمُوَلَّى عليه فإصلاحه وضمان حدثِه متعلّق بالولي</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ولو وَضَع عليه إناءً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ونحوه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فسقط فأتلف فلا ضمان إذا 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الموضوع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مستقراً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الحائط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العادة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لأنّ له التصرف في ملكه كيف شاء فلا يكون عادياً، ولو لم يكن مستقراً استقرار مثله ضَمِن؛ للعدوان بتعريضه للوقوع على المارّةِ والجار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ومثله ما لو وضعه على سطحه أو شجرته الموضوعة في ملكه أو مباح</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وقع الميزابُ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المنصوبُ إلى الطريق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ولا تفريط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كان مُثبتاً على عادة أمثاله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فالأقرب عدم الضمان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للإذن في وضع الميازيب شرعاً كذلك فلا يَتَعَقَّبه الضمان، ولأصالة البراءة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يَضمَن وإن جاز وضعه</w:t>
      </w:r>
      <w:r>
        <w:rPr>
          <w:rStyle w:val="FootnoteAnchor"/>
          <w:rtl w:val="true"/>
        </w:rPr>
        <w:footnoteReference w:id="1639"/>
      </w:r>
    </w:p>
    <w:p>
      <w:p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585</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لأنه سبب الإتلاف وإنْ أُبيح السبب كالطبيب والبيطار والمؤدب؛ ولصحيحة أبي الصباح الكناني عن الصادق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مَن أضَرَّ بشيء من طريق المسلمين فهو له ضامن</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ولرواية السكوني 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أخرج ميزاباً أو كنيفاً 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أوتَدَ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وَتِداً أو أوثق دابَّةٌ أو حَفَر بئراً في طريق المسلمين فأصاب شيئاً فعَطِبَ فهو له ضامن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نص في الباب لو صح طريقه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وفَصَّل آخَرون فحكموا بالضمان مطلقاً إن كان الساقط الخارج منه عن الحائط</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4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لأنّ وضعه في الطريق مشروط بعدم الإضرار كالروشن والساباط، وبضمان النصف إن كان الساقط الجميع لحصول التلف بأمرين أحدهما غير مضمون؛ لأنّ ما في الحائط منه بمنزلة أجزاء الحائط، وقد تقدَّم أنّها لا توجب ضماناً حيث لا تقصير في حفظها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القول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الجناح والروشن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يَضمن ما يَتلَف بسببهما إلا مع التفريط لما ذكر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وعلى التفصيل لو كانت خَشَبَةً موضوعةً في حائطه ضَمِن النصف إن سقطت أجمعُ، وإن انقَصَفَتْ وسَقَط الخارج عنه أو كانت موضوعةً على غير ملكه ضَمِن الجميع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كلُّه في الطريق النافذة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المرفوعة فلا يجوز فعل ذلك فيها إلا بإذن أربابها أجمعَ؛ لأنّها ملك لهم، وإن كان الواضح أحدهم فبدون الإذن يَضمن مطلقاً، إلا القدر الداخل في ملكه لأنه سائغ لا يتعقبه ضمان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المسألة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السابعة لو أجج ناراً في ملكه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ولؤ للمنفعة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ريح معتدلة أو ساكنةٍ ، ولم تَزد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قدر الحاجة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 أضرمها لأجلها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 ضمان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له التصرف في ملكه كيف شاء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وإنْ عَصَفَت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الريح بعد إضرامها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بغتةً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لعدم التفريط،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يفعل كذلك بأن كانت الريحُ عاصفة حالة الإضرام على وجه يُوجِب ظنَّ التعدّي إلى ملك الغير، أو زاد عن قدر الحاجة وإن كانت ساكنةً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سرايتها إلى ملكِ غيره، فالضمان على هذا مشروط بأحد الأمرين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الزيادة أو عَصْفِ الريح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يُشترط اجتماعهما معاً</w:t>
      </w:r>
      <w:r>
        <w:rPr>
          <w:rStyle w:val="FootnoteAnchor"/>
          <w:rtl w:val="true"/>
        </w:rPr>
        <w:footnoteReference w:id="1640"/>
      </w:r>
      <w:r>
        <w:rPr>
          <w:rFonts w:ascii="Amiri" w:hAnsi="Amiri" w:eastAsia="Amiri" w:cs="Amiri"/>
          <w:color w:val="111111"/>
          <w:sz w:val="28"/>
          <w:sz w:val="28"/>
          <w:szCs w:val="28"/>
          <w:rtl w:val="true"/>
          <w:lang w:bidi="ar-SA"/>
        </w:rPr>
        <w:t xml:space="preserve">، وقيل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يكفي ظنُّ التعدّي إلى ملك الغير مطلقاً </w:t>
      </w:r>
      <w:r>
        <w:rPr>
          <w:rStyle w:val="FootnoteAnchor"/>
          <w:rtl w:val="true"/>
        </w:rPr>
        <w:footnoteReference w:id="164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ومثله القول في إرسال الماء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تقدَّم الكلام في ذلك كله في باب الغصب</w:t>
      </w:r>
      <w:r>
        <w:rPr>
          <w:rStyle w:val="FootnoteAnchor"/>
          <w:rtl w:val="true"/>
        </w:rPr>
        <w:footnoteReference w:id="1642"/>
      </w:r>
      <w:r>
        <w:rPr>
          <w:rFonts w:ascii="Amiri" w:hAnsi="Amiri" w:eastAsia="Amiri" w:cs="Amiri"/>
          <w:color w:val="111111"/>
          <w:sz w:val="28"/>
          <w:sz w:val="28"/>
          <w:szCs w:val="28"/>
          <w:rtl w:val="true"/>
          <w:lang w:bidi="ar-SA"/>
        </w:rPr>
        <w:t>، ولا وجه لذكرها في هذا المختصر مرّتين</w:t>
      </w:r>
      <w:r>
        <w:rPr>
          <w:rFonts w:eastAsia="Amiri" w:cs="Amiri" w:ascii="Amiri" w:hAnsi="Amiri"/>
          <w:color w:val="111111"/>
          <w:sz w:val="28"/>
          <w:szCs w:val="28"/>
          <w:rtl w:val="true"/>
          <w:lang w:bidi="ar-SA"/>
        </w:rPr>
        <w:t>.</w:t>
      </w:r>
    </w:p>
    <w:p>
      <w:pPr>
        <w:sectPr>
          <w:footerReference w:type="default" r:id="rId4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ولو أجج في موضع ليس له ذلك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كملك غيره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ضَمِن الأَنْفُسَ والأموال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تعذر التخلّص في ماله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قصد الإتلاف فهو عامد يُقاد في النفس مع ضمان المال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ولو أججها في المباح فالظاهر أنه كالملك؛ لجواز التصرف فيه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المسألة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الثامنة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فرَّط 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دابته فدَخَلَتْ على أُخرى فجَنَتْ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جنايتها؛ لتفريطه،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جني عليها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جَنَّتْ المدخول عليها على دابته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فهذرٌ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لم يُفرّط في حفظ دابته؛ بأن انفلَتَتْ من الاصطبل الموثق، أو حَلَّها غيرُه، فلا ضمان عليه لأصالة البراءة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وأطلق الشيخ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w:t>
      </w:r>
      <w:r>
        <w:rPr>
          <w:rStyle w:val="FootnoteAnchor"/>
          <w:rtl w:val="true"/>
        </w:rPr>
        <w:footnoteReference w:id="1643"/>
      </w:r>
      <w:r>
        <w:rPr>
          <w:rFonts w:ascii="Amiri" w:hAnsi="Amiri" w:eastAsia="Amiri" w:cs="Amiri"/>
          <w:color w:val="111111"/>
          <w:sz w:val="28"/>
          <w:sz w:val="28"/>
          <w:szCs w:val="28"/>
          <w:rtl w:val="true"/>
          <w:lang w:bidi="ar-SA"/>
        </w:rPr>
        <w:t>وجماعة</w:t>
      </w:r>
      <w:r>
        <w:rPr>
          <w:rStyle w:val="FootnoteAnchor"/>
          <w:rtl w:val="true"/>
        </w:rPr>
        <w:footnoteReference w:id="1644"/>
      </w:r>
      <w:r>
        <w:rPr>
          <w:rFonts w:ascii="Amiri" w:hAnsi="Amiri" w:eastAsia="Amiri" w:cs="Amiri"/>
          <w:color w:val="111111"/>
          <w:sz w:val="28"/>
          <w:sz w:val="28"/>
          <w:szCs w:val="28"/>
          <w:rtl w:val="true"/>
          <w:lang w:bidi="ar-SA"/>
        </w:rPr>
        <w:t xml:space="preserve">ضمان صاحب الداخلة ما تجنيه ؛ لقضيّة عليّ في زمن النبي </w:t>
      </w:r>
      <w:r>
        <w:rPr>
          <w:rStyle w:val="FootnoteAnchor"/>
          <w:rtl w:val="true"/>
        </w:rPr>
        <w:footnoteReference w:id="1645"/>
      </w:r>
      <w:r>
        <w:rPr>
          <w:rFonts w:ascii="Amiri" w:hAnsi="Amiri" w:eastAsia="Amiri" w:cs="Amiri"/>
          <w:color w:val="111111"/>
          <w:sz w:val="28"/>
          <w:sz w:val="28"/>
          <w:szCs w:val="28"/>
          <w:rtl w:val="true"/>
          <w:lang w:bidi="ar-SA"/>
        </w:rPr>
        <w:t>، والرواية ضعيفة ،السند، فاعتبار التفريط وعدمه متجة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ويجب حفظ البعير المُعْتَلِم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الهائج لشهوة الضراب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والكلبِ العَقُورِ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وشبههما على مالكه،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فيضمَن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يجنيه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بدونه إذا عَلم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بحاله وأَهمَل حِفْظه، ولو جهل حاله أو عَلِم ولم يُفرّط فلا ضمان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إلحاق الهرَّةِ الضارية بهما قولان</w:t>
      </w:r>
      <w:r>
        <w:rPr>
          <w:rStyle w:val="FootnoteAnchor"/>
          <w:rtl w:val="true"/>
        </w:rPr>
        <w:footnoteReference w:id="164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استناد التلف إلى تفريطه في حفظها، وعدم جريان العادة بربطها، والأجود الأول؛ نعم، يجوز قتلها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ولو دافعها عنه إنسانُ فأَدَّى الدفع إلى تلفها أو تعيبها فلا ضمان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لجواز دفعها عن نفسه فلا يَتعَقَّبه ضمان، لكن يجب الاقتصار على ما تندفع به فإن زاد عنه ضَمِن وكذا لو جَنَى عليها لا للدفع</w:t>
      </w:r>
      <w:r>
        <w:rPr>
          <w:rFonts w:eastAsia="Amiri" w:cs="Amiri" w:ascii="Amiri" w:hAnsi="Amiri"/>
          <w:color w:val="111111"/>
          <w:sz w:val="28"/>
          <w:szCs w:val="28"/>
          <w:rtl w:val="true"/>
          <w:lang w:bidi="ar-SA"/>
        </w:rPr>
        <w:t>.</w:t>
      </w:r>
    </w:p>
    <w:p>
      <w:pPr>
        <w:sectPr>
          <w:footerReference w:type="default" r:id="rId4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وإذا أذن له قومٌ في دخول دارِ فعقره كلبُها ضَمِنُوه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لم يعلموا أن الكلب فيها </w:t>
      </w:r>
    </w:p>
    <w:p>
      <w:pPr>
        <w:pStyle w:val="BookText"/>
        <w:rPr/>
      </w:pPr>
      <w:r>
        <w:rPr>
          <w:rFonts w:ascii="Amiri" w:hAnsi="Amiri" w:eastAsia="Amiri" w:cs="Amiri"/>
          <w:color w:val="111111"/>
          <w:sz w:val="28"/>
          <w:sz w:val="28"/>
          <w:szCs w:val="28"/>
          <w:rtl w:val="true"/>
          <w:lang w:bidi="ar-SA"/>
        </w:rPr>
        <w:t xml:space="preserve">حين دخوله أو دخل بعده؛ لإطلاق النص </w:t>
      </w:r>
      <w:r>
        <w:rPr>
          <w:rStyle w:val="FootnoteAnchor"/>
          <w:rtl w:val="true"/>
        </w:rPr>
        <w:footnoteReference w:id="1647"/>
      </w:r>
      <w:r>
        <w:rPr>
          <w:rFonts w:ascii="IRNazanin" w:hAnsi="IRNazanin" w:eastAsia="IRNazanin"/>
          <w:color w:val="111111"/>
          <w:sz w:val="28"/>
          <w:sz w:val="28"/>
          <w:szCs w:val="28"/>
          <w:rtl w:val="true"/>
          <w:lang w:bidi="fa-IR"/>
        </w:rPr>
        <w:t>والفتوى</w:t>
      </w:r>
      <w:r>
        <w:rPr>
          <w:rStyle w:val="FootnoteAnchor"/>
          <w:rtl w:val="true"/>
        </w:rPr>
        <w:footnoteReference w:id="164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دخلها بغير إذن المالك لم يضمن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أَذِن بعضُ مَن في الدار دون بعض، فإن كان ممّن يجوز الدخول مع إذنه اختَصَّ الضمان ،به وإلا فكما لو لم يأذن ولو اختلفا في الإذن قدم المنكر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المسألة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التاسعة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يَضمَن راكب الدابّة ما تجنيه بيديها ورأسها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دون رِجليها،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والقائد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كذلك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يضمن جناية يديها ورأسها خاصة، والسائق يضمنها مطلقاً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وكذا يُضمَن جنايتها مطلقاً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وقف بها الراكب أو القائد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ومستند التفصيل أخبار كثيرة </w:t>
      </w:r>
      <w:r>
        <w:rPr>
          <w:rStyle w:val="FootnoteAnchor"/>
          <w:rtl w:val="true"/>
        </w:rPr>
        <w:footnoteReference w:id="1649"/>
      </w:r>
      <w:r>
        <w:rPr>
          <w:rFonts w:ascii="Amiri" w:hAnsi="Amiri" w:eastAsia="Amiri" w:cs="Amiri"/>
          <w:color w:val="111111"/>
          <w:sz w:val="28"/>
          <w:sz w:val="28"/>
          <w:szCs w:val="28"/>
          <w:rtl w:val="true"/>
          <w:lang w:bidi="ar-SA"/>
        </w:rPr>
        <w:t>نُبِّه في بعضها على الفرق بأنّ الراكب والقائد يملكان يديها ورأسها ويُوَجِهانِها كيف شاءا، ولا يملكان رِجْلَيها لأنهما خَلْفَهما، والسائق يملك الجميع</w:t>
      </w:r>
      <w:r>
        <w:rPr>
          <w:rStyle w:val="FootnoteAnchor"/>
          <w:rtl w:val="true"/>
        </w:rPr>
        <w:footnoteReference w:id="165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رَكِبَها اثنان تَساوَيَا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الضمان؛ لاشتراكهما في اليد والسببية، إلا أن يكون أحدهما ضعيفاً لصغَرٍ أو مرض فيختص الضمانُ بالآخر؛ لأنّه المتولّي أمرها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ولو كان صاحبها معها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مراعياً لها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 ضمان على الراكب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ويَبْقَى في المالك ما سبق من التفصيل باعتبار كونه سائقاً أو قائداً، ولو لم يكن المالك مراعياً لها بل تَوَلَّى أمرها الراكب ضَمِن دون المالك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ويضمنه مالكها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الراكب أيضاً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لونَفَرَها فأَلْقَتْه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إن ألقته بغير سببه</w:t>
      </w:r>
      <w:r>
        <w:rPr>
          <w:rFonts w:eastAsia="Amiri" w:cs="Amiri" w:ascii="Amiri" w:hAnsi="Amiri"/>
          <w:color w:val="111111"/>
          <w:sz w:val="28"/>
          <w:szCs w:val="28"/>
          <w:rtl w:val="true"/>
          <w:lang w:bidi="ar-SA"/>
        </w:rPr>
        <w:t>.</w:t>
      </w:r>
    </w:p>
    <w:p>
      <w:pPr>
        <w:sectPr>
          <w:footerReference w:type="default" r:id="rId4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ولو اجتمع للدابة سائق وقائد أو أحدهما وراكب أو الثلاثة اشتركوا في ضمان المشترك، واختَصَّ السائق بجناية الرجلين ولو كان المقود أو المَسُوقُ قطاراً ففي إلحاق الجميع بالواحد حكماً وجهان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صدق السوق والقَوْد للجميع، ومن فقد علّة </w:t>
      </w:r>
    </w:p>
    <w:p>
      <w:pPr>
        <w:pStyle w:val="BookText"/>
        <w:rPr/>
      </w:pPr>
      <w:r>
        <w:rPr>
          <w:rFonts w:ascii="Amiri" w:hAnsi="Amiri" w:eastAsia="Amiri" w:cs="Amiri"/>
          <w:color w:val="111111"/>
          <w:sz w:val="28"/>
          <w:sz w:val="28"/>
          <w:szCs w:val="28"/>
          <w:rtl w:val="true"/>
          <w:lang w:bidi="ar-SA"/>
        </w:rPr>
        <w:t>الضمان وهي القدرة على حفظ ما ضمن جنايته ، فإنّ القائد لا يَقدِر على حفظ يدَيْ ما تَأَخَّر عن الأوّل غالباً، وكذا السائق بالنسبة إلى غير التأخّر</w:t>
      </w:r>
      <w:r>
        <w:rPr>
          <w:rStyle w:val="FootnoteAnchor"/>
          <w:rtl w:val="true"/>
        </w:rPr>
        <w:footnoteReference w:id="165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أقوى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لو رَكِب واحداً وقاد الباقي تَعلَّق به حكم المركوب وأوّل المقطور، وكذا لو ساق مع ذلك واحداً وأكثر</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المسألة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العاشرةُ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يَضمَن المباشر لو جامَعَه السبب دونه؛ لأنّه أقوى وأقربُ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مع علم المباشر بالسبب، ولو جَهل المباشر ضمن السبب فالسبب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کالحافر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للبئر في غير ملكه،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المباشر ك</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الدافع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فيها فالضمان على الدافع دون الحافر، إلا أن تكون البئرُ مُغَطَّاةً ولا يَعلَم بها الدافع، فالضمان على الحافر لضعف المباشرة بالجهل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ويضمن أسبق السببين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اجتمعا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كواضع الحجر وحافر البئر فيعير بالحجر فيَقَعُ فى البئر، فيَضمَن واضع الحجر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لأنّه أسبق السببين فعلاً وإن تأخر الوضع عن الحفر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تقدم الحافرُ؛ كما لو نَصَب إنسان سكيناً في قعر البئر فوقع فيها إنسان من غير عِنَارٍ فأصابته السكينُ فمات، فالضمان على الحافر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إذا كانا متعديين،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فلو كان فعل أحدهما في ملكه فالضمان على الآخر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لاختصاصه بالعدوان</w:t>
      </w:r>
      <w:r>
        <w:rPr>
          <w:rFonts w:eastAsia="Amiri" w:cs="Amiri" w:ascii="Amiri" w:hAnsi="Amiri"/>
          <w:color w:val="111111"/>
          <w:sz w:val="28"/>
          <w:szCs w:val="28"/>
          <w:rtl w:val="true"/>
          <w:lang w:bidi="ar-SA"/>
        </w:rPr>
        <w:t>.</w:t>
      </w:r>
    </w:p>
    <w:p>
      <w:pPr>
        <w:sectPr>
          <w:footerReference w:type="default" r:id="rId4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المسألة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الحادية عشرة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وقع واحدٌ في الزبيَّة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بضم الزاي المُعْجَمةِ، وهي الحفيرة تُحفّر للأسد، سُمّيت بذلك لأنهم كانوا يحفرونها في موضع عالٍ، وأصلها الرابية التي لا يعلوها الماء، وفي المثل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بلغ السيل الزبى</w:t>
      </w:r>
      <w:r>
        <w:rPr>
          <w:rFonts w:eastAsia="Amiri" w:cs="Amiri" w:ascii="Amiri" w:hAnsi="Amiri"/>
          <w:color w:val="111111"/>
          <w:sz w:val="28"/>
          <w:szCs w:val="28"/>
          <w:rtl w:val="true"/>
          <w:lang w:bidi="ar-SA"/>
        </w:rPr>
        <w:t>»</w:t>
      </w:r>
      <w:r>
        <w:rPr>
          <w:rStyle w:val="FootnoteAnchor"/>
          <w:rtl w:val="true"/>
        </w:rPr>
        <w:footnoteReference w:id="1652"/>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فتعلق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الواقع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بثان والثاني بثالث والثالثُ برابع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فوقعوا جميعاً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فافترسهم الأسد، ففي رواية محمد بن قيس عن الباقر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قضى في ذلك أنّ الأوّلَ فَرِيسةُ الأسد لا يلزم أحداً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يَعْرَم أهلُه ثلث الدية للثاني، ويَعْرَم الثاني للثالث ثُلتَي الدية، ويَعْرَم الثالث </w:t>
      </w:r>
    </w:p>
    <w:p>
      <w:pPr>
        <w:pStyle w:val="BookText"/>
        <w:rPr/>
      </w:pPr>
      <w:r>
        <w:rPr>
          <w:rFonts w:ascii="Amiri" w:hAnsi="Amiri" w:eastAsia="Amiri" w:cs="Amiri"/>
          <w:color w:val="111111"/>
          <w:sz w:val="28"/>
          <w:sz w:val="28"/>
          <w:szCs w:val="28"/>
          <w:rtl w:val="true"/>
          <w:lang w:bidi="ar-SA"/>
        </w:rPr>
        <w:t>للرابع الدية كاملة</w:t>
      </w:r>
      <w:r>
        <w:rPr>
          <w:rFonts w:eastAsia="Amiri" w:cs="Amiri" w:ascii="Amiri" w:hAnsi="Amiri"/>
          <w:color w:val="111111"/>
          <w:sz w:val="28"/>
          <w:szCs w:val="28"/>
          <w:rtl w:val="true"/>
          <w:lang w:bidi="ar-SA"/>
        </w:rPr>
        <w:t>)</w:t>
      </w:r>
      <w:r>
        <w:rPr>
          <w:rStyle w:val="FootnoteAnchor"/>
          <w:rtl w:val="true"/>
        </w:rPr>
        <w:footnoteReference w:id="1653"/>
      </w:r>
      <w:r>
        <w:rPr>
          <w:rFonts w:ascii="Amiri" w:hAnsi="Amiri" w:eastAsia="Amiri" w:cs="Amiri"/>
          <w:color w:val="111111"/>
          <w:sz w:val="28"/>
          <w:sz w:val="28"/>
          <w:szCs w:val="28"/>
          <w:rtl w:val="true"/>
          <w:lang w:bidi="ar-SA"/>
        </w:rPr>
        <w:t xml:space="preserve">، وعَمِل بها أكثر الأصحاب، لكن توجيهها على الأصول مشكل ومحمد بن قيس كما عرفت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مشترك، وتخصيص حكيها بواقعتها ممكن فترك العمل بمضمونها مطلقاً متوجه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وتوجيهها بأنّ الأوّلَ لم يقتله أحد، والثاني قَتَلَه الأوّلُ، وقتل هو الثالث والرابع فقُسْطَت الديةُ على الثلاثة فاستَحَقَّ منها بحسب ما جُنِيَ عليه، والثالثَ قَتَله اثنان وقتل هو واحداً فاستَحَق ثلثين كذلك، والرابع قتله الثلاثة فاستَحَق تمام الدية، تعليل بموضع النزاع؛ إذ لا يلزم من قتله لغيره سقوط شيء من ديته عن قاتله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وربما قيل بأنّ دية الرابع على الثلاثة بالسوية؛ لاشتراكهم جميعاً في سببية قتله، وإنّما نَسَبها إلى الثالث لأنّ الثاني استَحَق على الأوّل ثلث الدية، فيُضيف إليه ثلثاً آخَرَ ويَدفَعُه إلى الثالث فيُضيف إلى ذلك ثلثاً آخَرَ ويَدفعه إلى الرابع</w:t>
      </w:r>
      <w:r>
        <w:rPr>
          <w:rStyle w:val="FootnoteAnchor"/>
          <w:rtl w:val="true"/>
        </w:rPr>
        <w:footnoteReference w:id="165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مع مخالفته لظاهر الرواية لا يتم في الآخرين لاستلزامه كون دية الثالث على الأولين ودية الثاني على الأوّل؛ إذ لا مدخل لقتله مَنْ بعده في إسقاط حقه كما مرّ، إلا أن يُفرَض كونُ الواقع عليه سبباً في افتراس الأسد له فيَقرُب، إلّا أنّه خلاف الظاهر</w:t>
      </w:r>
      <w:r>
        <w:rPr>
          <w:rFonts w:eastAsia="Amiri" w:cs="Amiri" w:ascii="Amiri" w:hAnsi="Amiri"/>
          <w:color w:val="111111"/>
          <w:sz w:val="28"/>
          <w:szCs w:val="28"/>
          <w:rtl w:val="true"/>
          <w:lang w:bidi="ar-SA"/>
        </w:rPr>
        <w:t>.</w:t>
      </w:r>
    </w:p>
    <w:p>
      <w:pPr>
        <w:sectPr>
          <w:footerReference w:type="default" r:id="rId4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وفي رواية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رواها سهل بن زيادٍ عن ابن شَمِّون، عن عبد الله الأصم، عن مسمع،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علياً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اللأوّل ربع الدية، وللثاني ثلث وللثالث نصفٌ، وللرابع الدية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كاملة</w:t>
      </w:r>
      <w:r>
        <w:rPr>
          <w:rFonts w:eastAsia="Amiri" w:cs="Amiri" w:ascii="Amiri" w:hAnsi="Amiri"/>
          <w:color w:val="111111"/>
          <w:sz w:val="28"/>
          <w:szCs w:val="28"/>
          <w:rtl w:val="true"/>
          <w:lang w:bidi="ar-SA"/>
        </w:rPr>
        <w:t>»</w:t>
      </w:r>
      <w:r>
        <w:rPr>
          <w:rStyle w:val="FootnoteAnchor"/>
          <w:rtl w:val="true"/>
        </w:rPr>
        <w:footnoteReference w:id="1655"/>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جَعَل 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كلَّه على عاقلة المُزْدَحِمِينَ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ووجهت</w:t>
      </w:r>
      <w:r>
        <w:rPr>
          <w:rStyle w:val="FootnoteAnchor"/>
          <w:rtl w:val="true"/>
        </w:rPr>
        <w:footnoteReference w:id="1656"/>
      </w:r>
      <w:r>
        <w:rPr>
          <w:rFonts w:ascii="Amiri" w:hAnsi="Amiri" w:eastAsia="Amiri" w:cs="Amiri"/>
          <w:color w:val="111111"/>
          <w:sz w:val="28"/>
          <w:sz w:val="28"/>
          <w:szCs w:val="28"/>
          <w:rtl w:val="true"/>
          <w:lang w:bidi="ar-SA"/>
        </w:rPr>
        <w:t xml:space="preserve">، يكون البئرِ حُفِرَت عُدواناً، والافتراس مستنداً إلى الازدحام المانع من التخلّص، فالأول مات بسبب الوقوع في البئر ووقوع الثلاثة فوقه، إلا أنه بسببه وهو ثلاثة أرباع السبب، فيبقى الربع على الحافر، والثاني مات بسبب جذب الأول وهو </w:t>
      </w:r>
    </w:p>
    <w:p>
      <w:pPr>
        <w:pStyle w:val="BookText"/>
        <w:rPr/>
      </w:pPr>
      <w:r>
        <w:rPr>
          <w:rFonts w:ascii="Amiri" w:hAnsi="Amiri" w:eastAsia="Amiri" w:cs="Amiri"/>
          <w:color w:val="111111"/>
          <w:sz w:val="28"/>
          <w:sz w:val="28"/>
          <w:szCs w:val="28"/>
          <w:rtl w:val="true"/>
          <w:lang w:bidi="ar-SA"/>
        </w:rPr>
        <w:t>ثلث السبب، ووقوع الباقيين فوقه وهو ثلثاه، ووقوعهما عليه من فعله فيبقى له ثلث، والثالث مات من جذبِ الثاني ووقوع الرابع وكلُّ منهما نصف السبب، لكن الرابع من فعله فيبقى له نصف والرابع موته بسبب جذب الثالث فله كمال الدية</w:t>
      </w:r>
      <w:r>
        <w:rPr>
          <w:rFonts w:eastAsia="Amiri" w:cs="Amiri" w:ascii="Amiri" w:hAnsi="Amiri"/>
          <w:color w:val="111111"/>
          <w:sz w:val="28"/>
          <w:szCs w:val="28"/>
          <w:rtl w:val="true"/>
          <w:lang w:bidi="ar-SA"/>
        </w:rPr>
        <w:t>.</w:t>
      </w:r>
    </w:p>
    <w:p>
      <w:pPr>
        <w:sectPr>
          <w:footerReference w:type="default" r:id="rId4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والحق أنّ ضعف سندها يمنع من تكلّف تنزيلها؛ فإنّ سهلاً عامّي، وابنَ سَمّون غالٍ والأصم ضعيفٌ، فردها مطلقاً متجة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وردّها المصنّف أيضاً بأن الجناية إما عمد أو بيهه، وكلاهما يمنع تعلَّق العاقلة به، وأنّ في الرواية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فازدَحَم الناسُ عليها يَنظُرون إلى الأسد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وذلك يُنافي ضمان حافر البئر</w:t>
      </w:r>
      <w:r>
        <w:rPr>
          <w:rStyle w:val="FootnoteAnchor"/>
          <w:rtl w:val="true"/>
        </w:rPr>
        <w:footnoteReference w:id="165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وحيث يُطْرَح الخبران فالمتجه ضمانُ كلّ ديةً من أمسكه أجمع لاستقلاله بإتلافه، وهو خِيَرةُ العلّامة في التحرير</w:t>
      </w:r>
      <w:r>
        <w:rPr>
          <w:rStyle w:val="FootnoteAnchor"/>
          <w:rtl w:val="true"/>
        </w:rPr>
        <w:footnoteReference w:id="1658"/>
      </w:r>
      <w:r>
        <w:rPr>
          <w:rFonts w:eastAsia="Times New Roman" w:cs="Times New Roman" w:ascii="Times New Roman" w:hAnsi="Times New Roman"/>
          <w:color w:val="111111"/>
          <w:sz w:val="28"/>
          <w:szCs w:val="28"/>
          <w:rtl w:val="true"/>
          <w:lang w:val="en-US" w:bidi="en-US"/>
        </w:rPr>
        <w:t xml:space="preserve">. </w:t>
      </w:r>
      <w:bookmarkStart w:id="181" w:name="pg11049_88712"/>
    </w:p>
    <w:p>
      <w:pPr>
        <w:pStyle w:val="Heading3"/>
        <w:numPr>
          <w:ilvl w:val="2"/>
          <w:numId w:val="1"/>
        </w:numPr>
        <w:rPr/>
      </w:pPr>
      <w:bookmarkStart w:id="182" w:name="__RefHeading___Toc1446183_1067777946"/>
      <w:bookmarkStart w:id="183" w:name="_Toc55"/>
      <w:bookmarkEnd w:id="181"/>
      <w:bookmarkEnd w:id="182"/>
      <w:r>
        <w:rPr>
          <w:rtl w:val="true"/>
        </w:rPr>
        <w:t>الفصل الثاني في التقديرات</w:t>
      </w:r>
      <w:bookmarkEnd w:id="183"/>
    </w:p>
    <w:p>
      <w:pPr>
        <w:pStyle w:val="Heading4"/>
        <w:numPr>
          <w:ilvl w:val="3"/>
          <w:numId w:val="1"/>
        </w:numPr>
        <w:rPr/>
      </w:pPr>
      <w:bookmarkStart w:id="184" w:name="__RefHeading___Toc1446185_1067777946"/>
      <w:bookmarkStart w:id="185" w:name="_Toc56"/>
      <w:bookmarkEnd w:id="184"/>
      <w:r>
        <w:rPr>
          <w:rtl w:val="true"/>
        </w:rPr>
        <w:t>اشارة</w:t>
      </w:r>
      <w:bookmarkEnd w:id="18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وفيه مسائلُ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المسألة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الأولى 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النفس</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دية العمد أحدُ أُمورِ سيّة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يتخيَّر الجاني في دفع ما شاء منها وهي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مائةٌ مِن مَسَانٌ الإبل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الثنايا فصاعداً، وفي بعض كلام المصنف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المُسِنَّةَ من التَنِيّة إلى بازل عامها</w:t>
      </w:r>
      <w:r>
        <w:rPr>
          <w:rStyle w:val="FootnoteAnchor"/>
          <w:rtl w:val="true"/>
        </w:rPr>
        <w:footnoteReference w:id="1659"/>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مائتا بقرةٍ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ما يُطلق عليه اسمها،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مائتا حُلّة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بالضم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 حُلّةٍ ثوبان من برود اليمن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القيد للتوضيح، فإنّ الحلّة لا تكون أقل من ثوبين قال الجوهري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الحُلّة إزار ورداء، لا تُسمَّى حلّة حتى تكون ثوبين</w:t>
      </w:r>
      <w:r>
        <w:rPr>
          <w:rStyle w:val="FootnoteAnchor"/>
          <w:rtl w:val="true"/>
        </w:rPr>
        <w:footnoteReference w:id="1660"/>
      </w:r>
      <w:r>
        <w:rPr>
          <w:rFonts w:ascii="IRNazanin" w:hAnsi="IRNazanin" w:eastAsia="IRNazanin"/>
          <w:color w:val="111111"/>
          <w:sz w:val="28"/>
          <w:sz w:val="28"/>
          <w:szCs w:val="28"/>
          <w:rtl w:val="true"/>
          <w:lang w:bidi="fa-IR"/>
        </w:rPr>
        <w:t>، والمعتبر اسم الثوب</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ألفُ شاةٍ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ما يُطلق عليها اسمها،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ألف دينار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مثقال ذهب خالص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عشرة آلاف درهم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وتُستَأدَى دية العمد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سنةٍ واحدةٍ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يجوز تأخّرُها عنها بغير رِضَى المستحِق، ولا يجب عليه المبادرة إلى أدائها قبل تمام السنة، وهي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مال الجاني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يطلبها الولي</w:t>
      </w:r>
      <w:r>
        <w:rPr>
          <w:rFonts w:eastAsia="Amiri" w:cs="Amiri" w:ascii="Amiri" w:hAnsi="Amiri"/>
          <w:color w:val="111111"/>
          <w:sz w:val="28"/>
          <w:szCs w:val="28"/>
          <w:rtl w:val="true"/>
          <w:lang w:bidi="ar-SA"/>
        </w:rPr>
        <w:t>.</w:t>
      </w:r>
    </w:p>
    <w:p>
      <w:pPr>
        <w:sectPr>
          <w:footerReference w:type="default" r:id="rId4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ودية الشبيه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للعمد مائة من الإبل أيضاً إلّا أنّها دونها في السن؛ لأنّها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أربع وثلاثون ثَنِيَّةً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سنّها خمس سنين فصاعداً،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طَرَوقة الفحل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حوامل، وثلاث وثلاثون بنت لبون ستُها سَنَتان فصاعداً،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وثلاث وثلاثون حِقَّةً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سنها ثلاث سنين فصاعداً،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أحد الأمور الخمسة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المتقدمة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وتُستَأْدَى في سنتين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يجب آخِرَ كلِّ </w:t>
      </w:r>
    </w:p>
    <w:p>
      <w:pPr>
        <w:pStyle w:val="BookText"/>
        <w:rPr/>
      </w:pPr>
      <w:r>
        <w:rPr>
          <w:rFonts w:ascii="Amiri" w:hAnsi="Amiri" w:eastAsia="Amiri" w:cs="Amiri"/>
          <w:color w:val="111111"/>
          <w:sz w:val="28"/>
          <w:sz w:val="28"/>
          <w:szCs w:val="28"/>
          <w:rtl w:val="true"/>
          <w:lang w:bidi="ar-SA"/>
        </w:rPr>
        <w:t xml:space="preserve">حول نصفها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مال الجاني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وتحديد أسنان المائة بما ذكر أحد الأقوال</w:t>
      </w:r>
      <w:r>
        <w:rPr>
          <w:rStyle w:val="FootnoteAnchor"/>
          <w:rtl w:val="true"/>
        </w:rPr>
        <w:footnoteReference w:id="1661"/>
      </w:r>
      <w:r>
        <w:rPr>
          <w:rFonts w:ascii="Amiri" w:hAnsi="Amiri" w:eastAsia="Amiri" w:cs="Amiri"/>
          <w:color w:val="111111"/>
          <w:sz w:val="28"/>
          <w:sz w:val="28"/>
          <w:szCs w:val="28"/>
          <w:rtl w:val="true"/>
          <w:lang w:bidi="ar-SA"/>
        </w:rPr>
        <w:t>في المسألة، ومستنده روايتا أبي بصير</w:t>
      </w:r>
      <w:r>
        <w:rPr>
          <w:rStyle w:val="FootnoteAnchor"/>
          <w:rtl w:val="true"/>
        </w:rPr>
        <w:footnoteReference w:id="1662"/>
      </w:r>
      <w:r>
        <w:rPr>
          <w:rFonts w:ascii="Amiri" w:hAnsi="Amiri" w:eastAsia="Amiri" w:cs="Amiri"/>
          <w:color w:val="111111"/>
          <w:sz w:val="28"/>
          <w:sz w:val="28"/>
          <w:szCs w:val="28"/>
          <w:rtl w:val="true"/>
          <w:lang w:bidi="ar-SA"/>
        </w:rPr>
        <w:t>والعلاء بن الفضيل عن الصادق</w:t>
      </w:r>
      <w:r>
        <w:rPr>
          <w:rStyle w:val="FootnoteAnchor"/>
          <w:rtl w:val="true"/>
        </w:rPr>
        <w:footnoteReference w:id="1663"/>
      </w:r>
      <w:r>
        <w:rPr>
          <w:rFonts w:ascii="Amiri" w:hAnsi="Amiri" w:eastAsia="Amiri" w:cs="Amiri"/>
          <w:color w:val="111111"/>
          <w:sz w:val="28"/>
          <w:sz w:val="28"/>
          <w:szCs w:val="28"/>
          <w:rtl w:val="true"/>
          <w:lang w:bidi="ar-SA"/>
        </w:rPr>
        <w:t xml:space="preserve">، واشتملت الأولى على كون الثنية طروقة الفحل، والثانية على كونها خَلِفَةٌ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بفتح الخاء فكسر اللام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الحامل، فمِن ثُمَّ فسرناها بها وإن كانت بحسب اللفظ أعم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في سند الروايتين ضعف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تَأدِيَتُها في سنتين، فذكره المفيد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w:t>
      </w:r>
      <w:r>
        <w:rPr>
          <w:rStyle w:val="FootnoteAnchor"/>
          <w:rtl w:val="true"/>
        </w:rPr>
        <w:footnoteReference w:id="1664"/>
      </w:r>
      <w:r>
        <w:rPr>
          <w:rFonts w:ascii="Amiri" w:hAnsi="Amiri" w:eastAsia="Amiri" w:cs="Amiri"/>
          <w:color w:val="111111"/>
          <w:sz w:val="28"/>
          <w:sz w:val="28"/>
          <w:szCs w:val="28"/>
          <w:rtl w:val="true"/>
          <w:lang w:bidi="ar-SA"/>
        </w:rPr>
        <w:t>وتبعه الجماعة</w:t>
      </w:r>
      <w:r>
        <w:rPr>
          <w:rStyle w:val="FootnoteAnchor"/>
          <w:rtl w:val="true"/>
        </w:rPr>
        <w:footnoteReference w:id="1665"/>
      </w:r>
      <w:r>
        <w:rPr>
          <w:rFonts w:ascii="Amiri" w:hAnsi="Amiri" w:eastAsia="Amiri" w:cs="Amiri"/>
          <w:color w:val="111111"/>
          <w:sz w:val="28"/>
          <w:sz w:val="28"/>
          <w:szCs w:val="28"/>
          <w:rtl w:val="true"/>
          <w:lang w:bidi="ar-SA"/>
        </w:rPr>
        <w:t>، ولم نقف على مستنده، وإنما الموجود في رواية أبي ولاد تُستأدى دية الخطأ في ثلاث سنين، وتُستأدى دية العمد في سنة</w:t>
      </w:r>
      <w:r>
        <w:rPr>
          <w:rFonts w:eastAsia="Amiri" w:cs="Amiri" w:ascii="Amiri" w:hAnsi="Amiri"/>
          <w:color w:val="111111"/>
          <w:sz w:val="28"/>
          <w:szCs w:val="28"/>
          <w:rtl w:val="true"/>
          <w:lang w:bidi="ar-SA"/>
        </w:rPr>
        <w:t>»</w:t>
      </w:r>
      <w:r>
        <w:rPr>
          <w:rStyle w:val="FootnoteAnchor"/>
          <w:rtl w:val="true"/>
        </w:rPr>
        <w:footnoteReference w:id="166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في دية شبيه العمد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روايةٌ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صحيحة عبد الله بن سنان،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عبد الله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أمير المؤمنين في الخطا شبيه العمد أن يقتل بالسوط أو العصا أو الحجر، إنّ دية ذلك تُغَلَّظ مائة من الإبل، منها أربعون خَلِفة وهي من ثنية إلى بازلِ عامِها وثلاثون حقةً، وثلاثون بنت لبون</w:t>
      </w:r>
      <w:r>
        <w:rPr>
          <w:rFonts w:eastAsia="Amiri" w:cs="Amiri" w:ascii="Amiri" w:hAnsi="Amiri"/>
          <w:color w:val="111111"/>
          <w:sz w:val="28"/>
          <w:szCs w:val="28"/>
          <w:rtl w:val="true"/>
          <w:lang w:bidi="ar-SA"/>
        </w:rPr>
        <w:t>»</w:t>
      </w:r>
      <w:r>
        <w:rPr>
          <w:rStyle w:val="FootnoteAnchor"/>
          <w:rtl w:val="true"/>
        </w:rPr>
        <w:footnoteReference w:id="166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وهذه هي المعتمد ؛ لصحة طريقها، وعليها العلّامة في المختلف والتحرير</w:t>
      </w:r>
      <w:r>
        <w:rPr>
          <w:rStyle w:val="FootnoteAnchor"/>
          <w:rtl w:val="true"/>
        </w:rPr>
        <w:footnoteReference w:id="1668"/>
      </w:r>
      <w:r>
        <w:rPr>
          <w:rFonts w:ascii="Amiri" w:hAnsi="Amiri" w:eastAsia="Amiri" w:cs="Amiri"/>
          <w:color w:val="111111"/>
          <w:sz w:val="28"/>
          <w:sz w:val="28"/>
          <w:szCs w:val="28"/>
          <w:rtl w:val="true"/>
          <w:lang w:bidi="ar-SA"/>
        </w:rPr>
        <w:t xml:space="preserve">، وهو في غيرهما </w:t>
      </w:r>
      <w:r>
        <w:rPr>
          <w:rStyle w:val="FootnoteAnchor"/>
          <w:rtl w:val="true"/>
        </w:rPr>
        <w:footnoteReference w:id="1669"/>
      </w:r>
      <w:r>
        <w:rPr>
          <w:rFonts w:ascii="Amiri" w:hAnsi="Amiri" w:eastAsia="Amiri" w:cs="Amiri"/>
          <w:color w:val="111111"/>
          <w:sz w:val="28"/>
          <w:sz w:val="28"/>
          <w:szCs w:val="28"/>
          <w:rtl w:val="true"/>
          <w:lang w:bidi="ar-SA"/>
        </w:rPr>
        <w:t>على الأوّل</w:t>
      </w:r>
      <w:r>
        <w:rPr>
          <w:rFonts w:eastAsia="Amiri" w:cs="Amiri" w:ascii="Amiri" w:hAnsi="Amiri"/>
          <w:color w:val="111111"/>
          <w:sz w:val="28"/>
          <w:szCs w:val="28"/>
          <w:rtl w:val="true"/>
          <w:lang w:bidi="ar-SA"/>
        </w:rPr>
        <w:t>.</w:t>
      </w:r>
    </w:p>
    <w:p>
      <w:pPr>
        <w:sectPr>
          <w:footerReference w:type="default" r:id="rId4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والمراد ببازل عامها ما فَطَر نابها أي انشَقَّ في سنته، وذلك في السنة التاسعة، وربما بَزَلَ في الثامنة، ولمّا كانت الثنية ما دخلت في السنة السادسة كان المعتبر من الخلفة ما </w:t>
      </w:r>
    </w:p>
    <w:p>
      <w:pPr>
        <w:pStyle w:val="BookText"/>
        <w:rPr/>
      </w:pPr>
      <w:r>
        <w:rPr>
          <w:rFonts w:ascii="IRNazanin" w:hAnsi="IRNazanin" w:eastAsia="IRNazanin"/>
          <w:color w:val="111111"/>
          <w:sz w:val="28"/>
          <w:sz w:val="28"/>
          <w:szCs w:val="28"/>
          <w:rtl w:val="true"/>
          <w:lang w:bidi="fa-IR"/>
        </w:rPr>
        <w:t>بین ذلك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ويُرجَع في معرفة الحامل إلى أهل الخبرة فإن ظهر الغلط وجب البدل، وكذا لو أسقَطَتْ قبل التسليم وإن أحضَرَها قبله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ودية الخطأ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المحضِ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عشرون بنتَ مَخاض وعشرون ابن لبون وثلاثون بنتَ لبون، وثلاثون حِقّةً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وعلى ذلك دلّت صحيحة ابن سنان السابقة</w:t>
      </w:r>
      <w:r>
        <w:rPr>
          <w:rStyle w:val="FootnoteAnchor"/>
          <w:rtl w:val="true"/>
        </w:rPr>
        <w:footnoteReference w:id="1670"/>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وفيه رواية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رواية العلاء بن الفضيل عنه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قتل الخطأ مائة من الإبل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خمس وعشرون بنتَ مَخاضِ، وخمس وعشرون بنت لبون، وخمس وعشرون حقةً، وخمس وعشرون جَذَعَةً</w:t>
      </w:r>
      <w:r>
        <w:rPr>
          <w:rFonts w:eastAsia="Amiri" w:cs="Amiri" w:ascii="Amiri" w:hAnsi="Amiri"/>
          <w:color w:val="111111"/>
          <w:sz w:val="28"/>
          <w:szCs w:val="28"/>
          <w:rtl w:val="true"/>
          <w:lang w:bidi="ar-SA"/>
        </w:rPr>
        <w:t>»</w:t>
      </w:r>
      <w:r>
        <w:rPr>
          <w:rStyle w:val="FootnoteAnchor"/>
          <w:rtl w:val="true"/>
        </w:rPr>
        <w:footnoteReference w:id="167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عرفت أنّ الأولى صحيحة الطريق دون الثانية، ولَيْته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عَمِل بالصحيحة في الموضعين، مع أنها أشهر روايةً وفتوى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وتُستأدَى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دية الخطأ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ثلاث سنين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سنة ثلث؛ لما تقدم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ومبدأ السنة من حين وجوبها لا من حين حكم الحاكم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مال العاقلة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 أحد الأمور الخمسة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يشترط تساويها قيمةً، بل يجوز دفعُ أقلها على الأقوى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وكذا لا يُعتبر قيمة الإبل بل ما صدق عليه الوصفُ، وما رُوي من اعتبار قيمة كلّ بعير بمائة وعشرين درهماً </w:t>
      </w:r>
      <w:r>
        <w:rPr>
          <w:rStyle w:val="FootnoteAnchor"/>
          <w:rtl w:val="true"/>
        </w:rPr>
        <w:footnoteReference w:id="1672"/>
      </w:r>
      <w:r>
        <w:rPr>
          <w:rFonts w:ascii="Amiri" w:hAnsi="Amiri" w:eastAsia="Amiri" w:cs="Amiri"/>
          <w:color w:val="111111"/>
          <w:sz w:val="28"/>
          <w:sz w:val="28"/>
          <w:szCs w:val="28"/>
          <w:rtl w:val="true"/>
          <w:lang w:bidi="ar-SA"/>
        </w:rPr>
        <w:t>، محمول على الأغلب أو الأفضل، وكذا القول في البقر والغنم والحُلل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ولو قتل في الشهر الحرام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أحد الأربعة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ذوالقعدة</w:t>
      </w:r>
      <w:r>
        <w:rPr>
          <w:rStyle w:val="FootnoteAnchor"/>
          <w:rtl w:val="true"/>
        </w:rPr>
        <w:footnoteReference w:id="1673"/>
      </w:r>
      <w:r>
        <w:rPr>
          <w:rFonts w:ascii="Amiri" w:hAnsi="Amiri" w:eastAsia="Amiri" w:cs="Amiri"/>
          <w:color w:val="111111"/>
          <w:sz w:val="28"/>
          <w:sz w:val="28"/>
          <w:szCs w:val="28"/>
          <w:rtl w:val="true"/>
          <w:lang w:bidi="ar-SA"/>
        </w:rPr>
        <w:t xml:space="preserve">وذو الحجة والمحرّمُ ورَجَب،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أو في الحرم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الشريف المكّي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زِيدَ عليه ثلث دية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أي الأجناس كان لمستحِق الأصل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تغليظاً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لانتهاكه حرمتهما</w:t>
      </w:r>
      <w:r>
        <w:rPr>
          <w:rFonts w:eastAsia="Amiri" w:cs="Amiri" w:ascii="Amiri" w:hAnsi="Amiri"/>
          <w:color w:val="111111"/>
          <w:sz w:val="28"/>
          <w:szCs w:val="28"/>
          <w:rtl w:val="true"/>
          <w:lang w:bidi="ar-SA"/>
        </w:rPr>
        <w:t>.</w:t>
      </w:r>
    </w:p>
    <w:p>
      <w:pPr>
        <w:sectPr>
          <w:footerReference w:type="default" r:id="rId4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أمّا تغليظُها بالقتل في أشهر الحُرُم فإجماعي، وبه نصوص</w:t>
      </w:r>
      <w:r>
        <w:rPr>
          <w:rStyle w:val="FootnoteAnchor"/>
          <w:rtl w:val="true"/>
        </w:rPr>
        <w:footnoteReference w:id="1674"/>
      </w:r>
      <w:r>
        <w:rPr>
          <w:rFonts w:ascii="Amiri" w:hAnsi="Amiri" w:eastAsia="Amiri" w:cs="Amiri"/>
          <w:color w:val="111111"/>
          <w:sz w:val="28"/>
          <w:sz w:val="28"/>
          <w:szCs w:val="28"/>
          <w:rtl w:val="true"/>
          <w:lang w:bidi="ar-SA"/>
        </w:rPr>
        <w:t xml:space="preserve">كثيرة، وأما الحرم </w:t>
      </w:r>
    </w:p>
    <w:p>
      <w:pPr>
        <w:pStyle w:val="BookText"/>
        <w:rPr/>
      </w:pPr>
      <w:r>
        <w:rPr>
          <w:rFonts w:ascii="Amiri" w:hAnsi="Amiri" w:eastAsia="Amiri" w:cs="Amiri"/>
          <w:color w:val="111111"/>
          <w:sz w:val="28"/>
          <w:sz w:val="28"/>
          <w:szCs w:val="28"/>
          <w:rtl w:val="true"/>
          <w:lang w:bidi="ar-SA"/>
        </w:rPr>
        <w:t>فألحقه الشيخان</w:t>
      </w:r>
      <w:r>
        <w:rPr>
          <w:rStyle w:val="FootnoteAnchor"/>
          <w:rtl w:val="true"/>
        </w:rPr>
        <w:footnoteReference w:id="1675"/>
      </w:r>
      <w:r>
        <w:rPr>
          <w:rFonts w:ascii="Amiri" w:hAnsi="Amiri" w:eastAsia="Amiri" w:cs="Amiri"/>
          <w:color w:val="111111"/>
          <w:sz w:val="28"/>
          <w:sz w:val="28"/>
          <w:szCs w:val="28"/>
          <w:rtl w:val="true"/>
          <w:lang w:bidi="ar-SA"/>
        </w:rPr>
        <w:t>وتَبِعَهما جماعة</w:t>
      </w:r>
      <w:r>
        <w:rPr>
          <w:rStyle w:val="FootnoteAnchor"/>
          <w:rtl w:val="true"/>
        </w:rPr>
        <w:footnoteReference w:id="1676"/>
      </w:r>
      <w:r>
        <w:rPr>
          <w:rFonts w:ascii="Amiri" w:hAnsi="Amiri" w:eastAsia="Amiri" w:cs="Amiri"/>
          <w:color w:val="111111"/>
          <w:sz w:val="28"/>
          <w:sz w:val="28"/>
          <w:szCs w:val="28"/>
          <w:rtl w:val="true"/>
          <w:lang w:bidi="ar-SA"/>
        </w:rPr>
        <w:t>، لاشتراكهما في الحرمة، وتغليظ قتل الصيد فيه المناسب لتغليظ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وفيه نظر 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وألحق به بعضُهم ما لو رمى في الحِلّ فأصاب في الحرم أو بالعكس</w:t>
      </w:r>
      <w:r>
        <w:rPr>
          <w:rStyle w:val="FootnoteAnchor"/>
          <w:rtl w:val="true"/>
        </w:rPr>
        <w:footnoteReference w:id="167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ضعف في ضعف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والتغليظ مختص بدية النفس فلا يثبت في الطرف وإنْ أوجب الديةَ؛ للأصل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والخيار إلى الجاني في السنّة في العمد والشبيه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إلى ولي الدم، وهو ظاهر في الشبيه؛ لأنّ لازمه الدية، أما في العمد، فلمّا كان الواجب القصاص وإنّما تثبت الديةُ برضاه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مر</w:t>
      </w:r>
      <w:r>
        <w:rPr>
          <w:rStyle w:val="FootnoteAnchor"/>
          <w:rtl w:val="true"/>
        </w:rPr>
        <w:footnoteReference w:id="167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يتقيَّد الحكم بالستة، بل لو رَضِيَ بالأقل أو طَلَب الأكثر وجب الدفع مع القدرة؛ لما ذكر من العلة، فلا يتحقق التخييرُ حينئذ، وإنما يتحقق على تقدير تعيّنها عليه مطلقةً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ويمكن فرضه فيما لو صالحه على الدية ،وأطلق، أو عفا عليها، أو مات القاتل أو هَرَب فلم يُقدر عليه وقلنا بأخذ الدية من ماله أو بادَرَ بعض الشركاء إلى الاقتصاص بغير إذن الباقين، أو قتل في الشهر الحرام وما في حكمه، فإنّه يلزمه ثلث ديةٍ زيادةً على القصاص، أو قتل الأب ولده، أو قتل العاقل مجنوناً، أو جماعةً على التعاقب فقتله الأوّل، وقلنا بوجوب الدية حيث يفوت المحلّ</w:t>
      </w:r>
      <w:r>
        <w:rPr>
          <w:rFonts w:eastAsia="Amiri" w:cs="Amiri" w:ascii="Amiri" w:hAnsi="Amiri"/>
          <w:color w:val="111111"/>
          <w:sz w:val="28"/>
          <w:szCs w:val="28"/>
          <w:rtl w:val="true"/>
          <w:lang w:bidi="ar-SA"/>
        </w:rPr>
        <w:t>.</w:t>
      </w:r>
    </w:p>
    <w:p>
      <w:pPr>
        <w:sectPr>
          <w:footerReference w:type="default" r:id="rId4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التخير بين الستة إلى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العاقلة في الخطأ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وثبوت التخير في الموضعين هو المشهور، وظاهرُ النصوص</w:t>
      </w:r>
      <w:r>
        <w:rPr>
          <w:rStyle w:val="FootnoteAnchor"/>
          <w:rtl w:val="true"/>
        </w:rPr>
        <w:footnoteReference w:id="1679"/>
      </w:r>
      <w:r>
        <w:rPr>
          <w:rFonts w:ascii="Amiri" w:hAnsi="Amiri" w:eastAsia="Amiri" w:cs="Amiri"/>
          <w:color w:val="111111"/>
          <w:sz w:val="28"/>
          <w:sz w:val="28"/>
          <w:szCs w:val="28"/>
          <w:rtl w:val="true"/>
          <w:lang w:bidi="ar-SA"/>
        </w:rPr>
        <w:t>يدلّ عليه، وربما قيل بعدمه</w:t>
      </w:r>
      <w:r>
        <w:rPr>
          <w:rStyle w:val="FootnoteAnchor"/>
          <w:rtl w:val="true"/>
        </w:rPr>
        <w:footnoteReference w:id="1680"/>
      </w:r>
      <w:r>
        <w:rPr>
          <w:rFonts w:ascii="Amiri" w:hAnsi="Amiri" w:eastAsia="Amiri" w:cs="Amiri"/>
          <w:color w:val="111111"/>
          <w:sz w:val="28"/>
          <w:sz w:val="28"/>
          <w:szCs w:val="28"/>
          <w:rtl w:val="true"/>
          <w:lang w:bidi="ar-SA"/>
        </w:rPr>
        <w:t>، بل يَتَعيَّن الذهب والفضة على أهلهما والأنعام على أهلها والحُلَلُ على أهل البز، والأقوى الأول</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ودية المرأة النصفُ من ذلك كله، والخنثى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المشكل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ثلاثة أرباعه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الأحوال الثلاث، وكذا الجراحات والأطراف على النصف ما لم يقصر عن ثلث الدية فيتساويان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إلحاق الحكم بالخنثى نظر، والمتجه العدم؛ للأصل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دية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يهودياً كان أم نصرانياً أم مجوسياً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ثمانمائة درهم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الأشهر رواية </w:t>
      </w:r>
      <w:r>
        <w:rPr>
          <w:rStyle w:val="FootnoteAnchor"/>
          <w:rtl w:val="true"/>
        </w:rPr>
        <w:footnoteReference w:id="1681"/>
      </w:r>
      <w:r>
        <w:rPr>
          <w:rFonts w:ascii="IRNazanin" w:hAnsi="IRNazanin" w:eastAsia="IRNazanin"/>
          <w:color w:val="111111"/>
          <w:sz w:val="28"/>
          <w:sz w:val="28"/>
          <w:szCs w:val="28"/>
          <w:rtl w:val="true"/>
          <w:lang w:bidi="fa-IR"/>
        </w:rPr>
        <w:t>وفتوى</w:t>
      </w:r>
      <w:r>
        <w:rPr>
          <w:rStyle w:val="FootnoteAnchor"/>
          <w:rtl w:val="true"/>
        </w:rPr>
        <w:footnoteReference w:id="168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ورُوي صحيحاً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ديته كدية المسلم</w:t>
      </w:r>
      <w:r>
        <w:rPr>
          <w:rFonts w:eastAsia="Amiri" w:cs="Amiri" w:ascii="Amiri" w:hAnsi="Amiri"/>
          <w:color w:val="111111"/>
          <w:sz w:val="28"/>
          <w:szCs w:val="28"/>
          <w:rtl w:val="true"/>
          <w:lang w:bidi="ar-SA"/>
        </w:rPr>
        <w:t>»</w:t>
      </w:r>
      <w:r>
        <w:rPr>
          <w:rStyle w:val="FootnoteAnchor"/>
          <w:rtl w:val="true"/>
        </w:rPr>
        <w:footnoteReference w:id="1683"/>
      </w:r>
      <w:r>
        <w:rPr>
          <w:rFonts w:ascii="Amiri" w:hAnsi="Amiri" w:eastAsia="Amiri" w:cs="Amiri"/>
          <w:color w:val="111111"/>
          <w:sz w:val="28"/>
          <w:sz w:val="28"/>
          <w:szCs w:val="28"/>
          <w:rtl w:val="true"/>
          <w:lang w:bidi="ar-SA"/>
        </w:rPr>
        <w:t xml:space="preserve">وأنها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أربعة ألاف درهم</w:t>
      </w:r>
      <w:r>
        <w:rPr>
          <w:rFonts w:eastAsia="Amiri" w:cs="Amiri" w:ascii="Amiri" w:hAnsi="Amiri"/>
          <w:color w:val="111111"/>
          <w:sz w:val="28"/>
          <w:szCs w:val="28"/>
          <w:rtl w:val="true"/>
          <w:lang w:bidi="ar-SA"/>
        </w:rPr>
        <w:t>»</w:t>
      </w:r>
      <w:r>
        <w:rPr>
          <w:rStyle w:val="FootnoteAnchor"/>
          <w:rtl w:val="true"/>
        </w:rPr>
        <w:footnoteReference w:id="168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والعمل بهما نادرٌ ، وحَمَلهما الشيخ على مَن يَعتادُ قتلهم</w:t>
      </w:r>
      <w:r>
        <w:rPr>
          <w:rStyle w:val="FootnoteAnchor"/>
          <w:rtl w:val="true"/>
        </w:rPr>
        <w:footnoteReference w:id="1685"/>
      </w:r>
      <w:r>
        <w:rPr>
          <w:rFonts w:ascii="Amiri" w:hAnsi="Amiri" w:eastAsia="Amiri" w:cs="Amiri"/>
          <w:color w:val="111111"/>
          <w:sz w:val="28"/>
          <w:sz w:val="28"/>
          <w:szCs w:val="28"/>
          <w:rtl w:val="true"/>
          <w:lang w:bidi="ar-SA"/>
        </w:rPr>
        <w:t>فللإمام أن يُكلّفه ما شاء منهما كما له قتله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الذمّيّة نصفُها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أربعمائة درهم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ودية أعضائهما وجراحاتهما من ديتهما كدية أعضاء المسلم وجراحاتِه من ديته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التغليظ بما يُغَلَّظ به على المسلم نظر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عموم الأخبار وكون التغليظ على خلاف الأصل فيقتصر فيه على موضع الوفاق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ولعلّ الأوّلَ أقوى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وكذا تتساوى دية الرجل منهم والمرأة إلى أن تَبلُغ ثلث ث الدية فتنتصف كالمسلم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دية لغير الثلاثة من أصناف الكفّار مطلقاً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العبدِ قيمته ما لم تتجاوز دية الحرّ، فتُرَدِّ إليها إن تجاوَزَتْها، وتؤخذ من الجاني إن كان عمداً أو شبية عمدٍ، ومن عاقلته إن كان خطأ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ودية الأمة قيمتها ما لم تتجاوز دية الحرّة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الاعتبار بدية الحرّ المسلم إن كان المملوك مسلماً وإن كان مولاه ذمّيّاً على الأقوى، وبدية الذمّي إن كان المملوك ذمّيّاً ولو كان مولاه مسلماً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ويُستتَنَى من ذلك ما لو كان الجاني هو الغاصب فيلزمه القيمة وإن زادت عن دية الحرّ</w:t>
      </w:r>
      <w:r>
        <w:rPr>
          <w:rFonts w:eastAsia="Amiri" w:cs="Amiri" w:ascii="Amiri" w:hAnsi="Amiri"/>
          <w:color w:val="111111"/>
          <w:sz w:val="28"/>
          <w:szCs w:val="28"/>
          <w:rtl w:val="true"/>
          <w:lang w:bidi="ar-SA"/>
        </w:rPr>
        <w:t>.</w:t>
      </w:r>
    </w:p>
    <w:p>
      <w:pPr>
        <w:sectPr>
          <w:footerReference w:type="default" r:id="rId4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ودية أعضائه وجراحاته بنسبة دية الحرّ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فيما له مقدر منها،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والحرُّ أصل له في المقدر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ففي قطع يده نصف قيمة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وهكذا،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وينعكس في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فيصير العبد أصلاً </w:t>
      </w:r>
    </w:p>
    <w:p>
      <w:pPr>
        <w:pStyle w:val="BookText"/>
        <w:rPr/>
      </w:pPr>
      <w:r>
        <w:rPr>
          <w:rFonts w:ascii="Amiri" w:hAnsi="Amiri" w:eastAsia="Amiri" w:cs="Amiri"/>
          <w:color w:val="111111"/>
          <w:sz w:val="28"/>
          <w:sz w:val="28"/>
          <w:szCs w:val="28"/>
          <w:rtl w:val="true"/>
          <w:lang w:bidi="ar-SA"/>
        </w:rPr>
        <w:t>للحرّ فيما لا تقدير لديته من الحرّ، فيُفرَض الحرُّ عبداً سليماً من الجناية ويُنظر كم قيمته حينئذٍ ؟ ويُفرَض عبداً فيه تلك الجناية ويُنظَر قيمته، وتُنسب إحدى القيمتين إلى الأُخرى، ويؤخذ له من الدية بتلك النسبة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ولو جُنِي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على المملوك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بما فيه قيمته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كقطع اللسان والأنف والذكر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تخيّر مولاه في أخذ قيمته ودفعه إلى الجاني وبين الرضى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بغير عوض لئلا يُجمع بين العِوَض والمعوَّض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إذا كانت الجناية عمداً أو شبهه، فلو كانت خطأ لم يُدفَع إلى الجاني؛ لأنّه لم يغرم شيئاً، بل إلى عاقلته على الظاهر، إن قلنا إنّ العاقلة تعقله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ويُستثنى من ذلك أيضاً الغاصبُ لو جَنَى على المغصوب بما فيه قيمته؛ فإنّه يؤخذ منه القيمة والمملوك على أصح القولين</w:t>
      </w:r>
      <w:r>
        <w:rPr>
          <w:rStyle w:val="FootnoteAnchor"/>
          <w:rtl w:val="true"/>
        </w:rPr>
        <w:footnoteReference w:id="1686"/>
      </w:r>
      <w:r>
        <w:rPr>
          <w:rFonts w:ascii="Amiri" w:hAnsi="Amiri" w:eastAsia="Amiri" w:cs="Amiri"/>
          <w:color w:val="111111"/>
          <w:sz w:val="28"/>
          <w:sz w:val="28"/>
          <w:szCs w:val="28"/>
          <w:rtl w:val="true"/>
          <w:lang w:bidi="ar-SA"/>
        </w:rPr>
        <w:t>لأنّ جانب المالية فيه ملحوظ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والجمعُ بين العِوَض والمعوض مندفع مطلقاً؛ لأنّ القيمةَ عِوَضُ الجزء الفائتِ لا الباقي، ولولا الاتفاق عليه هنا اتَّجَه الجمعُ مطلقاً فيُقتصر في دفعه على محلّ الوفاق</w:t>
      </w:r>
      <w:r>
        <w:rPr>
          <w:rFonts w:eastAsia="Amiri" w:cs="Amiri" w:ascii="Amiri" w:hAnsi="Amiri"/>
          <w:color w:val="111111"/>
          <w:sz w:val="28"/>
          <w:szCs w:val="28"/>
          <w:rtl w:val="true"/>
          <w:lang w:bidi="ar-SA"/>
        </w:rPr>
        <w:t>.</w:t>
      </w:r>
    </w:p>
    <w:p>
      <w:pPr>
        <w:sectPr>
          <w:footerReference w:type="default" r:id="rId4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المسألة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شَعْرِ الرأس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أجمع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لم ينبت، لرجل كان أم لغيره؛ لرواية سليمان بن خالد</w:t>
      </w:r>
      <w:r>
        <w:rPr>
          <w:rStyle w:val="FootnoteAnchor"/>
          <w:rtl w:val="true"/>
        </w:rPr>
        <w:footnoteReference w:id="1687"/>
      </w:r>
      <w:r>
        <w:rPr>
          <w:rFonts w:ascii="Amiri" w:hAnsi="Amiri" w:eastAsia="Amiri" w:cs="Amiri"/>
          <w:color w:val="111111"/>
          <w:sz w:val="28"/>
          <w:sz w:val="28"/>
          <w:szCs w:val="28"/>
          <w:rtl w:val="true"/>
          <w:lang w:bidi="ar-SA"/>
        </w:rPr>
        <w:t>وغيرها</w:t>
      </w:r>
      <w:r>
        <w:rPr>
          <w:rStyle w:val="FootnoteAnchor"/>
          <w:rtl w:val="true"/>
        </w:rPr>
        <w:footnoteReference w:id="1688"/>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وكذا في شعر اللخية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للرجل، أما لحية المرأة ففيها الأرش مطلقاً، وكذا الخنثى المشكل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ولو</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بتا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شعر الرأس واللحية بعد الجناية عليهما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فالأرش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لم يكن شعر الرأس لامرأة، ولو نَبَت شعر رأس المرأة ففيه مهرُ نسائها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وفى الشعرين أقوال </w:t>
      </w:r>
      <w:r>
        <w:rPr>
          <w:rStyle w:val="FootnoteAnchor"/>
          <w:rtl w:val="true"/>
        </w:rPr>
        <w:footnoteReference w:id="1689"/>
      </w:r>
      <w:r>
        <w:rPr>
          <w:rFonts w:ascii="IRNazanin" w:hAnsi="IRNazanin" w:eastAsia="IRNazanin"/>
          <w:color w:val="111111"/>
          <w:sz w:val="28"/>
          <w:sz w:val="28"/>
          <w:szCs w:val="28"/>
          <w:rtl w:val="true"/>
          <w:lang w:bidi="fa-IR"/>
        </w:rPr>
        <w:t>، هذا أجودها</w:t>
      </w:r>
      <w:r>
        <w:rPr>
          <w:rStyle w:val="FootnoteAnchor"/>
          <w:rtl w:val="true"/>
        </w:rPr>
        <w:footnoteReference w:id="1690"/>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وفي شعر الحاجبين خمسمائة دينار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نصف الدية، وفي كل واحد منهما نصفُ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هو المشهور، بل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إجماع </w:t>
      </w:r>
      <w:r>
        <w:rPr>
          <w:rStyle w:val="FootnoteAnchor"/>
          <w:rtl w:val="true"/>
        </w:rPr>
        <w:footnoteReference w:id="169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فيهما الدية</w:t>
      </w:r>
      <w:r>
        <w:rPr>
          <w:rStyle w:val="FootnoteAnchor"/>
          <w:rtl w:val="true"/>
        </w:rPr>
        <w:footnoteReference w:id="1692"/>
      </w:r>
      <w:r>
        <w:rPr>
          <w:rFonts w:ascii="Amiri" w:hAnsi="Amiri" w:eastAsia="Amiri" w:cs="Amiri"/>
          <w:color w:val="111111"/>
          <w:sz w:val="28"/>
          <w:sz w:val="28"/>
          <w:szCs w:val="28"/>
          <w:rtl w:val="true"/>
          <w:lang w:bidi="ar-SA"/>
        </w:rPr>
        <w:t>كغيرهما مما في الإنسان منه اثنان ولو عاد شَعرُهما فالأرش على الأظهر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وفي بعضه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بعض كلّ واحد من الشعور المذكورة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بالحساب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يثبت فيه من الدية المذكورة بنسبة مساحة محلّ الشعر المجني عليه إلى محل الجميع وإن اختلف كثافةً وخِفَةً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والمرجِعُ في نبات الشعر وعدمه إلى أهل الخبرة، فإن اشتبه فالمروي أنّه يُنتظر سنةٌ ثم تؤخذ الدية إن لم يعد</w:t>
      </w:r>
      <w:r>
        <w:rPr>
          <w:rStyle w:val="FootnoteAnchor"/>
          <w:rtl w:val="true"/>
        </w:rPr>
        <w:footnoteReference w:id="1693"/>
      </w:r>
      <w:r>
        <w:rPr>
          <w:rFonts w:ascii="Amiri" w:hAnsi="Amiri" w:eastAsia="Amiri" w:cs="Amiri"/>
          <w:color w:val="111111"/>
          <w:sz w:val="28"/>
          <w:sz w:val="28"/>
          <w:szCs w:val="28"/>
          <w:rtl w:val="true"/>
          <w:lang w:bidi="ar-SA"/>
        </w:rPr>
        <w:t>، ولو طَلَب الأرش قبلها دفع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إما الحقُّ أو بعضُه، فإن مَضَتْ ولم يعد أُكمِل له على الدية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وفي الأهداب بالمعجمة والمهملة جمع هذبِ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بضمّ الهاء فسكون الدال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شَعْرُ الأَجفان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الأرشُ على قول ابن إدريس</w:t>
      </w:r>
      <w:r>
        <w:rPr>
          <w:rStyle w:val="FootnoteAnchor"/>
          <w:rtl w:val="true"/>
        </w:rPr>
        <w:footnoteReference w:id="1694"/>
      </w:r>
      <w:r>
        <w:rPr>
          <w:rFonts w:ascii="Amiri" w:hAnsi="Amiri" w:eastAsia="Amiri" w:cs="Amiri"/>
          <w:color w:val="111111"/>
          <w:sz w:val="28"/>
          <w:sz w:val="28"/>
          <w:szCs w:val="28"/>
          <w:rtl w:val="true"/>
          <w:lang w:bidi="ar-SA"/>
        </w:rPr>
        <w:t>، والعلامة في أكثر كتبه</w:t>
      </w:r>
      <w:r>
        <w:rPr>
          <w:rStyle w:val="FootnoteAnchor"/>
          <w:rtl w:val="true"/>
        </w:rPr>
        <w:footnoteReference w:id="1695"/>
      </w:r>
      <w:r>
        <w:rPr>
          <w:rFonts w:ascii="Amiri" w:hAnsi="Amiri" w:eastAsia="Amiri" w:cs="Amiri"/>
          <w:color w:val="111111"/>
          <w:sz w:val="28"/>
          <w:sz w:val="28"/>
          <w:szCs w:val="28"/>
          <w:rtl w:val="true"/>
          <w:lang w:bidi="ar-SA"/>
        </w:rPr>
        <w:t xml:space="preserve">، كشعر الساعدين وغيره؛ لأصالة البراءة من الزائد حيث لا يثبت له مقدَّر،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والدية 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للشيخ </w:t>
      </w:r>
      <w:r>
        <w:rPr>
          <w:rStyle w:val="FootnoteAnchor"/>
          <w:rtl w:val="true"/>
        </w:rPr>
        <w:footnoteReference w:id="1696"/>
      </w:r>
      <w:r>
        <w:rPr>
          <w:rFonts w:ascii="Amiri" w:hAnsi="Amiri" w:eastAsia="Amiri" w:cs="Amiri"/>
          <w:color w:val="111111"/>
          <w:sz w:val="28"/>
          <w:sz w:val="28"/>
          <w:szCs w:val="28"/>
          <w:rtl w:val="true"/>
          <w:lang w:bidi="ar-SA"/>
        </w:rPr>
        <w:t>والأكثر منهم العلامة في القواعد</w:t>
      </w:r>
      <w:r>
        <w:rPr>
          <w:rStyle w:val="FootnoteAnchor"/>
          <w:rtl w:val="true"/>
        </w:rPr>
        <w:footnoteReference w:id="169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للحديث العام </w:t>
      </w:r>
      <w:r>
        <w:rPr>
          <w:rStyle w:val="FootnoteAnchor"/>
          <w:rtl w:val="true"/>
        </w:rPr>
        <w:footnoteReference w:id="1698"/>
      </w:r>
      <w:r>
        <w:rPr>
          <w:rFonts w:ascii="Amiri" w:hAnsi="Amiri" w:eastAsia="Amiri" w:cs="Amiri"/>
          <w:color w:val="111111"/>
          <w:sz w:val="28"/>
          <w:sz w:val="28"/>
          <w:szCs w:val="28"/>
          <w:rtl w:val="true"/>
          <w:lang w:bidi="ar-SA"/>
        </w:rPr>
        <w:t>الدال على أن كل ما في البدن منه واحد ففيه الدية، أو اثنان ففيهما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وفيها قول ثالث للقاضي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فيهما نصف الدية كالحاجبين</w:t>
      </w:r>
      <w:r>
        <w:rPr>
          <w:rStyle w:val="FootnoteAnchor"/>
          <w:rtl w:val="true"/>
        </w:rPr>
        <w:footnoteReference w:id="1699"/>
      </w:r>
      <w:r>
        <w:rPr>
          <w:rFonts w:ascii="IRNazanin" w:hAnsi="IRNazanin" w:eastAsia="IRNazanin"/>
          <w:color w:val="111111"/>
          <w:sz w:val="28"/>
          <w:sz w:val="28"/>
          <w:szCs w:val="28"/>
          <w:rtl w:val="true"/>
          <w:lang w:bidi="fa-IR"/>
        </w:rPr>
        <w:t>، والأوّل أقوى</w:t>
      </w:r>
      <w:r>
        <w:rPr>
          <w:rFonts w:eastAsia="IRNazanin" w:cs="IRNazanin"/>
          <w:color w:val="111111"/>
          <w:sz w:val="28"/>
          <w:szCs w:val="28"/>
          <w:rtl w:val="true"/>
          <w:lang w:bidi="fa-IR"/>
        </w:rPr>
        <w:t>.</w:t>
      </w:r>
    </w:p>
    <w:p>
      <w:pPr>
        <w:sectPr>
          <w:footerReference w:type="default" r:id="rId4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المسألة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العينين الدية، وفي كل واحدة النصفُ، صحيحةً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كانت </w:t>
      </w:r>
    </w:p>
    <w:p>
      <w:pPr>
        <w:pStyle w:val="BookText"/>
        <w:rPr/>
      </w:pPr>
      <w:r>
        <w:rPr>
          <w:rFonts w:ascii="Amiri" w:hAnsi="Amiri" w:eastAsia="Amiri" w:cs="Amiri"/>
          <w:color w:val="111111"/>
          <w:sz w:val="28"/>
          <w:sz w:val="28"/>
          <w:szCs w:val="28"/>
          <w:rtl w:val="true"/>
          <w:lang w:bidi="ar-SA"/>
        </w:rPr>
        <w:t xml:space="preserve">العين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حَولاءَ أو عَمْشاءَ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ضعيفةُ البَصَر مع سَيَلان دَمْعِها في أكثر أوقاتها؛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أو جاحظةً </w:t>
      </w:r>
      <w:r>
        <w:rPr>
          <w:rStyle w:val="FootnoteAnchor"/>
          <w:rtl w:val="true"/>
        </w:rPr>
        <w:footnoteReference w:id="170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عظيمة المُقْلة، أو غير ذلك كالجهراء والرَّمْدَى وغيرها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لو كان عليها بَياضُ، فإن بَقِيَ البصر معه تامّاً فكذلك، ولو نَقص نقص من الدية بحسبه، ويُرجع فيه إلى رأي الحاكم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وفي الأجفان الأربعة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الدية، وفي كلّ واحدٍ الربع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للخبر العام</w:t>
      </w:r>
      <w:r>
        <w:rPr>
          <w:rStyle w:val="FootnoteAnchor"/>
          <w:rtl w:val="true"/>
        </w:rPr>
        <w:footnoteReference w:id="170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الأعلى ثلثا الدية وفي الأسفل الثلث</w:t>
      </w:r>
      <w:r>
        <w:rPr>
          <w:rStyle w:val="FootnoteAnchor"/>
          <w:rtl w:val="true"/>
        </w:rPr>
        <w:footnoteReference w:id="1702"/>
      </w:r>
      <w:r>
        <w:rPr>
          <w:rFonts w:ascii="Amiri" w:hAnsi="Amiri" w:eastAsia="Amiri" w:cs="Amiri"/>
          <w:color w:val="111111"/>
          <w:sz w:val="28"/>
          <w:sz w:val="28"/>
          <w:szCs w:val="28"/>
          <w:rtl w:val="true"/>
          <w:lang w:bidi="ar-SA"/>
        </w:rPr>
        <w:t>،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الأعلى الثلث وفي الأسفل النصفُ </w:t>
      </w:r>
      <w:r>
        <w:rPr>
          <w:rStyle w:val="FootnoteAnchor"/>
          <w:rtl w:val="true"/>
        </w:rPr>
        <w:footnoteReference w:id="1703"/>
      </w:r>
      <w:r>
        <w:rPr>
          <w:rFonts w:ascii="Amiri" w:hAnsi="Amiri" w:eastAsia="Amiri" w:cs="Amiri"/>
          <w:color w:val="111111"/>
          <w:sz w:val="28"/>
          <w:sz w:val="28"/>
          <w:szCs w:val="28"/>
          <w:rtl w:val="true"/>
          <w:lang w:bidi="ar-SA"/>
        </w:rPr>
        <w:t>فيَنقُص دية المجموع سدس الدية؛ استناداً إلى خبر ظريف</w:t>
      </w:r>
      <w:r>
        <w:rPr>
          <w:rStyle w:val="FootnoteAnchor"/>
          <w:rtl w:val="true"/>
        </w:rPr>
        <w:footnoteReference w:id="1704"/>
      </w:r>
      <w:r>
        <w:rPr>
          <w:rFonts w:ascii="Amiri" w:hAnsi="Amiri" w:eastAsia="Amiri" w:cs="Amiri"/>
          <w:color w:val="111111"/>
          <w:sz w:val="28"/>
          <w:sz w:val="28"/>
          <w:szCs w:val="28"/>
          <w:rtl w:val="true"/>
          <w:lang w:bidi="ar-SA"/>
        </w:rPr>
        <w:t>، وعليه الأكثر، لكن في طريقه ضعف وجهالة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وربما قيل بأنّ هذا النقص إنّما هو على تقدير كون الجناية من اثنين، أو من واحد بعد دفع أرش الجناية الأولى وإلا وجب دية كاملة إجماعاً</w:t>
      </w:r>
      <w:r>
        <w:rPr>
          <w:rStyle w:val="FootnoteAnchor"/>
          <w:rtl w:val="true"/>
        </w:rPr>
        <w:footnoteReference w:id="1705"/>
      </w:r>
      <w:r>
        <w:rPr>
          <w:rFonts w:ascii="Amiri" w:hAnsi="Amiri" w:eastAsia="Amiri" w:cs="Amiri"/>
          <w:color w:val="111111"/>
          <w:sz w:val="28"/>
          <w:sz w:val="28"/>
          <w:szCs w:val="28"/>
          <w:rtl w:val="true"/>
          <w:lang w:bidi="ar-SA"/>
        </w:rPr>
        <w:t>، وهذا هو الظاهر من الرواية، لكن فتوى الأصحاب مطلقة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فرق بين أجفان صحيح العين وغيره حتى الأعمى، ولا بين ما عليه هَدْبٌ وغيره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تَتَداخَلُ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دية الأجفان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 العينين لو قَلَعهما معاً، بل تجب عليه الديتان؛ لأصالة عدم التداخل</w:t>
      </w:r>
      <w:r>
        <w:rPr>
          <w:rFonts w:eastAsia="Amiri" w:cs="Amiri" w:ascii="Amiri" w:hAnsi="Amiri"/>
          <w:color w:val="111111"/>
          <w:sz w:val="28"/>
          <w:szCs w:val="28"/>
          <w:rtl w:val="true"/>
          <w:lang w:bidi="ar-SA"/>
        </w:rPr>
        <w:t>.</w:t>
      </w:r>
    </w:p>
    <w:p>
      <w:pPr>
        <w:sectPr>
          <w:footerReference w:type="default" r:id="rId4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وفي عين ذي الواحدة كمال الدية إذا 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خلقةً أو بآفة من الله 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من غيره حيث لا يستحق عليه أرشاً، كما لو جنى عليه حيوان غير مضمون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ولو استحق ديتها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لم يأخذها أو ذَهَبَتْ في قصاص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فالنصف في الصحيحة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الأول فهو موضع وفاق على ما ذكره جماعة</w:t>
      </w:r>
      <w:r>
        <w:rPr>
          <w:rStyle w:val="FootnoteAnchor"/>
          <w:rtl w:val="true"/>
        </w:rPr>
        <w:footnoteReference w:id="1706"/>
      </w:r>
      <w:r>
        <w:rPr>
          <w:rFonts w:ascii="Amiri" w:hAnsi="Amiri" w:eastAsia="Amiri" w:cs="Amiri"/>
          <w:color w:val="111111"/>
          <w:sz w:val="28"/>
          <w:sz w:val="28"/>
          <w:szCs w:val="28"/>
          <w:rtl w:val="true"/>
          <w:lang w:bidi="ar-SA"/>
        </w:rPr>
        <w:t>، وأما الثاني فهو مقتضى الأصل في دية العين الواحدة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وذهب ابن إدريس إلى أن فيها هنا ثلث الدية خاصة، وجَعَلَه الأظهر في المذهب</w:t>
      </w:r>
      <w:r>
        <w:rPr>
          <w:rStyle w:val="FootnoteAnchor"/>
          <w:rtl w:val="true"/>
        </w:rPr>
        <w:footnoteReference w:id="1707"/>
      </w:r>
      <w:r>
        <w:rPr>
          <w:rFonts w:ascii="Amiri" w:hAnsi="Amiri" w:eastAsia="Amiri" w:cs="Amiri"/>
          <w:color w:val="111111"/>
          <w:sz w:val="28"/>
          <w:sz w:val="28"/>
          <w:szCs w:val="28"/>
          <w:rtl w:val="true"/>
          <w:lang w:bidi="ar-SA"/>
        </w:rPr>
        <w:t>، وهو وَهُمْ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وفي خَسْف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العوراء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هنا الفاسدة</w:t>
      </w:r>
      <w:r>
        <w:rPr>
          <w:rStyle w:val="FootnoteAnchor"/>
          <w:rtl w:val="true"/>
        </w:rPr>
        <w:footnoteReference w:id="170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ثلث ديتها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حالة كونها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صحيحةً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الأشهر، ورُوي ربعُها</w:t>
      </w:r>
      <w:r>
        <w:rPr>
          <w:rStyle w:val="FootnoteAnchor"/>
          <w:rtl w:val="true"/>
        </w:rPr>
        <w:footnoteReference w:id="1709"/>
      </w:r>
      <w:r>
        <w:rPr>
          <w:rFonts w:ascii="Amiri" w:hAnsi="Amiri" w:eastAsia="Amiri" w:cs="Amiri"/>
          <w:color w:val="111111"/>
          <w:sz w:val="28"/>
          <w:sz w:val="28"/>
          <w:szCs w:val="28"/>
          <w:rtl w:val="true"/>
          <w:lang w:bidi="ar-SA"/>
        </w:rPr>
        <w:t>، والأول أصح طريقاً سواء كان العَوَرُ من الله تعالى أم من جنايةِ جانٍ، وسواءٌ أَخَذ الأرضَ أم 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ووَهَمَ ابْنُ إدريس هنا أيضاً ففَرق هنا كالسابق، وجَعَل في الأوّل النصف وفي الثاني الثلث</w:t>
      </w:r>
      <w:r>
        <w:rPr>
          <w:rStyle w:val="FootnoteAnchor"/>
          <w:rtl w:val="true"/>
        </w:rPr>
        <w:footnoteReference w:id="171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المسألة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الرابعة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الأذنين الدية، وفي كلّ واحدة النصفُ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سميعةً كانت أم صَمَاءَ؛ لأنّ الصَمَمَ عيبٌ في غيرها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قطع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البعض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بحسابه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تُعتبر مِساحةُ المجموع من أصل الأذن، ويُنسَب المقطوع إليه، ويؤخذ له من الدية بنسبته إليه، فإن كان المقطوع النصف فالنصفُ أو الثلث فالثلث، وهكذا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وتُعتبر الشَحْمَة في مساحتها حيث لا تكون هي المقطوعة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وفي شحمتها ثلث ديتها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على المشهور، وبه رواية </w:t>
      </w:r>
      <w:r>
        <w:rPr>
          <w:rStyle w:val="FootnoteAnchor"/>
          <w:rtl w:val="true"/>
        </w:rPr>
        <w:footnoteReference w:id="1711"/>
      </w:r>
      <w:r>
        <w:rPr>
          <w:rFonts w:ascii="Amiri" w:hAnsi="Amiri" w:eastAsia="Amiri" w:cs="Amiri"/>
          <w:color w:val="111111"/>
          <w:sz w:val="28"/>
          <w:sz w:val="28"/>
          <w:szCs w:val="28"/>
          <w:rtl w:val="true"/>
          <w:lang w:bidi="ar-SA"/>
        </w:rPr>
        <w:t>ضعيفة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وفي خَرَّمِها ثلث ديتها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ما ذكره الشيخ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w:t>
      </w:r>
      <w:r>
        <w:rPr>
          <w:rStyle w:val="FootnoteAnchor"/>
          <w:rtl w:val="true"/>
        </w:rPr>
        <w:footnoteReference w:id="1712"/>
      </w:r>
      <w:r>
        <w:rPr>
          <w:rFonts w:ascii="Amiri" w:hAnsi="Amiri" w:eastAsia="Amiri" w:cs="Amiri"/>
          <w:color w:val="111111"/>
          <w:sz w:val="28"/>
          <w:sz w:val="28"/>
          <w:szCs w:val="28"/>
          <w:rtl w:val="true"/>
          <w:lang w:bidi="ar-SA"/>
        </w:rPr>
        <w:t xml:space="preserve">، وتبعه عليه جماعة </w:t>
      </w:r>
      <w:r>
        <w:rPr>
          <w:rStyle w:val="FootnoteAnchor"/>
          <w:rtl w:val="true"/>
        </w:rPr>
        <w:footnoteReference w:id="1713"/>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673</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وفسّره ابن إدريس بخزم الشحمة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8</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4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وثلث دية الشحمة مع احتماله إرادة الأذن أو ما هو أعم، ولا سند لذلك يُرجع إليه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المسألة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الخامسة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الأنف الدية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سواء قطع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مستأصلاً أو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قطع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مارِنُه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خاصةً، وهو ما لانَ منه في طرفه الأسفل يشتمل على طرفين وحاجز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الدية في مارنه خاصةً دون القصبة، حتى لو قطع المارنَ والقصبة معاً فعليه دية وحكومة للزائد</w:t>
      </w:r>
      <w:r>
        <w:rPr>
          <w:rStyle w:val="FootnoteAnchor"/>
          <w:rtl w:val="true"/>
        </w:rPr>
        <w:footnoteReference w:id="1714"/>
      </w:r>
      <w:r>
        <w:rPr>
          <w:rFonts w:ascii="IRNazanin" w:hAnsi="IRNazanin" w:eastAsia="IRNazanin"/>
          <w:color w:val="111111"/>
          <w:sz w:val="28"/>
          <w:sz w:val="28"/>
          <w:szCs w:val="28"/>
          <w:rtl w:val="true"/>
          <w:lang w:bidi="fa-IR"/>
        </w:rPr>
        <w:t>، وهو أقوى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ولو قطع بعضه فبحسابه من المارن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وكذا لو كُسِر ففَسَد، ولو جُبر على صحة فمائة دينار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وعلى غير صحة مائة وزيادة حكومة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وفي شَلَلِه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فساده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ثلثا ديته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صحيحاً، وفي قطعه أشلَّ الثلث</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وفي رؤتيه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بفتح الراء، وهي الحاجز بين المِنْخَرَيْن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الثلث، وفي كلّ مِنخَر ثلث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الدية على الأشهر؛ لأنّ الأنف الموجِبَ للدية يشتمل على حاجز ومنخَرَين، ولرواية غياث عن الصادق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أن علياً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قضى به</w:t>
      </w:r>
      <w:r>
        <w:rPr>
          <w:rFonts w:eastAsia="Amiri" w:cs="Amiri" w:ascii="Amiri" w:hAnsi="Amiri"/>
          <w:color w:val="111111"/>
          <w:sz w:val="28"/>
          <w:szCs w:val="28"/>
          <w:rtl w:val="true"/>
          <w:lang w:bidi="ar-SA"/>
        </w:rPr>
        <w:t>»</w:t>
      </w:r>
      <w:r>
        <w:rPr>
          <w:rStyle w:val="FootnoteAnchor"/>
          <w:rtl w:val="true"/>
        </w:rPr>
        <w:footnoteReference w:id="171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النصفُ </w:t>
      </w:r>
      <w:r>
        <w:rPr>
          <w:rStyle w:val="FootnoteAnchor"/>
          <w:rtl w:val="true"/>
        </w:rPr>
        <w:footnoteReference w:id="1716"/>
      </w:r>
      <w:r>
        <w:rPr>
          <w:rFonts w:ascii="Amiri" w:hAnsi="Amiri" w:eastAsia="Amiri" w:cs="Amiri"/>
          <w:color w:val="111111"/>
          <w:sz w:val="28"/>
          <w:sz w:val="28"/>
          <w:szCs w:val="28"/>
          <w:rtl w:val="true"/>
          <w:lang w:bidi="ar-SA"/>
        </w:rPr>
        <w:t>لأنّه ذَهَب بنصفِ المنفعة ونصف الجمال، واستضعافاً لرواية غياث به، لكنّه أشهرُ موافقاً لأصالة البراءة من الزائد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المسألة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السادسة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كلّ من الشَّفَتَين نصفُ الدية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للخبر العام</w:t>
      </w:r>
      <w:r>
        <w:rPr>
          <w:rStyle w:val="FootnoteAnchor"/>
          <w:rtl w:val="true"/>
        </w:rPr>
        <w:footnoteReference w:id="1717"/>
      </w:r>
      <w:r>
        <w:rPr>
          <w:rFonts w:ascii="Amiri" w:hAnsi="Amiri" w:eastAsia="Amiri" w:cs="Amiri"/>
          <w:color w:val="111111"/>
          <w:sz w:val="28"/>
          <w:sz w:val="28"/>
          <w:szCs w:val="28"/>
          <w:rtl w:val="true"/>
          <w:lang w:bidi="ar-SA"/>
        </w:rPr>
        <w:t>وهو صحيح لكنّه مقطوع، ويَعضُده روايةُ سماعة عن الصادق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الشفتان العليا والسفلى سواء في الدية</w:t>
      </w:r>
      <w:r>
        <w:rPr>
          <w:rFonts w:eastAsia="Amiri" w:cs="Amiri" w:ascii="Amiri" w:hAnsi="Amiri"/>
          <w:color w:val="111111"/>
          <w:sz w:val="28"/>
          <w:szCs w:val="28"/>
          <w:rtl w:val="true"/>
          <w:lang w:bidi="ar-SA"/>
        </w:rPr>
        <w:t>»</w:t>
      </w:r>
      <w:r>
        <w:rPr>
          <w:rStyle w:val="FootnoteAnchor"/>
          <w:rtl w:val="true"/>
        </w:rPr>
        <w:footnoteReference w:id="1718"/>
      </w:r>
      <w:r>
        <w:rPr>
          <w:rFonts w:eastAsia="Times New Roman" w:cs="Times New Roman" w:ascii="Times New Roman" w:hAnsi="Times New Roman"/>
          <w:color w:val="111111"/>
          <w:sz w:val="28"/>
          <w:szCs w:val="28"/>
          <w:rtl w:val="true"/>
          <w:lang w:val="en-US" w:bidi="en-US"/>
        </w:rPr>
        <w:t>.</w:t>
      </w:r>
    </w:p>
    <w:p>
      <w:pPr>
        <w:sectPr>
          <w:footerReference w:type="default" r:id="rId4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السفلى الثلثان</w:t>
      </w:r>
      <w:r>
        <w:rPr>
          <w:rFonts w:eastAsia="Amiri" w:cs="Amiri" w:ascii="Amiri" w:hAnsi="Amiri"/>
          <w:color w:val="111111"/>
          <w:sz w:val="28"/>
          <w:szCs w:val="28"/>
          <w:rtl w:val="true"/>
          <w:lang w:bidi="ar-SA"/>
        </w:rPr>
        <w:t>)</w:t>
      </w:r>
      <w:r>
        <w:rPr>
          <w:rStyle w:val="FootnoteAnchor"/>
          <w:rtl w:val="true"/>
        </w:rPr>
        <w:footnoteReference w:id="1719"/>
      </w:r>
      <w:r>
        <w:rPr>
          <w:rFonts w:ascii="Amiri" w:hAnsi="Amiri" w:eastAsia="Amiri" w:cs="Amiri"/>
          <w:color w:val="111111"/>
          <w:sz w:val="28"/>
          <w:sz w:val="28"/>
          <w:szCs w:val="28"/>
          <w:rtl w:val="true"/>
          <w:lang w:bidi="ar-SA"/>
        </w:rPr>
        <w:t>لإمساكها الطعام والشرابَ وردّها اللعاب، وحينئذٍ ففي العليا الثلث،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النصفُ</w:t>
      </w:r>
      <w:r>
        <w:rPr>
          <w:rStyle w:val="FootnoteAnchor"/>
          <w:rtl w:val="true"/>
        </w:rPr>
        <w:footnoteReference w:id="1720"/>
      </w:r>
      <w:r>
        <w:rPr>
          <w:rFonts w:ascii="Amiri" w:hAnsi="Amiri" w:eastAsia="Amiri" w:cs="Amiri"/>
          <w:color w:val="111111"/>
          <w:sz w:val="28"/>
          <w:sz w:val="28"/>
          <w:szCs w:val="28"/>
          <w:rtl w:val="true"/>
          <w:lang w:bidi="ar-SA"/>
        </w:rPr>
        <w:t>، 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نُدوره اشتماله على زيادة لا معنى لها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وفيهما قول رابع ذهب إليه جماعة</w:t>
      </w:r>
      <w:r>
        <w:rPr>
          <w:rStyle w:val="FootnoteAnchor"/>
          <w:rtl w:val="true"/>
        </w:rPr>
        <w:footnoteReference w:id="1721"/>
      </w:r>
      <w:r>
        <w:rPr>
          <w:rFonts w:ascii="Amiri" w:hAnsi="Amiri" w:eastAsia="Amiri" w:cs="Amiri"/>
          <w:color w:val="111111"/>
          <w:sz w:val="28"/>
          <w:sz w:val="28"/>
          <w:szCs w:val="28"/>
          <w:rtl w:val="true"/>
          <w:lang w:bidi="ar-SA"/>
        </w:rPr>
        <w:t>منهم العلّامة في المختلف</w:t>
      </w:r>
      <w:r>
        <w:rPr>
          <w:rStyle w:val="FootnoteAnchor"/>
          <w:rtl w:val="true"/>
        </w:rPr>
        <w:footnoteReference w:id="1722"/>
      </w:r>
      <w:r>
        <w:rPr>
          <w:rFonts w:ascii="Amiri" w:hAnsi="Amiri" w:eastAsia="Amiri" w:cs="Amiri"/>
          <w:color w:val="111111"/>
          <w:sz w:val="28"/>
          <w:sz w:val="28"/>
          <w:szCs w:val="28"/>
          <w:rtl w:val="true"/>
          <w:lang w:bidi="ar-SA"/>
        </w:rPr>
        <w:t>، وهو أنّ في العُليا أربعمائة دينار، وفي السفلى ستَّمائةٍ؛ لما ذُكر، ولرواية أبانِ بنِ تَغْلِبَ عن الصادق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Style w:val="FootnoteAnchor"/>
          <w:rtl w:val="true"/>
        </w:rPr>
        <w:footnoteReference w:id="1723"/>
      </w:r>
      <w:r>
        <w:rPr>
          <w:rFonts w:ascii="Amiri" w:hAnsi="Amiri" w:eastAsia="Amiri" w:cs="Amiri"/>
          <w:color w:val="111111"/>
          <w:sz w:val="28"/>
          <w:sz w:val="28"/>
          <w:szCs w:val="28"/>
          <w:rtl w:val="true"/>
          <w:lang w:bidi="ar-SA"/>
        </w:rPr>
        <w:t>لكن في طريقها ضعف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وفي بعضهما بالنسبة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مساحةً، ففي نصفها النصفُ وفي ثلثها الثلث وهكذا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وحد الشفة السفلى ما تَجافَى عن اللثة مع طول الفم، والعليا كذلك، متصلاً بالمنخرين مع طول الفم، دون حاشية الشدقين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استَرَخَتَا فثلثا الدية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لأنّ ذلك بمنزلة الشكل، فلو قُطِعَتا بعد ذلك فالثلث</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ولو تَقَلَّصَتَا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انزَوَنَا على وجه لا ينطبقان على الأسنان ضدُّ الاسترخاء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فالحكومة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لعدم ثبوت مقدَّرٍ لذلك فيُرجع إليها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وقيل</w:t>
      </w:r>
      <w:r>
        <w:rPr>
          <w:rStyle w:val="FootnoteAnchor"/>
          <w:rtl w:val="true"/>
        </w:rPr>
        <w:footnoteReference w:id="172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الدية؛ لزوال المنفعة المخلوقة لأجلها، والجمال، فيجري وجودُها مَجرَى عدمها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ويُضعف بأنّ ذلك لا يَزِيد على الشكل، وهو لا يُوجِب زيادةً على الثلثين، مع أصالة البراءة من الزائد على الحكومة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المسألة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استئصال اللسان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بالقطع بأن لا يبقى شيءٌ منه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الدية، وكذا فيما أي في قطع ما يَذهَب به الحروفُ أجمعُ، وهي ثمانية وعشرون حرفاً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إذهاب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البعض بحساب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الذاهب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الحروف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تبسط الدية عليها أجمع، فيؤخذ للذاهب من الدية بحسابه</w:t>
      </w:r>
      <w:r>
        <w:rPr>
          <w:rFonts w:eastAsia="Amiri" w:cs="Amiri" w:ascii="Amiri" w:hAnsi="Amiri"/>
          <w:color w:val="111111"/>
          <w:sz w:val="28"/>
          <w:szCs w:val="28"/>
          <w:rtl w:val="true"/>
          <w:lang w:bidi="ar-SA"/>
        </w:rPr>
        <w:t>.</w:t>
      </w:r>
    </w:p>
    <w:p>
      <w:pPr>
        <w:sectPr>
          <w:footerReference w:type="default" r:id="rId4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ويَستوي في ذلك اللسنية وغيرُها والخفيفة والثقيلة؛ لإطلاق النص</w:t>
      </w:r>
      <w:r>
        <w:rPr>
          <w:rStyle w:val="FootnoteAnchor"/>
          <w:rtl w:val="true"/>
        </w:rPr>
        <w:footnoteReference w:id="172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اعتبار هنا بمساحة اللسان، فلو قطع نصفه فذهب ربعُ الحروف فربع الدية خاصةً، وبالعكس</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يُعتبر هنا أكثر الأمرين</w:t>
      </w:r>
      <w:r>
        <w:rPr>
          <w:rStyle w:val="FootnoteAnchor"/>
          <w:rtl w:val="true"/>
        </w:rPr>
        <w:footnoteReference w:id="1726"/>
      </w:r>
      <w:r>
        <w:rPr>
          <w:rFonts w:ascii="Amiri" w:hAnsi="Amiri" w:eastAsia="Amiri" w:cs="Amiri"/>
          <w:color w:val="111111"/>
          <w:sz w:val="28"/>
          <w:sz w:val="28"/>
          <w:szCs w:val="28"/>
          <w:rtl w:val="true"/>
          <w:lang w:bidi="ar-SA"/>
        </w:rPr>
        <w:t>من الذاهب من اللسان ومن الحروف؛ لأنّ اللسان عضو متحد في الإنسان ففيه الدية، وفي بعضه بحسابه، والنطقُ منفعة توجب الدية كذلك، وهذا أقوى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وفي لسان الأخرس ثلث الدية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تنزيلاً له منزلة الأشل؛ لاشتراكهما في فساد العضو المؤدّي إلى زوال المنفعة المقصودة منه،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وفي بعضه بحسابه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مساحةً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ولو ادَّعَى الصحيحُ ذَهَابَ نطقه بالجناية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 يُحتمل ذَهابُه بها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صُدِّق بالقسامة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خمسين يميناً بالإشارة؛ لتعذر إقامة البيّنة على ذلك، وحصول الظن المستند إلى الأمارة بصدقه فيكون لَوْتاً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يُضرب لسانه بإبرة فإن خرج الدم أسود، صُدِّق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غير يمين، على ما يظهر من الرواية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 خرج أحمرَ كُذَّبَ</w:t>
      </w:r>
      <w:r>
        <w:rPr>
          <w:rFonts w:eastAsia="Amiri" w:cs="Amiri" w:ascii="Amiri" w:hAnsi="Amiri"/>
          <w:color w:val="111111"/>
          <w:sz w:val="28"/>
          <w:szCs w:val="28"/>
          <w:rtl w:val="true"/>
          <w:lang w:bidi="ar-SA"/>
        </w:rPr>
        <w:t>)</w:t>
      </w:r>
      <w:r>
        <w:rPr>
          <w:rStyle w:val="FootnoteAnchor"/>
          <w:rtl w:val="true"/>
        </w:rPr>
        <w:footnoteReference w:id="172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والمستند رواية الأصبغ بن نباتة عن أمير المؤمنين </w:t>
      </w:r>
      <w:r>
        <w:rPr>
          <w:rStyle w:val="FootnoteAnchor"/>
          <w:rtl w:val="true"/>
        </w:rPr>
        <w:footnoteReference w:id="1728"/>
      </w:r>
      <w:r>
        <w:rPr>
          <w:rFonts w:ascii="Amiri" w:hAnsi="Amiri" w:eastAsia="Amiri" w:cs="Amiri"/>
          <w:color w:val="111111"/>
          <w:sz w:val="28"/>
          <w:sz w:val="28"/>
          <w:szCs w:val="28"/>
          <w:rtl w:val="true"/>
          <w:lang w:bidi="ar-SA"/>
        </w:rPr>
        <w:t xml:space="preserve">، وفي طريقها ضعف </w:t>
      </w:r>
      <w:r>
        <w:rPr>
          <w:rStyle w:val="FootnoteAnchor"/>
          <w:rtl w:val="true"/>
        </w:rPr>
        <w:footnoteReference w:id="1729"/>
      </w:r>
      <w:r>
        <w:rPr>
          <w:rFonts w:ascii="IRNazanin" w:hAnsi="IRNazanin" w:eastAsia="IRNazanin"/>
          <w:color w:val="111111"/>
          <w:sz w:val="28"/>
          <w:sz w:val="28"/>
          <w:szCs w:val="28"/>
          <w:rtl w:val="true"/>
          <w:lang w:bidi="fa-IR"/>
        </w:rPr>
        <w:t>، وإرسال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المسألة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الثامنة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الأسنان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بفتح الهمزة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الدية، وهي ثمان وعشرون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سنّاً، تُوزّع الدية عليها متفاوتة كما يذكر منها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المقاديم الاثني عشر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وهي التنيتان والرباعينان والنابان من أعلى، ومثلها من أسفل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ستمائة دينار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كلّ واحد خمسون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المآخير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السنّةَ عشرَ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أربعة من كل جانب من الجوانب الأربعة ضاحك، وثلاثة أضراس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أربعمائة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كل واحد خمسة وعشرون </w:t>
      </w:r>
      <w:r>
        <w:rPr>
          <w:rFonts w:eastAsia="Amiri" w:cs="Amiri" w:ascii="Amiri" w:hAnsi="Amiri"/>
          <w:color w:val="111111"/>
          <w:sz w:val="28"/>
          <w:szCs w:val="28"/>
          <w:rtl w:val="true"/>
          <w:lang w:bidi="ar-SA"/>
        </w:rPr>
        <w:t>.</w:t>
      </w:r>
    </w:p>
    <w:p>
      <w:pPr>
        <w:sectPr>
          <w:footerReference w:type="default" r:id="rId4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ويستوي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البيضاء والسوداء والصفراءُ خِلقةً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بأن كانت قبل أن تَتَّغِرَ </w:t>
      </w:r>
    </w:p>
    <w:p>
      <w:pPr>
        <w:pStyle w:val="BookText"/>
        <w:rPr/>
      </w:pPr>
      <w:r>
        <w:rPr>
          <w:rFonts w:ascii="Amiri" w:hAnsi="Amiri" w:eastAsia="Amiri" w:cs="Amiri"/>
          <w:color w:val="111111"/>
          <w:sz w:val="28"/>
          <w:sz w:val="28"/>
          <w:szCs w:val="28"/>
          <w:rtl w:val="true"/>
          <w:lang w:bidi="ar-SA"/>
        </w:rPr>
        <w:t>متغيّرةً ثمّ نَبَتَتْ كذلك، أما لو كانت بيضاء قبل أن تَتَّغِرَ ثم نبتت سوداءَ رُجع إلى العارفين، فإن حكموا بكونه لِعِلَّةٍ فالحكومة وإلا فالدية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وتثبت ديةٌ السنّ بقلعها مع سِنْخها إجماعاً، وبدونه مع استيعاب ما بَرَز عن اللثة، على الأقوى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وفي الزائدة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العددِ المذكورِ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ثلث الأصلية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بحسب ما تقرر لها، بمعنى أنها إن كانت في الأضراس فثلتُ الخمسة والعشرين، أو في المقاديم فثلتُ الخمسين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قُلِعَت منفردةً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الأصليّة المتصلة بها، ولا شيء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قلعت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منضمّةً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إليها، كما لو قُطِع العضو المقدَّرُ ديتُه المشتمل على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فيها حكومة لو انقَلَعَت منفردةً </w:t>
      </w:r>
      <w:r>
        <w:rPr>
          <w:rStyle w:val="FootnoteAnchor"/>
          <w:rtl w:val="true"/>
        </w:rPr>
        <w:footnoteReference w:id="1730"/>
      </w:r>
      <w:r>
        <w:rPr>
          <w:rFonts w:ascii="Amiri" w:hAnsi="Amiri" w:eastAsia="Amiri" w:cs="Amiri"/>
          <w:color w:val="111111"/>
          <w:sz w:val="28"/>
          <w:sz w:val="28"/>
          <w:szCs w:val="28"/>
          <w:rtl w:val="true"/>
          <w:lang w:bidi="ar-SA"/>
        </w:rPr>
        <w:t>، بناءً على أنه لا تقدير لها شرعاً، والأشهر الأوّلُ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ولو اسوَدَّت السِنُ بالجناية ولمّا تسقط فثلثا ديتها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لدلالته على فسادها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يجب الثلثان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انصداعها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تَقَلْقُلُها؛ لأنّه في حكم الشلل، وللرواية</w:t>
      </w:r>
      <w:r>
        <w:rPr>
          <w:rStyle w:val="FootnoteAnchor"/>
          <w:rtl w:val="true"/>
        </w:rPr>
        <w:footnoteReference w:id="1731"/>
      </w:r>
      <w:r>
        <w:rPr>
          <w:rFonts w:ascii="Amiri" w:hAnsi="Amiri" w:eastAsia="Amiri" w:cs="Amiri"/>
          <w:color w:val="111111"/>
          <w:sz w:val="28"/>
          <w:sz w:val="28"/>
          <w:szCs w:val="28"/>
          <w:rtl w:val="true"/>
          <w:lang w:bidi="ar-SA"/>
        </w:rPr>
        <w:t>لكنها ضعيفة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انصداعها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الحكومة</w:t>
      </w:r>
      <w:r>
        <w:rPr>
          <w:rFonts w:eastAsia="Amiri" w:cs="Amiri" w:ascii="Amiri" w:hAnsi="Amiri"/>
          <w:color w:val="111111"/>
          <w:sz w:val="28"/>
          <w:szCs w:val="28"/>
          <w:rtl w:val="true"/>
          <w:lang w:bidi="ar-SA"/>
        </w:rPr>
        <w:t>)</w:t>
      </w:r>
      <w:r>
        <w:rPr>
          <w:rStyle w:val="FootnoteAnchor"/>
          <w:rtl w:val="true"/>
        </w:rPr>
        <w:footnoteReference w:id="1732"/>
      </w:r>
      <w:r>
        <w:rPr>
          <w:rFonts w:ascii="Amiri" w:hAnsi="Amiri" w:eastAsia="Amiri" w:cs="Amiri"/>
          <w:color w:val="111111"/>
          <w:sz w:val="28"/>
          <w:sz w:val="28"/>
          <w:szCs w:val="28"/>
          <w:rtl w:val="true"/>
          <w:lang w:bidi="ar-SA"/>
        </w:rPr>
        <w:t>لعدم دليل صالح على التقدير، وإلحاقه بالشلل بعيد؛ لبقاء القوّة في الجملة، والمشهور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قلعها قالع بعد الاسوداد أو الانصداع فثلث ديتها</w:t>
      </w:r>
      <w:r>
        <w:rPr>
          <w:rFonts w:eastAsia="Amiri" w:cs="Amiri" w:ascii="Amiri" w:hAnsi="Amiri"/>
          <w:color w:val="111111"/>
          <w:sz w:val="28"/>
          <w:szCs w:val="28"/>
          <w:rtl w:val="true"/>
          <w:lang w:bidi="ar-SA"/>
        </w:rPr>
        <w:t>.</w:t>
      </w:r>
    </w:p>
    <w:p>
      <w:pPr>
        <w:sectPr>
          <w:footerReference w:type="default" r:id="rId4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وسن الصبي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لم تُبدّل أسنانه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يُنتظر بها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مدةً يمكن أن تعود فيها عادةً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نَبَتَتْ فالأرش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لمدة ذهابه،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فديةُ المُثّغِر</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بالتاء المشدّدة مثناةً ومثلثةً والأصلُ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المُثْتَغِر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بهما فقُلبت التاء ثاءً ثمّ أُدغمت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ويقال المُثْغَر بسكون المثلثة وفتح الثالثة المعجمة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الذي سقطت أسنانه التواضع التي من شأنها السقوط، وتبت بدلُها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ودية سنّ المُنْغَر ما تقدَّم من التفصيل في مطلق السنّ</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والقائل الشيخ</w:t>
      </w:r>
      <w:r>
        <w:rPr>
          <w:rStyle w:val="FootnoteAnchor"/>
          <w:rtl w:val="true"/>
        </w:rPr>
        <w:footnoteReference w:id="1733"/>
      </w:r>
      <w:r>
        <w:rPr>
          <w:rFonts w:ascii="Amiri" w:hAnsi="Amiri" w:eastAsia="Amiri" w:cs="Amiri"/>
          <w:color w:val="111111"/>
          <w:sz w:val="28"/>
          <w:sz w:val="28"/>
          <w:szCs w:val="28"/>
          <w:rtl w:val="true"/>
          <w:lang w:bidi="ar-SA"/>
        </w:rPr>
        <w:t xml:space="preserve">وجماعة </w:t>
      </w:r>
      <w:r>
        <w:rPr>
          <w:rStyle w:val="FootnoteAnchor"/>
          <w:rtl w:val="true"/>
        </w:rPr>
        <w:footnoteReference w:id="1734"/>
      </w:r>
    </w:p>
    <w:p>
      <w:pPr>
        <w:pStyle w:val="BookText"/>
        <w:rPr/>
      </w:pPr>
      <w:r>
        <w:rPr>
          <w:rFonts w:ascii="IRNazanin" w:hAnsi="IRNazanin" w:eastAsia="IRNazanin"/>
          <w:color w:val="111111"/>
          <w:sz w:val="28"/>
          <w:sz w:val="28"/>
          <w:szCs w:val="28"/>
          <w:rtl w:val="true"/>
          <w:lang w:bidi="fa-IR"/>
        </w:rPr>
        <w:t xml:space="preserve">الفقه، ص </w:t>
      </w:r>
      <w:r>
        <w:rPr>
          <w:rFonts w:eastAsia="IRNazanin" w:cs="IRNazanin"/>
          <w:color w:val="111111"/>
          <w:sz w:val="28"/>
          <w:szCs w:val="28"/>
          <w:lang w:bidi="fa-IR"/>
        </w:rPr>
        <w:t>398</w:t>
      </w:r>
    </w:p>
    <w:p>
      <w:pPr>
        <w:pStyle w:val="BookText"/>
        <w:rPr/>
      </w:pPr>
      <w:r>
        <w:rPr>
          <w:rFonts w:ascii="Amiri" w:hAnsi="Amiri" w:eastAsia="Amiri" w:cs="Amiri"/>
          <w:color w:val="111111"/>
          <w:sz w:val="28"/>
          <w:sz w:val="28"/>
          <w:szCs w:val="28"/>
          <w:rtl w:val="true"/>
          <w:lang w:bidi="ar-SA"/>
        </w:rPr>
        <w:t>منهم العلّامة في المختلف</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فيها بعير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مطلقاً؛ لما رُوي من أنّ أمير المؤمنين قَضَى بذلك</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والطريق ضعيف فالقول به كذلك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المسألة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التاسعة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اللحيين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بفتح اللام وهما العظمان اللذان ينبت على بشرتهما اللحية، ويقال لمُلْتَقاهما الذَقَنُ؛ بالتحريك المفتوح، ويتصل كلُّ واحد منهما بالأذن، وعليهما نبات الأسنان السُّفْلَى إذا قُلِعا منفردين عن الأسنان كلحْيَي الطفل والشيخ الذي تَسَاقَطَتْ أسنانه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الدية، 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 الأسنان ديتان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كلّ واحد منهما نصفُ الدية منفرداً، ومع الأسنان بحسابها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المسألة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العاشرة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العُنُق إذا كُسِر فصار أَصوَرَ</w:t>
      </w:r>
      <w:r>
        <w:rPr>
          <w:rStyle w:val="FootnoteAnchor"/>
          <w:rtl w:val="true"/>
        </w:rPr>
        <w:footnoteReference w:id="173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مائلاً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الديةُ، وكذا لو منع الازدراد، ولو زال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الفسادُ ورَجع إلى الصلاح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فالأرش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بين المدَّتين، ولو لم يبلغ الأذى ذلك بل صار الازدراد أو الالتفات عليه عسراً فالحكومة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المسألة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الحادية عشرة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كلّ من اليدين نصفُ الدية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سواءً اليمين والشمالُ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وحَدُّها المِعْصَم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بكسر الميم فسكون العين ففتح الصاد، وهو المفصل الذي بین الكف والذراع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وتدخُل دية الأصابع في ديتها حيث يجتمعان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وفي الأصابع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تُقطع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وحدَها ديتها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وهى دية اليد، فلو قطع آخَرُ بقيّة اليد فالحكومة خاصةً</w:t>
      </w:r>
      <w:r>
        <w:rPr>
          <w:rFonts w:eastAsia="Amiri" w:cs="Amiri" w:ascii="Amiri" w:hAnsi="Amiri"/>
          <w:color w:val="111111"/>
          <w:sz w:val="28"/>
          <w:szCs w:val="28"/>
          <w:rtl w:val="true"/>
          <w:lang w:bidi="ar-SA"/>
        </w:rPr>
        <w:t>.</w:t>
      </w:r>
    </w:p>
    <w:p>
      <w:pPr>
        <w:sectPr>
          <w:footerReference w:type="default" r:id="rId4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ولو قطع معها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مع اليد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شيء من الزَنْد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بفتح الزاي، والمراد شيء من الذراع؛ </w:t>
      </w:r>
    </w:p>
    <w:p>
      <w:pPr>
        <w:pStyle w:val="BookText"/>
        <w:rPr/>
      </w:pPr>
      <w:r>
        <w:rPr>
          <w:rFonts w:ascii="Amiri" w:hAnsi="Amiri" w:eastAsia="Amiri" w:cs="Amiri"/>
          <w:color w:val="111111"/>
          <w:sz w:val="28"/>
          <w:sz w:val="28"/>
          <w:szCs w:val="28"/>
          <w:rtl w:val="true"/>
          <w:lang w:bidi="ar-SA"/>
        </w:rPr>
        <w:t xml:space="preserve">لأنّ الزَنْدَ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ما ذكره الجوهري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مَوْصِل طَرَف الذراع بالكفّ</w:t>
      </w:r>
      <w:r>
        <w:rPr>
          <w:rFonts w:eastAsia="Amiri" w:cs="Amiri" w:ascii="Amiri" w:hAnsi="Amiri"/>
          <w:color w:val="111111"/>
          <w:sz w:val="28"/>
          <w:szCs w:val="28"/>
          <w:rtl w:val="true"/>
          <w:lang w:bidi="ar-SA"/>
        </w:rPr>
        <w:t>»</w:t>
      </w:r>
      <w:r>
        <w:rPr>
          <w:rStyle w:val="FootnoteAnchor"/>
          <w:rtl w:val="true"/>
        </w:rPr>
        <w:footnoteReference w:id="173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فحكومةٌ زائدة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دية اليد لما قطع من الزند، أمّا لو قطعت من المرفق أو المنكب فدية اليد خاصة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والفرقُ تَناوُلُ اليد لذلك حقيقةً، وانفصاله بمفصل محسوس كأصل اليد، بخلاف ما إذا قُطِع شيء من الزند فإنّ اليد إنّما صَدَقَتْ عليها من الزند، والزند من جناية لا تقدير فيها فيكون فيها الحكومة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كذا فَرَق المصنِّفُ وغيرُه</w:t>
      </w:r>
      <w:r>
        <w:rPr>
          <w:rStyle w:val="FootnoteAnchor"/>
          <w:rtl w:val="true"/>
        </w:rPr>
        <w:footnoteReference w:id="1737"/>
      </w:r>
      <w:r>
        <w:rPr>
          <w:rFonts w:ascii="Amiri" w:hAnsi="Amiri" w:eastAsia="Amiri" w:cs="Amiri"/>
          <w:color w:val="111111"/>
          <w:sz w:val="28"/>
          <w:sz w:val="28"/>
          <w:szCs w:val="28"/>
          <w:rtl w:val="true"/>
          <w:lang w:bidi="ar-SA"/>
        </w:rPr>
        <w:t>، وفيه نظر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ومثله ما لو قطعت من بعض العَضُد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وفي العَضُدَين الديةُ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للخبر العام</w:t>
      </w:r>
      <w:r>
        <w:rPr>
          <w:rStyle w:val="FootnoteAnchor"/>
          <w:rtl w:val="true"/>
        </w:rPr>
        <w:footnoteReference w:id="1738"/>
      </w:r>
      <w:r>
        <w:rPr>
          <w:rFonts w:ascii="Amiri" w:hAnsi="Amiri" w:eastAsia="Amiri" w:cs="Amiri"/>
          <w:color w:val="111111"/>
          <w:sz w:val="28"/>
          <w:sz w:val="28"/>
          <w:szCs w:val="28"/>
          <w:rtl w:val="true"/>
          <w:lang w:bidi="ar-SA"/>
        </w:rPr>
        <w:t xml:space="preserve">بثبوتها للاثنين فيما في البدن منه اثنان،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وكذا في الذراعين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إذا قطعا منفردين عن اليد واحِدُهما عن الآخر، أما لو قطعت اليد من المرفق أو الكيف فالمشهور أنّ فيه دية اليد، كما تقدم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ويُحتمل أن يريد ما هو أعم من ذلك حتى لو قطعها من الكتف وَجَب ثلاث دياتٍ لعموم الخبر فإنّه قول في المسألة، ووجوب دية اليد، وحكومة في الزائد، فإنه قول ثالث</w:t>
      </w:r>
      <w:r>
        <w:rPr>
          <w:rStyle w:val="FootnoteAnchor"/>
          <w:rtl w:val="true"/>
        </w:rPr>
        <w:footnoteReference w:id="1739"/>
      </w:r>
      <w:r>
        <w:rPr>
          <w:rFonts w:ascii="Amiri" w:hAnsi="Amiri" w:eastAsia="Amiri" w:cs="Amiri"/>
          <w:color w:val="111111"/>
          <w:sz w:val="28"/>
          <w:sz w:val="28"/>
          <w:szCs w:val="28"/>
          <w:rtl w:val="true"/>
          <w:lang w:bidi="ar-SA"/>
        </w:rPr>
        <w:t>وكلام الأصحاب هنا لا يخلو من إجمالٍ أو اختلاف أو إخلال، وكذلك الحكم لا يخلو من إشكال</w:t>
      </w:r>
      <w:r>
        <w:rPr>
          <w:rFonts w:eastAsia="Amiri" w:cs="Amiri" w:ascii="Amiri" w:hAnsi="Amiri"/>
          <w:color w:val="111111"/>
          <w:sz w:val="28"/>
          <w:szCs w:val="28"/>
          <w:rtl w:val="true"/>
          <w:lang w:bidi="ar-SA"/>
        </w:rPr>
        <w:t>.</w:t>
      </w:r>
    </w:p>
    <w:p>
      <w:pPr>
        <w:sectPr>
          <w:footerReference w:type="default" r:id="rId4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وفي اليدِ الزائدة الحكومة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وتتميز عن الأصلية بفقد البطش أو ضعفه وميلها عن السمت الطبيعي ونقصانِ خلقتها ولؤ في إصبع، ولو تَساوَتا فيها فإحداهما زائدة لا بعينها، ففيهما جميعاً دية وحكومة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الزائدة ثلث دية الأصلية، ففيهما هنا ديةٌ وثلث </w:t>
      </w:r>
      <w:r>
        <w:rPr>
          <w:rStyle w:val="FootnoteAnchor"/>
          <w:rtl w:val="true"/>
        </w:rPr>
        <w:footnoteReference w:id="174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قطعت إحداهما خاصةً احتُمِل ثبوت نصفِ دية يد وحكومة؛ لأنها نصف المجموع، وحكومةٍ خاصة للأصل</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وفي الأصبع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مثلث الهمزة والباء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عُشْرُ الدية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ليد كانت أم لرجل إبهاماً كانت أم غيرها، على الأقوى؛لصحيحة عبد الله بن سنان </w:t>
      </w:r>
      <w:r>
        <w:rPr>
          <w:rStyle w:val="FootnoteAnchor"/>
          <w:rtl w:val="true"/>
        </w:rPr>
        <w:footnoteReference w:id="1741"/>
      </w:r>
      <w:r>
        <w:rPr>
          <w:rFonts w:ascii="Amiri" w:hAnsi="Amiri" w:eastAsia="Amiri" w:cs="Amiri"/>
          <w:color w:val="111111"/>
          <w:sz w:val="28"/>
          <w:sz w:val="28"/>
          <w:szCs w:val="28"/>
          <w:rtl w:val="true"/>
          <w:lang w:bidi="ar-SA"/>
        </w:rPr>
        <w:t>وغيرها</w:t>
      </w:r>
      <w:r>
        <w:rPr>
          <w:rStyle w:val="FootnoteAnchor"/>
          <w:rtl w:val="true"/>
        </w:rPr>
        <w:footnoteReference w:id="174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الإبهام ثلث دية العضو، وباقي الثلثين يُقسم على سائر الأصابع</w:t>
      </w:r>
      <w:r>
        <w:rPr>
          <w:rStyle w:val="FootnoteAnchor"/>
          <w:rtl w:val="true"/>
        </w:rPr>
        <w:footnoteReference w:id="1743"/>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وفي الإصبع الزائدة ثلث دية الأصلية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شكلها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شلل الإصبع مطلقاً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ثلثا ديتها، وفي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قطع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الشلّاء الثلث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الباقي من ديتها، سواء كان الشلل خِلقةً أم بجناية جانٍ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وفي الظُّفُر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بضم الظاءِ المُشالَةِ والفاء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لم ينبت أو نَبَت أسودَ عشرة دنانير، ولو نَبَت أبيضَ فخمسة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دنانير على المشهور، والمستند رواية </w:t>
      </w:r>
      <w:r>
        <w:rPr>
          <w:rStyle w:val="FootnoteAnchor"/>
          <w:rtl w:val="true"/>
        </w:rPr>
        <w:footnoteReference w:id="1744"/>
      </w:r>
      <w:r>
        <w:rPr>
          <w:rFonts w:ascii="Amiri" w:hAnsi="Amiri" w:eastAsia="Amiri" w:cs="Amiri"/>
          <w:color w:val="111111"/>
          <w:sz w:val="28"/>
          <w:sz w:val="28"/>
          <w:szCs w:val="28"/>
          <w:rtl w:val="true"/>
          <w:lang w:bidi="ar-SA"/>
        </w:rPr>
        <w:t>ضعيفة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صحيحة عبد الله بن سنان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الظفر خمسة دنانير</w:t>
      </w:r>
      <w:r>
        <w:rPr>
          <w:rFonts w:eastAsia="Amiri" w:cs="Amiri" w:ascii="Amiri" w:hAnsi="Amiri"/>
          <w:color w:val="111111"/>
          <w:sz w:val="28"/>
          <w:szCs w:val="28"/>
          <w:rtl w:val="true"/>
          <w:lang w:bidi="ar-SA"/>
        </w:rPr>
        <w:t>»</w:t>
      </w:r>
      <w:r>
        <w:rPr>
          <w:rStyle w:val="FootnoteAnchor"/>
          <w:rtl w:val="true"/>
        </w:rPr>
        <w:footnoteReference w:id="174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وحُمِلت على ما لو عاد أبيض</w:t>
      </w:r>
      <w:r>
        <w:rPr>
          <w:rStyle w:val="FootnoteAnchor"/>
          <w:rtl w:val="true"/>
        </w:rPr>
        <w:footnoteReference w:id="1746"/>
      </w:r>
      <w:r>
        <w:rPr>
          <w:rFonts w:ascii="Amiri" w:hAnsi="Amiri" w:eastAsia="Amiri" w:cs="Amiri"/>
          <w:color w:val="111111"/>
          <w:sz w:val="28"/>
          <w:sz w:val="28"/>
          <w:szCs w:val="28"/>
          <w:rtl w:val="true"/>
          <w:lang w:bidi="ar-SA"/>
        </w:rPr>
        <w:t>، جمعاً، وهو غريب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المسألة</w:t>
      </w:r>
      <w:r>
        <w:rPr>
          <w:rStyle w:val="FootnoteAnchor"/>
          <w:rtl w:val="true"/>
        </w:rPr>
        <w:footnoteReference w:id="1747"/>
      </w:r>
      <w:r>
        <w:rPr>
          <w:rFonts w:ascii="Amiri" w:hAnsi="Amiri" w:eastAsia="Amiri" w:cs="Amiri"/>
          <w:color w:val="111111"/>
          <w:sz w:val="28"/>
          <w:sz w:val="28"/>
          <w:szCs w:val="28"/>
          <w:rtl w:val="true"/>
          <w:lang w:bidi="ar-SA"/>
        </w:rPr>
        <w:t>قول آخَرُ</w:t>
      </w:r>
      <w:r>
        <w:rPr>
          <w:rStyle w:val="FootnoteAnchor"/>
          <w:rtl w:val="true"/>
        </w:rPr>
        <w:footnoteReference w:id="1748"/>
      </w:r>
      <w:r>
        <w:rPr>
          <w:rFonts w:ascii="Amiri" w:hAnsi="Amiri" w:eastAsia="Amiri" w:cs="Amiri"/>
          <w:color w:val="111111"/>
          <w:sz w:val="28"/>
          <w:sz w:val="28"/>
          <w:szCs w:val="28"/>
          <w:rtl w:val="true"/>
          <w:lang w:bidi="ar-SA"/>
        </w:rPr>
        <w:t>، وهو وجوب عشرة دنانير متى قلع ولم يخرج، ومتى خرج أسودَ فثلثا ديته؛ لأنه في معنى الشلل، ولأصالة براءة الذمة من وجوب الزائد، مع ضعفِ المأخذ وبُعْدِ مساواة عوده؛ لعدمه أصلاً، وهو حسن</w:t>
      </w:r>
      <w:r>
        <w:rPr>
          <w:rFonts w:eastAsia="Amiri" w:cs="Amiri" w:ascii="Amiri" w:hAnsi="Amiri"/>
          <w:color w:val="111111"/>
          <w:sz w:val="28"/>
          <w:szCs w:val="28"/>
          <w:rtl w:val="true"/>
          <w:lang w:bidi="ar-SA"/>
        </w:rPr>
        <w:t>.</w:t>
      </w:r>
    </w:p>
    <w:p>
      <w:pPr>
        <w:sectPr>
          <w:footerReference w:type="default" r:id="rId4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المسألة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الثانية عشرة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الظهر إذا كسر الدية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لصحيحة الحلبي عن الصادق في الرجل يُكسر ظهره،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الدية كاملةً</w:t>
      </w:r>
      <w:r>
        <w:rPr>
          <w:rFonts w:eastAsia="Amiri" w:cs="Amiri" w:ascii="Amiri" w:hAnsi="Amiri"/>
          <w:color w:val="111111"/>
          <w:sz w:val="28"/>
          <w:szCs w:val="28"/>
          <w:rtl w:val="true"/>
          <w:lang w:bidi="ar-SA"/>
        </w:rPr>
        <w:t>»</w:t>
      </w:r>
      <w:r>
        <w:rPr>
          <w:rStyle w:val="FootnoteAnchor"/>
          <w:rtl w:val="true"/>
        </w:rPr>
        <w:footnoteReference w:id="1749"/>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وكذا لو احْدَوْدَبَ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صار بحيث لا يقدر على القعود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ولو صَلَح فثلث الدية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هو المشهور، وفي رواية </w:t>
      </w:r>
    </w:p>
    <w:p>
      <w:pPr>
        <w:pStyle w:val="BookText"/>
        <w:rPr/>
      </w:pPr>
      <w:r>
        <w:rPr>
          <w:rFonts w:ascii="Amiri" w:hAnsi="Amiri" w:eastAsia="Amiri" w:cs="Amiri"/>
          <w:color w:val="111111"/>
          <w:sz w:val="28"/>
          <w:sz w:val="28"/>
          <w:szCs w:val="28"/>
          <w:rtl w:val="true"/>
          <w:lang w:bidi="ar-SA"/>
        </w:rPr>
        <w:t>ظريف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كُسِر الصُّلْبُ فجُبر على غير عيب فمائة دينار، وإن عَيثّمَ</w:t>
      </w:r>
      <w:r>
        <w:rPr>
          <w:rStyle w:val="FootnoteAnchor"/>
          <w:rtl w:val="true"/>
        </w:rPr>
        <w:footnoteReference w:id="1750"/>
      </w:r>
      <w:r>
        <w:rPr>
          <w:rFonts w:ascii="Amiri" w:hAnsi="Amiri" w:eastAsia="Amiri" w:cs="Amiri"/>
          <w:color w:val="111111"/>
          <w:sz w:val="28"/>
          <w:sz w:val="28"/>
          <w:szCs w:val="28"/>
          <w:rtl w:val="true"/>
          <w:lang w:bidi="ar-SA"/>
        </w:rPr>
        <w:t>فألف دينار</w:t>
      </w:r>
      <w:r>
        <w:rPr>
          <w:rFonts w:eastAsia="Amiri" w:cs="Amiri" w:ascii="Amiri" w:hAnsi="Amiri"/>
          <w:color w:val="111111"/>
          <w:sz w:val="28"/>
          <w:szCs w:val="28"/>
          <w:rtl w:val="true"/>
          <w:lang w:bidi="ar-SA"/>
        </w:rPr>
        <w:t>»</w:t>
      </w:r>
      <w:r>
        <w:rPr>
          <w:rStyle w:val="FootnoteAnchor"/>
          <w:rtl w:val="true"/>
        </w:rPr>
        <w:footnoteReference w:id="175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ولو كُسِر فشَلَّتْ الرجلان فدية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أي لكسره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وثلثا دية للرجلين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لأنّهما دية شلل كل عضو بحسبه، ولو كُسِر الصُّلْبُ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الظهر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فذهب مَشْيُه وجماعُه فديتان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إحداهما للكسر والأخرى لفوات منفعة الجماع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 ذلك الشيخ في الخلاف</w:t>
      </w:r>
      <w:r>
        <w:rPr>
          <w:rStyle w:val="FootnoteAnchor"/>
          <w:rtl w:val="true"/>
        </w:rPr>
        <w:footnoteReference w:id="1752"/>
      </w:r>
      <w:r>
        <w:rPr>
          <w:rFonts w:ascii="Amiri" w:hAnsi="Amiri" w:eastAsia="Amiri" w:cs="Amiri"/>
          <w:color w:val="111111"/>
          <w:sz w:val="28"/>
          <w:sz w:val="28"/>
          <w:szCs w:val="28"/>
          <w:rtl w:val="true"/>
          <w:lang w:bidi="ar-SA"/>
        </w:rPr>
        <w:t xml:space="preserve">، وتَبِعه عليه الجماعةُ </w:t>
      </w:r>
      <w:r>
        <w:rPr>
          <w:rStyle w:val="FootnoteAnchor"/>
          <w:rtl w:val="true"/>
        </w:rPr>
        <w:footnoteReference w:id="1753"/>
      </w:r>
      <w:r>
        <w:rPr>
          <w:rFonts w:ascii="Amiri" w:hAnsi="Amiri" w:eastAsia="Amiri" w:cs="Amiri"/>
          <w:color w:val="111111"/>
          <w:sz w:val="28"/>
          <w:sz w:val="28"/>
          <w:szCs w:val="28"/>
          <w:rtl w:val="true"/>
          <w:lang w:bidi="ar-SA"/>
        </w:rPr>
        <w:t>،واقتصر المحقق والعلّامة في الشرائع</w:t>
      </w:r>
      <w:r>
        <w:rPr>
          <w:rStyle w:val="FootnoteAnchor"/>
          <w:rtl w:val="true"/>
        </w:rPr>
        <w:footnoteReference w:id="1754"/>
      </w:r>
      <w:r>
        <w:rPr>
          <w:rFonts w:ascii="Amiri" w:hAnsi="Amiri" w:eastAsia="Amiri" w:cs="Amiri"/>
          <w:color w:val="111111"/>
          <w:sz w:val="28"/>
          <w:sz w:val="28"/>
          <w:szCs w:val="28"/>
          <w:rtl w:val="true"/>
          <w:lang w:bidi="ar-SA"/>
        </w:rPr>
        <w:t>والتحرير</w:t>
      </w:r>
      <w:r>
        <w:rPr>
          <w:rStyle w:val="FootnoteAnchor"/>
          <w:rtl w:val="true"/>
        </w:rPr>
        <w:footnoteReference w:id="1755"/>
      </w:r>
      <w:r>
        <w:rPr>
          <w:rFonts w:ascii="Amiri" w:hAnsi="Amiri" w:eastAsia="Amiri" w:cs="Amiri"/>
          <w:color w:val="111111"/>
          <w:sz w:val="28"/>
          <w:sz w:val="28"/>
          <w:szCs w:val="28"/>
          <w:rtl w:val="true"/>
          <w:lang w:bidi="ar-SA"/>
        </w:rPr>
        <w:t xml:space="preserve">على حكايته عنه قولاً إشعاراً بتمريضه وعليه لو عادت إحدى المنفعتين وجبت دية واحدة، ولو عادت ناقصةً فدية وحكومةٌ عن نقص العائدة إلا أن يكون العود بصلاح الصلب فالثلتُ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مضافاً إلى ذلك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المسألة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الثالثة عشرة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النُّخاع</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وهو الخَيطُ الأَبيضُ في وسط فقر الظهر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قُطع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كاملة؛ لأنه واحد في الإنسان ومع ذلك لا قوام له بدونه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المسألة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عشرةَ الثَدْيَان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وهما للرجل والمرأة، ولكن ذكر هنا حكمهما لها خاصةً، وهو أن في كلّ واحد منهما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نصف دية المرأة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سواءٌ اليمين واليسار، وهو موضع وفاق</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وفي انقطاع اللبن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الحكومة، وكذا لو تعذر نزوله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لأنه حينئذٍ بمنزلة المنقطع</w:t>
      </w:r>
      <w:r>
        <w:rPr>
          <w:rFonts w:eastAsia="Amiri" w:cs="Amiri" w:ascii="Amiri" w:hAnsi="Amiri"/>
          <w:color w:val="111111"/>
          <w:sz w:val="28"/>
          <w:szCs w:val="28"/>
          <w:rtl w:val="true"/>
          <w:lang w:bidi="ar-SA"/>
        </w:rPr>
        <w:t>.</w:t>
      </w:r>
    </w:p>
    <w:p>
      <w:pPr>
        <w:sectPr>
          <w:footerReference w:type="default" r:id="rId4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وفي الحَلَمَتّين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وهما اللتان في رأسهما كالزَرّ، يَلْتَقِمُهما الطفل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قطعنا منفردتين عند الشيخ رحمه الله</w:t>
      </w:r>
      <w:r>
        <w:rPr>
          <w:rFonts w:eastAsia="Amiri" w:cs="Amiri" w:ascii="Amiri" w:hAnsi="Amiri"/>
          <w:color w:val="111111"/>
          <w:sz w:val="28"/>
          <w:szCs w:val="28"/>
          <w:rtl w:val="true"/>
          <w:lang w:bidi="ar-SA"/>
        </w:rPr>
        <w:t>)</w:t>
      </w:r>
      <w:r>
        <w:rPr>
          <w:rStyle w:val="FootnoteAnchor"/>
          <w:rtl w:val="true"/>
        </w:rPr>
        <w:footnoteReference w:id="175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لأنّهما ممّا في الإنسان منه اثنان فيدخُلان في </w:t>
      </w:r>
    </w:p>
    <w:p>
      <w:pPr>
        <w:pStyle w:val="BookText"/>
        <w:rPr/>
      </w:pPr>
      <w:r>
        <w:rPr>
          <w:rFonts w:ascii="IRNazanin" w:hAnsi="IRNazanin" w:eastAsia="IRNazanin"/>
          <w:color w:val="111111"/>
          <w:sz w:val="28"/>
          <w:sz w:val="28"/>
          <w:szCs w:val="28"/>
          <w:rtl w:val="true"/>
          <w:lang w:bidi="fa-IR"/>
        </w:rPr>
        <w:t>الخبر العام</w:t>
      </w:r>
      <w:r>
        <w:rPr>
          <w:rStyle w:val="FootnoteAnchor"/>
          <w:rtl w:val="true"/>
        </w:rPr>
        <w:footnoteReference w:id="175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ونَسَبه إلى الشيخ مؤذناً برده؛ لأنهما كالجزء من الثديين اللذين فيهما جميعاً الدية، ففيهما الحكومة خاصّةً؛ لأصالة البراءة من الزائد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وكذا حَلَمتا الرجل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فيهما الدية عند الشيخ في المبسوط والخلاف</w:t>
      </w:r>
      <w:r>
        <w:rPr>
          <w:rStyle w:val="FootnoteAnchor"/>
          <w:rtl w:val="true"/>
        </w:rPr>
        <w:footnoteReference w:id="1758"/>
      </w:r>
      <w:r>
        <w:rPr>
          <w:rFonts w:ascii="Amiri" w:hAnsi="Amiri" w:eastAsia="Amiri" w:cs="Amiri"/>
          <w:color w:val="111111"/>
          <w:sz w:val="28"/>
          <w:sz w:val="28"/>
          <w:szCs w:val="28"/>
          <w:rtl w:val="true"/>
          <w:lang w:bidi="ar-SA"/>
        </w:rPr>
        <w:t>لما ذكر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والقائل ابن بابويه</w:t>
      </w:r>
      <w:r>
        <w:rPr>
          <w:rStyle w:val="FootnoteAnchor"/>
          <w:rtl w:val="true"/>
        </w:rPr>
        <w:footnoteReference w:id="1759"/>
      </w:r>
      <w:r>
        <w:rPr>
          <w:rFonts w:ascii="Amiri" w:hAnsi="Amiri" w:eastAsia="Amiri" w:cs="Amiri"/>
          <w:color w:val="111111"/>
          <w:sz w:val="28"/>
          <w:sz w:val="28"/>
          <w:szCs w:val="28"/>
          <w:rtl w:val="true"/>
          <w:lang w:bidi="ar-SA"/>
        </w:rPr>
        <w:t xml:space="preserve">وابن حمزة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حَلَمَتَي الرجل الربع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ربع الدية،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وفي كل واحدة الثمنُ </w:t>
      </w:r>
      <w:r>
        <w:rPr>
          <w:rFonts w:eastAsia="Amiri" w:cs="Amiri" w:ascii="Amiri" w:hAnsi="Amiri"/>
          <w:color w:val="111111"/>
          <w:sz w:val="28"/>
          <w:szCs w:val="28"/>
          <w:rtl w:val="true"/>
          <w:lang w:bidi="ar-SA"/>
        </w:rPr>
        <w:t>)</w:t>
      </w:r>
      <w:r>
        <w:rPr>
          <w:rStyle w:val="FootnoteAnchor"/>
          <w:rtl w:val="true"/>
        </w:rPr>
        <w:footnoteReference w:id="1760"/>
      </w:r>
      <w:r>
        <w:rPr>
          <w:rFonts w:ascii="Amiri" w:hAnsi="Amiri" w:eastAsia="Amiri" w:cs="Amiri"/>
          <w:color w:val="111111"/>
          <w:sz w:val="28"/>
          <w:sz w:val="28"/>
          <w:szCs w:val="28"/>
          <w:rtl w:val="true"/>
          <w:lang w:bidi="ar-SA"/>
        </w:rPr>
        <w:t>، استناداً إلى كتاب ظريف</w:t>
      </w:r>
      <w:r>
        <w:rPr>
          <w:rStyle w:val="FootnoteAnchor"/>
          <w:rtl w:val="true"/>
        </w:rPr>
        <w:footnoteReference w:id="176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فيهما الحكومة خاصةً</w:t>
      </w:r>
      <w:r>
        <w:rPr>
          <w:rStyle w:val="FootnoteAnchor"/>
          <w:rtl w:val="true"/>
        </w:rPr>
        <w:footnoteReference w:id="1762"/>
      </w:r>
      <w:r>
        <w:rPr>
          <w:rFonts w:ascii="Amiri" w:hAnsi="Amiri" w:eastAsia="Amiri" w:cs="Amiri"/>
          <w:color w:val="111111"/>
          <w:sz w:val="28"/>
          <w:sz w:val="28"/>
          <w:szCs w:val="28"/>
          <w:rtl w:val="true"/>
          <w:lang w:bidi="ar-SA"/>
        </w:rPr>
        <w:t>؛ للأصل ، واستضعافاً لمستند غيرها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المسألة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الخامسة عشرة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الذكر مستأصلاً أو الحشفة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فما زاد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لشيخ كان أم لشاب أم لطفل صغير قادرٍ على الجماع أم عاجز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ولو كان مسلول الخُضيتين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لأنه ممّا في الإنسان منه واحد فثبتت فيه الدية مطلقاً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بعض الحشفة بحسابه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حساب ذلك البعض منسوباً إلى مجموعها خاصّةً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ذكر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العنين ثلث الدية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لأنه عضو أشلُّ وديته ذلك، كما أنّ في الجناية عليه صحيحاً حتى صار أشلَّ تُلتَي ديته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قطع بعضُ ذكر العنين اعتبر بحسابه من المجموع لا من الحشفة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والفرق بينه وبين الصحيح أنّ الحشفة في الصحيح هي الركنُ الأعظمُ في لَذة الجماع بخلافها في العنين؛ لاستواء الجميع في عدم المنفعة مع كونه عضواً واحداً فيُنسَب بعضُه إلى مجموعه على الأصل</w:t>
      </w:r>
      <w:r>
        <w:rPr>
          <w:rFonts w:eastAsia="Amiri" w:cs="Amiri" w:ascii="Amiri" w:hAnsi="Amiri"/>
          <w:color w:val="111111"/>
          <w:sz w:val="28"/>
          <w:szCs w:val="28"/>
          <w:rtl w:val="true"/>
          <w:lang w:bidi="ar-SA"/>
        </w:rPr>
        <w:t>.</w:t>
      </w:r>
    </w:p>
    <w:p>
      <w:pPr>
        <w:sectPr>
          <w:footerReference w:type="default" r:id="rId4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المسألة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السادسة عشرةَ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الخُصْيتين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الدية، وفي كلّ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واحدة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نصفُ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للخبر العام</w:t>
      </w:r>
      <w:r>
        <w:rPr>
          <w:rStyle w:val="FootnoteAnchor"/>
          <w:rtl w:val="true"/>
        </w:rPr>
        <w:footnoteReference w:id="1763"/>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والقائل به جماعة، منهم الشيخ في الخلاف</w:t>
      </w:r>
      <w:r>
        <w:rPr>
          <w:rStyle w:val="FootnoteAnchor"/>
          <w:rtl w:val="true"/>
        </w:rPr>
        <w:footnoteReference w:id="1764"/>
      </w:r>
      <w:r>
        <w:rPr>
          <w:rFonts w:ascii="IRNazanin" w:hAnsi="IRNazanin" w:eastAsia="IRNazanin"/>
          <w:color w:val="111111"/>
          <w:sz w:val="28"/>
          <w:sz w:val="28"/>
          <w:szCs w:val="28"/>
          <w:rtl w:val="true"/>
          <w:lang w:bidi="fa-IR"/>
        </w:rPr>
        <w:t>، وأتباعه</w:t>
      </w:r>
      <w:r>
        <w:rPr>
          <w:rStyle w:val="FootnoteAnchor"/>
          <w:rtl w:val="true"/>
        </w:rPr>
        <w:footnoteReference w:id="1765"/>
      </w:r>
      <w:r>
        <w:rPr>
          <w:rFonts w:ascii="Amiri" w:hAnsi="Amiri" w:eastAsia="Amiri" w:cs="Amiri"/>
          <w:color w:val="111111"/>
          <w:sz w:val="28"/>
          <w:sz w:val="28"/>
          <w:szCs w:val="28"/>
          <w:rtl w:val="true"/>
          <w:lang w:bidi="ar-SA"/>
        </w:rPr>
        <w:t>، والعلّامة في المختلف</w:t>
      </w:r>
      <w:r>
        <w:rPr>
          <w:rStyle w:val="FootnoteAnchor"/>
          <w:rtl w:val="true"/>
        </w:rPr>
        <w:footnoteReference w:id="1766"/>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اليُسْرَى الثلثان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اليمنى الثلث؛ لحسنة عبد الله بن سنان عن الصادق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Style w:val="FootnoteAnchor"/>
          <w:rtl w:val="true"/>
        </w:rPr>
        <w:footnoteReference w:id="1767"/>
      </w:r>
      <w:r>
        <w:rPr>
          <w:rFonts w:ascii="Amiri" w:hAnsi="Amiri" w:eastAsia="Amiri" w:cs="Amiri"/>
          <w:color w:val="111111"/>
          <w:sz w:val="28"/>
          <w:sz w:val="28"/>
          <w:szCs w:val="28"/>
          <w:rtl w:val="true"/>
          <w:lang w:bidi="ar-SA"/>
        </w:rPr>
        <w:t>، وغيرها، ولما رُوي من أنّ الولد يُكَوَّن من اليسرى</w:t>
      </w:r>
      <w:r>
        <w:rPr>
          <w:rStyle w:val="FootnoteAnchor"/>
          <w:rtl w:val="true"/>
        </w:rPr>
        <w:footnoteReference w:id="1768"/>
      </w:r>
      <w:r>
        <w:rPr>
          <w:rFonts w:ascii="Amiri" w:hAnsi="Amiri" w:eastAsia="Amiri" w:cs="Amiri"/>
          <w:color w:val="111111"/>
          <w:sz w:val="28"/>
          <w:sz w:val="28"/>
          <w:szCs w:val="28"/>
          <w:rtl w:val="true"/>
          <w:lang w:bidi="ar-SA"/>
        </w:rPr>
        <w:t>، ولتفاوتهما في المنفعة المناسب لتفاوت الدية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ويُعارض باليد القوية الباطشة والضعيفة، والعين كذلك، وتَخَلُّقُ الولد منها لم يثبت، وخبره مرسل، وقد أنكره بعض الأطباء </w:t>
      </w:r>
      <w:r>
        <w:rPr>
          <w:rStyle w:val="FootnoteAnchor"/>
          <w:rtl w:val="true"/>
        </w:rPr>
        <w:footnoteReference w:id="176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وفي أُدْرَتهما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بضم الهمزة فسكون الدال ففتح الراء، وهي انتفاخهما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أربعمائة دينار، فإن فَحِجَ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بفتح الفاء فالحاء المهملة فالجيم أي تَبَاعَدَتْ رِجلاه أعقاباً مع تقارب صدور قَدَمَيه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 يقدر على المشي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قيد زائد على الفَحْج؛ لأنّ مطلقه يمكن معه المشي، قال الجوهري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الفحج بالتسكين مشية الأفحج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وتَفَجَّج في مِشْيَتِه مثله</w:t>
      </w:r>
      <w:r>
        <w:rPr>
          <w:rFonts w:eastAsia="Amiri" w:cs="Amiri" w:ascii="Amiri" w:hAnsi="Amiri"/>
          <w:color w:val="111111"/>
          <w:sz w:val="28"/>
          <w:szCs w:val="28"/>
          <w:rtl w:val="true"/>
          <w:lang w:bidi="ar-SA"/>
        </w:rPr>
        <w:t>.</w:t>
      </w:r>
      <w:r>
        <w:rPr>
          <w:rStyle w:val="FootnoteAnchor"/>
          <w:rtl w:val="true"/>
        </w:rPr>
        <w:footnoteReference w:id="1770"/>
      </w:r>
      <w:r>
        <w:rPr>
          <w:rFonts w:ascii="IRNazanin" w:hAnsi="IRNazanin" w:eastAsia="IRNazanin"/>
          <w:color w:val="111111"/>
          <w:sz w:val="28"/>
          <w:sz w:val="28"/>
          <w:szCs w:val="28"/>
          <w:rtl w:val="true"/>
          <w:lang w:bidi="fa-IR"/>
        </w:rPr>
        <w:t xml:space="preserve">وفي حكمه ما إذا مَشَى مَشْياً لا ينتفع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فثمانمائة دينار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المشهور، ومستنده کتاب ظريف</w:t>
      </w:r>
      <w:r>
        <w:rPr>
          <w:rStyle w:val="FootnoteAnchor"/>
          <w:rtl w:val="true"/>
        </w:rPr>
        <w:footnoteReference w:id="1771"/>
      </w:r>
      <w:r>
        <w:rPr>
          <w:rFonts w:eastAsia="Times New Roman" w:cs="Times New Roman" w:ascii="Times New Roman" w:hAnsi="Times New Roman"/>
          <w:color w:val="111111"/>
          <w:sz w:val="28"/>
          <w:szCs w:val="28"/>
          <w:rtl w:val="true"/>
          <w:lang w:val="en-US" w:bidi="en-US"/>
        </w:rPr>
        <w:t>.</w:t>
      </w:r>
    </w:p>
    <w:p>
      <w:pPr>
        <w:sectPr>
          <w:footerReference w:type="default" r:id="rId4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المسألة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السابعة عشرة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السُّفْرَين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بضم الشين وهما اللحم المحيط بالفرج إحاطة الشفتين بالفم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وفى كلّ واحد النصفُ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السليمةِ والرَّثقاء</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والبكر والتيب والكبيرة والصغيرة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وفي الركب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بالفتح محرَّكاً، وهو من المرأة مثل موضع العانة من الرجل</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الحكومة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المسألة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الثامنة عشرة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الإفضاء الدية، وهو تصيير مَسلكِ البول والحيض واحداً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مسلك الحيض والغائط</w:t>
      </w:r>
      <w:r>
        <w:rPr>
          <w:rStyle w:val="FootnoteAnchor"/>
          <w:rtl w:val="true"/>
        </w:rPr>
        <w:footnoteReference w:id="1772"/>
      </w:r>
      <w:r>
        <w:rPr>
          <w:rFonts w:ascii="Amiri" w:hAnsi="Amiri" w:eastAsia="Amiri" w:cs="Amiri"/>
          <w:color w:val="111111"/>
          <w:sz w:val="28"/>
          <w:sz w:val="28"/>
          <w:szCs w:val="28"/>
          <w:rtl w:val="true"/>
          <w:lang w:bidi="ar-SA"/>
        </w:rPr>
        <w:t>، وهو أقوى في تحققه، فتجب الدية بأيهما كان؛ لذهاب منفعة الجماع معهما ولا فرق بين الزوج وغيره إذا كان قبل بلوغها، وتختص بغيره بعده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وتَسقُط عن الزوج إذا كان بعد البلوغ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لأنه فعل مأذون فيه شرعاً إذا لم يكن بتفريط، وإلا فالمتجه ضمانُ الدية كالضعيفة التي يغلب الظن بإفضائها،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ولو كان قبله ضَمِنَ مع المهر ديتها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وقع بالجماع ؛ لتحقق الدخول الموجب لاستقراره، ولو وقع بغيره بني استقراره على عدم عروض موجب التنصيف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وأنفق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الزوج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حتّى يموت 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تقدَّم</w:t>
      </w:r>
      <w:r>
        <w:rPr>
          <w:rStyle w:val="FootnoteAnchor"/>
          <w:rtl w:val="true"/>
        </w:rPr>
        <w:footnoteReference w:id="1773"/>
      </w:r>
      <w:r>
        <w:rPr>
          <w:rFonts w:ascii="Amiri" w:hAnsi="Amiri" w:eastAsia="Amiri" w:cs="Amiri"/>
          <w:color w:val="111111"/>
          <w:sz w:val="28"/>
          <w:sz w:val="28"/>
          <w:szCs w:val="28"/>
          <w:rtl w:val="true"/>
          <w:lang w:bidi="ar-SA"/>
        </w:rPr>
        <w:t>في النكاح أنّها تُحرَّم عليه مؤبداً مضافاً إلى ذلك، وإن لم تخرج عن حباله بدون الطلاق، وكذا لا تسقط عنه النفقة وإن طلقها؛ لصحيحة الحلبي عن أبي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عليه الإجراء عليها ما دامت حيّةً</w:t>
      </w:r>
      <w:r>
        <w:rPr>
          <w:rFonts w:eastAsia="Amiri" w:cs="Amiri" w:ascii="Amiri" w:hAnsi="Amiri"/>
          <w:color w:val="111111"/>
          <w:sz w:val="28"/>
          <w:szCs w:val="28"/>
          <w:rtl w:val="true"/>
          <w:lang w:bidi="ar-SA"/>
        </w:rPr>
        <w:t>»</w:t>
      </w:r>
      <w:r>
        <w:rPr>
          <w:rStyle w:val="FootnoteAnchor"/>
          <w:rtl w:val="true"/>
        </w:rPr>
        <w:footnoteReference w:id="177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 سقوطها بتزويجها بغيره وجهان من إطلاق النص بثبوتها إلى أن يموت أحدهما، ومِن حصولِ الغرض بوجوبها على غيره وزوال الموجب لها ، وأنّ العلة عدمُ صلاحيتها لغيره بذلك، وتعطلها عن الأزواج وقد زال فيزول الحكم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 منع انحصار الغرض في ذلك، ومنع العلّيّة المؤثرة، وزوالُ الزوجية لو كان كافياً لسَقَطَتْ بدون التزويج وهو باطل اتفاقاً</w:t>
      </w:r>
      <w:r>
        <w:rPr>
          <w:rFonts w:eastAsia="Amiri" w:cs="Amiri" w:ascii="Amiri" w:hAnsi="Amiri"/>
          <w:color w:val="111111"/>
          <w:sz w:val="28"/>
          <w:szCs w:val="28"/>
          <w:rtl w:val="true"/>
          <w:lang w:bidi="ar-SA"/>
        </w:rPr>
        <w:t>.</w:t>
      </w:r>
    </w:p>
    <w:p>
      <w:pPr>
        <w:sectPr>
          <w:footerReference w:type="default" r:id="rId4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المسألة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التاسعة عشرة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الألتين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وهما اللحم الناتي بين الظهر والفَخِذَين </w:t>
      </w:r>
    </w:p>
    <w:p>
      <w:pPr>
        <w:pStyle w:val="BookText"/>
        <w:rPr/>
      </w:pPr>
      <w:r>
        <w:rPr>
          <w:rFonts w:ascii="Amiri" w:hAnsi="Amiri" w:eastAsia="Amiri" w:cs="Amiri"/>
          <w:color w:val="111111"/>
          <w:sz w:val="28"/>
          <w:sz w:val="28"/>
          <w:szCs w:val="28"/>
          <w:rtl w:val="true"/>
          <w:lang w:bidi="ar-SA"/>
        </w:rPr>
        <w:t xml:space="preserve">الدية، وفي كلّ واحدة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النصفُ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أُخِذَت إلى العظم الذي تحتها، وفي ذهاب بعضهما بقدره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جهل المقدار، قال في التحرير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وجبت حكومة</w:t>
      </w:r>
      <w:r>
        <w:rPr>
          <w:rStyle w:val="FootnoteAnchor"/>
          <w:rtl w:val="true"/>
        </w:rPr>
        <w:footnoteReference w:id="177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ويُشكل بما لو قطع بزيادة مقداره عن الحكومة أو نقصانها مع الجهل بمجموع المقدار، فينبغي الحكم بثبوت المحقق منه كيف كان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المسألة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العشرون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الرجلان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الديةُ، وفي كلّ واحدة النصفُ وحدهما مفصل الساق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اشتملت على الأصابع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وفي الأصابع منفردة الدية وفي كلّ واحدة عُشر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سواءٌ الإبهام وغيرها، والخلاف هنا كما سبق</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ودية كلّ إصبع مقسومةٌ على ثلاث أنامل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بالسوية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الإبهام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مقسومة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اثنين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بالسوية أيضاً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وفي الساقين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وحَدُّهما الركبة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الدية، وكذا في الفَخِذَين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لأنّ كلّ واحد منهما ممّا في الإنسان منه اثنان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إذا قطعا منفردين عن الرجل، وقطع الفخذُ منفرداً عن الساق، أما لو جمع بينهما أو بينها ففيه ما مرّ في اليدين، من احتمال ديةٍ واحدة إذا قطع من المفصل ودية وحكومة وتعددِ الدية بتعدد موجبه والكلام في الإصبع الزائدة والرجل ما تقدم</w:t>
      </w:r>
      <w:r>
        <w:rPr>
          <w:rFonts w:eastAsia="Amiri" w:cs="Amiri" w:ascii="Amiri" w:hAnsi="Amiri"/>
          <w:color w:val="111111"/>
          <w:sz w:val="28"/>
          <w:szCs w:val="28"/>
          <w:rtl w:val="true"/>
          <w:lang w:bidi="ar-SA"/>
        </w:rPr>
        <w:t>.</w:t>
      </w:r>
    </w:p>
    <w:p>
      <w:pPr>
        <w:sectPr>
          <w:footerReference w:type="default" r:id="rId4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المسألة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الحادية والعشرون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التَرْقُوَة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بفتح التاء فسكون الراء فضمّ القاف، وهي العظمُ الذي بين تُغرةِ النَّحْر والعاتِقِ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كسرت فجُبرت على غير عيب أربعون ديناراً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رُوِيَ ذلك في كتاب ظريف</w:t>
      </w:r>
      <w:r>
        <w:rPr>
          <w:rStyle w:val="FootnoteAnchor"/>
          <w:rtl w:val="true"/>
        </w:rPr>
        <w:footnoteReference w:id="177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جبرت على عيب احتمل استصحاب الدية كما لو لم تُجبَر، والحكومة رجوعاً إلى القاعدة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ويُشكل لو نَقَصَتْ عن الأربعين؛ لوجوبها فيما لو عُدِم العيب فكيف لا تجب معه؟ ولو قيل بوجوب أكثر </w:t>
      </w:r>
    </w:p>
    <w:p>
      <w:pPr>
        <w:pStyle w:val="BookText"/>
        <w:rPr/>
      </w:pPr>
      <w:r>
        <w:rPr>
          <w:rFonts w:ascii="Amiri" w:hAnsi="Amiri" w:eastAsia="Amiri" w:cs="Amiri"/>
          <w:color w:val="111111"/>
          <w:sz w:val="28"/>
          <w:sz w:val="28"/>
          <w:szCs w:val="28"/>
          <w:rtl w:val="true"/>
          <w:lang w:bidi="ar-SA"/>
        </w:rPr>
        <w:t>الأمرين كان حسناً، وترقوة المرأة كالرجل في وجوب الأربعين؛ عملاً بالعموم، ولو كان ذمّيّاً فنسبتها إلى دية المسلم من ديته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كسر عظم من عضو خُمس دية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العضو، فإن صَلَح على صحة فأربعةُ أخماس ديةِ كَسْرِه، وفي مُوضِحَته ربع دية كسره، وفي رَضِه ثلث دية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العضو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بعض نسخ الكتاب ثلثا ديته بألف التثنية، والظاهر أنّه سهر؛ لأنّ الثلتَ هو المشهور والمروي </w:t>
      </w:r>
      <w:r>
        <w:rPr>
          <w:rStyle w:val="FootnoteAnchor"/>
          <w:rtl w:val="true"/>
        </w:rPr>
        <w:footnoteReference w:id="177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صلح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المرضوض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صحة فأربعة أخماس دية رضه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ولو صلح بغير صحة فالظاهر استصحاب ديته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وفي فكه بحيث يتعطل العضو ثلثا ديته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لأنّ ذلك بمنزلة الشلَّل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صلح على صحة فأربعة أخماس دية فكّه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ولو لم يَتعطّل فالحكومة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هو المشهور، والأكثر لم يتوقفوا في حكمه، إلّا المحقِّقُ في النافع فنَسَبه إلى الشيخين</w:t>
      </w:r>
      <w:r>
        <w:rPr>
          <w:rStyle w:val="FootnoteAnchor"/>
          <w:rtl w:val="true"/>
        </w:rPr>
        <w:footnoteReference w:id="177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والمستند كتاب ظريف</w:t>
      </w:r>
      <w:r>
        <w:rPr>
          <w:rStyle w:val="FootnoteAnchor"/>
          <w:rtl w:val="true"/>
        </w:rPr>
        <w:footnoteReference w:id="1779"/>
      </w:r>
      <w:r>
        <w:rPr>
          <w:rFonts w:ascii="Amiri" w:hAnsi="Amiri" w:eastAsia="Amiri" w:cs="Amiri"/>
          <w:color w:val="111111"/>
          <w:sz w:val="28"/>
          <w:sz w:val="28"/>
          <w:szCs w:val="28"/>
          <w:rtl w:val="true"/>
          <w:lang w:bidi="ar-SA"/>
        </w:rPr>
        <w:t>مع اختلاف يسير، فلعله نسبه إليهما لذلك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المسألة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الثانية والعشرون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كلّ ضلع ممّا يلي القلب أي من الجانب الذي فيه القلب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كسرت خمسة وعشرون ديناراً، وإذا كسرت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تلك الضلع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ممّا يَلِي العَضُدَ عشرة دنانير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ويستوي في ذلك جميع الأضلاع، والمستند كتاب ظريف</w:t>
      </w:r>
      <w:r>
        <w:rPr>
          <w:rStyle w:val="FootnoteAnchor"/>
          <w:rtl w:val="true"/>
        </w:rPr>
        <w:footnoteReference w:id="1780"/>
      </w:r>
      <w:r>
        <w:rPr>
          <w:rFonts w:eastAsia="Times New Roman" w:cs="Times New Roman" w:ascii="Times New Roman" w:hAnsi="Times New Roman"/>
          <w:color w:val="111111"/>
          <w:sz w:val="28"/>
          <w:szCs w:val="28"/>
          <w:rtl w:val="true"/>
          <w:lang w:val="en-US" w:bidi="en-US"/>
        </w:rPr>
        <w:t>.</w:t>
      </w:r>
    </w:p>
    <w:p>
      <w:pPr>
        <w:sectPr>
          <w:footerReference w:type="default" r:id="rId4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ولو كُسِر عُصْعُصُه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بضمّ عينيه، وهو عَجْبُ الذَنَب بفتح عينه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عَظْمُه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أوّلُ ما يُخلَق وآخِرُ ما يَبلى،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 يَملك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كُسِر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غائطه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يقدر على إمساكه ففيه الدية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لصحيحة سليمان بن خالد عن أبي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رجل كُسِر بعْصُوصُه فلم يَملِكِ اسْتَه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فيه الدية كاملةً</w:t>
      </w:r>
      <w:r>
        <w:rPr>
          <w:rFonts w:eastAsia="Amiri" w:cs="Amiri" w:ascii="Amiri" w:hAnsi="Amiri"/>
          <w:color w:val="111111"/>
          <w:sz w:val="28"/>
          <w:szCs w:val="28"/>
          <w:rtl w:val="true"/>
          <w:lang w:bidi="ar-SA"/>
        </w:rPr>
        <w:t>»</w:t>
      </w:r>
      <w:r>
        <w:rPr>
          <w:rStyle w:val="FootnoteAnchor"/>
          <w:rtl w:val="true"/>
        </w:rPr>
        <w:footnoteReference w:id="178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والبعصوص هو العُصْعُص لكن </w:t>
      </w:r>
    </w:p>
    <w:p>
      <w:pPr>
        <w:pStyle w:val="BookText"/>
        <w:rPr/>
      </w:pPr>
      <w:r>
        <w:rPr>
          <w:rFonts w:ascii="Amiri" w:hAnsi="Amiri" w:eastAsia="Amiri" w:cs="Amiri"/>
          <w:color w:val="111111"/>
          <w:sz w:val="28"/>
          <w:sz w:val="28"/>
          <w:szCs w:val="28"/>
          <w:rtl w:val="true"/>
          <w:lang w:bidi="ar-SA"/>
        </w:rPr>
        <w:t>لم يذكره أهلُ اللغة، فمِن ثُمَّ عَدَل المصنّف عنه إلى العصعص المعروف لغة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الراوندي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البغصوص عظم رقيق حول الدُبُر </w:t>
      </w:r>
      <w:r>
        <w:rPr>
          <w:rStyle w:val="FootnoteAnchor"/>
          <w:rtl w:val="true"/>
        </w:rPr>
        <w:footnoteReference w:id="178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ولو ضُرِب عجانه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بكسر العين، وهو ما بين الخُصْية والفَقْحَة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 يَملِك غائطه ولا بوله ففيه الدية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رواية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إسحاق بن عمار عن أبي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Style w:val="FootnoteAnchor"/>
          <w:rtl w:val="true"/>
        </w:rPr>
        <w:footnoteReference w:id="178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ونَسَبه إلى الرواية؛ لأنّ إسحاق فَطَحِي وإن كان ثقةً، والعمل بروايته مشهور كالسابق، وكثير من الأصحاب لم يذكر فيه خلافاً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ومن اقْتَضَ بِكراً بإصبعه فخَرَق مَثَانَتَها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بفتح الميم وهو مجمع البول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 تملك بولَها فدِيتُها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لخرق المثانة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ومَهرُ مثل نسائها للافتضاض على الأشهر؛ لتفويت تلك المنفعة الواحدة في البدن؛ ولرواية هشام بن إبراهيم عن أبي الحسن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Style w:val="FootnoteAnchor"/>
          <w:rtl w:val="true"/>
        </w:rPr>
        <w:footnoteReference w:id="1784"/>
      </w:r>
      <w:r>
        <w:rPr>
          <w:rFonts w:ascii="Amiri" w:hAnsi="Amiri" w:eastAsia="Amiri" w:cs="Amiri"/>
          <w:color w:val="111111"/>
          <w:sz w:val="28"/>
          <w:sz w:val="28"/>
          <w:szCs w:val="28"/>
          <w:rtl w:val="true"/>
          <w:lang w:bidi="ar-SA"/>
        </w:rPr>
        <w:t>لكن الطريق ضعيف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ثلث ديتها </w:t>
      </w:r>
      <w:r>
        <w:rPr>
          <w:rStyle w:val="FootnoteAnchor"/>
          <w:rtl w:val="true"/>
        </w:rPr>
        <w:footnoteReference w:id="178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لرواية ظريف أنّ عليّاً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قَضَى بذلك</w:t>
      </w:r>
      <w:r>
        <w:rPr>
          <w:rStyle w:val="FootnoteAnchor"/>
          <w:rtl w:val="true"/>
        </w:rPr>
        <w:footnoteReference w:id="1786"/>
      </w:r>
      <w:r>
        <w:rPr>
          <w:rFonts w:ascii="Amiri" w:hAnsi="Amiri" w:eastAsia="Amiri" w:cs="Amiri"/>
          <w:color w:val="111111"/>
          <w:sz w:val="28"/>
          <w:sz w:val="28"/>
          <w:szCs w:val="28"/>
          <w:rtl w:val="true"/>
          <w:lang w:bidi="ar-SA"/>
        </w:rPr>
        <w:t>، وهي أشهر، لكن الأولى أولى لما ذكرناه، وإن اشتركتا في عدم صحة السند</w:t>
      </w:r>
      <w:r>
        <w:rPr>
          <w:rFonts w:eastAsia="Amiri" w:cs="Amiri" w:ascii="Amiri" w:hAnsi="Amiri"/>
          <w:color w:val="111111"/>
          <w:sz w:val="28"/>
          <w:szCs w:val="28"/>
          <w:rtl w:val="true"/>
          <w:lang w:bidi="ar-SA"/>
        </w:rPr>
        <w:t>.</w:t>
      </w:r>
    </w:p>
    <w:p>
      <w:pPr>
        <w:sectPr>
          <w:footerReference w:type="default" r:id="rId4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داسَ بَطْنَ إنسان حتى أحدَث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بريح أو بول أو غائط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ديس بطنه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يُحدِث كذلك،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يفتدِي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ذلك بثلث الدية على رواية السكوني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قضى بذلك</w:t>
      </w:r>
      <w:r>
        <w:rPr>
          <w:rFonts w:eastAsia="Amiri" w:cs="Amiri" w:ascii="Amiri" w:hAnsi="Amiri"/>
          <w:color w:val="111111"/>
          <w:sz w:val="28"/>
          <w:szCs w:val="28"/>
          <w:rtl w:val="true"/>
          <w:lang w:bidi="ar-SA"/>
        </w:rPr>
        <w:t>»</w:t>
      </w:r>
      <w:r>
        <w:rPr>
          <w:rStyle w:val="FootnoteAnchor"/>
          <w:rtl w:val="true"/>
        </w:rPr>
        <w:footnoteReference w:id="178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وعَمِل بمضمونها الأكثرُ ونَسَبه المصنِّفُ إلى الرواية لضعفها، ومن ثَمَّ أوجب جماعة الحكومة</w:t>
      </w:r>
      <w:r>
        <w:rPr>
          <w:rStyle w:val="FootnoteAnchor"/>
          <w:rtl w:val="true"/>
        </w:rPr>
        <w:footnoteReference w:id="1788"/>
      </w:r>
      <w:r>
        <w:rPr>
          <w:rFonts w:ascii="Amiri" w:hAnsi="Amiri" w:eastAsia="Amiri" w:cs="Amiri"/>
          <w:color w:val="111111"/>
          <w:sz w:val="28"/>
          <w:sz w:val="28"/>
          <w:szCs w:val="28"/>
          <w:rtl w:val="true"/>
          <w:lang w:bidi="ar-SA"/>
        </w:rPr>
        <w:t>، لأنّه المتيقن، وهو قوي</w:t>
      </w:r>
      <w:r>
        <w:rPr>
          <w:rFonts w:eastAsia="Amiri" w:cs="Amiri" w:ascii="Amiri" w:hAnsi="Amiri"/>
          <w:color w:val="111111"/>
          <w:sz w:val="28"/>
          <w:szCs w:val="28"/>
          <w:rtl w:val="true"/>
          <w:lang w:bidi="ar-SA"/>
        </w:rPr>
        <w:t xml:space="preserve">. </w:t>
      </w:r>
      <w:bookmarkStart w:id="186" w:name="pg11049_88735"/>
    </w:p>
    <w:p>
      <w:pPr>
        <w:pStyle w:val="Heading4"/>
        <w:numPr>
          <w:ilvl w:val="3"/>
          <w:numId w:val="1"/>
        </w:numPr>
        <w:rPr/>
      </w:pPr>
      <w:bookmarkStart w:id="187" w:name="__RefHeading___Toc1446187_1067777946"/>
      <w:bookmarkStart w:id="188" w:name="_Toc57"/>
      <w:bookmarkEnd w:id="186"/>
      <w:bookmarkEnd w:id="187"/>
      <w:r>
        <w:rPr>
          <w:rtl w:val="true"/>
        </w:rPr>
        <w:t>القول في دية المنافع</w:t>
      </w:r>
      <w:bookmarkEnd w:id="18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وهي ثمانية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أشياء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ذهاب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العقل الديةُ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ذَهاب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بعضه بحسابه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حساب الذاهب من المجموع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بحسب نظر الحاكم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إذ لا يمكن ضبط الناقص على اليقين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يُقدَّر بالزمان فإن جُنَّ يوماً وأَفاقَ يوماً فالذاهب النصفُ، أو يوماً وأفاق يومين فالثلث، وهكذا </w:t>
      </w:r>
      <w:r>
        <w:rPr>
          <w:rStyle w:val="FootnoteAnchor"/>
          <w:rtl w:val="true"/>
        </w:rPr>
        <w:footnoteReference w:id="178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ولو شجّه فذهب عقله لم تتداخل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ديةُ الشَجّة ودية العقل، بل تجب الديتان وإن كان بضربةٍ واحدةٍ، وكذا لو قطع له عضواً غيرَ الشَجّة فذهب عقله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ولو عاد العقل بعد ذهابه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وأخذ ديته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تُسْتَعْدِ الديةُ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لأنه هبة من الله تعالى مجدَّدةٌ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حَكَم أهلُ الخُبرة بذهابه بالكلّيّة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أمّا مع الشك في ذهابه فالحكومة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السمع وفيه الدية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ذَهَب من الأُذنين معاً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مع اليأس من عوده،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ولو رُجِيّ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عوده من أهل الخُبَرة ولؤ بعد مدة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انتظر فإن لم يعد فالدية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 عاد فالأرش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لنقصه زمن فواته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ولو تَنَازَعا في ذهابه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فادّعاه المجني عليه وأَنكَره الجاني، أو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لا أعلمُ صدقه وحصل الشكُ في ذهابه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اعتُبر حاله عند الصوت العظيم والرعد القوي والصيحة عند غَفلته، فإن تحقق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الأمرُ بالذهاب وعدمِه حُكم بموجبه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وإلّا حَلَف القسامة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وحُكم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والكلام في ذهابه بشَجّةٍ وقطع أُذُن، كما تقدم، من عدم التداخل</w:t>
      </w:r>
      <w:r>
        <w:rPr>
          <w:rFonts w:eastAsia="Amiri" w:cs="Amiri" w:ascii="Amiri" w:hAnsi="Amiri"/>
          <w:color w:val="111111"/>
          <w:sz w:val="28"/>
          <w:szCs w:val="28"/>
          <w:rtl w:val="true"/>
          <w:lang w:bidi="ar-SA"/>
        </w:rPr>
        <w:t>.</w:t>
      </w:r>
    </w:p>
    <w:p>
      <w:pPr>
        <w:sectPr>
          <w:footerReference w:type="default" r:id="rId4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ذَهاب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سمع إحدى الأذنين أجمع النصفُ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نصفُ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ولو نقص سمعُها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غير أن يَذهَب أجمعُ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قيس إلى الأخرى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تُسَدَّ الناقصة </w:t>
      </w:r>
    </w:p>
    <w:p>
      <w:pPr>
        <w:pStyle w:val="BookText"/>
        <w:rPr/>
      </w:pPr>
      <w:r>
        <w:rPr>
          <w:rFonts w:ascii="Amiri" w:hAnsi="Amiri" w:eastAsia="Amiri" w:cs="Amiri"/>
          <w:color w:val="111111"/>
          <w:sz w:val="28"/>
          <w:sz w:val="28"/>
          <w:szCs w:val="28"/>
          <w:rtl w:val="true"/>
          <w:lang w:bidi="ar-SA"/>
        </w:rPr>
        <w:t xml:space="preserve">وتُطلَقَ الصحيحةُ ثمّ يُصاح به بصوت لا يختلف كمّيّةً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كصوت الجرس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يقول لا أسمع، ثمّ يُعاد عليه ثانياً من جهة أخرى فإن تَساوَتْ المسافتان صُدّق، ولو فُعِلَ به كذلك في الجهات الأربع كان أولى، ثمّ تُسَدّ الصحيحة وتُطلق الناقصة، وتعتبر بالصوت كذلك حتى يقول لا أسمع ، ثمّ يُكرّر عليه الاعتبارُ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ويُنظر التفاوت بين الصحيح والناقص، ويؤخذ من الدية بحَسَبه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وليَكُن القياس في وقت سكون الهواء في موضع معتدل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ولو نَقصا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قِيسَ إلى أبناء سنّه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الجهات المختلفة، بأن يُجلس قِرْنُه بجنبه ويُصاحَ بهما بالصوتِ المنضَبِطِ من مسافة بعيدة لا يَسمَعه واحدٌ منهما، ثمّ يَقرُب المنادي شيئاً فشيئاً إلى أن يقول القِرْنُ سمعتُ فيُعَرَّف الموضعُ، ثمّ يُدام الصوتُ ويَقرُب إلى أن يقول المجني عليه سمعت فيُضبَط ما بينهما من التفاوت ويُكرَّر كذلك، ويؤخذ بنسبته من الدية حيث لا يختلف، ويجوز الابتداء من قُرْب، كما ذُكِر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ذَهاب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الإبصار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العينين معاً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ضوء كلّ عين نصفُها، سواءٌ فَقَأَ الحدقة أم أبقاها ، بخلاف إزالة الأذن وإبطال السمع منها، وسواءٌ صحيح البصر والأعمش والأخفش، ومن في حدقته بياض لا يمنع أصل البصر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وإنّما يُحكم بذهابه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شهد به شاهدان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عدلان،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صَدَّقه الجاني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ويكفي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إثباته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شاهد وامرأتان إن 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ذهابه عن غير عمد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لأنّه حينئذ يوجب المال، وشهادتهما مقبولةٌ فيه هذا كله مع بقاء الحدقة وإلا لم يفتقر إلى ذلك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ولو عُدِم الشهود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يفتقر إليهما وكان الضرب ممّا يُحتمل زوالُ النظر معه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المجنى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القسامةً إذا كانت العين قائمةً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وقُضِيَ له</w:t>
      </w:r>
      <w:r>
        <w:rPr>
          <w:rFonts w:eastAsia="Amiri" w:cs="Amiri" w:ascii="Amiri" w:hAnsi="Amiri"/>
          <w:color w:val="111111"/>
          <w:sz w:val="28"/>
          <w:szCs w:val="28"/>
          <w:rtl w:val="true"/>
          <w:lang w:bidi="ar-SA"/>
        </w:rPr>
        <w:t>.</w:t>
      </w:r>
    </w:p>
    <w:p>
      <w:pPr>
        <w:sectPr>
          <w:footerReference w:type="default" r:id="rId4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يُقابل بالشمس فإن بقينا مفتوحتين صُدِّق وإلا كُذَّب</w:t>
      </w:r>
      <w:r>
        <w:rPr>
          <w:rStyle w:val="FootnoteAnchor"/>
          <w:rtl w:val="true"/>
        </w:rPr>
        <w:footnoteReference w:id="1790"/>
      </w:r>
      <w:r>
        <w:rPr>
          <w:rFonts w:ascii="Amiri" w:hAnsi="Amiri" w:eastAsia="Amiri" w:cs="Amiri"/>
          <w:color w:val="111111"/>
          <w:sz w:val="28"/>
          <w:sz w:val="28"/>
          <w:szCs w:val="28"/>
          <w:rtl w:val="true"/>
          <w:lang w:bidi="ar-SA"/>
        </w:rPr>
        <w:t xml:space="preserve">لرواية الأصبغ عن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Style w:val="FootnoteAnchor"/>
          <w:rtl w:val="true"/>
        </w:rPr>
        <w:footnoteReference w:id="1791"/>
      </w:r>
      <w:r>
        <w:rPr>
          <w:rFonts w:ascii="Amiri" w:hAnsi="Amiri" w:eastAsia="Amiri" w:cs="Amiri"/>
          <w:color w:val="111111"/>
          <w:sz w:val="28"/>
          <w:sz w:val="28"/>
          <w:szCs w:val="28"/>
          <w:rtl w:val="true"/>
          <w:lang w:bidi="ar-SA"/>
        </w:rPr>
        <w:t>، وفي الطريق ضعف</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ولو ادَّعَى نقصان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بصر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إحداهما قيست إلى الأخرى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كما ذُكِر في السمع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وأجودُ ما يُعتبر به ما رُوِيَ صحيحاً عن الصادق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تُربَط عينه الصحيحةُ ويَأخُذَ رجلٌ بَيضَةً ويَبعُد حتى يقول المجني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بَقِيتُ أبْصِرُها، فيُعلم عنده، عنده، ثمّ تُشَدّ المُصابةُ وتُطلق الصحيحة وتُعتبر كذلك، ثم تعتبر في جهة أُخرى أو في الجهات الأربع فإن تساوت صُدّق وإِلّا كُذَّب</w:t>
      </w:r>
      <w:r>
        <w:rPr>
          <w:rStyle w:val="FootnoteAnchor"/>
          <w:rtl w:val="true"/>
        </w:rPr>
        <w:footnoteReference w:id="1792"/>
      </w:r>
      <w:r>
        <w:rPr>
          <w:rFonts w:ascii="Amiri" w:hAnsi="Amiri" w:eastAsia="Amiri" w:cs="Amiri"/>
          <w:color w:val="111111"/>
          <w:sz w:val="28"/>
          <w:sz w:val="28"/>
          <w:szCs w:val="28"/>
          <w:rtl w:val="true"/>
          <w:lang w:bidi="ar-SA"/>
        </w:rPr>
        <w:t xml:space="preserve">، ثمّ يُنظَر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صدقه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بين المسافتين ويُؤخذ من</w:t>
      </w:r>
    </w:p>
    <w:p>
      <w:pPr>
        <w:pStyle w:val="BookText"/>
        <w:rPr/>
      </w:pPr>
      <w:r>
        <w:rPr>
          <w:rFonts w:ascii="Amiri" w:hAnsi="Amiri" w:eastAsia="Amiri" w:cs="Amiri"/>
          <w:color w:val="111111"/>
          <w:sz w:val="28"/>
          <w:sz w:val="28"/>
          <w:szCs w:val="28"/>
          <w:rtl w:val="true"/>
          <w:lang w:bidi="ar-SA"/>
        </w:rPr>
        <w:t>الدية بنسبة النقصان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ادَّعى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نقصانَهما قيستا إلى أبناء سنّه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يُوقف معه ويُنظَر ما يَبلُغه نظره، ثم يُعتبر ما يبلغه نظرُ المجني عليه ويُعَلَّم نسبةُ ما بينهما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استوت المسافات الأربعُ صُدِّق وإلّاكُذِّب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وحينئذٍ فيحلف الجاني على عدم النقصان إن ادعاه، وإن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أدري لم يتوجه عليه يمين ولا يُقاس النظرُ في يومٍ غَيْمٍ ولا في أرض مختلفة الجهات لئلا يحصل الاختلاف بالعارض</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إبطال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المِنْخَرَين معاً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ومن أحدهما خاصةً نصفها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ولو ادَّعَى ذَهَابَه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وكَذَّبه الجاني عقيب جناية يمكن زواله بها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اعتُبِر بالروائح الطيِّبة والخبيثة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والروائح الحادّة، فإن تَبَيَّنَ حاله حكم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أحلف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القسامة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لم يظهر بالامتحان وقضى له</w:t>
      </w:r>
      <w:r>
        <w:rPr>
          <w:rFonts w:eastAsia="Amiri" w:cs="Amiri" w:ascii="Amiri" w:hAnsi="Amiri"/>
          <w:color w:val="111111"/>
          <w:sz w:val="28"/>
          <w:szCs w:val="28"/>
          <w:rtl w:val="true"/>
          <w:lang w:bidi="ar-SA"/>
        </w:rPr>
        <w:t>.</w:t>
      </w:r>
    </w:p>
    <w:p>
      <w:pPr>
        <w:sectPr>
          <w:footerReference w:type="default" r:id="rId4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ورُوِي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أمير المؤمنين بالطريق السابق</w:t>
      </w:r>
      <w:r>
        <w:rPr>
          <w:rStyle w:val="FootnoteAnchor"/>
          <w:rtl w:val="true"/>
        </w:rPr>
        <w:footnoteReference w:id="1793"/>
      </w:r>
      <w:r>
        <w:rPr>
          <w:rFonts w:ascii="Amiri" w:hAnsi="Amiri" w:eastAsia="Amiri" w:cs="Amiri"/>
          <w:color w:val="111111"/>
          <w:sz w:val="28"/>
          <w:sz w:val="28"/>
          <w:szCs w:val="28"/>
          <w:rtl w:val="true"/>
          <w:lang w:bidi="ar-SA"/>
        </w:rPr>
        <w:t xml:space="preserve">في البصر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تقريبُ الحُرَاق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بضم الحاء وتخفيف الراء، وتشديده من لَحْن العامة، قاله الجوهري، وهو ما يقع فيه النارُ عند القَدْح</w:t>
      </w:r>
      <w:r>
        <w:rPr>
          <w:rStyle w:val="FootnoteAnchor"/>
          <w:rtl w:val="true"/>
        </w:rPr>
        <w:footnoteReference w:id="1794"/>
      </w:r>
      <w:r>
        <w:rPr>
          <w:rFonts w:ascii="Amiri" w:hAnsi="Amiri" w:eastAsia="Amiri" w:cs="Amiri"/>
          <w:color w:val="111111"/>
          <w:sz w:val="28"/>
          <w:sz w:val="28"/>
          <w:szCs w:val="28"/>
          <w:rtl w:val="true"/>
          <w:lang w:bidi="ar-SA"/>
        </w:rPr>
        <w:t xml:space="preserve">أي يُقَرَّب بعد عُلوق النار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 فإن دَمَعَتْ عيناه ونَحَّى أَنْفَه فكاذبٌ، وإلّا فصادق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وضعفُ طريق الرواية بمحمّد بن الفرات يمنع من العمل بها وإثباتِ الدية بذلك، مع أصالة البراءة</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ولو ادعى نقصه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يحلف، ويُوجب له الحاكم شيئاً بحسب اجتهاده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إذ لا طريق إلى البينة ولا إلى الامتحان</w:t>
      </w:r>
      <w:r>
        <w:rPr>
          <w:rStyle w:val="FootnoteAnchor"/>
          <w:rtl w:val="true"/>
        </w:rPr>
        <w:footnoteReference w:id="179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وإنّما نَسَبه إلى القول لعدم دليل عليه مع أصالة البراءة، وكونِ حلف المدَّعي خلاف الأصل، وإنّما مقتضاه حلف المدعى عليه على البراءة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ولو قُطِع الأنفُ فذهب الشمُّ فديتان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إحداهما للأنف والأُخرى للشم؛ لأنّ الأنف ليس محلَّ القوّةِ الشامةِ فإنّها مُنْبتة في زائدَتي مقدَّم الدِماغ المشبهتين بحَلَمَتَي الثدي تُدرك ما يلاقيها من الروائح والأنف طريق للهواء الواصل إليها، ومثله قوة السمع فإنّها مُودَعةٌ فى العصب المفروش في مُقَمَّر الصماخ يُدرك ما يؤدّي إليها الهواء، فلا تدخل دية إحداهما في الأُخرى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الخامس الذوق، قيل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والقائل العلّامة</w:t>
      </w:r>
      <w:r>
        <w:rPr>
          <w:rStyle w:val="FootnoteAnchor"/>
          <w:rtl w:val="true"/>
        </w:rPr>
        <w:footnoteReference w:id="1796"/>
      </w:r>
      <w:r>
        <w:rPr>
          <w:rFonts w:ascii="Amiri" w:hAnsi="Amiri" w:eastAsia="Amiri" w:cs="Amiri"/>
          <w:color w:val="111111"/>
          <w:sz w:val="28"/>
          <w:sz w:val="28"/>
          <w:szCs w:val="28"/>
          <w:rtl w:val="true"/>
          <w:lang w:bidi="ar-SA"/>
        </w:rPr>
        <w:t xml:space="preserve">قاطعاً به، وجماعة </w:t>
      </w:r>
      <w:r>
        <w:rPr>
          <w:rStyle w:val="FootnoteAnchor"/>
          <w:rtl w:val="true"/>
        </w:rPr>
        <w:footnoteReference w:id="1797"/>
      </w:r>
    </w:p>
    <w:p>
      <w:p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383</w:t>
      </w:r>
      <w:r>
        <w:rPr>
          <w:rFonts w:eastAsia="IRNazanin" w:cs="IRNazanin"/>
          <w:color w:val="111111"/>
          <w:sz w:val="28"/>
          <w:szCs w:val="28"/>
          <w:rtl w:val="true"/>
          <w:lang w:bidi="fa-IR"/>
        </w:rPr>
        <w:t xml:space="preserve"> - </w:t>
      </w:r>
      <w:r>
        <w:rPr>
          <w:rFonts w:eastAsia="IRNazanin" w:cs="IRNazanin"/>
          <w:color w:val="111111"/>
          <w:sz w:val="28"/>
          <w:szCs w:val="28"/>
          <w:lang w:bidi="fa-IR"/>
        </w:rPr>
        <w:t>384</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فيه الدية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كغيره من الحواس، ولدخوله في عموم قولهم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 ما في الإنسان منه واحد ففيه الدية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ونَسَبه إلى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لعدم دليل عليه بخصوصه، والشك في الدليل العام فإنّه كما تقدَّم مقطوع</w:t>
      </w:r>
      <w:r>
        <w:rPr>
          <w:rFonts w:eastAsia="Amiri" w:cs="Amiri" w:ascii="Amiri" w:hAnsi="Amiri"/>
          <w:color w:val="111111"/>
          <w:sz w:val="28"/>
          <w:szCs w:val="28"/>
          <w:rtl w:val="true"/>
          <w:lang w:bidi="ar-SA"/>
        </w:rPr>
        <w:t>.</w:t>
      </w:r>
    </w:p>
    <w:p>
      <w:pPr>
        <w:sectPr>
          <w:footerReference w:type="default" r:id="rId4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ويُرجع فيه عقيب الجناية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 يُحتمل إتلافها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دعواه مع الأيمان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البالغةِ مقدار القسامة؛ لتعذر إقامة البينة عليه وامتحانه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التحرير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يُجرَّب بالأشياء المُرّةِ المَقِرَةِ </w:t>
      </w:r>
      <w:r>
        <w:rPr>
          <w:rStyle w:val="FootnoteAnchor"/>
          <w:rtl w:val="true"/>
        </w:rPr>
        <w:footnoteReference w:id="1798"/>
      </w:r>
      <w:r>
        <w:rPr>
          <w:rStyle w:val="FootnoteAnchor"/>
          <w:rtl w:val="true"/>
        </w:rPr>
        <w:footnoteReference w:id="1799"/>
      </w:r>
      <w:r>
        <w:rPr>
          <w:rFonts w:ascii="Amiri" w:hAnsi="Amiri" w:eastAsia="Amiri" w:cs="Amiri"/>
          <w:color w:val="111111"/>
          <w:sz w:val="28"/>
          <w:sz w:val="28"/>
          <w:szCs w:val="28"/>
          <w:rtl w:val="true"/>
          <w:lang w:bidi="ar-SA"/>
        </w:rPr>
        <w:t>، ثمّ يُرجَع مع الاشتباه إلى الأيمان</w:t>
      </w:r>
      <w:r>
        <w:rPr>
          <w:rStyle w:val="FootnoteAnchor"/>
          <w:rtl w:val="true"/>
        </w:rPr>
        <w:footnoteReference w:id="180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ومع دعواه النقصان يقضي الحاكم بعد تحليفه بما يراه من الحكومة تقريباً على القول السابق</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السادس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تعذر الإنزال للمني حالة الجماع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لفوات الماء المقصودِ للنسل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معناه تعذر الإحبال والحَبَل وإنْ نَزَل المني لقوات النسل، لكن في تعذر الحبل دية المرأة إذا ثبت استناد ذلك إلى الجناية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وأُلحِق به إبطال الالتذاذ بالجماع لو فُرِض مع بقاء الإمناء والإحبال</w:t>
      </w:r>
      <w:r>
        <w:rPr>
          <w:rStyle w:val="FootnoteAnchor"/>
          <w:rtl w:val="true"/>
        </w:rPr>
        <w:footnoteReference w:id="1801"/>
      </w:r>
      <w:r>
        <w:rPr>
          <w:rFonts w:ascii="Amiri" w:hAnsi="Amiri" w:eastAsia="Amiri" w:cs="Amiri"/>
          <w:color w:val="111111"/>
          <w:sz w:val="28"/>
          <w:sz w:val="28"/>
          <w:szCs w:val="28"/>
          <w:rtl w:val="true"/>
          <w:lang w:bidi="ar-SA"/>
        </w:rPr>
        <w:t>، وهو بعيد، ولو فرض فالمرجع إليه فيه مع وقوع جناية تحتمِله مع القسامة؛ لتعذر الاطلاع عليه من غيره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سَلَس البول</w:t>
      </w:r>
      <w:r>
        <w:rPr>
          <w:rStyle w:val="FootnoteAnchor"/>
          <w:rtl w:val="true"/>
        </w:rPr>
        <w:footnoteReference w:id="180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نزوله مُتَرَشّحاً لضعف القوة الماسكة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المشهور، والمستند رواية غياث بن إبراهيم</w:t>
      </w:r>
      <w:r>
        <w:rPr>
          <w:rStyle w:val="FootnoteAnchor"/>
          <w:rtl w:val="true"/>
        </w:rPr>
        <w:footnoteReference w:id="1803"/>
      </w:r>
      <w:r>
        <w:rPr>
          <w:rFonts w:ascii="Amiri" w:hAnsi="Amiri" w:eastAsia="Amiri" w:cs="Amiri"/>
          <w:color w:val="111111"/>
          <w:sz w:val="28"/>
          <w:sz w:val="28"/>
          <w:szCs w:val="28"/>
          <w:rtl w:val="true"/>
          <w:lang w:bidi="ar-SA"/>
        </w:rPr>
        <w:t>، وهو ضعيف، لكنّها مناسبة لما يستلزمه من فوات المنفعة المتحدة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انقطع فالحكومة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دام إلى الليل ففيه الدية، و إن دام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الزوال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ففيه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الثلثان، وإلى ارتفاع النهار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ففيه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ثلث الدية</w:t>
      </w:r>
      <w:r>
        <w:rPr>
          <w:rFonts w:eastAsia="Amiri" w:cs="Amiri" w:ascii="Amiri" w:hAnsi="Amiri"/>
          <w:color w:val="111111"/>
          <w:sz w:val="28"/>
          <w:szCs w:val="28"/>
          <w:rtl w:val="true"/>
          <w:lang w:bidi="ar-SA"/>
        </w:rPr>
        <w:t>)</w:t>
      </w:r>
      <w:r>
        <w:rPr>
          <w:rStyle w:val="FootnoteAnchor"/>
          <w:rtl w:val="true"/>
        </w:rPr>
        <w:footnoteReference w:id="1804"/>
      </w:r>
    </w:p>
    <w:p>
      <w:p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391</w:t>
      </w:r>
    </w:p>
    <w:p>
      <w:pPr>
        <w:pStyle w:val="BookText"/>
        <w:rPr/>
      </w:pPr>
      <w:r>
        <w:rPr>
          <w:rFonts w:ascii="Amiri" w:hAnsi="Amiri" w:eastAsia="Amiri" w:cs="Amiri"/>
          <w:color w:val="111111"/>
          <w:sz w:val="28"/>
          <w:sz w:val="28"/>
          <w:szCs w:val="28"/>
          <w:rtl w:val="true"/>
          <w:lang w:bidi="ar-SA"/>
        </w:rPr>
        <w:t xml:space="preserve">، ومستند التفصيل رواية إسحاق بن عمّار 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معللاً الأوّل بمنعه المعيشة، وهو يُؤذن بأنّ المراد معاودته كذلك في كلّ ،يوم، كما فَهمه منه العلّامة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لكن في الطريق إسحاق وهو فَطَحِي، وصالِحَ بن عُقْبَة وهو كذَّابٌ غال، فلا التفات إلى التفصيل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يثبت الأرشُ في جميع الصور حيث لا دوام</w:t>
      </w:r>
      <w:r>
        <w:rPr>
          <w:rFonts w:eastAsia="Amiri" w:cs="Amiri" w:ascii="Amiri" w:hAnsi="Amiri"/>
          <w:color w:val="111111"/>
          <w:sz w:val="28"/>
          <w:szCs w:val="28"/>
          <w:rtl w:val="true"/>
          <w:lang w:bidi="ar-SA"/>
        </w:rPr>
        <w:t>.</w:t>
      </w:r>
    </w:p>
    <w:p>
      <w:pPr>
        <w:sectPr>
          <w:footerReference w:type="default" r:id="rId4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إذهاب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بقاء اللسان على اعتداله وتمكنه من التقطيع والترديد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لأنه من المنافع المتحدة في الإنسان، ولو أُذهِب معه حركة اللسان فديةٌ وثلثان؛ لأنّه في معنى شَلَله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وتدخُل دية النطق بالحروف في الصوت؛ لأنّ منفعة الصوت أهمُّها النطقُ ، مع احتمال عدمه للمغايرة</w:t>
      </w:r>
      <w:r>
        <w:rPr>
          <w:rFonts w:eastAsia="Amiri" w:cs="Amiri" w:ascii="Amiri" w:hAnsi="Amiri"/>
          <w:color w:val="111111"/>
          <w:sz w:val="28"/>
          <w:szCs w:val="28"/>
          <w:rtl w:val="true"/>
          <w:lang w:bidi="ar-SA"/>
        </w:rPr>
        <w:t xml:space="preserve">. </w:t>
      </w:r>
      <w:bookmarkStart w:id="189" w:name="pg11049_88740"/>
    </w:p>
    <w:p>
      <w:pPr>
        <w:pStyle w:val="Heading3"/>
        <w:numPr>
          <w:ilvl w:val="2"/>
          <w:numId w:val="1"/>
        </w:numPr>
        <w:rPr/>
      </w:pPr>
      <w:bookmarkStart w:id="190" w:name="__RefHeading___Toc1446189_1067777946"/>
      <w:bookmarkStart w:id="191" w:name="_Toc58"/>
      <w:bookmarkEnd w:id="189"/>
      <w:bookmarkEnd w:id="190"/>
      <w:r>
        <w:rPr>
          <w:rtl w:val="true"/>
        </w:rPr>
        <w:t>الفصل الثالث في الشِجَاج</w:t>
      </w:r>
      <w:bookmarkEnd w:id="191"/>
    </w:p>
    <w:p>
      <w:pPr>
        <w:pStyle w:val="BookText"/>
        <w:rPr/>
      </w:pPr>
      <w:r>
        <w:rPr>
          <w:rFonts w:ascii="Amiri" w:hAnsi="Amiri" w:eastAsia="Amiri" w:cs="Amiri"/>
          <w:color w:val="111111"/>
          <w:sz w:val="28"/>
          <w:sz w:val="28"/>
          <w:szCs w:val="28"/>
          <w:rtl w:val="true"/>
          <w:lang w:bidi="ar-SA"/>
        </w:rPr>
        <w:t xml:space="preserve">بكسر الشين، جمع شَجَّة بفتحها، وهي الجُرحُ المختص بالرأس والوجه، ويُسمَّى في غيرهما جُرحاً بقول مطلق،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وتوابعها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ممّا خرج عن الأقسام الثمانية من الأحكام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الشجَاج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ثمانٍ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الحارصة، وهي القاشرة للجلد وفيها بعير؛ والدامية، وهي التي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تقطع الجلد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تأخُذ في اللحم يسيراً، وفيها بعيران؛ والباضعة، وهي الآخذة كثيراً في اللحم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يبلغ سنحاق العظم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وفيها ثلاثة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أبعِرةٍ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وهي المتلاحمة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الأشهر</w:t>
      </w:r>
      <w:r>
        <w:rPr>
          <w:rFonts w:eastAsia="Amiri" w:cs="Amiri" w:ascii="Amiri" w:hAnsi="Amiri"/>
          <w:color w:val="111111"/>
          <w:sz w:val="28"/>
          <w:szCs w:val="28"/>
          <w:rtl w:val="true"/>
          <w:lang w:bidi="ar-SA"/>
        </w:rPr>
        <w:t>.</w:t>
      </w:r>
    </w:p>
    <w:p>
      <w:pPr>
        <w:sectPr>
          <w:footerReference w:type="default" r:id="rId4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الدامية هي الحارصة</w:t>
      </w:r>
      <w:r>
        <w:rPr>
          <w:rStyle w:val="FootnoteAnchor"/>
          <w:rtl w:val="true"/>
        </w:rPr>
        <w:footnoteReference w:id="1805"/>
      </w:r>
      <w:r>
        <w:rPr>
          <w:rFonts w:ascii="Amiri" w:hAnsi="Amiri" w:eastAsia="Amiri" w:cs="Amiri"/>
          <w:color w:val="111111"/>
          <w:sz w:val="28"/>
          <w:sz w:val="28"/>
          <w:szCs w:val="28"/>
          <w:rtl w:val="true"/>
          <w:lang w:bidi="ar-SA"/>
        </w:rPr>
        <w:t>، وأنّ الباضعة مغايرة للمتلاحمة، فتكون الباضعة هي الدامية بالمعنى السابق واتَّفق القائلان على أنّ الأربعة الألفاظ موضوعة لثلاثة معانٍ، وأن واحداً منها مرادف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والأخبار مختلفة أيضاً، ففي رواية منصور بن حازم عن أبي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الحارصة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الخدش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بعير ، وفي الدامية بعيران</w:t>
      </w:r>
      <w:r>
        <w:rPr>
          <w:rStyle w:val="FootnoteAnchor"/>
          <w:rtl w:val="true"/>
        </w:rPr>
        <w:footnoteReference w:id="180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رواية مسمع عنه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الدامية بعير، وفي الباضعة بعيران، وفي المتلاحمة ثلاثة</w:t>
      </w:r>
      <w:r>
        <w:rPr>
          <w:rStyle w:val="FootnoteAnchor"/>
          <w:rtl w:val="true"/>
        </w:rPr>
        <w:footnoteReference w:id="180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والأُولى تدلّ على الأوّل والثانية على الثاني، والنزاع لفظي</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والسمحاق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بكسر السين المهملة وإسكان الميم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وهي التي تبلغ</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السمحاقة وهي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الجِلدة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الرقيقةُ المُغَشِيةُ للعظم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تَقشُرُها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وفيها أربعةُ أَبْعِرَةٍ؛ والموضحة وهي التي تكشف عن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وَضَحِ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العظم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بَياضُه، وتقشر السنحافة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وفيها خمسة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أَبعِرةٍ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والهاشمة وهي التي تهشم العظم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تكسره وإن لم تسبق بجرح،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وفيها عشرة أبعرة أرباعاً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نسبة ما يُوَزّع في الدية الكاملة من بنات المخاض واللبون والحقَّق وأولاد اللبون فالعشرة هنا بنتا مخاض وابنا لبون وثلاث بناتِ لبون وثلاثُ حِقَقٍ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كان خطأ، وأثلاثاً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نسبة ما يوزّع في الدية الكاملة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كان شبيهاً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بالخطأ، فيكون ثلاث حقي وثلاث بنات لبون وأربعَ خَلِفٍ حوامل، بناءً على ما دلّت عليه صحيحة ابن سنان</w:t>
      </w:r>
      <w:r>
        <w:rPr>
          <w:rStyle w:val="FootnoteAnchor"/>
          <w:rtl w:val="true"/>
        </w:rPr>
        <w:footnoteReference w:id="1808"/>
      </w:r>
      <w:r>
        <w:rPr>
          <w:rFonts w:ascii="Amiri" w:hAnsi="Amiri" w:eastAsia="Amiri" w:cs="Amiri"/>
          <w:color w:val="111111"/>
          <w:sz w:val="28"/>
          <w:sz w:val="28"/>
          <w:szCs w:val="28"/>
          <w:rtl w:val="true"/>
          <w:lang w:bidi="ar-SA"/>
        </w:rPr>
        <w:t>من التوزيع، وأما على ما اختاره المصنّف فلا يتحقق بالتحرير، ولكن ما ذكرناه منه مُبرى أيضاً؛ لأنّه أزيد سنّاً</w:t>
      </w:r>
    </w:p>
    <w:p>
      <w:pPr>
        <w:pStyle w:val="BookText"/>
        <w:rPr/>
      </w:pPr>
      <w:r>
        <w:rPr>
          <w:rFonts w:ascii="Amiri" w:hAnsi="Amiri" w:eastAsia="Amiri" w:cs="Amiri"/>
          <w:color w:val="111111"/>
          <w:sz w:val="28"/>
          <w:sz w:val="28"/>
          <w:szCs w:val="28"/>
          <w:rtl w:val="true"/>
          <w:lang w:bidi="ar-SA"/>
        </w:rPr>
        <w:t>في بعضه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والمُنَقِّلة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بتشديد القاف مكسورةً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وهي التي تُحوج إلى نقل العظم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إما بأن ينتقل عن محلّه إلى آخَرَ أو يَسقُط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المبرد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المنقلة ما يخرُج منها عِظامٌ صِغارٌ ، وأَخَذَه من النقل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بالتحريك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الحجارة الصغارُ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الجوهري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التي تنقل العظم، أي تكسره حتّى يخرج منها فَراشُ العِظام</w:t>
      </w:r>
      <w:r>
        <w:rPr>
          <w:rStyle w:val="FootnoteAnchor"/>
          <w:rtl w:val="true"/>
        </w:rPr>
        <w:footnoteReference w:id="180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بفتح الفاء،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عِظامٌ رِقاق تَلِي القِحْف</w:t>
      </w:r>
      <w:r>
        <w:rPr>
          <w:rStyle w:val="FootnoteAnchor"/>
          <w:rtl w:val="true"/>
        </w:rPr>
        <w:footnoteReference w:id="1810"/>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وفيها خمسة عشر بعيراً</w:t>
      </w:r>
      <w:r>
        <w:rPr>
          <w:rFonts w:eastAsia="Amiri" w:cs="Amiri" w:ascii="Amiri" w:hAnsi="Amiri"/>
          <w:color w:val="111111"/>
          <w:sz w:val="28"/>
          <w:szCs w:val="28"/>
          <w:rtl w:val="true"/>
          <w:lang w:bidi="ar-SA"/>
        </w:rPr>
        <w:t>).</w:t>
      </w:r>
    </w:p>
    <w:p>
      <w:pPr>
        <w:sectPr>
          <w:footerReference w:type="default" r:id="rId4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والمأمومةُ، وهي التي تبلغ أُمَّ الرأس، أعني الخريطة التي تجمع الدماغ</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بكسر </w:t>
      </w:r>
    </w:p>
    <w:p>
      <w:pPr>
        <w:pStyle w:val="BookText"/>
        <w:rPr/>
      </w:pPr>
      <w:r>
        <w:rPr>
          <w:rFonts w:ascii="Amiri" w:hAnsi="Amiri" w:eastAsia="Amiri" w:cs="Amiri"/>
          <w:color w:val="111111"/>
          <w:sz w:val="28"/>
          <w:sz w:val="28"/>
          <w:szCs w:val="28"/>
          <w:rtl w:val="true"/>
          <w:lang w:bidi="ar-SA"/>
        </w:rPr>
        <w:t xml:space="preserve">الدال ولا تفتقها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وفيها ثلاثة وثلاثون بعيراً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ما دلّت عليه صحيحة الحلبي</w:t>
      </w:r>
      <w:r>
        <w:rPr>
          <w:rStyle w:val="FootnoteAnchor"/>
          <w:rtl w:val="true"/>
        </w:rPr>
        <w:footnoteReference w:id="1811"/>
      </w:r>
      <w:r>
        <w:rPr>
          <w:rFonts w:ascii="Amiri" w:hAnsi="Amiri" w:eastAsia="Amiri" w:cs="Amiri"/>
          <w:color w:val="111111"/>
          <w:sz w:val="28"/>
          <w:sz w:val="28"/>
          <w:szCs w:val="28"/>
          <w:rtl w:val="true"/>
          <w:lang w:bidi="ar-SA"/>
        </w:rPr>
        <w:t>وغيره</w:t>
      </w:r>
      <w:r>
        <w:rPr>
          <w:rStyle w:val="FootnoteAnchor"/>
          <w:rtl w:val="true"/>
        </w:rPr>
        <w:footnoteReference w:id="1812"/>
      </w:r>
      <w:r>
        <w:rPr>
          <w:rFonts w:ascii="Amiri" w:hAnsi="Amiri" w:eastAsia="Amiri" w:cs="Amiri"/>
          <w:color w:val="111111"/>
          <w:sz w:val="28"/>
          <w:sz w:val="28"/>
          <w:szCs w:val="28"/>
          <w:rtl w:val="true"/>
          <w:lang w:bidi="ar-SA"/>
        </w:rPr>
        <w:t>، وفي كثير من الأخبار</w:t>
      </w:r>
      <w:r>
        <w:rPr>
          <w:rStyle w:val="FootnoteAnchor"/>
          <w:rtl w:val="true"/>
        </w:rPr>
        <w:footnoteReference w:id="1813"/>
      </w:r>
      <w:r>
        <w:rPr>
          <w:rFonts w:ascii="Amiri" w:hAnsi="Amiri" w:eastAsia="Amiri" w:cs="Amiri"/>
          <w:color w:val="111111"/>
          <w:sz w:val="28"/>
          <w:sz w:val="28"/>
          <w:szCs w:val="28"/>
          <w:rtl w:val="true"/>
          <w:lang w:bidi="ar-SA"/>
        </w:rPr>
        <w:t xml:space="preserve">ومنها صحيحة معاوية بن وهب فيها ثلث الدية </w:t>
      </w:r>
      <w:r>
        <w:rPr>
          <w:rStyle w:val="FootnoteAnchor"/>
          <w:rtl w:val="true"/>
        </w:rPr>
        <w:footnoteReference w:id="1814"/>
      </w:r>
      <w:r>
        <w:rPr>
          <w:rFonts w:ascii="Amiri" w:hAnsi="Amiri" w:eastAsia="Amiri" w:cs="Amiri"/>
          <w:color w:val="111111"/>
          <w:sz w:val="28"/>
          <w:sz w:val="28"/>
          <w:szCs w:val="28"/>
          <w:rtl w:val="true"/>
          <w:lang w:bidi="ar-SA"/>
        </w:rPr>
        <w:t>، فيزيد ثلث بعير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وربما جُمِع</w:t>
      </w:r>
      <w:r>
        <w:rPr>
          <w:rStyle w:val="FootnoteAnchor"/>
          <w:rtl w:val="true"/>
        </w:rPr>
        <w:footnoteReference w:id="1815"/>
      </w:r>
      <w:r>
        <w:rPr>
          <w:rFonts w:ascii="Amiri" w:hAnsi="Amiri" w:eastAsia="Amiri" w:cs="Amiri"/>
          <w:color w:val="111111"/>
          <w:sz w:val="28"/>
          <w:sz w:val="28"/>
          <w:szCs w:val="28"/>
          <w:rtl w:val="true"/>
          <w:lang w:bidi="ar-SA"/>
        </w:rPr>
        <w:t>بينها بأن المراد بالثلث ما أُسقِط منه الثلث</w:t>
      </w:r>
      <w:r>
        <w:rPr>
          <w:rStyle w:val="FootnoteAnchor"/>
          <w:rtl w:val="true"/>
        </w:rPr>
        <w:footnoteReference w:id="181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دَفَعها من غير الإبل لَزِمَه إكمالُ الثلث محرَّراً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والأقوى وجوب الثلث</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وأمّا الدامغة وهي التي تفتق الخريطة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الجامعة للدماغ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وتَبعُد معها السلامةُ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الموت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مات بها فالدية، وإن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سلم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زِيدَت حكومة </w:t>
      </w:r>
      <w:r>
        <w:rPr>
          <w:rStyle w:val="FootnoteAnchor"/>
          <w:rtl w:val="true"/>
        </w:rPr>
        <w:footnoteReference w:id="1817"/>
      </w:r>
      <w:r>
        <w:rPr>
          <w:rFonts w:ascii="Amiri" w:hAnsi="Amiri" w:eastAsia="Amiri" w:cs="Amiri"/>
          <w:color w:val="111111"/>
          <w:sz w:val="28"/>
          <w:sz w:val="28"/>
          <w:szCs w:val="28"/>
          <w:rtl w:val="true"/>
          <w:lang w:bidi="ar-SA"/>
        </w:rPr>
        <w:t>على المأمومة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لوجوب الثلث بالأمة، فلابد لقطع الخريطة من حيّ آخَرَ وهو غير مقدَّرٍ فالحكومة، وهو حسن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فهذه جملة الجراحات الثمانية المختصة بالرأس، المشتملة على تسعة أسماء</w:t>
      </w:r>
      <w:r>
        <w:rPr>
          <w:rFonts w:eastAsia="Amiri" w:cs="Amiri" w:ascii="Amiri" w:hAnsi="Amiri"/>
          <w:color w:val="111111"/>
          <w:sz w:val="28"/>
          <w:szCs w:val="28"/>
          <w:rtl w:val="true"/>
          <w:lang w:bidi="ar-SA"/>
        </w:rPr>
        <w:t>.</w:t>
      </w:r>
    </w:p>
    <w:p>
      <w:pPr>
        <w:sectPr>
          <w:footerReference w:type="default" r:id="rId4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التوابع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الجائفةُ، وهي الواصلة إلى الجَوْف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أي الجهات 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ولوْ مِن ثغرة النحر، وفيها ثلث الدية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بإضافة ثلث البعير هنا اتفاقاً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وفي النافذة في الأنف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بحيث ثَقَبَت المِنخَرَين معاً ولا تَنْسَد ثلث الدية، فإن صلحت وانسَدَّتْ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فخُمس </w:t>
      </w:r>
    </w:p>
    <w:p>
      <w:pPr>
        <w:pStyle w:val="BookText"/>
        <w:rPr/>
      </w:pPr>
      <w:r>
        <w:rPr>
          <w:rFonts w:ascii="Amiri" w:hAnsi="Amiri" w:eastAsia="Amiri" w:cs="Amiri"/>
          <w:color w:val="111111"/>
          <w:sz w:val="28"/>
          <w:sz w:val="28"/>
          <w:szCs w:val="28"/>
          <w:rtl w:val="true"/>
          <w:lang w:bidi="ar-SA"/>
        </w:rPr>
        <w:t>الدية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النافذة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أحد المنخرين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خاصةً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عشر الدية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صلحت وإلا فسُدس الدية؛ لأنّها على النصف فيهما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والمستند كتاب ظريف</w:t>
      </w:r>
      <w:r>
        <w:rPr>
          <w:rStyle w:val="FootnoteAnchor"/>
          <w:rtl w:val="true"/>
        </w:rPr>
        <w:footnoteReference w:id="1818"/>
      </w:r>
      <w:r>
        <w:rPr>
          <w:rFonts w:ascii="Amiri" w:hAnsi="Amiri" w:eastAsia="Amiri" w:cs="Amiri"/>
          <w:color w:val="111111"/>
          <w:sz w:val="28"/>
          <w:sz w:val="28"/>
          <w:szCs w:val="28"/>
          <w:rtl w:val="true"/>
          <w:lang w:bidi="ar-SA"/>
        </w:rPr>
        <w:t>، لكنه أطلق العُسْرَ في أحدهما كما هنا، والتفصيل فيه كالسابق للعلّامة</w:t>
      </w:r>
      <w:r>
        <w:rPr>
          <w:rStyle w:val="FootnoteAnchor"/>
          <w:rtl w:val="true"/>
        </w:rPr>
        <w:footnoteReference w:id="181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وفي شق الشفتين حتى تبدو الأسنانُ ثلث ديتهما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سواء استوعبهما الشقُ أم 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ولو بَرِئَت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الجراحةُ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فخُمس ديتهما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شَقّ إحداهما ثلث ديتها إن لم تبراً، فإن بَرِئَتْ فخُمسها؛ استناداً إلى كتاب ظريف</w:t>
      </w:r>
      <w:r>
        <w:rPr>
          <w:rStyle w:val="FootnoteAnchor"/>
          <w:rtl w:val="true"/>
        </w:rPr>
        <w:footnoteReference w:id="182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وفي احمرار الوجه بالجناية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لطمةٍ وشبهها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دينار ونصف، وفي اخضراره ثلاثة دنانير، وفي اسوداده ستة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لرواية إسحاق بن عمار</w:t>
      </w:r>
      <w:r>
        <w:rPr>
          <w:rStyle w:val="FootnoteAnchor"/>
          <w:rtl w:val="true"/>
        </w:rPr>
        <w:footnoteReference w:id="1821"/>
      </w:r>
      <w:r>
        <w:rPr>
          <w:rFonts w:ascii="Amiri" w:hAnsi="Amiri" w:eastAsia="Amiri" w:cs="Amiri"/>
          <w:color w:val="111111"/>
          <w:sz w:val="28"/>
          <w:sz w:val="28"/>
          <w:szCs w:val="28"/>
          <w:rtl w:val="true"/>
          <w:lang w:bidi="ar-SA"/>
        </w:rPr>
        <w:t xml:space="preserve">و المشهور أنّ هذه الجناياتِ الثلاث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البدن على النصف والرواية خالية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وظاهرُها أنّ ذلك يَثبُت بوجود أثر اللطمة ونحوها فى الوجه وإنْ لم تَستوعبه ولم تدم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وربما قيل باشتراط الدوام وإلا فالأرش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قيل بالأرش مطلقاً لضعف المستند إن لم يكن إجماع كان حسناً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تعدي حكم المرويّ إلى غيره من الأعضاء التي ديته أقل كاليد والرجل بل الإصبع وجهان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وعلى تقديره فهل يجب فيه بنسبة ديته إلى دية الوجه أم بنسبة ما جب في البدن إلى الوجه ؟ وجهان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ولمّا ضَعُف مأخذ الأصل كان إثبات مثل هذه الأحكام أضعف وإطلاق الحكم يشمل الذكر والأنثى فيتساويان في ذلك، وسيأتي التنبيه عليه أيضاً</w:t>
      </w:r>
      <w:r>
        <w:rPr>
          <w:rFonts w:eastAsia="Amiri" w:cs="Amiri" w:ascii="Amiri" w:hAnsi="Amiri"/>
          <w:color w:val="111111"/>
          <w:sz w:val="28"/>
          <w:szCs w:val="28"/>
          <w:rtl w:val="true"/>
          <w:lang w:bidi="ar-SA"/>
        </w:rPr>
        <w:t>.</w:t>
      </w:r>
    </w:p>
    <w:p>
      <w:pPr>
        <w:sectPr>
          <w:footerReference w:type="default" r:id="rId4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ودية الشجاج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المتقدمة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الوجه والرأس سواء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لما تقرر من أنها لا تُطلق إلا </w:t>
      </w:r>
    </w:p>
    <w:p>
      <w:pPr>
        <w:pStyle w:val="BookText"/>
        <w:rPr/>
      </w:pPr>
      <w:r>
        <w:rPr>
          <w:rFonts w:ascii="Amiri" w:hAnsi="Amiri" w:eastAsia="Amiri" w:cs="Amiri"/>
          <w:color w:val="111111"/>
          <w:sz w:val="28"/>
          <w:sz w:val="28"/>
          <w:szCs w:val="28"/>
          <w:rtl w:val="true"/>
          <w:lang w:bidi="ar-SA"/>
        </w:rPr>
        <w:t>عليها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وفي البدن بنسبة دية العضو إلى الرأس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ففي حارصة اليد نصفُ بعير، وفيها في أَنْمُلة إبهامها نصفُ عُشْرِه، وهكذا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وفي النافذة في شيء من أطراف الرَجُل مائة دينار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قول الشيخ </w:t>
      </w:r>
      <w:r>
        <w:rPr>
          <w:rStyle w:val="FootnoteAnchor"/>
          <w:rtl w:val="true"/>
        </w:rPr>
        <w:footnoteReference w:id="1822"/>
      </w:r>
      <w:r>
        <w:rPr>
          <w:rFonts w:ascii="Amiri" w:hAnsi="Amiri" w:eastAsia="Amiri" w:cs="Amiri"/>
          <w:color w:val="111111"/>
          <w:sz w:val="28"/>
          <w:sz w:val="28"/>
          <w:szCs w:val="28"/>
          <w:rtl w:val="true"/>
          <w:lang w:bidi="ar-SA"/>
        </w:rPr>
        <w:t>وجماعة</w:t>
      </w:r>
      <w:r>
        <w:rPr>
          <w:rStyle w:val="FootnoteAnchor"/>
          <w:rtl w:val="true"/>
        </w:rPr>
        <w:footnoteReference w:id="1823"/>
      </w:r>
      <w:r>
        <w:rPr>
          <w:rFonts w:ascii="IRNazanin" w:hAnsi="IRNazanin" w:eastAsia="IRNazanin"/>
          <w:color w:val="111111"/>
          <w:sz w:val="28"/>
          <w:sz w:val="28"/>
          <w:szCs w:val="28"/>
          <w:rtl w:val="true"/>
          <w:lang w:bidi="fa-IR"/>
        </w:rPr>
        <w:t>، ولم نقف على مستنده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وهو مع ذلك يُشكل بما لو كانت دية الطرف تَقصُر عن المائة كالأنملة؛ إذ يَلزَم زيادة دية النافذة فيها على ديتها، بل على دية أنْمُلتين حيث تشتمل الإصبع على ثلاث وربما خَصَّها بعضُهم بعضو فيه كمال الدية</w:t>
      </w:r>
      <w:r>
        <w:rPr>
          <w:rStyle w:val="FootnoteAnchor"/>
          <w:rtl w:val="true"/>
        </w:rPr>
        <w:footnoteReference w:id="1824"/>
      </w:r>
      <w:r>
        <w:rPr>
          <w:rFonts w:ascii="Amiri" w:hAnsi="Amiri" w:eastAsia="Amiri" w:cs="Amiri"/>
          <w:color w:val="111111"/>
          <w:sz w:val="28"/>
          <w:sz w:val="28"/>
          <w:szCs w:val="28"/>
          <w:rtl w:val="true"/>
          <w:lang w:bidi="ar-SA"/>
        </w:rPr>
        <w:t>، ولا بأس به إن تَعيَّن العمل بأصله، ويعضده أنّ الموجود فى كتاب ظريف ليس مطلقاً كما ذكروه، بل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في الخدّ إذا كانت فيه نافذةً ويُرَى منها جوفُ الفم فديتها مائة دينار</w:t>
      </w:r>
      <w:r>
        <w:rPr>
          <w:rFonts w:eastAsia="Amiri" w:cs="Amiri" w:ascii="Amiri" w:hAnsi="Amiri"/>
          <w:color w:val="111111"/>
          <w:sz w:val="28"/>
          <w:szCs w:val="28"/>
          <w:rtl w:val="true"/>
          <w:lang w:bidi="ar-SA"/>
        </w:rPr>
        <w:t>»</w:t>
      </w:r>
      <w:r>
        <w:rPr>
          <w:rStyle w:val="FootnoteAnchor"/>
          <w:rtl w:val="true"/>
        </w:rPr>
        <w:footnoteReference w:id="182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وتخصيصهم الحكم بالرّجُل يقتضي أنّ المرأة ليست كذلك، فيُحتمل الرجوع فيها إلى الأصل من الأرش، أو حكم الشجاج بالنسبة وثبوتِ خمسين ديناراً على النصف كالدية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بعض فتاوي المصنّف أنّ الأُنثى كالذكر في ذلك، ففي نافذتها مائة دينار أيضاً </w:t>
      </w:r>
      <w:r>
        <w:rPr>
          <w:rStyle w:val="FootnoteAnchor"/>
          <w:rtl w:val="true"/>
        </w:rPr>
        <w:footnoteReference w:id="1826"/>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ضمن موسوعة الشهيد الأول، ج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وكلُّ ما ذُكر من الدينار فهو منسوب إلى صاحب الدية التامة، والمرأة الكاملة، وفي العبد والذمّي بنسبتها إلى النفس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كتب المصنف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الكتاب</w:t>
      </w:r>
      <w:r>
        <w:rPr>
          <w:rStyle w:val="FootnoteAnchor"/>
          <w:rtl w:val="true"/>
        </w:rPr>
        <w:footnoteReference w:id="1827"/>
      </w:r>
      <w:r>
        <w:rPr>
          <w:rFonts w:ascii="Amiri" w:hAnsi="Amiri" w:eastAsia="Amiri" w:cs="Amiri"/>
          <w:color w:val="111111"/>
          <w:sz w:val="28"/>
          <w:sz w:val="28"/>
          <w:szCs w:val="28"/>
          <w:rtl w:val="true"/>
          <w:lang w:bidi="ar-SA"/>
        </w:rPr>
        <w:t>في تفسير ذلك</w:t>
      </w:r>
      <w:r>
        <w:rPr>
          <w:rFonts w:eastAsia="Amiri" w:cs="Amiri" w:ascii="Amiri" w:hAnsi="Amiri"/>
          <w:color w:val="111111"/>
          <w:sz w:val="28"/>
          <w:szCs w:val="28"/>
          <w:rtl w:val="true"/>
          <w:lang w:bidi="ar-SA"/>
        </w:rPr>
        <w:t>:</w:t>
      </w:r>
    </w:p>
    <w:p>
      <w:pPr>
        <w:sectPr>
          <w:footerReference w:type="default" r:id="rId4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ما ذُكِر فيه 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الدينار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الأبعاض؛ كالنافذة والاحمرار والاخضرار، فهو </w:t>
      </w:r>
    </w:p>
    <w:p>
      <w:pPr>
        <w:pStyle w:val="BookText"/>
        <w:rPr/>
      </w:pPr>
      <w:r>
        <w:rPr>
          <w:rFonts w:ascii="Amiri" w:hAnsi="Amiri" w:eastAsia="Amiri" w:cs="Amiri"/>
          <w:color w:val="111111"/>
          <w:sz w:val="28"/>
          <w:sz w:val="28"/>
          <w:szCs w:val="28"/>
          <w:rtl w:val="true"/>
          <w:lang w:bidi="ar-SA"/>
        </w:rPr>
        <w:t>واجب للرجل الكامل والمرأة الكاملة، فإذا اتَّفق في ذمّي أو عبد أُخِذ بالنسبة 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النافذة فيها مائة دينار ففي الذمّي ثمانية دنانير، وفي العبد عُشر قيمته، وكذا الباقي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ومعنى الحكومة والأرش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فيما لا تقدير لديته واحد، وهو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يُقَوَّم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المجني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مملوكاً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كان حرّاً</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تقديراً صحيحاً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الوصف المشتمل عليه حالة الجناية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وبالجناية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وتُنسب إحدى القيمتين إلى الأخرى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ويُؤخَذ من الدية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دية المجني عليه كيف اتفقت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بنسبته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فلو قَوَّمَ عبداً صحيحاً بعشرة ومعيباً بتسعة وجب للجناية عُشر دية الحرّ، ويُجعَل العبد أصلاً للحرّ في ذلك، كما أنّ الحرّ أصل له في المقدَّر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كان المجني عليه مملوكاً استَحَق مولاه التفاوت بين القيمتين، ولو لم يَنقُص بالجناية كقطع السلع والذَّكَرِ ولحْيَةِ المرأة فلا شيء إلا أن يَنقُص حين الجناية بسبب الألم فيجب ما لم يَستَوعِب القيمة، ففيه ما مر</w:t>
      </w:r>
      <w:r>
        <w:rPr>
          <w:rStyle w:val="FootnoteAnchor"/>
          <w:rtl w:val="true"/>
        </w:rPr>
        <w:footnoteReference w:id="182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كان المجني عليه قتلاً أو جرحاً خنثى مشكلاً، ففيه نصف دية ذكر ونصف دية أنثى، ويُحتمل ديةٌ أُنثى؛ لأنه المتيقن، وجَرحُه فيما لا يبلغ ثلث الدية كجرح الذكر كالأُنثى، وفيما بلغه ثلاثة أرباع دية الذكر بحسبه</w:t>
      </w:r>
      <w:r>
        <w:rPr>
          <w:rFonts w:eastAsia="Amiri" w:cs="Amiri" w:ascii="Amiri" w:hAnsi="Amiri"/>
          <w:color w:val="111111"/>
          <w:sz w:val="28"/>
          <w:szCs w:val="28"/>
          <w:rtl w:val="true"/>
          <w:lang w:bidi="ar-SA"/>
        </w:rPr>
        <w:t>.</w:t>
      </w:r>
    </w:p>
    <w:p>
      <w:pPr>
        <w:sectPr>
          <w:footerReference w:type="default" r:id="rId4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 لا وليَّ له فالحاكم وليه يقتص له مِن المتعمّد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ويأخذ الدية في الخطأ والشبيه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والقائل الشيخ</w:t>
      </w:r>
      <w:r>
        <w:rPr>
          <w:rStyle w:val="FootnoteAnchor"/>
          <w:rtl w:val="true"/>
        </w:rPr>
        <w:footnoteReference w:id="1829"/>
      </w:r>
      <w:r>
        <w:rPr>
          <w:rFonts w:ascii="IRNazanin" w:hAnsi="IRNazanin" w:eastAsia="IRNazanin"/>
          <w:color w:val="111111"/>
          <w:sz w:val="28"/>
          <w:sz w:val="28"/>
          <w:szCs w:val="28"/>
          <w:rtl w:val="true"/>
          <w:lang w:bidi="fa-IR"/>
        </w:rPr>
        <w:t>وأتباعه</w:t>
      </w:r>
      <w:r>
        <w:rPr>
          <w:rStyle w:val="FootnoteAnchor"/>
          <w:rtl w:val="true"/>
        </w:rPr>
        <w:footnoteReference w:id="1830"/>
      </w:r>
      <w:r>
        <w:rPr>
          <w:rFonts w:ascii="IRNazanin" w:hAnsi="IRNazanin" w:eastAsia="IRNazanin"/>
          <w:color w:val="111111"/>
          <w:sz w:val="28"/>
          <w:sz w:val="28"/>
          <w:szCs w:val="28"/>
          <w:rtl w:val="true"/>
          <w:lang w:bidi="fa-IR"/>
        </w:rPr>
        <w:t xml:space="preserve">، والمحقق </w:t>
      </w:r>
      <w:r>
        <w:rPr>
          <w:rStyle w:val="FootnoteAnchor"/>
          <w:rtl w:val="true"/>
        </w:rPr>
        <w:footnoteReference w:id="1831"/>
      </w:r>
      <w:r>
        <w:rPr>
          <w:rFonts w:ascii="Amiri" w:hAnsi="Amiri" w:eastAsia="Amiri" w:cs="Amiri"/>
          <w:color w:val="111111"/>
          <w:sz w:val="28"/>
          <w:sz w:val="28"/>
          <w:szCs w:val="28"/>
          <w:rtl w:val="true"/>
          <w:lang w:bidi="ar-SA"/>
        </w:rPr>
        <w:t>، والعلامة</w:t>
      </w:r>
      <w:r>
        <w:rPr>
          <w:rStyle w:val="FootnoteAnchor"/>
          <w:rtl w:val="true"/>
        </w:rPr>
        <w:footnoteReference w:id="1832"/>
      </w:r>
      <w:r>
        <w:rPr>
          <w:rFonts w:ascii="Amiri" w:hAnsi="Amiri" w:eastAsia="Amiri" w:cs="Amiri"/>
          <w:color w:val="111111"/>
          <w:sz w:val="28"/>
          <w:sz w:val="28"/>
          <w:szCs w:val="28"/>
          <w:rtl w:val="true"/>
          <w:lang w:bidi="ar-SA"/>
        </w:rPr>
        <w:t>، بل كاد يكون إجماعاً</w:t>
      </w:r>
      <w:r>
        <w:rPr>
          <w:rFonts w:eastAsia="Amiri" w:cs="Amiri" w:ascii="Amiri" w:hAnsi="Amiri"/>
          <w:color w:val="111111"/>
          <w:sz w:val="28"/>
          <w:szCs w:val="28"/>
          <w:rtl w:val="true"/>
          <w:lang w:bidi="ar-SA"/>
        </w:rPr>
        <w:t xml:space="preserve">: </w:t>
      </w:r>
    </w:p>
    <w:p>
      <w:pPr>
        <w:sectPr>
          <w:footerReference w:type="default" r:id="rId4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ليس له العفو عن القصاص ولا الدية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لصحيحة أبي ولاد عن الصادق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الرجل يُقتل وليس له وليٌّ إلا الإمامُ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أنّه ليس للإمام أن يَعفُو، وله أن يقتل ويأخذَ الدية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يتناول العمد والخطأ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وذهب ابن إدريس إلى جواز عفوه عن القصاص والديةِ كغيره من الأولياء، بل هو أولى بالحكم</w:t>
      </w:r>
      <w:r>
        <w:rPr>
          <w:rStyle w:val="FootnoteAnchor"/>
          <w:rtl w:val="true"/>
        </w:rPr>
        <w:footnoteReference w:id="1833"/>
      </w:r>
      <w:r>
        <w:rPr>
          <w:rFonts w:ascii="Amiri" w:hAnsi="Amiri" w:eastAsia="Amiri" w:cs="Amiri"/>
          <w:color w:val="111111"/>
          <w:sz w:val="28"/>
          <w:sz w:val="28"/>
          <w:szCs w:val="28"/>
          <w:rtl w:val="true"/>
          <w:lang w:bidi="ar-SA"/>
        </w:rPr>
        <w:t>، ويظهر من المصنّف الميل إليه حيث جَعَل المنع قولاً، وحيث كانت الرواية صحيحةً وقد عَمِل بها الأكثر فلا وجه للعدول عنها</w:t>
      </w:r>
      <w:r>
        <w:rPr>
          <w:rFonts w:eastAsia="Amiri" w:cs="Amiri" w:ascii="Amiri" w:hAnsi="Amiri"/>
          <w:color w:val="111111"/>
          <w:sz w:val="28"/>
          <w:szCs w:val="28"/>
          <w:rtl w:val="true"/>
          <w:lang w:bidi="ar-SA"/>
        </w:rPr>
        <w:t xml:space="preserve">. </w:t>
      </w:r>
      <w:bookmarkStart w:id="192" w:name="pg11049_88747"/>
    </w:p>
    <w:p>
      <w:pPr>
        <w:pStyle w:val="Heading3"/>
        <w:numPr>
          <w:ilvl w:val="2"/>
          <w:numId w:val="1"/>
        </w:numPr>
        <w:rPr/>
      </w:pPr>
      <w:bookmarkStart w:id="193" w:name="__RefHeading___Toc1446191_1067777946"/>
      <w:bookmarkStart w:id="194" w:name="_Toc59"/>
      <w:bookmarkEnd w:id="192"/>
      <w:bookmarkEnd w:id="193"/>
      <w:r>
        <w:rPr>
          <w:rtl w:val="true"/>
        </w:rPr>
        <w:t>الفصل الرابع في التوابع</w:t>
      </w:r>
      <w:bookmarkEnd w:id="194"/>
    </w:p>
    <w:p>
      <w:pPr>
        <w:pStyle w:val="Heading4"/>
        <w:numPr>
          <w:ilvl w:val="3"/>
          <w:numId w:val="1"/>
        </w:numPr>
        <w:rPr/>
      </w:pPr>
      <w:bookmarkStart w:id="195" w:name="__RefHeading___Toc1446193_1067777946"/>
      <w:bookmarkStart w:id="196" w:name="_Toc60"/>
      <w:bookmarkEnd w:id="195"/>
      <w:r>
        <w:rPr>
          <w:rtl w:val="true"/>
        </w:rPr>
        <w:t>اشارة</w:t>
      </w:r>
      <w:bookmarkEnd w:id="196"/>
    </w:p>
    <w:p>
      <w:pPr>
        <w:pStyle w:val="BookText"/>
        <w:rPr/>
      </w:pPr>
      <w:r>
        <w:rPr>
          <w:rStyle w:val="FootnoteAnchor"/>
          <w:rtl w:val="true"/>
        </w:rPr>
        <w:footnoteReference w:id="1834"/>
      </w:r>
      <w:r>
        <w:rPr>
          <w:rFonts w:eastAsia="Amiri" w:cs="Amiri" w:ascii="Amiri" w:hAnsi="Amiri"/>
          <w:color w:val="111111"/>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وهي أربعة</w:t>
      </w:r>
      <w:r>
        <w:rPr>
          <w:rFonts w:eastAsia="Amiri" w:cs="Amiri" w:ascii="Amiri" w:hAnsi="Amiri"/>
          <w:color w:val="111111"/>
          <w:sz w:val="28"/>
          <w:szCs w:val="28"/>
          <w:rtl w:val="true"/>
          <w:lang w:bidi="ar-SA"/>
        </w:rPr>
        <w:t>:)</w:t>
      </w:r>
    </w:p>
    <w:p>
      <w:pPr>
        <w:pStyle w:val="Heading4"/>
        <w:numPr>
          <w:ilvl w:val="3"/>
          <w:numId w:val="1"/>
        </w:numPr>
        <w:rPr/>
      </w:pPr>
      <w:bookmarkStart w:id="197" w:name="__RefHeading___Toc1446195_1067777946"/>
      <w:bookmarkStart w:id="198" w:name="_Toc61"/>
      <w:bookmarkEnd w:id="197"/>
      <w:r>
        <w:rPr>
          <w:rtl w:val="true"/>
        </w:rPr>
        <w:t>الأوّل</w:t>
      </w:r>
      <w:r>
        <w:rPr>
          <w:rtl w:val="true"/>
        </w:rPr>
        <w:t xml:space="preserve">: </w:t>
      </w:r>
      <w:r>
        <w:rPr>
          <w:rtl w:val="true"/>
        </w:rPr>
        <w:t>دية الجَنِين</w:t>
      </w:r>
      <w:bookmarkEnd w:id="198"/>
    </w:p>
    <w:p>
      <w:pPr>
        <w:pStyle w:val="BookText"/>
        <w:rPr/>
      </w:pPr>
      <w:r>
        <w:rPr>
          <w:rFonts w:ascii="Amiri" w:hAnsi="Amiri" w:eastAsia="Amiri" w:cs="Amiri"/>
          <w:color w:val="111111"/>
          <w:sz w:val="28"/>
          <w:sz w:val="28"/>
          <w:szCs w:val="28"/>
          <w:rtl w:val="true"/>
          <w:lang w:bidi="ar-SA"/>
        </w:rPr>
        <w:t xml:space="preserve">وهو الحمل في بطن أمه، سُمّى به لاستتاره فيه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الاجتنان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الستر فهو بمعنى المفعول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النطفة إذا استقرَّتْ في الرحم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واستعدت للنُّشُوء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عشرون ديناراً، ويكفي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ثبوت العشرين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مجرّد الإلقاء في الرحم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تحقق الاستقرار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ولو أفزعه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أفزع المُجامِعَ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المدلول عليه بالمقام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مفزع وإن كان هو المرأة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فعَزَل فعشرة دنانير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 الزوجين أثلاثاً، ولو كان المُفزع المرأة فلا شيء لها، ولو انعكس انعكس إن قلنا بوجوب الدية عليه مع العزل اختياراً، لكن الأقوى عدمه وجواز الفعل، وقد تقدَّم</w:t>
      </w:r>
      <w:r>
        <w:rPr>
          <w:rStyle w:val="FootnoteAnchor"/>
          <w:rtl w:val="true"/>
        </w:rPr>
        <w:footnoteReference w:id="1835"/>
      </w:r>
      <w:r>
        <w:rPr>
          <w:rFonts w:eastAsia="Times New Roman" w:cs="Times New Roman" w:ascii="Times New Roman" w:hAnsi="Times New Roman"/>
          <w:color w:val="111111"/>
          <w:sz w:val="28"/>
          <w:szCs w:val="28"/>
          <w:rtl w:val="true"/>
          <w:lang w:val="en-US" w:bidi="en-US"/>
        </w:rPr>
        <w:t>.</w:t>
      </w:r>
    </w:p>
    <w:p>
      <w:pPr>
        <w:sectPr>
          <w:footerReference w:type="default" r:id="rId4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وفي العلقة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القطعة من الدم تَتَحَوَّل إليها النطفة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أربعون ديناراً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المُضْغَة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القِطعة من اللحم بقدر ما يُمْضَغ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ستون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ديناراً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وفي العظم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ابتداء تَخَلُّقِه من المضغة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ثمانون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ديناراً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وفي التام الخلقة قبل ولوج الروح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مائةُ دينار ذكراكان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أُنثى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ومستند التفصيل أخبار كثيرة، منها صحيحة محمد بن </w:t>
      </w:r>
    </w:p>
    <w:p>
      <w:pPr>
        <w:pStyle w:val="BookText"/>
        <w:rPr/>
      </w:pPr>
      <w:r>
        <w:rPr>
          <w:rFonts w:ascii="Amiri" w:hAnsi="Amiri" w:eastAsia="Amiri" w:cs="Amiri"/>
          <w:color w:val="111111"/>
          <w:sz w:val="28"/>
          <w:sz w:val="28"/>
          <w:szCs w:val="28"/>
          <w:rtl w:val="true"/>
          <w:lang w:bidi="ar-SA"/>
        </w:rPr>
        <w:t>مسلم عن أبي جعفر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Style w:val="FootnoteAnchor"/>
          <w:rtl w:val="true"/>
        </w:rPr>
        <w:footnoteReference w:id="183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متى لم تتم خلقته ففيه غُرّةً عبد أو أمةٍ صحيحاً لا يبلغ الشيخوخةً ولا يَنقُص سنه عن سبع سنين</w:t>
      </w:r>
      <w:r>
        <w:rPr>
          <w:rStyle w:val="FootnoteAnchor"/>
          <w:rtl w:val="true"/>
        </w:rPr>
        <w:footnoteReference w:id="1837"/>
      </w:r>
      <w:r>
        <w:rPr>
          <w:rFonts w:ascii="Amiri" w:hAnsi="Amiri" w:eastAsia="Amiri" w:cs="Amiri"/>
          <w:color w:val="111111"/>
          <w:sz w:val="28"/>
          <w:sz w:val="28"/>
          <w:szCs w:val="28"/>
          <w:rtl w:val="true"/>
          <w:lang w:bidi="ar-SA"/>
        </w:rPr>
        <w:t xml:space="preserve">لرواية أبي بصير وغيره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Style w:val="FootnoteAnchor"/>
          <w:rtl w:val="true"/>
        </w:rPr>
        <w:footnoteReference w:id="183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والأوّل أشهَرُ فتوى وأصح رواية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ولو 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ذمّيّاً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متولداً عن ذمّي مُلحقاً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فثمانون درهماً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عُشرُ دية أبيه، كما أن المائةَ عُشْرُ دية المسلم، ورُوي ضعيفاً عُشر دية أُمّه</w:t>
      </w:r>
      <w:r>
        <w:rPr>
          <w:rStyle w:val="FootnoteAnchor"/>
          <w:rtl w:val="true"/>
        </w:rPr>
        <w:footnoteReference w:id="183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ولو كان مملوكاً فعُشر قيمة الأُمِّ المملوكة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ذكراً كان أم أُنثى، مسلماً كان أم كافراً اعتباراً بالمالية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تعدَّدَ ففى كلّ واحد عُشر قيمتها كما تَتَعَدَّدُ ديته لو كان حراً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ولا كفّارة هنا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في قتل الجنين في جميع أحواله؛ لأن وجوبها مشروط بحياة القتيل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ولو وَلَجَتْه الروحُ فديةٌ كاملة للذكر ونصف للأُنثى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خَرَج ميتاً مع تيقُنِ حياته في بطنها، فلو احتمل كون الحركة لريح وشبهه لم يُحكم بها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ومع الاشتباه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اشتباه حاله هل هو ذكر أو أنثى فعلى الجاني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نصفُ الديتين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دية الذكر وديةِ الأُنثى؛ الصحيحة عبد الله ابن سنان </w:t>
      </w:r>
      <w:r>
        <w:rPr>
          <w:rStyle w:val="FootnoteAnchor"/>
          <w:rtl w:val="true"/>
        </w:rPr>
        <w:footnoteReference w:id="1840"/>
      </w:r>
      <w:r>
        <w:rPr>
          <w:rFonts w:ascii="Amiri" w:hAnsi="Amiri" w:eastAsia="Amiri" w:cs="Amiri"/>
          <w:color w:val="111111"/>
          <w:sz w:val="28"/>
          <w:sz w:val="28"/>
          <w:szCs w:val="28"/>
          <w:rtl w:val="true"/>
          <w:lang w:bidi="ar-SA"/>
        </w:rPr>
        <w:t>وغيرها</w:t>
      </w:r>
      <w:r>
        <w:rPr>
          <w:rStyle w:val="FootnoteAnchor"/>
          <w:rtl w:val="true"/>
        </w:rPr>
        <w:footnoteReference w:id="184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يُقرَع لأنّها لكلّ أمرٍ مشكل</w:t>
      </w:r>
      <w:r>
        <w:rPr>
          <w:rStyle w:val="FootnoteAnchor"/>
          <w:rtl w:val="true"/>
        </w:rPr>
        <w:footnoteReference w:id="1842"/>
      </w:r>
      <w:r>
        <w:rPr>
          <w:rFonts w:ascii="Amiri" w:hAnsi="Amiri" w:eastAsia="Amiri" w:cs="Amiri"/>
          <w:color w:val="111111"/>
          <w:sz w:val="28"/>
          <w:sz w:val="28"/>
          <w:szCs w:val="28"/>
          <w:rtl w:val="true"/>
          <w:lang w:bidi="ar-SA"/>
        </w:rPr>
        <w:t>، ويُضعف بأنّه لا إشكال مع ورودِ النص الصحيح بذلك، وعمل الأصحاب، حتى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إجماع</w:t>
      </w:r>
      <w:r>
        <w:rPr>
          <w:rStyle w:val="FootnoteAnchor"/>
          <w:rtl w:val="true"/>
        </w:rPr>
        <w:footnoteReference w:id="1843"/>
      </w:r>
      <w:r>
        <w:rPr>
          <w:rFonts w:eastAsia="Times New Roman" w:cs="Times New Roman" w:ascii="Times New Roman" w:hAnsi="Times New Roman"/>
          <w:color w:val="111111"/>
          <w:sz w:val="28"/>
          <w:szCs w:val="28"/>
          <w:rtl w:val="true"/>
          <w:lang w:val="en-US" w:bidi="en-US"/>
        </w:rPr>
        <w:t>.</w:t>
      </w:r>
    </w:p>
    <w:p>
      <w:pPr>
        <w:sectPr>
          <w:footerReference w:type="default" r:id="rId4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ويتحقق الاشتباه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بأن تموتَ المرأة ويموت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الولدُ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 يخرج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 العلم بسبق الحياة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حياة الجنين على موته، أمّا سبق موته على موت أُمّه وعدمه فلا أثر له</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تجب الكفّارة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بقتل الجنين حيث تلجه الروح كالمولود،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مطلقاً </w:t>
      </w:r>
      <w:r>
        <w:rPr>
          <w:rStyle w:val="FootnoteAnchor"/>
          <w:rtl w:val="true"/>
        </w:rPr>
        <w:footnoteReference w:id="184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 المباشرة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لقتله لا مع التسبيب كغيره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وفي أعضائه وجراحاته بالنسبة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ديته؛ ففي قطع يده خمسون ديناراً، وفي حارصته دينار، وهكذا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لم يكن للجناية مقدَّرُ فالأرش، وهو تفاوت ما بين قيمته صحيحاً ومجنيّاً عليه بتلك الجناية من ديته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ويَرِثُه وارثُ المال الأقرب فالأقرب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وتُعتبر قيمةُ الأُمّ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كانت أَمَةً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عند الجناية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لأنّها وقتُ تعلّق الضمان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الإجهاض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الإسقاط</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دية الجنين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مال الجاني إن 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القتل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لا يُقتل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أو شبيهاً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بالعمد،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وإلّا ففي مال العاقلة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كالمولود، وحكمها في التقسيط والتأجيل كغيره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وفي قطع رأس الميت المسلم الحرِّ مائة دينار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سواءٌ في ذلك الرجل والمرأة والصغير والكبير للإطلاق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والمستند أخبار كثيرة منها حسنة سليمان بن خالد عن أبي الحسن وفيها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ديته دية الجنين في بطن أمه قبل أن تَنْشَأ فيه الروح</w:t>
      </w:r>
      <w:r>
        <w:rPr>
          <w:rFonts w:eastAsia="Amiri" w:cs="Amiri" w:ascii="Amiri" w:hAnsi="Amiri"/>
          <w:color w:val="111111"/>
          <w:sz w:val="28"/>
          <w:szCs w:val="28"/>
          <w:rtl w:val="true"/>
          <w:lang w:bidi="ar-SA"/>
        </w:rPr>
        <w:t>»</w:t>
      </w:r>
      <w:r>
        <w:rPr>
          <w:rStyle w:val="FootnoteAnchor"/>
          <w:rtl w:val="true"/>
        </w:rPr>
        <w:footnoteReference w:id="1845"/>
      </w:r>
      <w:r>
        <w:rPr>
          <w:rFonts w:ascii="Amiri" w:hAnsi="Amiri" w:eastAsia="Amiri" w:cs="Amiri"/>
          <w:color w:val="111111"/>
          <w:sz w:val="28"/>
          <w:sz w:val="28"/>
          <w:szCs w:val="28"/>
          <w:rtl w:val="true"/>
          <w:lang w:bidi="ar-SA"/>
        </w:rPr>
        <w:t>، وقد عرفت أن الذكر والأنثى فيه سواء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خبرٍ آخر رواه الكليني مرسلاً عن الصادق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أنه أفتى بذلك للمنصور حيث قطع بعض مواليه رأس آخَرَ بعد موته، وعَلَّل وجوبَ المائة بأنّ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النطفة النطفة عشرين ديناراً، وفي العلقة العلقة عشرين وفي المضغة عشرين، وفي العظم عشرين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أَنشَأْنَهُ خَلْقًا ءَاخَرَ</w:t>
      </w:r>
      <w:r>
        <w:rPr>
          <w:rStyle w:val="FootnoteAnchor"/>
          <w:rtl w:val="true"/>
        </w:rPr>
        <w:footnoteReference w:id="1846"/>
      </w:r>
      <w:r>
        <w:rPr>
          <w:rFonts w:ascii="Amiri" w:hAnsi="Amiri" w:eastAsia="Amiri" w:cs="Amiri"/>
          <w:color w:val="111111"/>
          <w:sz w:val="28"/>
          <w:sz w:val="28"/>
          <w:szCs w:val="28"/>
          <w:rtl w:val="true"/>
          <w:lang w:bidi="ar-SA"/>
        </w:rPr>
        <w:t>وهذا هو ميت بمنزلته قبل أن تُنفخ فيه الروح في بطن أمه جنيناً</w:t>
      </w:r>
      <w:r>
        <w:rPr>
          <w:rFonts w:eastAsia="Amiri" w:cs="Amiri" w:ascii="Amiri" w:hAnsi="Amiri"/>
          <w:color w:val="111111"/>
          <w:sz w:val="28"/>
          <w:szCs w:val="28"/>
          <w:rtl w:val="true"/>
          <w:lang w:bidi="ar-SA"/>
        </w:rPr>
        <w:t>»</w:t>
      </w:r>
      <w:r>
        <w:rPr>
          <w:rStyle w:val="FootnoteAnchor"/>
          <w:rtl w:val="true"/>
        </w:rPr>
        <w:footnoteReference w:id="1847"/>
      </w:r>
      <w:r>
        <w:rPr>
          <w:rFonts w:eastAsia="Times New Roman" w:cs="Times New Roman" w:ascii="Times New Roman" w:hAnsi="Times New Roman"/>
          <w:color w:val="111111"/>
          <w:sz w:val="28"/>
          <w:szCs w:val="28"/>
          <w:rtl w:val="true"/>
          <w:lang w:val="en-US" w:bidi="en-US"/>
        </w:rPr>
        <w:t>.</w:t>
      </w:r>
    </w:p>
    <w:p>
      <w:pPr>
        <w:sectPr>
          <w:footerReference w:type="default" r:id="rId4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وفي شجاجه وجراحه بنسبته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ففي قطع يده خمسون ديناراً، وفي قطع إصبعه </w:t>
      </w:r>
    </w:p>
    <w:p>
      <w:pPr>
        <w:pStyle w:val="BookText"/>
        <w:rPr/>
      </w:pPr>
      <w:r>
        <w:rPr>
          <w:rFonts w:ascii="Amiri" w:hAnsi="Amiri" w:eastAsia="Amiri" w:cs="Amiri"/>
          <w:color w:val="111111"/>
          <w:sz w:val="28"/>
          <w:sz w:val="28"/>
          <w:szCs w:val="28"/>
          <w:rtl w:val="true"/>
          <w:lang w:bidi="ar-SA"/>
        </w:rPr>
        <w:t>عَشرة دنانير، وفي حارصته دينار، وهكذا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هذه الدية ليست لورثته ، بل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تُصرف في وجوه القُرَب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الميّت للأخبار المذكورة فارقاً فيها بينه وبين الجنين حيث تكون ديته لورثته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 الجنين مستقبل مَرْجُو نفعه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قابل للحياة عادة بخلاف الميّت فإنّه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مَضَى وذَهَبت منفعته، فلمّا مُثْلَ به بعد موته صارت ديته بتلك المُثلة له لا لغيره، يُحَجّ بها عنه ويُفعَل بها أبواب البر والخير من الصدقة وغيرها</w:t>
      </w:r>
      <w:r>
        <w:rPr>
          <w:rFonts w:eastAsia="Amiri" w:cs="Amiri" w:ascii="Amiri" w:hAnsi="Amiri"/>
          <w:color w:val="111111"/>
          <w:sz w:val="28"/>
          <w:szCs w:val="28"/>
          <w:rtl w:val="true"/>
          <w:lang w:bidi="ar-SA"/>
        </w:rPr>
        <w:t>»</w:t>
      </w:r>
      <w:r>
        <w:rPr>
          <w:rStyle w:val="FootnoteAnchor"/>
          <w:rtl w:val="true"/>
        </w:rPr>
        <w:footnoteReference w:id="184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المرتضى تكون لبيت المال</w:t>
      </w:r>
      <w:r>
        <w:rPr>
          <w:rStyle w:val="FootnoteAnchor"/>
          <w:rtl w:val="true"/>
        </w:rPr>
        <w:footnoteReference w:id="1849"/>
      </w:r>
      <w:r>
        <w:rPr>
          <w:rFonts w:ascii="Amiri" w:hAnsi="Amiri" w:eastAsia="Amiri" w:cs="Amiri"/>
          <w:color w:val="111111"/>
          <w:sz w:val="28"/>
          <w:sz w:val="28"/>
          <w:szCs w:val="28"/>
          <w:rtl w:val="true"/>
          <w:lang w:bidi="ar-SA"/>
        </w:rPr>
        <w:t>، والعمل على ما دلّت عليه الأخبار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لم يكن للجناية مقدَّرُ أُخِذ الأرسُ لو كان حيّاً، منسوباً إلى الدية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لم يُبَنْ الرأسُ بل قطع ما لو كان حيّاً لم يعش مثله، فالظاهر وجوب مائة دينار أيضاً عملاً بظاهر الأخبار وهل يُفرّق هنا بين العمدِ والخطأ كغيره حتى الجنين؟ يحتمله؛ لإطلاق التفصيل في الجناية على الآدمي وإن لم يكن حياً كالجنين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وعدمه، بل يجب على الجاني مطلقاً وقوفاً فيما خالَفَ الأصل على موضع اليقين، مؤيَّداً بإطلاق الأخبار والفتوى بأنّ الدية على الجاني، مع تركِ الاستفصال في واقعة الحال السابقة الدالّ على العموم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وهل يجوز قضاءُ دَينه من هذه الدية؟ وجهان من عدم دخوله في إطلاق الصدقة و وجوه البرّ، وكون قضاء الدين ملازماً للإرث؛ لظاهر الآية</w:t>
      </w:r>
      <w:r>
        <w:rPr>
          <w:rStyle w:val="FootnoteAnchor"/>
          <w:rtl w:val="true"/>
        </w:rPr>
        <w:footnoteReference w:id="1850"/>
      </w:r>
      <w:r>
        <w:rPr>
          <w:rFonts w:ascii="Amiri" w:hAnsi="Amiri" w:eastAsia="Amiri" w:cs="Amiri"/>
          <w:color w:val="111111"/>
          <w:sz w:val="28"/>
          <w:sz w:val="28"/>
          <w:szCs w:val="28"/>
          <w:rtl w:val="true"/>
          <w:lang w:bidi="ar-SA"/>
        </w:rPr>
        <w:t>، ومن أنّ نفعه لقضاء دينه أقوى، ونمنع عدم دخوله في البر بل هو من أعظمها، ولأنّ من جملتها قضاءَ دَينِ الغارم وهو من جملة أفراده، وهذا أقوى</w:t>
      </w:r>
      <w:r>
        <w:rPr>
          <w:rFonts w:eastAsia="Amiri" w:cs="Amiri" w:ascii="Amiri" w:hAnsi="Amiri"/>
          <w:color w:val="111111"/>
          <w:sz w:val="28"/>
          <w:szCs w:val="28"/>
          <w:rtl w:val="true"/>
          <w:lang w:bidi="ar-SA"/>
        </w:rPr>
        <w:t>.</w:t>
      </w:r>
    </w:p>
    <w:p>
      <w:pPr>
        <w:sectPr>
          <w:footerReference w:type="default" r:id="rId4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ولو كان الميّت ذمّيّاً فعُشرُ ديته أو عبداً فعُشر قيمته، ويُتصدَّق بها عنه كالحرّ؛ للعموم</w:t>
      </w:r>
      <w:r>
        <w:rPr>
          <w:rStyle w:val="FootnoteAnchor"/>
          <w:rtl w:val="true"/>
        </w:rPr>
        <w:footnoteReference w:id="1851"/>
      </w:r>
      <w:r>
        <w:rPr>
          <w:rFonts w:eastAsia="Times New Roman" w:cs="Times New Roman" w:ascii="Times New Roman" w:hAnsi="Times New Roman"/>
          <w:color w:val="111111"/>
          <w:sz w:val="28"/>
          <w:szCs w:val="28"/>
          <w:rtl w:val="true"/>
          <w:lang w:val="en-US" w:bidi="en-US"/>
        </w:rPr>
        <w:t xml:space="preserve">. </w:t>
      </w:r>
      <w:bookmarkStart w:id="199" w:name="pg11049_88751"/>
    </w:p>
    <w:p>
      <w:pPr>
        <w:pStyle w:val="Heading4"/>
        <w:numPr>
          <w:ilvl w:val="3"/>
          <w:numId w:val="1"/>
        </w:numPr>
        <w:rPr/>
      </w:pPr>
      <w:bookmarkStart w:id="200" w:name="__RefHeading___Toc1446197_1067777946"/>
      <w:bookmarkStart w:id="201" w:name="_Toc62"/>
      <w:bookmarkEnd w:id="199"/>
      <w:bookmarkEnd w:id="200"/>
      <w:r>
        <w:rPr>
          <w:rtl w:val="true"/>
        </w:rPr>
        <w:t>الثاني في العاقلة التي تَحمِل ديةَ الخطأ</w:t>
      </w:r>
      <w:bookmarkEnd w:id="201"/>
    </w:p>
    <w:p>
      <w:pPr>
        <w:pStyle w:val="BookText"/>
        <w:rPr/>
      </w:pPr>
      <w:r>
        <w:rPr>
          <w:rFonts w:ascii="Amiri" w:hAnsi="Amiri" w:eastAsia="Amiri" w:cs="Amiri"/>
          <w:color w:val="111111"/>
          <w:sz w:val="28"/>
          <w:sz w:val="28"/>
          <w:szCs w:val="28"/>
          <w:rtl w:val="true"/>
          <w:lang w:bidi="ar-SA"/>
        </w:rPr>
        <w:t>سُمّيت بذلك إما من العقل وهو الشَدّ، ومنه سُمّي الحبلُ عِقالاً؛ لأنّها تَعقِل الإبلَ بفِناء ولي المقتول المستحِقِّ للدية أو لتحمُّلهم العقل وهو الدية، وسُمّيت الدية بذلك لأنها تَعقِل لسان وليّ المقتول، أو من العقل وهو المنع؛ لأنّ العشيرة كانت تمنع القاتل بالسيف في الجاهليّة، ثمّ مَنَعَتْ عنه في الإسلام بالمال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وهم مَن تَقَرَّب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القاتل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بالأب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كالإخوة والأعمام وأولادهما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 لم يكونوا وارثين في الحال</w:t>
      </w:r>
      <w:r>
        <w:rPr>
          <w:rFonts w:eastAsia="Amiri" w:cs="Amiri" w:ascii="Amiri" w:hAnsi="Amiri"/>
          <w:color w:val="111111"/>
          <w:sz w:val="28"/>
          <w:szCs w:val="28"/>
          <w:rtl w:val="true"/>
          <w:lang w:bidi="ar-SA"/>
        </w:rPr>
        <w:t>).</w:t>
      </w:r>
    </w:p>
    <w:p>
      <w:pPr>
        <w:sectPr>
          <w:footerReference w:type="default" r:id="rId4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يرث دية القاتل لو قُتِل، ولا يلزم من لا يرث مِن ديته شيئاً مطلقاً </w:t>
      </w:r>
      <w:r>
        <w:rPr>
          <w:rStyle w:val="FootnoteAnchor"/>
          <w:rtl w:val="true"/>
        </w:rPr>
        <w:footnoteReference w:id="1852"/>
      </w:r>
      <w:r>
        <w:rPr>
          <w:rFonts w:ascii="Amiri" w:hAnsi="Amiri" w:eastAsia="Amiri" w:cs="Amiri"/>
          <w:color w:val="111111"/>
          <w:sz w:val="28"/>
          <w:sz w:val="28"/>
          <w:szCs w:val="28"/>
          <w:rtl w:val="true"/>
          <w:lang w:bidi="ar-SA"/>
        </w:rPr>
        <w:t>،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هم المستحقون لميراث القاتل من الرجالِ العقلاء من قِبَل أبيه أو أمه، فإن تساوت القرابتان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كإخوة الأب وإخوة الأُمّ كان على إخوة الأب الثلثان وعلى إخوة الأُمّ الثلث</w:t>
      </w:r>
      <w:r>
        <w:rPr>
          <w:rStyle w:val="FootnoteAnchor"/>
          <w:rtl w:val="true"/>
        </w:rPr>
        <w:footnoteReference w:id="185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اختاره المصنّف هو الأشهر بين المتأخرين، ومستند الأقوال غيرُ نَقِي</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ولا تَعقِل المرأة والصبى والمجنون والفقيرُ عند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استحقاق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المطالبة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حلول أجل الدية وإن كان غنيّاً، أو عاقلاً وقت الجناية، وإنْ وَرِثوا جميعاً من الدية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ويدخُل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العقل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العمودان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الآباء والأولاد وإنْ عَلَوْا أو سَفَلُوا؛ لأنّهم أخصُّ القوم وأقربهم، ولرواية سَلَمَةَ بن كُهَيل عن 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القاتل الموصلي حيث كتب إلى عامله يَسأل عن قرابة فلان من المسلمين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فإن كان ثُمَّ رجل يرثه بسهم في الكتاب لا يحجبه عن ميراثه أحدٌ من قرابته فألزمه الدية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وخُذْه بها نجوماً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ثلاث سنين</w:t>
      </w:r>
      <w:r>
        <w:rPr>
          <w:rFonts w:eastAsia="Amiri" w:cs="Amiri" w:ascii="Amiri" w:hAnsi="Amiri"/>
          <w:color w:val="111111"/>
          <w:sz w:val="28"/>
          <w:szCs w:val="28"/>
          <w:rtl w:val="true"/>
          <w:lang w:bidi="ar-SA"/>
        </w:rPr>
        <w:t>»</w:t>
      </w:r>
      <w:r>
        <w:rPr>
          <w:rStyle w:val="FootnoteAnchor"/>
          <w:rtl w:val="true"/>
        </w:rPr>
        <w:footnoteReference w:id="185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وفي سَلَمةَ ضعفٌ، والأولوية هنا ممنوعة؛ لأنه حكم مخالف للأصل والمشهور عدم دخولهم فيه؛ لأصالة البراءة، وقد رُوي أن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فَرَض دية امرأة قَتَلَتْها أُخرى على عاقلتها، وبَرَّأَ الزوج والولد</w:t>
      </w:r>
      <w:r>
        <w:rPr>
          <w:rStyle w:val="FootnoteAnchor"/>
          <w:rtl w:val="true"/>
        </w:rPr>
        <w:footnoteReference w:id="185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ومع عَدَم القرابة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يُحكم بدخوله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فالمُعْتِقُ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للجاني، فإن لم يكن فعصابته ثمّ معتق المعتق ثمّ عصابته، ثمّ معتق أبي المعتق ثم عصابته، كترتيب الميراث ولا يدخُل ابنُ المعتق وأبوه وإن علا أو سَفَل، على الخلاف</w:t>
      </w:r>
      <w:r>
        <w:rPr>
          <w:rStyle w:val="FootnoteAnchor"/>
          <w:rtl w:val="true"/>
        </w:rPr>
        <w:footnoteReference w:id="185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تعدد المعتق اشتركوا في العقل كالإرث</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عدمهم أجمع فعلى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ضامن الجريرة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كان هناك ضامن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عدمه أو فقره فالضامن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الإمام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بيت المال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ولا تَعقِل العاقله عمداً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محضاً ولا شبيهاً به، وإنما تعقل الخطأ المحض،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كذا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تَعقِل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بهيمةً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جنّت على إنسان وإن كانت جنايتها مضمونة على المالك، على تقدير تفريطه، وكذا لا تَعقِل العَصَبَةُ قتل البهيمة، بل هي كسائر ما يُتلفه من الأموال</w:t>
      </w:r>
      <w:r>
        <w:rPr>
          <w:rFonts w:eastAsia="Amiri" w:cs="Amiri" w:ascii="Amiri" w:hAnsi="Amiri"/>
          <w:color w:val="111111"/>
          <w:sz w:val="28"/>
          <w:szCs w:val="28"/>
          <w:rtl w:val="true"/>
          <w:lang w:bidi="ar-SA"/>
        </w:rPr>
        <w:t>.</w:t>
      </w:r>
    </w:p>
    <w:p>
      <w:pPr>
        <w:sectPr>
          <w:footerReference w:type="default" r:id="rId4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جناية العبد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بمعنى أن العبد لو قتل إنساناً خطأ أو جَنّى عليه لا تعقل عاقلته جنايته، بل تتعلق برقبته كما سلف</w:t>
      </w:r>
      <w:r>
        <w:rPr>
          <w:rStyle w:val="FootnoteAnchor"/>
          <w:rtl w:val="true"/>
        </w:rPr>
        <w:footnoteReference w:id="1857"/>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وتعقل الجناية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تَعقِل عاقلة الحرّ الجاني على العبد خطأ جنايته عليه كما تعقل جنايته على الحرّ؛ لعموم ضمان العاقلة الجناية على الآدمي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تضمن العاقلة الجناية عليه أيضاً بل إنّما تَعقِل الدياتِ، والمأخوذ عن العبيد قيمةٌ لا دية كسائر قيم الأموالِ المُتلفة</w:t>
      </w:r>
      <w:r>
        <w:rPr>
          <w:rStyle w:val="FootnoteAnchor"/>
          <w:rtl w:val="true"/>
        </w:rPr>
        <w:footnoteReference w:id="1858"/>
      </w:r>
      <w:r>
        <w:rPr>
          <w:rFonts w:ascii="Amiri" w:hAnsi="Amiri" w:eastAsia="Amiri" w:cs="Amiri"/>
          <w:color w:val="111111"/>
          <w:sz w:val="28"/>
          <w:sz w:val="28"/>
          <w:szCs w:val="28"/>
          <w:rtl w:val="true"/>
          <w:lang w:bidi="ar-SA"/>
        </w:rPr>
        <w:t>، وبه قطع في التحرير في باب العاقلة</w:t>
      </w:r>
      <w:r>
        <w:rPr>
          <w:rStyle w:val="FootnoteAnchor"/>
          <w:rtl w:val="true"/>
        </w:rPr>
        <w:footnoteReference w:id="1859"/>
      </w:r>
      <w:r>
        <w:rPr>
          <w:rFonts w:ascii="IRNazanin" w:hAnsi="IRNazanin" w:eastAsia="IRNazanin"/>
          <w:color w:val="111111"/>
          <w:sz w:val="28"/>
          <w:sz w:val="28"/>
          <w:szCs w:val="28"/>
          <w:rtl w:val="true"/>
          <w:lang w:bidi="fa-IR"/>
        </w:rPr>
        <w:t>وجَعَله تفسيراً لقوله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لا تعقل العاقله عبداً</w:t>
      </w:r>
      <w:r>
        <w:rPr>
          <w:rStyle w:val="FootnoteAnchor"/>
          <w:rtl w:val="true"/>
        </w:rPr>
        <w:footnoteReference w:id="186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والأجود الأوّل وعليه </w:t>
      </w:r>
    </w:p>
    <w:p>
      <w:pPr>
        <w:pStyle w:val="BookText"/>
        <w:rPr/>
      </w:pPr>
      <w:r>
        <w:rPr>
          <w:rFonts w:ascii="Amiri" w:hAnsi="Amiri" w:eastAsia="Amiri" w:cs="Amiri"/>
          <w:color w:val="111111"/>
          <w:sz w:val="28"/>
          <w:sz w:val="28"/>
          <w:szCs w:val="28"/>
          <w:rtl w:val="true"/>
          <w:lang w:bidi="ar-SA"/>
        </w:rPr>
        <w:t xml:space="preserve">نزل الحديث، وبه جَزَم في أوّل الديات منه </w:t>
      </w:r>
      <w:r>
        <w:rPr>
          <w:rStyle w:val="FootnoteAnchor"/>
          <w:rtl w:val="true"/>
        </w:rPr>
        <w:footnoteReference w:id="1861"/>
      </w:r>
      <w:r>
        <w:rPr>
          <w:rFonts w:ascii="Amiri" w:hAnsi="Amiri" w:eastAsia="Amiri" w:cs="Amiri"/>
          <w:color w:val="111111"/>
          <w:sz w:val="28"/>
          <w:sz w:val="28"/>
          <w:szCs w:val="28"/>
          <w:rtl w:val="true"/>
          <w:lang w:bidi="ar-SA"/>
        </w:rPr>
        <w:t>أيضاً كغيره من كتبه</w:t>
      </w:r>
      <w:r>
        <w:rPr>
          <w:rStyle w:val="FootnoteAnchor"/>
          <w:rtl w:val="true"/>
        </w:rPr>
        <w:footnoteReference w:id="186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وبالجملة فإنّما تعقل العاقلة إتلاف الحر للآدمي مطلقاً إن كان المُتلِفُ صغيراً أو مجنوناً أو خطأ إن كان مكلَّفاً، لا غيره من الأموال وإن كان حيواناً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وشَمَل إطلاق المصنّف ضمان العاقلة دية الموضحة فما فوقها وما دونها، وهو في الأوّل محلُّ وِفاق، وفي الثاني خلافٌ، منشأه عموم الأدلة على تحملها للدية من غير تفصيل، وخصوص قول الباقر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موثقة أبي مريم الأنصاري،قال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قضى 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لا يُحمل على العاقلة إلّا الموضحة فصاعداً</w:t>
      </w:r>
      <w:r>
        <w:rPr>
          <w:rFonts w:eastAsia="Amiri" w:cs="Amiri" w:ascii="Amiri" w:hAnsi="Amiri"/>
          <w:color w:val="111111"/>
          <w:sz w:val="28"/>
          <w:szCs w:val="28"/>
          <w:rtl w:val="true"/>
          <w:lang w:bidi="ar-SA"/>
        </w:rPr>
        <w:t>»</w:t>
      </w:r>
      <w:r>
        <w:rPr>
          <w:rStyle w:val="FootnoteAnchor"/>
          <w:rtl w:val="true"/>
        </w:rPr>
        <w:footnoteReference w:id="1863"/>
      </w:r>
      <w:r>
        <w:rPr>
          <w:rFonts w:ascii="Amiri" w:hAnsi="Amiri" w:eastAsia="Amiri" w:cs="Amiri"/>
          <w:color w:val="111111"/>
          <w:sz w:val="28"/>
          <w:sz w:val="28"/>
          <w:szCs w:val="28"/>
          <w:rtl w:val="true"/>
          <w:lang w:bidi="ar-SA"/>
        </w:rPr>
        <w:t>مؤيَّداً بأصالة البراءة من الحكم المخالف للأصل، وهذا هو الأشهر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وعاقلة الذمّي نفسه دون عَصَبته وإن كانوا كفاراً،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ومع عجزه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الدية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فالإمام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عاقلتُه ؛ لأنّه يؤدّي الجِزْيَةَ إليه كما يؤدّي المملوك الضريبة إلى مولاه، فكان بمنزلته وإن خالفه في كون مولى العبد لا يعقل جنايته؛ لأنّه ليس مملوكاً محضاً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كذا عللوه، وفيه نظر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وتُقَسَّط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الدية على العاقلة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بحسب ما يراه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حالتهم في الغنى والفقرِ؛ لعدم ثبوت تقديره شرعاً فيُرجع إلى نظره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والقائل الشيخ في أحد قوليه </w:t>
      </w:r>
      <w:r>
        <w:rPr>
          <w:rStyle w:val="FootnoteAnchor"/>
          <w:rtl w:val="true"/>
        </w:rPr>
        <w:footnoteReference w:id="1864"/>
      </w:r>
      <w:r>
        <w:rPr>
          <w:rFonts w:ascii="Amiri" w:hAnsi="Amiri" w:eastAsia="Amiri" w:cs="Amiri"/>
          <w:color w:val="111111"/>
          <w:sz w:val="28"/>
          <w:sz w:val="28"/>
          <w:szCs w:val="28"/>
          <w:rtl w:val="true"/>
          <w:lang w:bidi="ar-SA"/>
        </w:rPr>
        <w:t xml:space="preserve">، وجماعةٌ </w:t>
      </w:r>
      <w:r>
        <w:rPr>
          <w:rStyle w:val="FootnoteAnchor"/>
          <w:rtl w:val="true"/>
        </w:rPr>
        <w:footnoteReference w:id="1865"/>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على الغنى نصف دينار 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الفقير رُبعه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لأصالة براءة الذمة من الزائد على ذلك، والمرجع فيهما إلى العرف؛ لعدم تحديدهما شرعاً، والأوّل أجود</w:t>
      </w:r>
      <w:r>
        <w:rPr>
          <w:rFonts w:eastAsia="Amiri" w:cs="Amiri" w:ascii="Amiri" w:hAnsi="Amiri"/>
          <w:color w:val="111111"/>
          <w:sz w:val="28"/>
          <w:szCs w:val="28"/>
          <w:rtl w:val="true"/>
          <w:lang w:bidi="ar-SA"/>
        </w:rPr>
        <w:t>.</w:t>
      </w:r>
    </w:p>
    <w:p>
      <w:pPr>
        <w:sectPr>
          <w:footerReference w:type="default" r:id="rId4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والأقربُ الترتيب في التوزيع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فيأخُذ من أقرب الطبقات أولاً، فإن لم يحتمل </w:t>
      </w:r>
      <w:bookmarkStart w:id="202" w:name="pg11049_88754"/>
    </w:p>
    <w:p>
      <w:pPr>
        <w:pStyle w:val="BookText"/>
        <w:rPr/>
      </w:pPr>
      <w:bookmarkEnd w:id="202"/>
      <w:r>
        <w:rPr>
          <w:rFonts w:ascii="Amiri" w:hAnsi="Amiri" w:eastAsia="Amiri" w:cs="Amiri"/>
          <w:color w:val="111111"/>
          <w:sz w:val="28"/>
          <w:sz w:val="28"/>
          <w:szCs w:val="28"/>
          <w:rtl w:val="true"/>
          <w:lang w:bidi="ar-SA"/>
        </w:rPr>
        <w:t xml:space="preserve">تَخَطَّى إلى البعيدة ثمّ الأبعد، وهكذا ينتقل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الحاجة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المولى، ثمّ إلى عَصَبته، ثمّ إلى مولى المولى، ثمّ إلى الإمام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ويُحتمل بسطها على العاقلة أجمع من غير اختصاص بالقريب؛ لعموم الأدلة</w:t>
      </w:r>
      <w:r>
        <w:rPr>
          <w:rStyle w:val="FootnoteAnchor"/>
          <w:rtl w:val="true"/>
        </w:rPr>
        <w:footnoteReference w:id="186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وعلى القول بالتقدير لو لم تسع الطبقة القريبة الدية بالنصف والربع انتقل إلى الثانية، وهكذا إلى الإمام، حتى لو لم يكن له إلّا أخ غنيٌّ أُخِذ منه نصف دينار والباقي</w:t>
      </w:r>
    </w:p>
    <w:p>
      <w:pPr>
        <w:pStyle w:val="BookText"/>
        <w:rPr/>
      </w:pPr>
      <w:r>
        <w:rPr>
          <w:rFonts w:ascii="Amiri" w:hAnsi="Amiri" w:eastAsia="Amiri" w:cs="Amiri"/>
          <w:color w:val="111111"/>
          <w:sz w:val="28"/>
          <w:sz w:val="28"/>
          <w:szCs w:val="28"/>
          <w:rtl w:val="true"/>
          <w:lang w:bidi="ar-SA"/>
        </w:rPr>
        <w:t>على الإمام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ولو قتل الأب ولده عمداً فالدية لوارث الابن إن اتفق، ولا نصيب للأب منها،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فإن لم يكن له وارتْ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سوى الأب فالإمام، ولو قتله خطأ فالدية على العاقلة، ولا يرث الأبُ منها شيئاً على الأقوى؛ لأنّ العاقلة تَتَحَمَّلُ عنه جنايته فلا يُعقل تحمّلُها له، ولقُبح أن يطالب الجاني غيره بجناية جناها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ولولا الإجماع على ثبوتها على العاقلة لغيره لكان العقل يَأْبَى ثبوتها عليهم مطلقاً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يَرِث منها نصيبه </w:t>
      </w:r>
      <w:r>
        <w:rPr>
          <w:rStyle w:val="FootnoteAnchor"/>
          <w:rtl w:val="true"/>
        </w:rPr>
        <w:footnoteReference w:id="1867"/>
      </w:r>
      <w:r>
        <w:rPr>
          <w:rFonts w:ascii="Amiri" w:hAnsi="Amiri" w:eastAsia="Amiri" w:cs="Amiri"/>
          <w:color w:val="111111"/>
          <w:sz w:val="28"/>
          <w:sz w:val="28"/>
          <w:szCs w:val="28"/>
          <w:rtl w:val="true"/>
          <w:lang w:bidi="ar-SA"/>
        </w:rPr>
        <w:t xml:space="preserve">إن قلنا بإرث القاتل خطأ هنا؛ لعموم وجوب الدية على العاقلة، وانتقالها إلى الوارث، وحيث لا يمنع هذا النوع من القتل الإرث يرث الأب لها أجمع، أو نصيبه عملاً بالعموم </w:t>
      </w:r>
      <w:r>
        <w:rPr>
          <w:rStyle w:val="FootnoteAnchor"/>
          <w:rtl w:val="true"/>
        </w:rPr>
        <w:footnoteReference w:id="1868"/>
      </w:r>
      <w:r>
        <w:rPr>
          <w:rFonts w:ascii="Amiri" w:hAnsi="Amiri" w:eastAsia="Amiri" w:cs="Amiri"/>
          <w:color w:val="111111"/>
          <w:sz w:val="28"/>
          <w:sz w:val="28"/>
          <w:szCs w:val="28"/>
          <w:rtl w:val="true"/>
          <w:lang w:bidi="ar-SA"/>
        </w:rPr>
        <w:t>، ولو قلنا إن القاتل خطأ لا يرث مطلقاً أو من الدية فلا بحث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وكذا القول لو قتل الابن أباه خطاً</w:t>
      </w:r>
      <w:r>
        <w:rPr>
          <w:rFonts w:eastAsia="Amiri" w:cs="Amiri" w:ascii="Amiri" w:hAnsi="Amiri"/>
          <w:color w:val="111111"/>
          <w:sz w:val="28"/>
          <w:szCs w:val="28"/>
          <w:rtl w:val="true"/>
          <w:lang w:bidi="ar-SA"/>
        </w:rPr>
        <w:t>.</w:t>
      </w:r>
    </w:p>
    <w:p>
      <w:pPr>
        <w:pStyle w:val="Heading4"/>
        <w:numPr>
          <w:ilvl w:val="3"/>
          <w:numId w:val="1"/>
        </w:numPr>
        <w:rPr/>
      </w:pPr>
      <w:bookmarkStart w:id="203" w:name="__RefHeading___Toc1446199_1067777946"/>
      <w:bookmarkStart w:id="204" w:name="_Toc63"/>
      <w:bookmarkEnd w:id="203"/>
      <w:r>
        <w:rPr>
          <w:rtl w:val="true"/>
        </w:rPr>
        <w:t>الثالث فى الكفّارة اللازمة للقاتل بسبب القتل مطلقاً</w:t>
      </w:r>
      <w:bookmarkEnd w:id="204"/>
    </w:p>
    <w:p>
      <w:pPr>
        <w:sectPr>
          <w:footerReference w:type="default" r:id="rId4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تقدَّمت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فى كتابها</w:t>
      </w:r>
      <w:r>
        <w:rPr>
          <w:rStyle w:val="FootnoteAnchor"/>
          <w:rtl w:val="true"/>
        </w:rPr>
        <w:footnoteReference w:id="1869"/>
      </w:r>
      <w:r>
        <w:rPr>
          <w:rFonts w:ascii="Amiri" w:hAnsi="Amiri" w:eastAsia="Amiri" w:cs="Amiri"/>
          <w:color w:val="111111"/>
          <w:sz w:val="28"/>
          <w:sz w:val="28"/>
          <w:szCs w:val="28"/>
          <w:rtl w:val="true"/>
          <w:lang w:bidi="ar-SA"/>
        </w:rPr>
        <w:t>، وأنّها كبيرةً مرتبة في الخطأ وشبيهه، وكفّارةً جمع في العمد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تجب مع التسبيب؛ كمن طَرَح حجراً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فعَتر به إنسان فمات،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أو نَصَب </w:t>
      </w:r>
      <w:bookmarkStart w:id="205" w:name="pg11049_88755"/>
    </w:p>
    <w:p>
      <w:pPr>
        <w:pStyle w:val="BookText"/>
        <w:rPr/>
      </w:pPr>
      <w:bookmarkEnd w:id="205"/>
      <w:r>
        <w:rPr>
          <w:rFonts w:ascii="Amiri" w:hAnsi="Amiri" w:eastAsia="Amiri" w:cs="Amiri"/>
          <w:color w:val="111111"/>
          <w:sz w:val="28"/>
          <w:sz w:val="28"/>
          <w:szCs w:val="28"/>
          <w:rtl w:val="true"/>
          <w:lang w:bidi="ar-SA"/>
        </w:rPr>
        <w:t>سكيناً في غير ملكه فهَلَك بها آدمي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وجبت الدية، وإنما تجب مع المباشرة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تجب بقتل الصبي والمجنون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ممّن هو بحكم المسلم كما تجب بقتل المكلّف ويستوي فيها الذكر والأنثى والحر والعبد مملوكاً للقاتل ولغيره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بقتل الكافر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كان ذمّيّاً أو معاهداً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وعلى المشتركين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القتل وإنْ كَثُرُوا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 واحدٍ كفَّارةٌ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كَمَلاً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ولو قُتِل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القاتل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قبل التكفير في العمد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مات قبل التكفير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أُخرجت الكفّاراتُ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الثلاتُ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أصل ماله إن 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مال؛ لأنه حق مالي فيُخرج من الأصل وإن لم يُوصِ به كالدين، وكذا كلُّ من عليه كفّارةً مالية فمات قبل إخراجها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وغَلَّبوا عليها هنا جانب المالية وإن كان بعضها بدنياً كالصوم؛ لأنّها في معنى عبادة واحدةٍ فيُرجح بها حكم المال كالحج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وإنّما قيَّد بالعمد لأنّ كفّارة الخطأ وشبهه مرتبة، والواجب قد يكون مالياً كالعتق والإطعام، وبدنياً كالصيام، والحقوق البدنية لا تُخرج من المال إلا مع الوصيّة بها، ومع ذلك تُخرج من الثلث كالصلاة، وحينئذ فالقاتل خطأ إن كان قادراً على العتق أو عاجزاً عنه وعن الصوم أُخرجت الكفّارة من ماله كالعامد، وإن كان فرضُه الصوم لم تُخرج إلا مع الوصيّة، فلذا قيد لافتقار غير العمد إلى التفصيل</w:t>
      </w:r>
      <w:r>
        <w:rPr>
          <w:rFonts w:eastAsia="Amiri" w:cs="Amiri" w:ascii="Amiri" w:hAnsi="Amiri"/>
          <w:color w:val="111111"/>
          <w:sz w:val="28"/>
          <w:szCs w:val="28"/>
          <w:rtl w:val="true"/>
          <w:lang w:bidi="ar-SA"/>
        </w:rPr>
        <w:t>.</w:t>
      </w:r>
    </w:p>
    <w:p>
      <w:pPr>
        <w:pStyle w:val="Heading4"/>
        <w:numPr>
          <w:ilvl w:val="3"/>
          <w:numId w:val="1"/>
        </w:numPr>
        <w:rPr/>
      </w:pPr>
      <w:bookmarkStart w:id="206" w:name="__RefHeading___Toc1446201_1067777946"/>
      <w:bookmarkStart w:id="207" w:name="_Toc64"/>
      <w:bookmarkEnd w:id="206"/>
      <w:r>
        <w:rPr>
          <w:rtl w:val="true"/>
        </w:rPr>
        <w:t>الرابع في الجناية على الحيوان الصامتِ</w:t>
      </w:r>
      <w:bookmarkEnd w:id="20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أتلف ما تَقَع عليه الذكاة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سواء كان مأكولاً كالإبل والبقر والغنم، أم لا كالأسد والنَّمِر والفهد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بالتذكية بغير إذن مالكه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فعليه أرشُه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تفاوت ما بين قيمته حيّاً ومُذَكَّى مع تحقق النقصان لا قيمته لأنّ التذكية لا تُعد إتلافاً محضاً؛ لبقاء المالية غالباً، ولو فرض عدم القيمة أصلاً كذبحه في بريّة لا يرغب أحد في شرائه لزمه القيمة؛ لأنها حينئذٍ مقدار النقص</w:t>
      </w:r>
      <w:r>
        <w:rPr>
          <w:rFonts w:eastAsia="Amiri" w:cs="Amiri" w:ascii="Amiri" w:hAnsi="Amiri"/>
          <w:color w:val="111111"/>
          <w:sz w:val="28"/>
          <w:szCs w:val="28"/>
          <w:rtl w:val="true"/>
          <w:lang w:bidi="ar-SA"/>
        </w:rPr>
        <w:t>.</w:t>
      </w:r>
    </w:p>
    <w:p>
      <w:pPr>
        <w:sectPr>
          <w:footerReference w:type="default" r:id="rId4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وليس للمالك مطالبته بالقيمة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ودفعه إليه على الأقرب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لأصالة براءة </w:t>
      </w:r>
    </w:p>
    <w:p>
      <w:pPr>
        <w:pStyle w:val="BookText"/>
        <w:rPr/>
      </w:pPr>
      <w:r>
        <w:rPr>
          <w:rFonts w:ascii="Amiri" w:hAnsi="Amiri" w:eastAsia="Amiri" w:cs="Amiri"/>
          <w:color w:val="111111"/>
          <w:sz w:val="28"/>
          <w:sz w:val="28"/>
          <w:szCs w:val="28"/>
          <w:rtl w:val="true"/>
          <w:lang w:bidi="ar-SA"/>
        </w:rPr>
        <w:t>ذمّة الجاني ممّا زاد على الأرش، ولأنّه باقٍ على ملك مالكه فلا ينتقل عنه إلا بالتراضي من الجانبين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وخالَفَ فى ذلك الشيخان</w:t>
      </w:r>
      <w:r>
        <w:rPr>
          <w:rStyle w:val="FootnoteAnchor"/>
          <w:rtl w:val="true"/>
        </w:rPr>
        <w:footnoteReference w:id="1870"/>
      </w:r>
      <w:r>
        <w:rPr>
          <w:rFonts w:ascii="Amiri" w:hAnsi="Amiri" w:eastAsia="Amiri" w:cs="Amiri"/>
          <w:color w:val="111111"/>
          <w:sz w:val="28"/>
          <w:sz w:val="28"/>
          <w:szCs w:val="28"/>
          <w:rtl w:val="true"/>
          <w:lang w:bidi="ar-SA"/>
        </w:rPr>
        <w:t xml:space="preserve">وجماعة </w:t>
      </w:r>
      <w:r>
        <w:rPr>
          <w:rStyle w:val="FootnoteAnchor"/>
          <w:rtl w:val="true"/>
        </w:rPr>
        <w:footnoteReference w:id="1871"/>
      </w:r>
      <w:r>
        <w:rPr>
          <w:rFonts w:ascii="Amiri" w:hAnsi="Amiri" w:eastAsia="Amiri" w:cs="Amiri"/>
          <w:color w:val="111111"/>
          <w:sz w:val="28"/>
          <w:sz w:val="28"/>
          <w:szCs w:val="28"/>
          <w:rtl w:val="true"/>
          <w:lang w:bidi="ar-SA"/>
        </w:rPr>
        <w:t>، فخيَّروا المالك بين إلزامه بالقيمة يوم الإتلاف وتسليمه إليه، وبينمطالبته بالأرش؛ نظراً إلى كونه مُفَوِّتاً لمُعْظَم منافعه فصار كالتالف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وضعفه ظاهر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ولو أَتْلَفه لا بها فعليه قيمته يوم تلفه إن لم يكن غاصباً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لأنه يوم تفويت ماليته الموجب للضمان،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ويُوضع منها ما له قيمةٌ من الميتة كالشعر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والصوف والوبر والريش، وفي الحقيقة ما وجب هنا عين الأرش، لكن لمّا كان المضمون أكثر القيمة اعتبرها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كان المُتلِفُ غاصباً فقيل هو كذلك</w:t>
      </w:r>
      <w:r>
        <w:rPr>
          <w:rStyle w:val="FootnoteAnchor"/>
          <w:rtl w:val="true"/>
        </w:rPr>
        <w:footnoteReference w:id="1872"/>
      </w: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يَلزَمه أعلى القِيَم</w:t>
      </w:r>
      <w:r>
        <w:rPr>
          <w:rStyle w:val="FootnoteAnchor"/>
          <w:rtl w:val="true"/>
        </w:rPr>
        <w:footnoteReference w:id="1873"/>
      </w:r>
      <w:r>
        <w:rPr>
          <w:rFonts w:ascii="Amiri" w:hAnsi="Amiri" w:eastAsia="Amiri" w:cs="Amiri"/>
          <w:color w:val="111111"/>
          <w:sz w:val="28"/>
          <w:sz w:val="28"/>
          <w:szCs w:val="28"/>
          <w:rtl w:val="true"/>
          <w:lang w:bidi="ar-SA"/>
        </w:rPr>
        <w:t xml:space="preserve">مِن حين الغصب إلى حين الإتلاف، وهو أقوى، وقد تقدَّم </w:t>
      </w:r>
      <w:r>
        <w:rPr>
          <w:rStyle w:val="FootnoteAnchor"/>
          <w:rtl w:val="true"/>
        </w:rPr>
        <w:footnoteReference w:id="1874"/>
      </w:r>
      <w:r>
        <w:rPr>
          <w:rFonts w:ascii="Amiri" w:hAnsi="Amiri" w:eastAsia="Amiri" w:cs="Amiri"/>
          <w:color w:val="111111"/>
          <w:sz w:val="28"/>
          <w:sz w:val="28"/>
          <w:szCs w:val="28"/>
          <w:rtl w:val="true"/>
          <w:lang w:bidi="ar-SA"/>
        </w:rPr>
        <w:t>فمِن ثَمَّ أَهمله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ولو تَعَيَّب بفعله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دون أن يتلف كأن قطع بعض أعضائه أو جَرَحه أو كَسَر شيئاً من عظامه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فلمالكه الأرشُ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كانت حياته مستقرةً، وإلا فالقيمةُ على ما فُضِّل، وكذا لو تَلِف بعد ذلك بالجناية</w:t>
      </w:r>
      <w:r>
        <w:rPr>
          <w:rFonts w:eastAsia="Amiri" w:cs="Amiri" w:ascii="Amiri" w:hAnsi="Amiri"/>
          <w:color w:val="111111"/>
          <w:sz w:val="28"/>
          <w:szCs w:val="28"/>
          <w:rtl w:val="true"/>
          <w:lang w:bidi="ar-SA"/>
        </w:rPr>
        <w:t>.</w:t>
      </w:r>
    </w:p>
    <w:p>
      <w:pPr>
        <w:sectPr>
          <w:footerReference w:type="default" r:id="rId4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أتلف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لا تقع عليه الذكاة ففي كلب الصيد أربعون درهماً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على الأشهر روايةً </w:t>
      </w:r>
      <w:r>
        <w:rPr>
          <w:rStyle w:val="FootnoteAnchor"/>
          <w:rtl w:val="true"/>
        </w:rPr>
        <w:footnoteReference w:id="1875"/>
      </w:r>
      <w:r>
        <w:rPr>
          <w:rFonts w:ascii="Amiri" w:hAnsi="Amiri" w:eastAsia="Amiri" w:cs="Amiri"/>
          <w:color w:val="111111"/>
          <w:sz w:val="28"/>
          <w:sz w:val="28"/>
          <w:szCs w:val="28"/>
          <w:rtl w:val="true"/>
          <w:lang w:bidi="ar-SA"/>
        </w:rPr>
        <w:t>وفتوىً</w:t>
      </w:r>
      <w:r>
        <w:rPr>
          <w:rStyle w:val="FootnoteAnchor"/>
          <w:rtl w:val="true"/>
        </w:rPr>
        <w:footnoteReference w:id="1876"/>
      </w:r>
      <w:r>
        <w:rPr>
          <w:rFonts w:ascii="Amiri" w:hAnsi="Amiri" w:eastAsia="Amiri" w:cs="Amiri"/>
          <w:color w:val="111111"/>
          <w:sz w:val="28"/>
          <w:sz w:val="28"/>
          <w:szCs w:val="28"/>
          <w:rtl w:val="true"/>
          <w:lang w:bidi="ar-SA"/>
        </w:rPr>
        <w:t>، وقيل قيمته كغيره من الحيوان القيمي</w:t>
      </w:r>
      <w:r>
        <w:rPr>
          <w:rStyle w:val="FootnoteAnchor"/>
          <w:rtl w:val="true"/>
        </w:rPr>
        <w:footnoteReference w:id="1877"/>
      </w:r>
      <w:r>
        <w:rPr>
          <w:rFonts w:ascii="Amiri" w:hAnsi="Amiri" w:eastAsia="Amiri" w:cs="Amiri"/>
          <w:color w:val="111111"/>
          <w:sz w:val="28"/>
          <w:sz w:val="28"/>
          <w:szCs w:val="28"/>
          <w:rtl w:val="true"/>
          <w:lang w:bidi="ar-SA"/>
        </w:rPr>
        <w:t>، إما لعدم ثبوت المقدار، أو لرواية السكوني عن الصادق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حكم فيه بالقيمة</w:t>
      </w:r>
      <w:r>
        <w:rPr>
          <w:rStyle w:val="FootnoteAnchor"/>
          <w:rtl w:val="true"/>
        </w:rPr>
        <w:footnoteReference w:id="1878"/>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وبين التعليلين بَوْن بعيد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وخصّه الشيخ بالسلوقي</w:t>
      </w:r>
      <w:r>
        <w:rPr>
          <w:rStyle w:val="FootnoteAnchor"/>
          <w:rtl w:val="true"/>
        </w:rPr>
        <w:footnoteReference w:id="1879"/>
      </w:r>
      <w:r>
        <w:rPr>
          <w:rFonts w:ascii="Amiri" w:hAnsi="Amiri" w:eastAsia="Amiri" w:cs="Amiri"/>
          <w:color w:val="111111"/>
          <w:sz w:val="28"/>
          <w:sz w:val="28"/>
          <w:szCs w:val="28"/>
          <w:rtl w:val="true"/>
          <w:lang w:bidi="ar-SA"/>
        </w:rPr>
        <w:t>نظراً إلى وصفه في الرواية</w:t>
      </w:r>
      <w:r>
        <w:rPr>
          <w:rStyle w:val="FootnoteAnchor"/>
          <w:rtl w:val="true"/>
        </w:rPr>
        <w:footnoteReference w:id="1880"/>
      </w:r>
      <w:r>
        <w:rPr>
          <w:rFonts w:ascii="Amiri" w:hAnsi="Amiri" w:eastAsia="Amiri" w:cs="Amiri"/>
          <w:color w:val="111111"/>
          <w:sz w:val="28"/>
          <w:sz w:val="28"/>
          <w:szCs w:val="28"/>
          <w:rtl w:val="true"/>
          <w:lang w:bidi="ar-SA"/>
        </w:rPr>
        <w:t>، وهو نسبة إلى سلوق، قريةٍ باليمن أكثرُ كِلابِها مُعَلَّمةٌ، والباقون حملوه على المعلَّم مطلقاً، للمشابهة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كلب الغَنَم كَبْش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ما يُطلق عليه اسمه؛ لعدم تحديد سنّه شرعاً ولا لغةً؛ لرواية أبي بصير عن أحدهما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Style w:val="FootnoteAnchor"/>
          <w:rtl w:val="true"/>
        </w:rPr>
        <w:footnoteReference w:id="188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والقائل الشيخان</w:t>
      </w:r>
      <w:r>
        <w:rPr>
          <w:rStyle w:val="FootnoteAnchor"/>
          <w:rtl w:val="true"/>
        </w:rPr>
        <w:footnoteReference w:id="1882"/>
      </w:r>
      <w:r>
        <w:rPr>
          <w:rFonts w:ascii="Amiri" w:hAnsi="Amiri" w:eastAsia="Amiri" w:cs="Amiri"/>
          <w:color w:val="111111"/>
          <w:sz w:val="28"/>
          <w:sz w:val="28"/>
          <w:szCs w:val="28"/>
          <w:rtl w:val="true"/>
          <w:lang w:bidi="ar-SA"/>
        </w:rPr>
        <w:t>، وابن إدريس</w:t>
      </w:r>
      <w:r>
        <w:rPr>
          <w:rStyle w:val="FootnoteAnchor"/>
          <w:rtl w:val="true"/>
        </w:rPr>
        <w:footnoteReference w:id="1883"/>
      </w:r>
      <w:r>
        <w:rPr>
          <w:rFonts w:ascii="Amiri" w:hAnsi="Amiri" w:eastAsia="Amiri" w:cs="Amiri"/>
          <w:color w:val="111111"/>
          <w:sz w:val="28"/>
          <w:sz w:val="28"/>
          <w:szCs w:val="28"/>
          <w:rtl w:val="true"/>
          <w:lang w:bidi="ar-SA"/>
        </w:rPr>
        <w:t xml:space="preserve">وجماعة </w:t>
      </w:r>
      <w:r>
        <w:rPr>
          <w:rStyle w:val="FootnoteAnchor"/>
          <w:rtl w:val="true"/>
        </w:rPr>
        <w:footnoteReference w:id="188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قتله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عشرون درهما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لرواية ابن فضال عن بعض أصحابه عن أبي عبد الله ، وهي أبي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Style w:val="FootnoteAnchor"/>
          <w:rtl w:val="true"/>
        </w:rPr>
        <w:footnoteReference w:id="1885"/>
      </w:r>
      <w:r>
        <w:rPr>
          <w:rFonts w:ascii="Amiri" w:hAnsi="Amiri" w:eastAsia="Amiri" w:cs="Amiri"/>
          <w:color w:val="111111"/>
          <w:sz w:val="28"/>
          <w:sz w:val="28"/>
          <w:szCs w:val="28"/>
          <w:rtl w:val="true"/>
          <w:lang w:bidi="ar-SA"/>
        </w:rPr>
        <w:t>، وهي ضعيفة مرسَلة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والعجب من ابن إدريس المانع من خبر الواحد مطلقاً كيف يذهب هنا إلى ذلك، لكن لعله استند إلى ما تَوَهَّمه من الإجماع لا إلى الرواية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قول 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الواجب فيه القيمة</w:t>
      </w:r>
      <w:r>
        <w:rPr>
          <w:rStyle w:val="FootnoteAnchor"/>
          <w:rtl w:val="true"/>
        </w:rPr>
        <w:footnoteReference w:id="1886"/>
      </w:r>
      <w:r>
        <w:rPr>
          <w:rFonts w:ascii="Amiri" w:hAnsi="Amiri" w:eastAsia="Amiri" w:cs="Amiri"/>
          <w:color w:val="111111"/>
          <w:sz w:val="28"/>
          <w:sz w:val="28"/>
          <w:szCs w:val="28"/>
          <w:rtl w:val="true"/>
          <w:lang w:bidi="ar-SA"/>
        </w:rPr>
        <w:t>، كما مرّ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وفي كلب الحائط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البستان وما في معناه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عشرون درهما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المشهور، ولم نَقِف على مستنده، فالقول بالقيمة أجودُ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كلب الزرع قَفيز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طعام، وهو في رواية أبي بصير المتقدمة</w:t>
      </w:r>
      <w:r>
        <w:rPr>
          <w:rStyle w:val="FootnoteAnchor"/>
          <w:rtl w:val="true"/>
        </w:rPr>
        <w:footnoteReference w:id="1887"/>
      </w:r>
      <w:r>
        <w:rPr>
          <w:rFonts w:ascii="Amiri" w:hAnsi="Amiri" w:eastAsia="Amiri" w:cs="Amiri"/>
          <w:color w:val="111111"/>
          <w:sz w:val="28"/>
          <w:sz w:val="28"/>
          <w:szCs w:val="28"/>
          <w:rtl w:val="true"/>
          <w:lang w:bidi="ar-SA"/>
        </w:rPr>
        <w:t>، وخصه بعضُ الأصحاب بالحنطة</w:t>
      </w:r>
      <w:r>
        <w:rPr>
          <w:rStyle w:val="FootnoteAnchor"/>
          <w:rtl w:val="true"/>
        </w:rPr>
        <w:footnoteReference w:id="1888"/>
      </w:r>
      <w:r>
        <w:rPr>
          <w:rFonts w:ascii="IRNazanin" w:hAnsi="IRNazanin" w:eastAsia="IRNazanin"/>
          <w:color w:val="111111"/>
          <w:sz w:val="28"/>
          <w:sz w:val="28"/>
          <w:szCs w:val="28"/>
          <w:rtl w:val="true"/>
          <w:lang w:bidi="fa-IR"/>
        </w:rPr>
        <w:t>، وهو حسن</w:t>
      </w:r>
      <w:r>
        <w:rPr>
          <w:rFonts w:eastAsia="IRNazanin" w:cs="IRNazanin"/>
          <w:color w:val="111111"/>
          <w:sz w:val="28"/>
          <w:szCs w:val="28"/>
          <w:rtl w:val="true"/>
          <w:lang w:bidi="fa-IR"/>
        </w:rPr>
        <w:t>.</w:t>
      </w:r>
    </w:p>
    <w:p>
      <w:pPr>
        <w:sectPr>
          <w:footerReference w:type="default" r:id="rId4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ولا تقدير لما عداها، ولا ضَمان على قاتلها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وشَمَل إطلاقه كلبَ الدار وهو </w:t>
      </w:r>
    </w:p>
    <w:p>
      <w:pPr>
        <w:pStyle w:val="BookText"/>
        <w:rPr/>
      </w:pPr>
      <w:r>
        <w:rPr>
          <w:rFonts w:ascii="Amiri" w:hAnsi="Amiri" w:eastAsia="Amiri" w:cs="Amiri"/>
          <w:color w:val="111111"/>
          <w:sz w:val="28"/>
          <w:sz w:val="28"/>
          <w:szCs w:val="28"/>
          <w:rtl w:val="true"/>
          <w:lang w:bidi="ar-SA"/>
        </w:rPr>
        <w:t>أشهرُ القولين</w:t>
      </w:r>
      <w:r>
        <w:rPr>
          <w:rStyle w:val="FootnoteAnchor"/>
          <w:rtl w:val="true"/>
        </w:rPr>
        <w:footnoteReference w:id="1889"/>
      </w:r>
      <w:r>
        <w:rPr>
          <w:rFonts w:ascii="Amiri" w:hAnsi="Amiri" w:eastAsia="Amiri" w:cs="Amiri"/>
          <w:color w:val="111111"/>
          <w:sz w:val="28"/>
          <w:sz w:val="28"/>
          <w:szCs w:val="28"/>
          <w:rtl w:val="true"/>
          <w:lang w:bidi="ar-SA"/>
        </w:rPr>
        <w:t>فيه، وفي رواية أبي بصير عن بصير عن أحدهما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في كلب الأهل قفيزاً من تراب</w:t>
      </w:r>
      <w:r>
        <w:rPr>
          <w:rStyle w:val="FootnoteAnchor"/>
          <w:rtl w:val="true"/>
        </w:rPr>
        <w:footnoteReference w:id="1890"/>
      </w:r>
      <w:r>
        <w:rPr>
          <w:rFonts w:ascii="IRNazanin" w:hAnsi="IRNazanin" w:eastAsia="IRNazanin"/>
          <w:color w:val="111111"/>
          <w:sz w:val="28"/>
          <w:sz w:val="28"/>
          <w:szCs w:val="28"/>
          <w:rtl w:val="true"/>
          <w:lang w:bidi="fa-IR"/>
        </w:rPr>
        <w:t>، واختاره بعض الأصحاب</w:t>
      </w:r>
      <w:r>
        <w:rPr>
          <w:rStyle w:val="FootnoteAnchor"/>
          <w:rtl w:val="true"/>
        </w:rPr>
        <w:footnoteReference w:id="189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الخنزير فيُضمن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للذمّي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 الاستتار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بقيمته عند مُسْتَحِلّيه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أتلفه، وبأرشه كذلك إن أعابه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وكذا لو أتلف المسلم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على الذمّي المستَتِرِ، وتَرَك التصريح بالذمّي لظهوره، ولعلّ التصريح كان أظهر،</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خمراً أو آلة لهو مع استتاره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بذلك، فلو أظهر شيئاً منها فلا ضمان على المُتلف مسلماً كان أم كافراً فيهما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ويَضمَن الغاصب قيمة الكلب السوقية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لأنه مؤاخذ بأشق الأحوال، وجانب المالية معتبر في حقه مطلقاً</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بخلاف الجاني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فإنه لا يَضمَن إِلَّا المقدَّرَ الشرعي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وإنّما يَضمن الغاصب القيمة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لم تَنقُص عن المقدَّر الشرعي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فيضمن المقدَّرَ، وبالجملة فيَضمَن الغاصبُ أكثر الأمرين من القيمة والمقدّر الشرعي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ويَضمَن صاحب الماشية جنايتها ليلاً، لا نهاراً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المشهور والمستند رواية السكوني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أبيه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كان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يُضَمِّنُ ما أَفسَدت البهائم نهاراً، ويقول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صاحب الزرع حفظه، وكان يُضَمن ما أفسدته ليلاً</w:t>
      </w:r>
      <w:r>
        <w:rPr>
          <w:rFonts w:eastAsia="Amiri" w:cs="Amiri" w:ascii="Amiri" w:hAnsi="Amiri"/>
          <w:color w:val="111111"/>
          <w:sz w:val="28"/>
          <w:szCs w:val="28"/>
          <w:rtl w:val="true"/>
          <w:lang w:bidi="ar-SA"/>
        </w:rPr>
        <w:t>»</w:t>
      </w:r>
      <w:r>
        <w:rPr>
          <w:rStyle w:val="FootnoteAnchor"/>
          <w:rtl w:val="true"/>
        </w:rPr>
        <w:footnoteReference w:id="1892"/>
      </w:r>
      <w:r>
        <w:rPr>
          <w:rFonts w:ascii="IRNazanin" w:hAnsi="IRNazanin" w:eastAsia="IRNazanin"/>
          <w:color w:val="111111"/>
          <w:sz w:val="28"/>
          <w:sz w:val="28"/>
          <w:szCs w:val="28"/>
          <w:rtl w:val="true"/>
          <w:lang w:bidi="fa-IR"/>
        </w:rPr>
        <w:t xml:space="preserve">، ورُوي ذلك عن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Style w:val="FootnoteAnchor"/>
          <w:rtl w:val="true"/>
        </w:rPr>
        <w:footnoteReference w:id="1893"/>
      </w:r>
      <w:r>
        <w:rPr>
          <w:rFonts w:eastAsia="Times New Roman" w:cs="Times New Roman" w:ascii="Times New Roman" w:hAnsi="Times New Roman"/>
          <w:color w:val="111111"/>
          <w:sz w:val="28"/>
          <w:szCs w:val="28"/>
          <w:rtl w:val="true"/>
          <w:lang w:val="en-US" w:bidi="en-US"/>
        </w:rPr>
        <w:t>.</w:t>
      </w:r>
    </w:p>
    <w:p>
      <w:pPr>
        <w:sectPr>
          <w:footerReference w:type="default" r:id="rId4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وهم جُلّة المتأخرين كابن إدريس</w:t>
      </w:r>
      <w:r>
        <w:rPr>
          <w:rStyle w:val="FootnoteAnchor"/>
          <w:rtl w:val="true"/>
        </w:rPr>
        <w:footnoteReference w:id="1894"/>
      </w:r>
      <w:r>
        <w:rPr>
          <w:rFonts w:ascii="Amiri" w:hAnsi="Amiri" w:eastAsia="Amiri" w:cs="Amiri"/>
          <w:color w:val="111111"/>
          <w:sz w:val="28"/>
          <w:sz w:val="28"/>
          <w:szCs w:val="28"/>
          <w:rtl w:val="true"/>
          <w:lang w:bidi="ar-SA"/>
        </w:rPr>
        <w:t>وابني سعيد</w:t>
      </w:r>
      <w:r>
        <w:rPr>
          <w:rStyle w:val="FootnoteAnchor"/>
          <w:rtl w:val="true"/>
        </w:rPr>
        <w:footnoteReference w:id="1895"/>
      </w:r>
      <w:r>
        <w:rPr>
          <w:rFonts w:ascii="Amiri" w:hAnsi="Amiri" w:eastAsia="Amiri" w:cs="Amiri"/>
          <w:color w:val="111111"/>
          <w:sz w:val="28"/>
          <w:sz w:val="28"/>
          <w:szCs w:val="28"/>
          <w:rtl w:val="true"/>
          <w:lang w:bidi="ar-SA"/>
        </w:rPr>
        <w:t xml:space="preserve">والعلامة </w:t>
      </w:r>
      <w:r>
        <w:rPr>
          <w:rStyle w:val="FootnoteAnchor"/>
          <w:rtl w:val="true"/>
        </w:rPr>
        <w:footnoteReference w:id="189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اعتَبَر التفريط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الضمان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مطلقا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ليلاً ونهاراً؛ إما استضعافاً للرواية، أو حملاً لها على ذلك</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قال المصنف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والحق أن العمل ليس على هذه الرواية، بل إجماع الأصحاب، ولما كان الغالب حفظ الدابة ليلاً وحفظ الزرع نهاراً خَرَج الحكم عليه، وليس في حكم المتأخرين رد لقول القدماء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ينبغي أن يكون الاختلاف هنا إلا في مجرّد العبارة عن الضابط، أمّا المعنى فلا خلاف فيه</w:t>
      </w:r>
      <w:r>
        <w:rPr>
          <w:rStyle w:val="FootnoteAnchor"/>
          <w:rtl w:val="true"/>
        </w:rPr>
        <w:footnoteReference w:id="189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ولا يخفى ما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وكيف كان فالأقوى اعتبار التفريط وعدمه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ورَوَى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قيس عن أبي جعفر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بعير بين أربعة عَقَلَه أحدهم فوَقَع في بئر فانكسر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 على الشركاء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حصّته؛ لأنَّه حَفِظَ وَضَيَّعوا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ذلك أبو جعفر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Style w:val="FootnoteAnchor"/>
          <w:rtl w:val="true"/>
        </w:rPr>
        <w:footnoteReference w:id="189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مشكل على إطلاقه؛ فإنّ مجرد وقوعه أعم من تفريطهم فيه بل من تفريط العاقل، ومِن ثَمَّ أَوردها المصنّف كغيره</w:t>
      </w:r>
      <w:r>
        <w:rPr>
          <w:rStyle w:val="FootnoteAnchor"/>
          <w:rtl w:val="true"/>
        </w:rPr>
        <w:footnoteReference w:id="1899"/>
      </w:r>
      <w:r>
        <w:rPr>
          <w:rFonts w:ascii="Amiri" w:hAnsi="Amiri" w:eastAsia="Amiri" w:cs="Amiri"/>
          <w:color w:val="111111"/>
          <w:sz w:val="28"/>
          <w:sz w:val="28"/>
          <w:szCs w:val="28"/>
          <w:rtl w:val="true"/>
          <w:lang w:bidi="ar-SA"/>
        </w:rPr>
        <w:t>بلفظ الرواية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ويمكن حملها على ما لو عَقله وسَلَّمه إليهم ففَرَّطوا، أو نحوِ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والأقوى ضَمانُ المفرّط منهم دون غيره، والرواية حكايةٌ في واقعةٍ محتمِلَةٌ للتأويل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ولْيَكُن هذا آخِرَ اللمعة، ولم نذكر فيها سوى المهم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الأحكام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وهو مشهور بين الأصحاب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بحسب الغالب، وإلا فقد عرفت أنه ذكر أقوالاً نادرةً غير مشهورة، وفروعاً غير مذكورة</w:t>
      </w:r>
      <w:r>
        <w:rPr>
          <w:rFonts w:eastAsia="Amiri" w:cs="Amiri" w:ascii="Amiri" w:hAnsi="Amiri"/>
          <w:color w:val="111111"/>
          <w:sz w:val="28"/>
          <w:szCs w:val="28"/>
          <w:rtl w:val="true"/>
          <w:lang w:bidi="ar-SA"/>
        </w:rPr>
        <w:t>.</w:t>
      </w:r>
    </w:p>
    <w:p>
      <w:pPr>
        <w:sectPr>
          <w:footerReference w:type="default" r:id="rId4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والباعث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على المذكور المدلول عليه بالفعل أو على تصنيف الكتاب، وإن كان اسمه مؤنّئاً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اقتضاءُ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طلب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بعض الطلاب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وقد تقدم بيانه</w:t>
      </w:r>
      <w:r>
        <w:rPr>
          <w:rStyle w:val="FootnoteAnchor"/>
          <w:rtl w:val="true"/>
        </w:rPr>
        <w:footnoteReference w:id="1900"/>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نَفَعَه الله تعالى وإيانا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وجميع المؤمنين، ونَفَع بشرحه كما نَفَع بأصله بحق الحقِّ وأهله</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والحمد لله وحده، وصلاته على سيدنا محمّد النبي وعترته المعصومين، الذين أَذهَب الله عنهم الرجس وطهرهم تطهيراً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آخِرُ كلام المصنّف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الله روحه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ونحن نحمد الله تعالى على توفيقه وتسهيله لتأليف هذا التعليق، ونسأله من فضله وكرمه أن يجعله خالصاً لوجهه الكريم، موجباً لثوابه الجسيم، وأن يغفر لنا ما قصرنا فيه من اجتهاد، أو وَقَع فيه من خَلَلٍ في إيراد، إنه هو الغفور الرحيم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وفَرَغ من تسويده مؤلّفه الفقير إلى عفو الله تعالى ورحمته زين الدين بن عليّ بن أحمد الشامي العاملي، عامله الله تعالى بفضله ونعمه، وعفا عن سيئاته وزلاته بجوده وكرمه، على ضيق المجال وتراكم الأهوالِ، الموجبة لتشويش البال، خاتمة ليلة السبت، وهي الحادية والعشرون من شهر جُمادَى الأُولى، سنةَ سبع وخمسين وتسعمائة من الهجرة النبوية ،حامداً مصلياً مسلماً</w:t>
      </w:r>
    </w:p>
    <w:p>
      <w:pPr>
        <w:sectPr>
          <w:footerReference w:type="default" r:id="rId4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اللهم صل على محمّد وآل محمد واختم بخير ياكريم</w:t>
      </w:r>
      <w:r>
        <w:rPr>
          <w:rFonts w:eastAsia="Amiri" w:cs="Amiri" w:ascii="Amiri" w:hAnsi="Amiri"/>
          <w:color w:val="111111"/>
          <w:sz w:val="28"/>
          <w:szCs w:val="28"/>
          <w:rtl w:val="true"/>
          <w:lang w:bidi="ar-SA"/>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470"/>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471"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4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338</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340</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341</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342</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343</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344</w:t>
    </w:r>
  </w:p>
</w:ftr>
</file>

<file path=word/footer3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345</w:t>
    </w:r>
  </w:p>
</w:ftr>
</file>

<file path=word/footer3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346</w:t>
    </w:r>
  </w:p>
</w:ftr>
</file>

<file path=word/footer3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347</w:t>
    </w:r>
  </w:p>
</w:ftr>
</file>

<file path=word/footer3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348</w:t>
    </w:r>
  </w:p>
</w:ftr>
</file>

<file path=word/footer3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349</w:t>
    </w:r>
  </w:p>
</w:ftr>
</file>

<file path=word/footer3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350</w:t>
    </w:r>
  </w:p>
</w:ftr>
</file>

<file path=word/footer3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351</w:t>
    </w:r>
  </w:p>
</w:ftr>
</file>

<file path=word/footer3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352</w:t>
    </w:r>
  </w:p>
</w:ftr>
</file>

<file path=word/footer3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353</w:t>
    </w:r>
  </w:p>
</w:ftr>
</file>

<file path=word/footer3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354</w:t>
    </w:r>
  </w:p>
</w:ftr>
</file>

<file path=word/footer3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355</w:t>
    </w:r>
  </w:p>
</w:ftr>
</file>

<file path=word/footer3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356</w:t>
    </w:r>
  </w:p>
</w:ftr>
</file>

<file path=word/footer3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357</w:t>
    </w:r>
  </w:p>
</w:ftr>
</file>

<file path=word/footer3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358</w:t>
    </w:r>
  </w:p>
</w:ftr>
</file>

<file path=word/footer3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359</w:t>
    </w:r>
  </w:p>
</w:ftr>
</file>

<file path=word/footer3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360</w:t>
    </w:r>
  </w:p>
</w:ftr>
</file>

<file path=word/footer3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361</w:t>
    </w:r>
  </w:p>
</w:ftr>
</file>

<file path=word/footer3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362</w:t>
    </w:r>
  </w:p>
</w:ftr>
</file>

<file path=word/footer3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363</w:t>
    </w:r>
  </w:p>
</w:ftr>
</file>

<file path=word/footer3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364</w:t>
    </w:r>
  </w:p>
</w:ftr>
</file>

<file path=word/footer3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365</w:t>
    </w:r>
  </w:p>
</w:ftr>
</file>

<file path=word/footer3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366</w:t>
    </w:r>
  </w:p>
</w:ftr>
</file>

<file path=word/footer3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367</w:t>
    </w:r>
  </w:p>
</w:ftr>
</file>

<file path=word/footer3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368</w:t>
    </w:r>
  </w:p>
</w:ftr>
</file>

<file path=word/footer3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369</w:t>
    </w:r>
  </w:p>
</w:ftr>
</file>

<file path=word/footer3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370</w:t>
    </w:r>
  </w:p>
</w:ftr>
</file>

<file path=word/footer3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371</w:t>
    </w:r>
  </w:p>
</w:ftr>
</file>

<file path=word/footer3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372</w:t>
    </w:r>
  </w:p>
</w:ftr>
</file>

<file path=word/footer3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373</w:t>
    </w:r>
  </w:p>
</w:ftr>
</file>

<file path=word/footer3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374</w:t>
    </w:r>
  </w:p>
</w:ftr>
</file>

<file path=word/footer3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375</w:t>
    </w:r>
  </w:p>
</w:ftr>
</file>

<file path=word/footer3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376</w:t>
    </w:r>
  </w:p>
</w:ftr>
</file>

<file path=word/footer3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377</w:t>
    </w:r>
  </w:p>
</w:ftr>
</file>

<file path=word/footer3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378</w:t>
    </w:r>
  </w:p>
</w:ftr>
</file>

<file path=word/footer3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379</w:t>
    </w:r>
  </w:p>
</w:ftr>
</file>

<file path=word/footer3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380</w:t>
    </w:r>
  </w:p>
</w:ftr>
</file>

<file path=word/footer3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381</w:t>
    </w:r>
  </w:p>
</w:ftr>
</file>

<file path=word/footer3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382</w:t>
    </w:r>
  </w:p>
</w:ftr>
</file>

<file path=word/footer3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383</w:t>
    </w:r>
  </w:p>
</w:ftr>
</file>

<file path=word/footer3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384</w:t>
    </w:r>
  </w:p>
</w:ftr>
</file>

<file path=word/footer3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385</w:t>
    </w:r>
  </w:p>
</w:ftr>
</file>

<file path=word/footer3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386</w:t>
    </w:r>
  </w:p>
</w:ftr>
</file>

<file path=word/footer3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387</w:t>
    </w:r>
  </w:p>
</w:ftr>
</file>

<file path=word/footer3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388</w:t>
    </w:r>
  </w:p>
</w:ftr>
</file>

<file path=word/footer3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389</w:t>
    </w:r>
  </w:p>
</w:ftr>
</file>

<file path=word/footer3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390</w:t>
    </w:r>
  </w:p>
</w:ftr>
</file>

<file path=word/footer3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391</w:t>
    </w:r>
  </w:p>
</w:ftr>
</file>

<file path=word/footer3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392</w:t>
    </w:r>
  </w:p>
</w:ftr>
</file>

<file path=word/footer3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393</w:t>
    </w:r>
  </w:p>
</w:ftr>
</file>

<file path=word/footer3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394</w:t>
    </w:r>
  </w:p>
</w:ftr>
</file>

<file path=word/footer3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395</w:t>
    </w:r>
  </w:p>
</w:ftr>
</file>

<file path=word/footer3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396</w:t>
    </w:r>
  </w:p>
</w:ftr>
</file>

<file path=word/footer3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397</w:t>
    </w:r>
  </w:p>
</w:ftr>
</file>

<file path=word/footer3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398</w:t>
    </w:r>
  </w:p>
</w:ftr>
</file>

<file path=word/footer3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399</w:t>
    </w:r>
  </w:p>
</w:ftr>
</file>

<file path=word/footer4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400</w:t>
    </w:r>
  </w:p>
</w:ftr>
</file>

<file path=word/footer4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401</w:t>
    </w:r>
  </w:p>
</w:ftr>
</file>

<file path=word/footer4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402</w:t>
    </w:r>
  </w:p>
</w:ftr>
</file>

<file path=word/footer4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403</w:t>
    </w:r>
  </w:p>
</w:ftr>
</file>

<file path=word/footer4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404</w:t>
    </w:r>
  </w:p>
</w:ftr>
</file>

<file path=word/footer4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405</w:t>
    </w:r>
  </w:p>
</w:ftr>
</file>

<file path=word/footer4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406</w:t>
    </w:r>
  </w:p>
</w:ftr>
</file>

<file path=word/footer4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407</w:t>
    </w:r>
  </w:p>
</w:ftr>
</file>

<file path=word/footer4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408</w:t>
    </w:r>
  </w:p>
</w:ftr>
</file>

<file path=word/footer4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409</w:t>
    </w:r>
  </w:p>
</w:ftr>
</file>

<file path=word/footer4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410</w:t>
    </w:r>
  </w:p>
</w:ftr>
</file>

<file path=word/footer4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411</w:t>
    </w:r>
  </w:p>
</w:ftr>
</file>

<file path=word/footer4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412</w:t>
    </w:r>
  </w:p>
</w:ftr>
</file>

<file path=word/footer4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413</w:t>
    </w:r>
  </w:p>
</w:ftr>
</file>

<file path=word/footer4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414</w:t>
    </w:r>
  </w:p>
</w:ftr>
</file>

<file path=word/footer4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415</w:t>
    </w:r>
  </w:p>
</w:ftr>
</file>

<file path=word/footer4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416</w:t>
    </w:r>
  </w:p>
</w:ftr>
</file>

<file path=word/footer4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417</w:t>
    </w:r>
  </w:p>
</w:ftr>
</file>

<file path=word/footer4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418</w:t>
    </w:r>
  </w:p>
</w:ftr>
</file>

<file path=word/footer4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419</w:t>
    </w:r>
  </w:p>
</w:ftr>
</file>

<file path=word/footer4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420</w:t>
    </w:r>
  </w:p>
</w:ftr>
</file>

<file path=word/footer4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421</w:t>
    </w:r>
  </w:p>
</w:ftr>
</file>

<file path=word/footer4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422</w:t>
    </w:r>
  </w:p>
</w:ftr>
</file>

<file path=word/footer4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423</w:t>
    </w:r>
  </w:p>
</w:ftr>
</file>

<file path=word/footer4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424</w:t>
    </w:r>
  </w:p>
</w:ftr>
</file>

<file path=word/footer4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425</w:t>
    </w:r>
  </w:p>
</w:ftr>
</file>

<file path=word/footer4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426</w:t>
    </w:r>
  </w:p>
</w:ftr>
</file>

<file path=word/footer4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427</w:t>
    </w:r>
  </w:p>
</w:ftr>
</file>

<file path=word/footer4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428</w:t>
    </w:r>
  </w:p>
</w:ftr>
</file>

<file path=word/footer4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429</w:t>
    </w:r>
  </w:p>
</w:ftr>
</file>

<file path=word/footer4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430</w:t>
    </w:r>
  </w:p>
</w:ftr>
</file>

<file path=word/footer4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431</w:t>
    </w:r>
  </w:p>
</w:ftr>
</file>

<file path=word/footer4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432</w:t>
    </w:r>
  </w:p>
</w:ftr>
</file>

<file path=word/footer4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433</w:t>
    </w:r>
  </w:p>
</w:ftr>
</file>

<file path=word/footer4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434</w:t>
    </w:r>
  </w:p>
</w:ftr>
</file>

<file path=word/footer4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435</w:t>
    </w:r>
  </w:p>
</w:ftr>
</file>

<file path=word/footer4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436</w:t>
    </w:r>
  </w:p>
</w:ftr>
</file>

<file path=word/footer4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437</w:t>
    </w:r>
  </w:p>
</w:ftr>
</file>

<file path=word/footer4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438</w:t>
    </w:r>
  </w:p>
</w:ftr>
</file>

<file path=word/footer4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439</w:t>
    </w:r>
  </w:p>
</w:ftr>
</file>

<file path=word/footer4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440</w:t>
    </w:r>
  </w:p>
</w:ftr>
</file>

<file path=word/footer4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441</w:t>
    </w:r>
  </w:p>
</w:ftr>
</file>

<file path=word/footer4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442</w:t>
    </w:r>
  </w:p>
</w:ftr>
</file>

<file path=word/footer4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443</w:t>
    </w:r>
  </w:p>
</w:ftr>
</file>

<file path=word/footer4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444</w:t>
    </w:r>
  </w:p>
</w:ftr>
</file>

<file path=word/footer4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445</w:t>
    </w:r>
  </w:p>
</w:ftr>
</file>

<file path=word/footer4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446</w:t>
    </w:r>
  </w:p>
</w:ftr>
</file>

<file path=word/footer4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447</w:t>
    </w:r>
  </w:p>
</w:ftr>
</file>

<file path=word/footer4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448</w:t>
    </w:r>
  </w:p>
</w:ftr>
</file>

<file path=word/footer4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449</w:t>
    </w:r>
  </w:p>
</w:ftr>
</file>

<file path=word/footer4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450</w:t>
    </w:r>
  </w:p>
</w:ftr>
</file>

<file path=word/footer4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451</w:t>
    </w:r>
  </w:p>
</w:ftr>
</file>

<file path=word/footer4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452</w:t>
    </w:r>
  </w:p>
</w:ftr>
</file>

<file path=word/footer4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453</w:t>
    </w:r>
  </w:p>
</w:ftr>
</file>

<file path=word/footer4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454</w:t>
    </w:r>
  </w:p>
</w:ftr>
</file>

<file path=word/footer4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455</w:t>
    </w:r>
  </w:p>
</w:ftr>
</file>

<file path=word/footer4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456</w:t>
    </w:r>
  </w:p>
</w:ftr>
</file>

<file path=word/footer4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457</w:t>
    </w:r>
  </w:p>
</w:ftr>
</file>

<file path=word/footer4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458</w:t>
    </w:r>
  </w:p>
</w:ftr>
</file>

<file path=word/footer4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459</w:t>
    </w:r>
  </w:p>
</w:ftr>
</file>

<file path=word/footer4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460</w:t>
    </w:r>
  </w:p>
</w:ftr>
</file>

<file path=word/footer4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461</w:t>
    </w:r>
  </w:p>
</w:ftr>
</file>

<file path=word/footer4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462</w:t>
    </w:r>
  </w:p>
</w:ftr>
</file>

<file path=word/footer4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463</w:t>
    </w:r>
  </w:p>
</w:ftr>
</file>

<file path=word/footer4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464</w:t>
    </w:r>
  </w:p>
</w:ftr>
</file>

<file path=word/footer4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464</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النسخ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زيادة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وهو سهو </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الطلاق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الدروس الشرعية،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 موسوعة الشهيد الأول، 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غاية المراد،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 موسوعة الشهيد الأول،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نعثر عليه في كتب الحديث إلا ما رواه عن جماعة من علمائنا الحر العاملي في وسائل الشيعة، 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صحة الإقرار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وعوالي اللآلي،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104</w:t>
      </w:r>
      <w:r>
        <w:rPr>
          <w:rFonts w:ascii="IRNazanin" w:hAnsi="IRNazanin" w:eastAsia="IRNazanin"/>
          <w:b w:val="false"/>
          <w:b w:val="false"/>
          <w:bCs w:val="false"/>
          <w:i w:val="false"/>
          <w:i w:val="false"/>
          <w:iCs w:val="false"/>
          <w:color w:val="333333"/>
          <w:sz w:val="20"/>
          <w:sz w:val="20"/>
          <w:szCs w:val="20"/>
          <w:rtl w:val="true"/>
        </w:rPr>
        <w:t xml:space="preserve">؛ ذكره العلّامة في مختلف الشيعة،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370</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337</w:t>
      </w:r>
      <w:r>
        <w:rPr>
          <w:rFonts w:ascii="IRNazanin" w:hAnsi="IRNazanin" w:eastAsia="IRNazanin"/>
          <w:b w:val="false"/>
          <w:b w:val="false"/>
          <w:bCs w:val="false"/>
          <w:i w:val="false"/>
          <w:i w:val="false"/>
          <w:iCs w:val="false"/>
          <w:color w:val="333333"/>
          <w:sz w:val="20"/>
          <w:sz w:val="20"/>
          <w:szCs w:val="20"/>
          <w:rtl w:val="true"/>
        </w:rPr>
        <w:t xml:space="preserve">؛ وفخر المحققين في إيضاح الفوائد،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428</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الدروس الشرعية،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 موسوعة الشهيد الأول، 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تذكرة الفقهاء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254</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845</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ذهب إليه الشيخ في النهاية، ص </w:t>
      </w:r>
      <w:r>
        <w:rPr>
          <w:rFonts w:eastAsia="IRNazanin" w:cs="IRNazanin"/>
          <w:b w:val="false"/>
          <w:bCs w:val="false"/>
          <w:i w:val="false"/>
          <w:iCs w:val="false"/>
          <w:color w:val="333333"/>
          <w:sz w:val="20"/>
          <w:szCs w:val="20"/>
        </w:rPr>
        <w:t>617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والقاضي في المهذب،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419</w:t>
      </w:r>
      <w:r>
        <w:rPr>
          <w:rFonts w:ascii="IRNazanin" w:hAnsi="IRNazanin" w:eastAsia="IRNazanin"/>
          <w:b w:val="false"/>
          <w:b w:val="false"/>
          <w:bCs w:val="false"/>
          <w:i w:val="false"/>
          <w:i w:val="false"/>
          <w:iCs w:val="false"/>
          <w:color w:val="333333"/>
          <w:sz w:val="20"/>
          <w:sz w:val="20"/>
          <w:szCs w:val="20"/>
          <w:rtl w:val="true"/>
        </w:rPr>
        <w:t xml:space="preserve">؛ والقول الآخر أنّه من الأصل مطلقاً لابن إدريس في السرائر،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506</w:t>
      </w:r>
      <w:r>
        <w:rPr>
          <w:rFonts w:ascii="IRNazanin" w:hAnsi="IRNazanin" w:eastAsia="IRNazanin"/>
          <w:b w:val="false"/>
          <w:b w:val="false"/>
          <w:bCs w:val="false"/>
          <w:i w:val="false"/>
          <w:i w:val="false"/>
          <w:iCs w:val="false"/>
          <w:color w:val="333333"/>
          <w:sz w:val="20"/>
          <w:sz w:val="20"/>
          <w:szCs w:val="20"/>
          <w:rtl w:val="true"/>
        </w:rPr>
        <w:t xml:space="preserve">؛ وراجع غاية المراد،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 موسوعة الشهيد الأول،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به العلّامة في تذكرة الفقهاء، ج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297</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887</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171</w:t>
      </w:r>
      <w:r>
        <w:rPr>
          <w:rFonts w:ascii="IRNazanin" w:hAnsi="IRNazanin" w:eastAsia="IRNazanin"/>
          <w:b w:val="false"/>
          <w:b w:val="false"/>
          <w:bCs w:val="false"/>
          <w:i w:val="false"/>
          <w:i w:val="false"/>
          <w:iCs w:val="false"/>
          <w:color w:val="333333"/>
          <w:sz w:val="20"/>
          <w:sz w:val="20"/>
          <w:szCs w:val="20"/>
          <w:rtl w:val="true"/>
        </w:rPr>
        <w:t xml:space="preserve">، باب حق المؤمن على أخيه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وص </w:t>
      </w:r>
      <w:r>
        <w:rPr>
          <w:rFonts w:eastAsia="IRNazanin" w:cs="IRNazanin"/>
          <w:b w:val="false"/>
          <w:bCs w:val="false"/>
          <w:i w:val="false"/>
          <w:iCs w:val="false"/>
          <w:color w:val="333333"/>
          <w:sz w:val="20"/>
          <w:szCs w:val="20"/>
        </w:rPr>
        <w:t>653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654</w:t>
      </w:r>
      <w:r>
        <w:rPr>
          <w:rFonts w:ascii="IRNazanin" w:hAnsi="IRNazanin" w:eastAsia="IRNazanin"/>
          <w:b w:val="false"/>
          <w:b w:val="false"/>
          <w:bCs w:val="false"/>
          <w:i w:val="false"/>
          <w:i w:val="false"/>
          <w:iCs w:val="false"/>
          <w:color w:val="333333"/>
          <w:sz w:val="20"/>
          <w:sz w:val="20"/>
          <w:szCs w:val="20"/>
          <w:rtl w:val="true"/>
        </w:rPr>
        <w:t xml:space="preserve">، باب العطاس والتسميت، 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407</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القاضي في المهذب،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405</w:t>
      </w:r>
      <w:r>
        <w:rPr>
          <w:rFonts w:ascii="IRNazanin" w:hAnsi="IRNazanin" w:eastAsia="IRNazanin"/>
          <w:b w:val="false"/>
          <w:b w:val="false"/>
          <w:bCs w:val="false"/>
          <w:i w:val="false"/>
          <w:i w:val="false"/>
          <w:iCs w:val="false"/>
          <w:color w:val="333333"/>
          <w:sz w:val="20"/>
          <w:sz w:val="20"/>
          <w:szCs w:val="20"/>
          <w:rtl w:val="true"/>
        </w:rPr>
        <w:t xml:space="preserve">؛ وابن زهرة في غنية النزوع،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271</w:t>
      </w:r>
      <w:r>
        <w:rPr>
          <w:rFonts w:ascii="IRNazanin" w:hAnsi="IRNazanin" w:eastAsia="IRNazanin"/>
          <w:b w:val="false"/>
          <w:b w:val="false"/>
          <w:bCs w:val="false"/>
          <w:i w:val="false"/>
          <w:i w:val="false"/>
          <w:iCs w:val="false"/>
          <w:color w:val="333333"/>
          <w:sz w:val="20"/>
          <w:sz w:val="20"/>
          <w:szCs w:val="20"/>
          <w:rtl w:val="true"/>
        </w:rPr>
        <w:t xml:space="preserve">؛ والكيدري في إصباح الشيعة، ص </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 xml:space="preserve"> .</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1180</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التوبة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249</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الأحزاب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نقله عن ابن الجنيد العلّامة في مختلف الشيعة،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المسألة </w:t>
      </w:r>
      <w:r>
        <w:rPr>
          <w:rFonts w:eastAsia="IRNazanin" w:cs="IRNazanin"/>
          <w:b w:val="false"/>
          <w:bCs w:val="false"/>
          <w:i w:val="false"/>
          <w:iCs w:val="false"/>
          <w:color w:val="333333"/>
          <w:sz w:val="20"/>
          <w:szCs w:val="20"/>
        </w:rPr>
        <w:t>246</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القول بالقبول للعلّامة في إرشاد الأذهان،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والقول الآخر للشيخ في الخلاف،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363</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ق ، 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تميزاً</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نقله عن الكوفيين العلّامة في تذكرة الفقهاء ، ج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902</w:t>
      </w:r>
      <w:r>
        <w:rPr>
          <w:rFonts w:ascii="IRNazanin" w:hAnsi="IRNazanin" w:eastAsia="IRNazanin"/>
          <w:b w:val="false"/>
          <w:b w:val="false"/>
          <w:bCs w:val="false"/>
          <w:i w:val="false"/>
          <w:i w:val="false"/>
          <w:iCs w:val="false"/>
          <w:color w:val="333333"/>
          <w:sz w:val="20"/>
          <w:sz w:val="20"/>
          <w:szCs w:val="20"/>
          <w:rtl w:val="true"/>
        </w:rPr>
        <w:t xml:space="preserve">؛ وعن بعض النحويين فخر المحققين في إيضاح الفوائد،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442</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ق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نعثر عليه لكن حكاه الشهيد في مسالك الأفهام،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والعاملي في مفتاح الكرامة،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المسألة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زهرة في غنية النزوع،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273</w:t>
      </w:r>
      <w:r>
        <w:rPr>
          <w:rFonts w:ascii="IRNazanin" w:hAnsi="IRNazanin" w:eastAsia="IRNazanin"/>
          <w:b w:val="false"/>
          <w:b w:val="false"/>
          <w:bCs w:val="false"/>
          <w:i w:val="false"/>
          <w:i w:val="false"/>
          <w:iCs w:val="false"/>
          <w:color w:val="333333"/>
          <w:sz w:val="20"/>
          <w:sz w:val="20"/>
          <w:szCs w:val="20"/>
          <w:rtl w:val="true"/>
        </w:rPr>
        <w:t xml:space="preserve">؛ والعلّامة في مختلف الشيعة،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528</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226</w:t>
      </w:r>
      <w:r>
        <w:rPr>
          <w:rFonts w:ascii="IRNazanin" w:hAnsi="IRNazanin" w:eastAsia="IRNazanin"/>
          <w:b w:val="false"/>
          <w:b w:val="false"/>
          <w:bCs w:val="false"/>
          <w:i w:val="false"/>
          <w:i w:val="false"/>
          <w:iCs w:val="false"/>
          <w:color w:val="333333"/>
          <w:sz w:val="20"/>
          <w:sz w:val="20"/>
          <w:szCs w:val="20"/>
          <w:rtl w:val="true"/>
        </w:rPr>
        <w:t xml:space="preserve">، إذا كان المقرّ عارفاً؛ والفاضل المقداد في التنقيح الرائع،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492</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فيلزمه في النصب عشرون ومع الجرّ مائة ؛ بناءً على أنّ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كناية عن العدد، وأن أقل العدد المفسر لمفرد منصوب عشرون، وأن أقل العدد المفسّر بمجرور مائة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زين رحمه الله</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نسخة الأصل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إلى اثني عشر وهي الحاصل</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قول الشيخ والجماعة تقدم في ص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 الهامش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مختلف الشيعة،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المسألة </w:t>
      </w:r>
      <w:r>
        <w:rPr>
          <w:rFonts w:eastAsia="IRNazanin" w:cs="IRNazanin"/>
          <w:b w:val="false"/>
          <w:bCs w:val="false"/>
          <w:i w:val="false"/>
          <w:iCs w:val="false"/>
          <w:color w:val="333333"/>
          <w:sz w:val="20"/>
          <w:szCs w:val="20"/>
        </w:rPr>
        <w:t>226</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مختلف الشيعة،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المسألة </w:t>
      </w:r>
      <w:r>
        <w:rPr>
          <w:rFonts w:eastAsia="IRNazanin" w:cs="IRNazanin"/>
          <w:b w:val="false"/>
          <w:bCs w:val="false"/>
          <w:i w:val="false"/>
          <w:iCs w:val="false"/>
          <w:color w:val="333333"/>
          <w:sz w:val="20"/>
          <w:szCs w:val="20"/>
        </w:rPr>
        <w:t>226</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البخاري،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2392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6163</w:t>
      </w:r>
      <w:r>
        <w:rPr>
          <w:rFonts w:ascii="IRNazanin" w:hAnsi="IRNazanin" w:eastAsia="IRNazanin"/>
          <w:b w:val="false"/>
          <w:b w:val="false"/>
          <w:bCs w:val="false"/>
          <w:i w:val="false"/>
          <w:i w:val="false"/>
          <w:iCs w:val="false"/>
          <w:color w:val="333333"/>
          <w:sz w:val="20"/>
          <w:sz w:val="20"/>
          <w:szCs w:val="20"/>
          <w:rtl w:val="true"/>
        </w:rPr>
        <w:t xml:space="preserve">؛ سنن ابن ماجة،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1432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4283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وفيهما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ربع أهل الجنة</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الدروس الشرعية،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 موسوعة الشهيد الأول، 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التغابن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الملك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الأعراف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172</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نعثر عليه نقله الشهيد في مسالك الأفهام،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النسخ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تداني</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مغني اللبيب،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347</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مغني اللبيب،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347</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نسبه في مغني اللبيب،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حرف الباء</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الأعراف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172</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تحرير الأحكام الشرعية،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بدون الرقم الدروس الشرعية،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ضمن موسوعة</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الحجر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الحاقة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مغني اللبيب،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الأنبياء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الشهيد في غاية المراد،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 موسوعة الشهيد الأول،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والمحقق الثاني في جامع المقاصد،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 xml:space="preserve"> .</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مغني اللبيب،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غاية المراد،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 موسوعة الشهيد الأول،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كالمحقق الثاني في جامع المقاصد،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نعثر على نص العبارة ولكن يوجد ما هو قريب منه في مغني اللبيب،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في قراءات السبع</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81</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به العلّامة في إرشاد الأذهان،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415</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440</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293</w:t>
      </w:r>
      <w:r>
        <w:rPr>
          <w:rFonts w:ascii="IRNazanin" w:hAnsi="IRNazanin" w:eastAsia="IRNazanin"/>
          <w:b w:val="false"/>
          <w:b w:val="false"/>
          <w:bCs w:val="false"/>
          <w:i w:val="false"/>
          <w:i w:val="false"/>
          <w:iCs w:val="false"/>
          <w:color w:val="333333"/>
          <w:sz w:val="20"/>
          <w:sz w:val="20"/>
          <w:szCs w:val="20"/>
          <w:rtl w:val="true"/>
        </w:rPr>
        <w:t xml:space="preserve">، باب الضرار،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الفقيه،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3371</w:t>
      </w:r>
      <w:r>
        <w:rPr>
          <w:rFonts w:ascii="IRNazanin" w:hAnsi="IRNazanin" w:eastAsia="IRNazanin"/>
          <w:b w:val="false"/>
          <w:b w:val="false"/>
          <w:bCs w:val="false"/>
          <w:i w:val="false"/>
          <w:i w:val="false"/>
          <w:iCs w:val="false"/>
          <w:color w:val="333333"/>
          <w:sz w:val="20"/>
          <w:sz w:val="20"/>
          <w:szCs w:val="20"/>
          <w:rtl w:val="true"/>
        </w:rPr>
        <w:t xml:space="preserve">؛ تهذيب الأحكام،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651</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الدروس الشرعية،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 موسوعة الشهيد الأول، 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كالشيخ في المبسوط،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446</w:t>
      </w:r>
      <w:r>
        <w:rPr>
          <w:rFonts w:ascii="IRNazanin" w:hAnsi="IRNazanin" w:eastAsia="IRNazanin"/>
          <w:b w:val="false"/>
          <w:b w:val="false"/>
          <w:bCs w:val="false"/>
          <w:i w:val="false"/>
          <w:i w:val="false"/>
          <w:iCs w:val="false"/>
          <w:color w:val="333333"/>
          <w:sz w:val="20"/>
          <w:sz w:val="20"/>
          <w:szCs w:val="20"/>
          <w:rtl w:val="true"/>
        </w:rPr>
        <w:t xml:space="preserve">؛ والمحقق في شرائع الإسلام،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123</w:t>
      </w:r>
      <w:r>
        <w:rPr>
          <w:rFonts w:ascii="IRNazanin" w:hAnsi="IRNazanin" w:eastAsia="IRNazanin"/>
          <w:b w:val="false"/>
          <w:b w:val="false"/>
          <w:bCs w:val="false"/>
          <w:i w:val="false"/>
          <w:i w:val="false"/>
          <w:iCs w:val="false"/>
          <w:color w:val="333333"/>
          <w:sz w:val="20"/>
          <w:sz w:val="20"/>
          <w:szCs w:val="20"/>
          <w:rtl w:val="true"/>
        </w:rPr>
        <w:t xml:space="preserve">؛ والعلامة في قواعد الأحكام،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438</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اختاره العلّامة في تحرير الأحكام الشرعية،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5313</w:t>
      </w:r>
      <w:r>
        <w:rPr>
          <w:rFonts w:ascii="IRNazanin" w:hAnsi="IRNazanin" w:eastAsia="IRNazanin"/>
          <w:b w:val="false"/>
          <w:b w:val="false"/>
          <w:bCs w:val="false"/>
          <w:i w:val="false"/>
          <w:i w:val="false"/>
          <w:iCs w:val="false"/>
          <w:color w:val="333333"/>
          <w:sz w:val="20"/>
          <w:sz w:val="20"/>
          <w:szCs w:val="20"/>
          <w:rtl w:val="true"/>
        </w:rPr>
        <w:t xml:space="preserve">، وص </w:t>
      </w:r>
      <w:r>
        <w:rPr>
          <w:rFonts w:eastAsia="IRNazanin" w:cs="IRNazanin"/>
          <w:b w:val="false"/>
          <w:bCs w:val="false"/>
          <w:i w:val="false"/>
          <w:iCs w:val="false"/>
          <w:color w:val="333333"/>
          <w:sz w:val="20"/>
          <w:szCs w:val="20"/>
        </w:rPr>
        <w:t>435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6037</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الدروس الشرعية،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 موسوعة الشهيد الأول، 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637</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الأمثلة المتقدّمة من إقرار الزوجة أو الإخوة</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الدروس الشرعية،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 موسوعة الشهيد الأول، 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 في ص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سبق في ص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منهم الشيخ في المبسوط،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 والعلّامة في قواعد الأحكام،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223</w:t>
      </w:r>
      <w:r>
        <w:rPr>
          <w:rFonts w:ascii="IRNazanin" w:hAnsi="IRNazanin" w:eastAsia="IRNazanin"/>
          <w:b w:val="false"/>
          <w:b w:val="false"/>
          <w:bCs w:val="false"/>
          <w:i w:val="false"/>
          <w:i w:val="false"/>
          <w:iCs w:val="false"/>
          <w:color w:val="333333"/>
          <w:sz w:val="20"/>
          <w:sz w:val="20"/>
          <w:szCs w:val="20"/>
          <w:rtl w:val="true"/>
        </w:rPr>
        <w:t xml:space="preserve">؛ وابن فهد الحلي في المقتصر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342</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الدروس الشرعية،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ضمن موسوعة الشهيد الأول، 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وسائل الشيعة، ج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386</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الغصب</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الدروس الشرعية،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ضمن موسوعة الشهيد الأول، 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إن استقل بجزء معين ضمنه خاصةً، وإلا ضمن النصف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زين رحمه الله</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شرائع الإسلام،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قواعد الأحكام،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منهم فخر المحققين في إيضاح الفوائد،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والمحقق الثاني في جامع المقاصد،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w:t>
      </w:r>
    </w:p>
  </w:footnote>
  <w:footnote w:id="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أبي داود،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3561</w:t>
      </w:r>
      <w:r>
        <w:rPr>
          <w:rFonts w:ascii="IRNazanin" w:hAnsi="IRNazanin" w:eastAsia="IRNazanin"/>
          <w:b w:val="false"/>
          <w:b w:val="false"/>
          <w:bCs w:val="false"/>
          <w:i w:val="false"/>
          <w:i w:val="false"/>
          <w:iCs w:val="false"/>
          <w:color w:val="333333"/>
          <w:sz w:val="20"/>
          <w:sz w:val="20"/>
          <w:szCs w:val="20"/>
          <w:rtl w:val="true"/>
        </w:rPr>
        <w:t xml:space="preserve">؛ سنن ابن ماجة،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802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2400</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شرائع الإسلام،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القول بعدم الضمان للمحقق في شرائع الإسلام،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187</w:t>
      </w:r>
      <w:r>
        <w:rPr>
          <w:rFonts w:ascii="IRNazanin" w:hAnsi="IRNazanin" w:eastAsia="IRNazanin"/>
          <w:b w:val="false"/>
          <w:b w:val="false"/>
          <w:bCs w:val="false"/>
          <w:i w:val="false"/>
          <w:i w:val="false"/>
          <w:iCs w:val="false"/>
          <w:color w:val="333333"/>
          <w:sz w:val="20"/>
          <w:sz w:val="20"/>
          <w:szCs w:val="20"/>
          <w:rtl w:val="true"/>
        </w:rPr>
        <w:t xml:space="preserve">؛ والعلّامة في قواعد الأحكام ،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والقول بالضمان للشهيد في الدروس الشرعية،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 موسوعة الشهيد الأول، 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الدروس الشرعية،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 موسوعة الشهيد الأول، 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هكذا في الأصل، وفي سائر النسخ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على غيره</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القول بعدم الضمان في المبسوط،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والقول بالضمان في الخلاف،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421</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الدروس الشرعية،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 موسوعة الشهيد الأول، 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به القاضي في المهذب،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444</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المحقق الكركي في جامع المقاصد،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نعثر عليه في المجاميع الحديثية ولكن نقله مرسلاً الشيخ في الخلاف،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177</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290</w:t>
      </w:r>
      <w:r>
        <w:rPr>
          <w:rFonts w:ascii="IRNazanin" w:hAnsi="IRNazanin" w:eastAsia="IRNazanin"/>
          <w:b w:val="false"/>
          <w:b w:val="false"/>
          <w:bCs w:val="false"/>
          <w:i w:val="false"/>
          <w:i w:val="false"/>
          <w:iCs w:val="false"/>
          <w:color w:val="333333"/>
          <w:sz w:val="20"/>
          <w:sz w:val="20"/>
          <w:szCs w:val="20"/>
          <w:rtl w:val="true"/>
        </w:rPr>
        <w:t xml:space="preserve">؛ والشهيد في غاية المراد،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 موسوعة الشهيد الأوّل،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651</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الدروس الشرعية،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 موسوعة الشهيد الأول، 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حكاه عنه العاملي في مفتاح الكرامة، 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شرائع الإسلام،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قواعد الأحكام،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223</w:t>
      </w:r>
      <w:r>
        <w:rPr>
          <w:rFonts w:ascii="IRNazanin" w:hAnsi="IRNazanin" w:eastAsia="IRNazanin"/>
          <w:b w:val="false"/>
          <w:b w:val="false"/>
          <w:bCs w:val="false"/>
          <w:i w:val="false"/>
          <w:i w:val="false"/>
          <w:iCs w:val="false"/>
          <w:color w:val="333333"/>
          <w:sz w:val="20"/>
          <w:sz w:val="20"/>
          <w:szCs w:val="20"/>
          <w:rtl w:val="true"/>
        </w:rPr>
        <w:t xml:space="preserve">؛ والمحقق الثاني في جامع المقاصد، 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تخريجه في ص </w:t>
      </w:r>
      <w:r>
        <w:rPr>
          <w:rFonts w:eastAsia="IRNazanin" w:cs="IRNazanin"/>
          <w:b w:val="false"/>
          <w:bCs w:val="false"/>
          <w:i w:val="false"/>
          <w:iCs w:val="false"/>
          <w:color w:val="333333"/>
          <w:sz w:val="20"/>
          <w:szCs w:val="20"/>
        </w:rPr>
        <w:t>46</w:t>
      </w:r>
      <w:r>
        <w:rPr>
          <w:rFonts w:ascii="IRNazanin" w:hAnsi="IRNazanin" w:eastAsia="IRNazanin"/>
          <w:b w:val="false"/>
          <w:b w:val="false"/>
          <w:bCs w:val="false"/>
          <w:i w:val="false"/>
          <w:i w:val="false"/>
          <w:iCs w:val="false"/>
          <w:color w:val="333333"/>
          <w:sz w:val="20"/>
          <w:sz w:val="20"/>
          <w:szCs w:val="20"/>
          <w:rtl w:val="true"/>
        </w:rPr>
        <w:t xml:space="preserve">، الهامش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تلفت</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نقله عنه في الدروس الشرعية،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 موسوعة الشهيد الأوّل، 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وراجع شرائع الإسلام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189</w:t>
      </w:r>
    </w:p>
  </w:footnote>
  <w:footnote w:id="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البراج في المهذب،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437</w:t>
      </w:r>
      <w:r>
        <w:rPr>
          <w:rFonts w:ascii="IRNazanin" w:hAnsi="IRNazanin" w:eastAsia="IRNazanin"/>
          <w:b w:val="false"/>
          <w:b w:val="false"/>
          <w:bCs w:val="false"/>
          <w:i w:val="false"/>
          <w:i w:val="false"/>
          <w:iCs w:val="false"/>
          <w:color w:val="333333"/>
          <w:sz w:val="20"/>
          <w:sz w:val="20"/>
          <w:szCs w:val="20"/>
          <w:rtl w:val="true"/>
        </w:rPr>
        <w:t xml:space="preserve">؛ والعلّامة في مختلف الشيعة،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96</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84</w:t>
      </w:r>
    </w:p>
  </w:footnote>
  <w:footnote w:id="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الدروس الشرعية،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 موسوعة الشهيد الأول، 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شرائع الإسلام،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189</w:t>
      </w:r>
    </w:p>
  </w:footnote>
  <w:footnote w:id="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943</w:t>
      </w:r>
    </w:p>
  </w:footnote>
  <w:footnote w:id="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صحيح أبي ولاد المتقدم آنفاً</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الدروس الشرعية ،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 موسوعة الشهيد الأول، 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لنا أن النظر في الضمان إلى نفس المفوّت لا إلى أغراض الملاك ألا ترى أن في وطء جارية الأب بالشبهة مهر المثل كما في وطء جارية الأجنبي وإن تضمّن وطء جارية الأب تحريمها عليه؟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 رحمه الله</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تخريجه في ص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الهامش </w:t>
      </w:r>
      <w:r>
        <w:rPr>
          <w:rFonts w:eastAsia="IRNazanin" w:cs="IRNazanin"/>
          <w:b w:val="false"/>
          <w:bCs w:val="false"/>
          <w:i w:val="false"/>
          <w:iCs w:val="false"/>
          <w:color w:val="333333"/>
          <w:sz w:val="20"/>
          <w:szCs w:val="20"/>
        </w:rPr>
        <w:t>2</w:t>
      </w:r>
    </w:p>
  </w:footnote>
  <w:footnote w:id="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الفتاوى الهندية،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122</w:t>
      </w:r>
    </w:p>
  </w:footnote>
  <w:footnote w:id="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تخريجه في ص </w:t>
      </w:r>
      <w:r>
        <w:rPr>
          <w:rFonts w:eastAsia="IRNazanin" w:cs="IRNazanin"/>
          <w:b w:val="false"/>
          <w:bCs w:val="false"/>
          <w:i w:val="false"/>
          <w:iCs w:val="false"/>
          <w:color w:val="333333"/>
          <w:sz w:val="20"/>
          <w:szCs w:val="20"/>
        </w:rPr>
        <w:t>46</w:t>
      </w:r>
      <w:r>
        <w:rPr>
          <w:rFonts w:ascii="IRNazanin" w:hAnsi="IRNazanin" w:eastAsia="IRNazanin"/>
          <w:b w:val="false"/>
          <w:b w:val="false"/>
          <w:bCs w:val="false"/>
          <w:i w:val="false"/>
          <w:i w:val="false"/>
          <w:iCs w:val="false"/>
          <w:color w:val="333333"/>
          <w:sz w:val="20"/>
          <w:sz w:val="20"/>
          <w:szCs w:val="20"/>
          <w:rtl w:val="true"/>
        </w:rPr>
        <w:t xml:space="preserve">، الهامش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801</w:t>
      </w:r>
    </w:p>
  </w:footnote>
  <w:footnote w:id="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به العلامة في إرشاد الأذهان،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446</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يكاد يستفاد ضمان نقص الآخر من العبارة لأنّ ضمير قيمته إن عاد إلى التالف كما هو الظاهر فالظاهر عدم دلالته عليه، وإن عاد إلى قيمة المغصوب يلزم ضمان قيمة الموجود وهو غير مراد ولا صحيح، ولابد من القول بضمان نقص الآخر، كما ذكره غيره، وذكر هو في غير الكتاب الدروس الشرعية،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 موسوعة الشهيد الأوّل، 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منه رحمه الله </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 في التنقيح الرائع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72</w:t>
      </w:r>
    </w:p>
  </w:footnote>
  <w:footnote w:id="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به الشيخ في المبسوط،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وابن إدريس في السرائر،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482</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القول للعلامة في تذكرة الفقهاء،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 الحجرية</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ذهب إليه المحقق في شرائع الإسلام،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196</w:t>
      </w:r>
      <w:r>
        <w:rPr>
          <w:rFonts w:ascii="IRNazanin" w:hAnsi="IRNazanin" w:eastAsia="IRNazanin"/>
          <w:b w:val="false"/>
          <w:b w:val="false"/>
          <w:bCs w:val="false"/>
          <w:i w:val="false"/>
          <w:i w:val="false"/>
          <w:iCs w:val="false"/>
          <w:color w:val="333333"/>
          <w:sz w:val="20"/>
          <w:sz w:val="20"/>
          <w:szCs w:val="20"/>
          <w:rtl w:val="true"/>
        </w:rPr>
        <w:t xml:space="preserve">؛ والعلّامة في تحرير الأحكام الشرعية،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538</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6156</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527</w:t>
      </w:r>
      <w:r>
        <w:rPr>
          <w:rFonts w:ascii="IRNazanin" w:hAnsi="IRNazanin" w:eastAsia="IRNazanin"/>
          <w:b w:val="false"/>
          <w:b w:val="false"/>
          <w:bCs w:val="false"/>
          <w:i w:val="false"/>
          <w:i w:val="false"/>
          <w:iCs w:val="false"/>
          <w:color w:val="333333"/>
          <w:sz w:val="20"/>
          <w:sz w:val="20"/>
          <w:szCs w:val="20"/>
          <w:rtl w:val="true"/>
        </w:rPr>
        <w:t xml:space="preserve">؛ الخلاف،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420</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38</w:t>
      </w:r>
    </w:p>
  </w:footnote>
  <w:footnote w:id="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به المفيد في المقنعة، ص </w:t>
      </w:r>
      <w:r>
        <w:rPr>
          <w:rFonts w:eastAsia="IRNazanin" w:cs="IRNazanin"/>
          <w:b w:val="false"/>
          <w:bCs w:val="false"/>
          <w:i w:val="false"/>
          <w:iCs w:val="false"/>
          <w:color w:val="333333"/>
          <w:sz w:val="20"/>
          <w:szCs w:val="20"/>
        </w:rPr>
        <w:t>607</w:t>
      </w:r>
      <w:r>
        <w:rPr>
          <w:rFonts w:ascii="IRNazanin" w:hAnsi="IRNazanin" w:eastAsia="IRNazanin"/>
          <w:b w:val="false"/>
          <w:b w:val="false"/>
          <w:bCs w:val="false"/>
          <w:i w:val="false"/>
          <w:i w:val="false"/>
          <w:iCs w:val="false"/>
          <w:color w:val="333333"/>
          <w:sz w:val="20"/>
          <w:sz w:val="20"/>
          <w:szCs w:val="20"/>
          <w:rtl w:val="true"/>
        </w:rPr>
        <w:t xml:space="preserve">؛ والشيخ في النهاية، ص </w:t>
      </w:r>
      <w:r>
        <w:rPr>
          <w:rFonts w:eastAsia="IRNazanin" w:cs="IRNazanin"/>
          <w:b w:val="false"/>
          <w:bCs w:val="false"/>
          <w:i w:val="false"/>
          <w:iCs w:val="false"/>
          <w:color w:val="333333"/>
          <w:sz w:val="20"/>
          <w:szCs w:val="20"/>
        </w:rPr>
        <w:t>402</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في مسألة الكتاب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وهي قبول قول المالك في عدم الرد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منه رحمه الله</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الدروس الشرعية،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 موسوعة الشهيد الأول، 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أطلق المصنّف الأب والجد وزاد في الدروس الشرعية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ضمن موسوعة الشهيد الأول، 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الأم وإن علت ومحل النزاع غير محرز فإنّ الحكم إن كان مختصاً بمن يجب الإنفاق عليه فهو العمودان وإن كان من يجب عليه الحضانة فينبغي بناؤه على الخلاف فيمن يجب عليه، فإن قيل بتعديها إلى الأقارب يعدى هنا فينبغي تأمل ذلك</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منه رحمه الله</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الدروس الشرعية،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 موسوعة الشهيد الأول، 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قواعد الأحكام،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201</w:t>
      </w:r>
    </w:p>
  </w:footnote>
  <w:footnote w:id="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تحرير الأحكام الشرعية،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6044</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به العلّامة في إرشاد الأذهان،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440</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الدروس الشرعية،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 موسوعة الشهيد الأوّل، 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الدروس الشرعيّة،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 موسوعة الشهيد الأوّل، 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الأنفال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w:t>
      </w:r>
    </w:p>
  </w:footnote>
  <w:footnote w:id="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قواعد الأحكام،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201</w:t>
      </w:r>
      <w:r>
        <w:rPr>
          <w:rFonts w:ascii="IRNazanin" w:hAnsi="IRNazanin" w:eastAsia="IRNazanin"/>
          <w:b w:val="false"/>
          <w:b w:val="false"/>
          <w:bCs w:val="false"/>
          <w:i w:val="false"/>
          <w:i w:val="false"/>
          <w:iCs w:val="false"/>
          <w:color w:val="333333"/>
          <w:sz w:val="20"/>
          <w:sz w:val="20"/>
          <w:szCs w:val="20"/>
          <w:rtl w:val="true"/>
        </w:rPr>
        <w:t xml:space="preserve">؛ إرشاد الأذهان،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440</w:t>
      </w:r>
      <w:r>
        <w:rPr>
          <w:rFonts w:ascii="IRNazanin" w:hAnsi="IRNazanin" w:eastAsia="IRNazanin"/>
          <w:b w:val="false"/>
          <w:b w:val="false"/>
          <w:bCs w:val="false"/>
          <w:i w:val="false"/>
          <w:i w:val="false"/>
          <w:iCs w:val="false"/>
          <w:color w:val="333333"/>
          <w:sz w:val="20"/>
          <w:sz w:val="20"/>
          <w:szCs w:val="20"/>
          <w:rtl w:val="true"/>
        </w:rPr>
        <w:t xml:space="preserve">؛ تذكرة الفقهاء، ج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314</w:t>
      </w:r>
      <w:r>
        <w:rPr>
          <w:rFonts w:ascii="IRNazanin" w:hAnsi="IRNazanin" w:eastAsia="IRNazanin"/>
          <w:b w:val="false"/>
          <w:b w:val="false"/>
          <w:bCs w:val="false"/>
          <w:i w:val="false"/>
          <w:i w:val="false"/>
          <w:iCs w:val="false"/>
          <w:color w:val="333333"/>
          <w:sz w:val="20"/>
          <w:sz w:val="20"/>
          <w:szCs w:val="20"/>
          <w:rtl w:val="true"/>
        </w:rPr>
        <w:t>،</w:t>
      </w:r>
    </w:p>
  </w:footnote>
  <w:footnote w:id="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به المحقق الثاني في جامع المقاصد،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108</w:t>
      </w:r>
    </w:p>
  </w:footnote>
  <w:footnote w:id="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هذا الحكم اختاره العلّامة في تذكرة الفقهاء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المسألة </w:t>
      </w:r>
      <w:r>
        <w:rPr>
          <w:rFonts w:eastAsia="IRNazanin" w:cs="IRNazanin"/>
          <w:b w:val="false"/>
          <w:bCs w:val="false"/>
          <w:i w:val="false"/>
          <w:iCs w:val="false"/>
          <w:color w:val="333333"/>
          <w:sz w:val="20"/>
          <w:szCs w:val="20"/>
        </w:rPr>
        <w:t>409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 اشتراط العدالة، ويضعف بأنّ تمكنه من المال مع عدم الشرط غير جائز</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منه رحمه الله</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به الشيخ في المبسوط،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178</w:t>
      </w:r>
    </w:p>
  </w:footnote>
  <w:footnote w:id="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ذهب إليه المحقق في شرائع الإسلام،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الدروس الشرعية،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 موسوعة الشهيد الأول، 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النهاية، ص </w:t>
      </w:r>
      <w:r>
        <w:rPr>
          <w:rFonts w:eastAsia="IRNazanin" w:cs="IRNazanin"/>
          <w:b w:val="false"/>
          <w:bCs w:val="false"/>
          <w:i w:val="false"/>
          <w:iCs w:val="false"/>
          <w:color w:val="333333"/>
          <w:sz w:val="20"/>
          <w:szCs w:val="20"/>
        </w:rPr>
        <w:t>323</w:t>
      </w:r>
    </w:p>
  </w:footnote>
  <w:footnote w:id="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وإن كان الآخذ عبداً وإن لم يأذن السيد إذا لم يوجد غير العبد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زين رحمه الله</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به الشيخ في المبسوط،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172</w:t>
      </w:r>
    </w:p>
  </w:footnote>
  <w:footnote w:id="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الدروس الشرعية،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 موسوعة الشهيد الأول، 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به المحقق في شرائع الإسلام،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ذهب إليه المحقق في شرائع الإسلام،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227</w:t>
      </w:r>
      <w:r>
        <w:rPr>
          <w:rFonts w:ascii="IRNazanin" w:hAnsi="IRNazanin" w:eastAsia="IRNazanin"/>
          <w:b w:val="false"/>
          <w:b w:val="false"/>
          <w:bCs w:val="false"/>
          <w:i w:val="false"/>
          <w:i w:val="false"/>
          <w:iCs w:val="false"/>
          <w:color w:val="333333"/>
          <w:sz w:val="20"/>
          <w:sz w:val="20"/>
          <w:szCs w:val="20"/>
          <w:rtl w:val="true"/>
        </w:rPr>
        <w:t xml:space="preserve">؛ والعلّامة في إرشاد الأذهان،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والقول الآخر للشيخ في المبسوط ،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185</w:t>
      </w:r>
    </w:p>
  </w:footnote>
  <w:footnote w:id="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تذكرة الفقهاء، ج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319</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413</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بل زین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المسألة </w:t>
      </w:r>
      <w:r>
        <w:rPr>
          <w:rFonts w:eastAsia="IRNazanin" w:cs="IRNazanin"/>
          <w:b w:val="false"/>
          <w:bCs w:val="false"/>
          <w:i w:val="false"/>
          <w:iCs w:val="false"/>
          <w:color w:val="333333"/>
          <w:sz w:val="20"/>
          <w:szCs w:val="20"/>
        </w:rPr>
        <w:t>25</w:t>
      </w:r>
    </w:p>
  </w:footnote>
  <w:footnote w:id="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يجوز في نحو هذه الهمزة كتبها ياءً وواواً، لأنّها وإن كانت متطرفة إلا أنها في حكم المتوسطة بسبب اتصالها بالضمير، فتكتب على نحو ما تخفّف وفي تخفيفها وجهان وكذا في كتابتها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منه رحمه الله</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الدروس الشرعية ،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ضمن موسوعة الشهيد الأول، 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1182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1193</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كالعلامة في تذكرة الفقهاء، ج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283</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280</w:t>
      </w:r>
    </w:p>
  </w:footnote>
  <w:footnote w:id="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القول بعدم الجواز للشيخ في المبسوط ،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151</w:t>
      </w:r>
      <w:r>
        <w:rPr>
          <w:rFonts w:ascii="IRNazanin" w:hAnsi="IRNazanin" w:eastAsia="IRNazanin"/>
          <w:b w:val="false"/>
          <w:b w:val="false"/>
          <w:bCs w:val="false"/>
          <w:i w:val="false"/>
          <w:i w:val="false"/>
          <w:iCs w:val="false"/>
          <w:color w:val="333333"/>
          <w:sz w:val="20"/>
          <w:sz w:val="20"/>
          <w:szCs w:val="20"/>
          <w:rtl w:val="true"/>
        </w:rPr>
        <w:t xml:space="preserve">؛ القول بالجواز للعلّامة في تذكرة الفقهاء، ج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المسألة </w:t>
      </w:r>
      <w:r>
        <w:rPr>
          <w:rFonts w:eastAsia="IRNazanin" w:cs="IRNazanin"/>
          <w:b w:val="false"/>
          <w:bCs w:val="false"/>
          <w:i w:val="false"/>
          <w:iCs w:val="false"/>
          <w:color w:val="333333"/>
          <w:sz w:val="20"/>
          <w:szCs w:val="20"/>
        </w:rPr>
        <w:t>399</w:t>
      </w:r>
    </w:p>
  </w:footnote>
  <w:footnote w:id="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الهامش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في الأصل وفي سائر النسخ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ولو</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ذهب إليه العلّامة في تحرير الأحكام الشرعية،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458</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6057</w:t>
      </w:r>
      <w:r>
        <w:rPr>
          <w:rFonts w:ascii="IRNazanin" w:hAnsi="IRNazanin" w:eastAsia="IRNazanin"/>
          <w:b w:val="false"/>
          <w:b w:val="false"/>
          <w:bCs w:val="false"/>
          <w:i w:val="false"/>
          <w:i w:val="false"/>
          <w:iCs w:val="false"/>
          <w:color w:val="333333"/>
          <w:sz w:val="20"/>
          <w:sz w:val="20"/>
          <w:szCs w:val="20"/>
          <w:rtl w:val="true"/>
        </w:rPr>
        <w:t>؛ والشهيد في الدروس الشرعية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 موسوعة الشهيد الأول، 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والقول الآخر لفخر المحققين في إيضاح الفوائد،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xml:space="preserve"> .</w:t>
      </w:r>
    </w:p>
  </w:footnote>
  <w:footnote w:id="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1177</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اللقطة، ح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خرج عن العمران زین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رحمه الله </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1158</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الدروس الشرعية،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 موسوعة الشهيد الأول، 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1157</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الهامش </w:t>
      </w:r>
      <w:r>
        <w:rPr>
          <w:rFonts w:eastAsia="IRNazanin" w:cs="IRNazanin"/>
          <w:b w:val="false"/>
          <w:bCs w:val="false"/>
          <w:i w:val="false"/>
          <w:iCs w:val="false"/>
          <w:color w:val="333333"/>
          <w:sz w:val="20"/>
          <w:szCs w:val="20"/>
        </w:rPr>
        <w:t>2</w:t>
      </w:r>
    </w:p>
  </w:footnote>
  <w:footnote w:id="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به العلّامة في تحرير الأحكام الشرعية،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460</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6065</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1163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1165</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تحرير الأحكام الشرعية ،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458</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6060</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منهم ابن إدريس في السرائر،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101</w:t>
      </w:r>
      <w:r>
        <w:rPr>
          <w:rFonts w:ascii="IRNazanin" w:hAnsi="IRNazanin" w:eastAsia="IRNazanin"/>
          <w:b w:val="false"/>
          <w:b w:val="false"/>
          <w:bCs w:val="false"/>
          <w:i w:val="false"/>
          <w:i w:val="false"/>
          <w:iCs w:val="false"/>
          <w:color w:val="333333"/>
          <w:sz w:val="20"/>
          <w:sz w:val="20"/>
          <w:szCs w:val="20"/>
          <w:rtl w:val="true"/>
        </w:rPr>
        <w:t xml:space="preserve">؛ والمحقق الثاني في جامع المقاصد،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تذكرة الفقهاء، ج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399</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ويجوز الصدقة بعينها وقبل الحول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زين رحمه الله </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كالمحقق في شرائع الإسلام،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230</w:t>
      </w:r>
      <w:r>
        <w:rPr>
          <w:rFonts w:ascii="IRNazanin" w:hAnsi="IRNazanin" w:eastAsia="IRNazanin"/>
          <w:b w:val="false"/>
          <w:b w:val="false"/>
          <w:bCs w:val="false"/>
          <w:i w:val="false"/>
          <w:i w:val="false"/>
          <w:iCs w:val="false"/>
          <w:color w:val="333333"/>
          <w:sz w:val="20"/>
          <w:sz w:val="20"/>
          <w:szCs w:val="20"/>
          <w:rtl w:val="true"/>
        </w:rPr>
        <w:t xml:space="preserve">؛ والعلّامة في قواعد الأحكام،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1196</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ذهب إليه المفيد في المقنعة، ص </w:t>
      </w:r>
      <w:r>
        <w:rPr>
          <w:rFonts w:eastAsia="IRNazanin" w:cs="IRNazanin"/>
          <w:b w:val="false"/>
          <w:bCs w:val="false"/>
          <w:i w:val="false"/>
          <w:iCs w:val="false"/>
          <w:color w:val="333333"/>
          <w:sz w:val="20"/>
          <w:szCs w:val="20"/>
        </w:rPr>
        <w:t>648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والشيخ في النهاية، ص </w:t>
      </w:r>
      <w:r>
        <w:rPr>
          <w:rFonts w:eastAsia="IRNazanin" w:cs="IRNazanin"/>
          <w:b w:val="false"/>
          <w:bCs w:val="false"/>
          <w:i w:val="false"/>
          <w:iCs w:val="false"/>
          <w:color w:val="333333"/>
          <w:sz w:val="20"/>
          <w:szCs w:val="20"/>
        </w:rPr>
        <w:t>324</w:t>
      </w:r>
      <w:r>
        <w:rPr>
          <w:rFonts w:ascii="IRNazanin" w:hAnsi="IRNazanin" w:eastAsia="IRNazanin"/>
          <w:b w:val="false"/>
          <w:b w:val="false"/>
          <w:bCs w:val="false"/>
          <w:i w:val="false"/>
          <w:i w:val="false"/>
          <w:iCs w:val="false"/>
          <w:color w:val="333333"/>
          <w:sz w:val="20"/>
          <w:sz w:val="20"/>
          <w:szCs w:val="20"/>
          <w:rtl w:val="true"/>
        </w:rPr>
        <w:t xml:space="preserve">؛ والقول الآخر للمحقق في شرائع الإسلام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231</w:t>
      </w:r>
    </w:p>
  </w:footnote>
  <w:footnote w:id="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به ابن إدريس في السرائر،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به الشيخ في النهاية، ص </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العنكبوت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p>
  </w:footnote>
  <w:footnote w:id="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1460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1463</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1167</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به الشيخ في الخلاف،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579</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والمحقق في شرائع الإسلام،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233</w:t>
      </w:r>
    </w:p>
  </w:footnote>
  <w:footnote w:id="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ترد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الدروس الشرعية،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 موسوعة الشهيد الأول، 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1190</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 زيادة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بإطلاقه على عدم الفرق بين القليل والكثير في وجوب تعريفه مطلقاً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شطب عليها</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الدروس الشرعية ،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 موسوعة الشهيد الأول، 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ص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الهامش </w:t>
      </w:r>
      <w:r>
        <w:rPr>
          <w:rFonts w:eastAsia="IRNazanin" w:cs="IRNazanin"/>
          <w:b w:val="false"/>
          <w:bCs w:val="false"/>
          <w:i w:val="false"/>
          <w:iCs w:val="false"/>
          <w:color w:val="333333"/>
          <w:sz w:val="20"/>
          <w:szCs w:val="20"/>
        </w:rPr>
        <w:t>1</w:t>
      </w:r>
    </w:p>
  </w:footnote>
  <w:footnote w:id="1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به المحقق الثاني في جامع المقاصد،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آنفاً</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القول بالضمان للعلامة في تحرير الأحكام الشرعية،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463</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6070</w:t>
      </w:r>
      <w:r>
        <w:rPr>
          <w:rFonts w:ascii="IRNazanin" w:hAnsi="IRNazanin" w:eastAsia="IRNazanin"/>
          <w:b w:val="false"/>
          <w:b w:val="false"/>
          <w:bCs w:val="false"/>
          <w:i w:val="false"/>
          <w:i w:val="false"/>
          <w:iCs w:val="false"/>
          <w:color w:val="333333"/>
          <w:sz w:val="20"/>
          <w:sz w:val="20"/>
          <w:szCs w:val="20"/>
          <w:rtl w:val="true"/>
        </w:rPr>
        <w:t xml:space="preserve">؛ والقول بعدم الضمان للشيخ في النهاية، ص </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القول بوجوب ردّ العين للمحقق الثاني في جامع المقاصد،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186</w:t>
      </w:r>
      <w:r>
        <w:rPr>
          <w:rFonts w:ascii="IRNazanin" w:hAnsi="IRNazanin" w:eastAsia="IRNazanin"/>
          <w:b w:val="false"/>
          <w:b w:val="false"/>
          <w:bCs w:val="false"/>
          <w:i w:val="false"/>
          <w:i w:val="false"/>
          <w:iCs w:val="false"/>
          <w:color w:val="333333"/>
          <w:sz w:val="20"/>
          <w:sz w:val="20"/>
          <w:szCs w:val="20"/>
          <w:rtl w:val="true"/>
        </w:rPr>
        <w:t xml:space="preserve">؛ والقول بالتخيير للمحقق في شرائع الإسلام،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236</w:t>
      </w:r>
      <w:r>
        <w:rPr>
          <w:rFonts w:ascii="IRNazanin" w:hAnsi="IRNazanin" w:eastAsia="IRNazanin"/>
          <w:b w:val="false"/>
          <w:b w:val="false"/>
          <w:bCs w:val="false"/>
          <w:i w:val="false"/>
          <w:i w:val="false"/>
          <w:iCs w:val="false"/>
          <w:color w:val="333333"/>
          <w:sz w:val="20"/>
          <w:sz w:val="20"/>
          <w:szCs w:val="20"/>
          <w:rtl w:val="true"/>
        </w:rPr>
        <w:t xml:space="preserve">؛ والعلّامة في قواعد الأحكام،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213</w:t>
      </w:r>
    </w:p>
  </w:footnote>
  <w:footnote w:id="1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1163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1165</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الدروس الشرعية،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 موسوعة الشهيد الأول، 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معاون للشرب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زين رحمه الله</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ذكرى الشيعة،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 موسوعة الشهيد الأول،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1183</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الصحاح،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646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خصر</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الصحاح،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2428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عصو </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وهو النعلان والإداوة والسوط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أبو الصلاح وجماعة يحرم لقطتها؛ لرواية عبد الرحمن عن الصادق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تمسه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تهذيب الأحكام،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1183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منه 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الكافي في الفقه، ص </w:t>
      </w:r>
      <w:r>
        <w:rPr>
          <w:rFonts w:eastAsia="IRNazanin" w:cs="IRNazanin"/>
          <w:b w:val="false"/>
          <w:bCs w:val="false"/>
          <w:i w:val="false"/>
          <w:iCs w:val="false"/>
          <w:color w:val="333333"/>
          <w:sz w:val="20"/>
          <w:szCs w:val="20"/>
        </w:rPr>
        <w:t>350</w:t>
      </w:r>
      <w:r>
        <w:rPr>
          <w:rFonts w:ascii="IRNazanin" w:hAnsi="IRNazanin" w:eastAsia="IRNazanin"/>
          <w:b w:val="false"/>
          <w:b w:val="false"/>
          <w:bCs w:val="false"/>
          <w:i w:val="false"/>
          <w:i w:val="false"/>
          <w:iCs w:val="false"/>
          <w:color w:val="333333"/>
          <w:sz w:val="20"/>
          <w:sz w:val="20"/>
          <w:szCs w:val="20"/>
          <w:rtl w:val="true"/>
        </w:rPr>
        <w:t xml:space="preserve">؛ والفقيه،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4051</w:t>
      </w:r>
      <w:r>
        <w:rPr>
          <w:rFonts w:ascii="IRNazanin" w:hAnsi="IRNazanin" w:eastAsia="IRNazanin"/>
          <w:b w:val="false"/>
          <w:b w:val="false"/>
          <w:bCs w:val="false"/>
          <w:i w:val="false"/>
          <w:i w:val="false"/>
          <w:iCs w:val="false"/>
          <w:color w:val="333333"/>
          <w:sz w:val="20"/>
          <w:sz w:val="20"/>
          <w:szCs w:val="20"/>
          <w:rtl w:val="true"/>
        </w:rPr>
        <w:t xml:space="preserve">؛ ونسبه العلّامة إلى ابن بابويه في مختلف الشيعة،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56</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مفتاح الكرامة، ج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754</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1183</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4051</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1193</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الهامش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1182</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ص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تذكرة الفقهاء، ج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224</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قواعد الأحكام،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ذهب إليه المحقق في شرائع الإسلام،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والعلّامة في قواعد الأحكام،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210</w:t>
      </w:r>
      <w:r>
        <w:rPr>
          <w:rFonts w:ascii="IRNazanin" w:hAnsi="IRNazanin" w:eastAsia="IRNazanin"/>
          <w:b w:val="false"/>
          <w:b w:val="false"/>
          <w:bCs w:val="false"/>
          <w:i w:val="false"/>
          <w:i w:val="false"/>
          <w:iCs w:val="false"/>
          <w:color w:val="333333"/>
          <w:sz w:val="20"/>
          <w:sz w:val="20"/>
          <w:szCs w:val="20"/>
          <w:rtl w:val="true"/>
        </w:rPr>
        <w:t xml:space="preserve">؛ والشهيد في الدروس الشرعية،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 موسوعة الشهيد الأول، 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2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155</w:t>
      </w:r>
    </w:p>
  </w:footnote>
  <w:footnote w:id="2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به الشيخ في المبسوط ،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 xml:space="preserve"> .</w:t>
      </w:r>
    </w:p>
  </w:footnote>
  <w:footnote w:id="2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الدروس الشرعية،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 موسوعة الشهيد الأوّل، 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2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الأصل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 ، 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وكاها</w:t>
      </w:r>
      <w:r>
        <w:rPr>
          <w:rFonts w:eastAsia="IRNazanin" w:cs="IRNazanin"/>
          <w:b w:val="false"/>
          <w:bCs w:val="false"/>
          <w:i w:val="false"/>
          <w:iCs w:val="false"/>
          <w:color w:val="333333"/>
          <w:sz w:val="20"/>
          <w:szCs w:val="20"/>
          <w:rtl w:val="true"/>
        </w:rPr>
        <w:t>».</w:t>
      </w:r>
    </w:p>
  </w:footnote>
  <w:footnote w:id="2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 تعارض الأصل والظاهر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منه رحمه الله</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الدروس الشرعية،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 موسوعة الشهيد الأول، 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2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138</w:t>
      </w:r>
      <w:r>
        <w:rPr>
          <w:rFonts w:ascii="IRNazanin" w:hAnsi="IRNazanin" w:eastAsia="IRNazanin"/>
          <w:b w:val="false"/>
          <w:b w:val="false"/>
          <w:bCs w:val="false"/>
          <w:i w:val="false"/>
          <w:i w:val="false"/>
          <w:iCs w:val="false"/>
          <w:color w:val="333333"/>
          <w:sz w:val="20"/>
          <w:sz w:val="20"/>
          <w:szCs w:val="20"/>
          <w:rtl w:val="true"/>
        </w:rPr>
        <w:t xml:space="preserve">، باب اللقطة والضالة ، 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111</w:t>
      </w:r>
    </w:p>
  </w:footnote>
  <w:footnote w:id="2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النهاية في غريب الحديث والأثر،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فوز</w:t>
      </w:r>
      <w:r>
        <w:rPr>
          <w:rFonts w:eastAsia="IRNazanin" w:cs="IRNazanin"/>
          <w:b w:val="false"/>
          <w:bCs w:val="false"/>
          <w:i w:val="false"/>
          <w:iCs w:val="false"/>
          <w:color w:val="333333"/>
          <w:sz w:val="20"/>
          <w:szCs w:val="20"/>
          <w:rtl w:val="true"/>
        </w:rPr>
        <w:t>».</w:t>
      </w:r>
    </w:p>
  </w:footnote>
  <w:footnote w:id="2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الصحاح،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890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فوز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الأصمعي</w:t>
      </w:r>
      <w:r>
        <w:rPr>
          <w:rFonts w:eastAsia="IRNazanin" w:cs="IRNazanin"/>
          <w:b w:val="false"/>
          <w:bCs w:val="false"/>
          <w:i w:val="false"/>
          <w:iCs w:val="false"/>
          <w:color w:val="333333"/>
          <w:sz w:val="20"/>
          <w:szCs w:val="20"/>
          <w:rtl w:val="true"/>
        </w:rPr>
        <w:t>.</w:t>
      </w:r>
    </w:p>
  </w:footnote>
  <w:footnote w:id="2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به الشيخ في النهاية، ص </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w:t>
      </w:r>
    </w:p>
  </w:footnote>
  <w:footnote w:id="2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1169</w:t>
      </w:r>
      <w:r>
        <w:rPr>
          <w:rFonts w:eastAsia="IRNazanin" w:cs="IRNazanin"/>
          <w:b w:val="false"/>
          <w:bCs w:val="false"/>
          <w:i w:val="false"/>
          <w:iCs w:val="false"/>
          <w:color w:val="333333"/>
          <w:sz w:val="20"/>
          <w:szCs w:val="20"/>
          <w:rtl w:val="true"/>
        </w:rPr>
        <w:t>.</w:t>
      </w:r>
    </w:p>
  </w:footnote>
  <w:footnote w:id="2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حملها على الاستحقاق العلامة في مختلف الشيعة،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73</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58</w:t>
      </w:r>
      <w:r>
        <w:rPr>
          <w:rFonts w:ascii="IRNazanin" w:hAnsi="IRNazanin" w:eastAsia="IRNazanin"/>
          <w:b w:val="false"/>
          <w:b w:val="false"/>
          <w:bCs w:val="false"/>
          <w:i w:val="false"/>
          <w:i w:val="false"/>
          <w:iCs w:val="false"/>
          <w:color w:val="333333"/>
          <w:sz w:val="20"/>
          <w:sz w:val="20"/>
          <w:szCs w:val="20"/>
          <w:rtl w:val="true"/>
        </w:rPr>
        <w:t>؛ والشهيد في الدروس الشرعية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 موسوعة الشهيد الأول، 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2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النسخ ، وفي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عبدالله بن جعفر</w:t>
      </w:r>
      <w:r>
        <w:rPr>
          <w:rFonts w:eastAsia="IRNazanin" w:cs="IRNazanin"/>
          <w:b w:val="false"/>
          <w:bCs w:val="false"/>
          <w:i w:val="false"/>
          <w:iCs w:val="false"/>
          <w:color w:val="333333"/>
          <w:sz w:val="20"/>
          <w:szCs w:val="20"/>
          <w:rtl w:val="true"/>
        </w:rPr>
        <w:t>.</w:t>
      </w:r>
    </w:p>
  </w:footnote>
  <w:footnote w:id="2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1174</w:t>
      </w:r>
      <w:r>
        <w:rPr>
          <w:rFonts w:eastAsia="IRNazanin" w:cs="IRNazanin"/>
          <w:b w:val="false"/>
          <w:bCs w:val="false"/>
          <w:i w:val="false"/>
          <w:iCs w:val="false"/>
          <w:color w:val="333333"/>
          <w:sz w:val="20"/>
          <w:szCs w:val="20"/>
          <w:rtl w:val="true"/>
        </w:rPr>
        <w:t>.</w:t>
      </w:r>
    </w:p>
  </w:footnote>
  <w:footnote w:id="2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1163</w:t>
      </w:r>
    </w:p>
  </w:footnote>
  <w:footnote w:id="2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2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الكافي في الفقه، ص </w:t>
      </w:r>
      <w:r>
        <w:rPr>
          <w:rFonts w:eastAsia="IRNazanin" w:cs="IRNazanin"/>
          <w:b w:val="false"/>
          <w:bCs w:val="false"/>
          <w:i w:val="false"/>
          <w:iCs w:val="false"/>
          <w:color w:val="333333"/>
          <w:sz w:val="20"/>
          <w:szCs w:val="20"/>
        </w:rPr>
        <w:t>350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351</w:t>
      </w:r>
      <w:r>
        <w:rPr>
          <w:rFonts w:ascii="IRNazanin" w:hAnsi="IRNazanin" w:eastAsia="IRNazanin"/>
          <w:b w:val="false"/>
          <w:b w:val="false"/>
          <w:bCs w:val="false"/>
          <w:i w:val="false"/>
          <w:i w:val="false"/>
          <w:iCs w:val="false"/>
          <w:color w:val="333333"/>
          <w:sz w:val="20"/>
          <w:sz w:val="20"/>
          <w:szCs w:val="20"/>
          <w:rtl w:val="true"/>
        </w:rPr>
        <w:t xml:space="preserve">؛ نقله عنه العلّامة في مختلف الشيعة،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2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كالشيخ في الخلاف،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المسألة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وابن حمزة في الوسيلة، ص </w:t>
      </w:r>
      <w:r>
        <w:rPr>
          <w:rFonts w:eastAsia="IRNazanin" w:cs="IRNazanin"/>
          <w:b w:val="false"/>
          <w:bCs w:val="false"/>
          <w:i w:val="false"/>
          <w:iCs w:val="false"/>
          <w:color w:val="333333"/>
          <w:sz w:val="20"/>
          <w:szCs w:val="20"/>
        </w:rPr>
        <w:t>278</w:t>
      </w:r>
    </w:p>
  </w:footnote>
  <w:footnote w:id="2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1165</w:t>
      </w:r>
      <w:r>
        <w:rPr>
          <w:rFonts w:eastAsia="IRNazanin" w:cs="IRNazanin"/>
          <w:b w:val="false"/>
          <w:bCs w:val="false"/>
          <w:i w:val="false"/>
          <w:iCs w:val="false"/>
          <w:color w:val="333333"/>
          <w:sz w:val="20"/>
          <w:szCs w:val="20"/>
          <w:rtl w:val="true"/>
        </w:rPr>
        <w:t>.</w:t>
      </w:r>
    </w:p>
  </w:footnote>
  <w:footnote w:id="2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القول الأول في المبسوط،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156</w:t>
      </w:r>
      <w:r>
        <w:rPr>
          <w:rFonts w:ascii="IRNazanin" w:hAnsi="IRNazanin" w:eastAsia="IRNazanin"/>
          <w:b w:val="false"/>
          <w:b w:val="false"/>
          <w:bCs w:val="false"/>
          <w:i w:val="false"/>
          <w:i w:val="false"/>
          <w:iCs w:val="false"/>
          <w:color w:val="333333"/>
          <w:sz w:val="20"/>
          <w:sz w:val="20"/>
          <w:szCs w:val="20"/>
          <w:rtl w:val="true"/>
        </w:rPr>
        <w:t xml:space="preserve">؛ والقول الثاني في النهاية، ص </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والقول الثالث في الخلاف،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584</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2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الدروس الشرعية،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ضمن موسوعة الشهيد الأول، 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2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يأتي ص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p>
  </w:footnote>
  <w:footnote w:id="2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تذكرة الفقهاء،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 الحجرية</w:t>
      </w:r>
      <w:r>
        <w:rPr>
          <w:rFonts w:eastAsia="IRNazanin" w:cs="IRNazanin"/>
          <w:b w:val="false"/>
          <w:bCs w:val="false"/>
          <w:i w:val="false"/>
          <w:iCs w:val="false"/>
          <w:color w:val="333333"/>
          <w:sz w:val="20"/>
          <w:szCs w:val="20"/>
          <w:rtl w:val="true"/>
        </w:rPr>
        <w:t>).</w:t>
      </w:r>
    </w:p>
  </w:footnote>
  <w:footnote w:id="2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670</w:t>
      </w:r>
      <w:r>
        <w:rPr>
          <w:rFonts w:eastAsia="IRNazanin" w:cs="IRNazanin"/>
          <w:b w:val="false"/>
          <w:bCs w:val="false"/>
          <w:i w:val="false"/>
          <w:iCs w:val="false"/>
          <w:color w:val="333333"/>
          <w:sz w:val="20"/>
          <w:szCs w:val="20"/>
          <w:rtl w:val="true"/>
        </w:rPr>
        <w:t xml:space="preserve"> .</w:t>
      </w:r>
    </w:p>
  </w:footnote>
  <w:footnote w:id="2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القول بالعدم نسبه إلى علمائنا العلّامة في تذكرة الفقهاء،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 الحجرية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القول بالملك للمحقق في شرائع الإسلام،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215</w:t>
      </w:r>
      <w:r>
        <w:rPr>
          <w:rFonts w:ascii="IRNazanin" w:hAnsi="IRNazanin" w:eastAsia="IRNazanin"/>
          <w:b w:val="false"/>
          <w:b w:val="false"/>
          <w:bCs w:val="false"/>
          <w:i w:val="false"/>
          <w:i w:val="false"/>
          <w:iCs w:val="false"/>
          <w:color w:val="333333"/>
          <w:sz w:val="20"/>
          <w:sz w:val="20"/>
          <w:szCs w:val="20"/>
          <w:rtl w:val="true"/>
        </w:rPr>
        <w:t xml:space="preserve">؛ والعلّامة في تحرير الأحكام الشرعية،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484</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6095</w:t>
      </w:r>
      <w:r>
        <w:rPr>
          <w:rFonts w:eastAsia="IRNazanin" w:cs="IRNazanin"/>
          <w:b w:val="false"/>
          <w:bCs w:val="false"/>
          <w:i w:val="false"/>
          <w:iCs w:val="false"/>
          <w:color w:val="333333"/>
          <w:sz w:val="20"/>
          <w:szCs w:val="20"/>
          <w:rtl w:val="true"/>
        </w:rPr>
        <w:t>.</w:t>
      </w:r>
    </w:p>
  </w:footnote>
  <w:footnote w:id="2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الشعراء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155</w:t>
      </w:r>
    </w:p>
  </w:footnote>
  <w:footnote w:id="2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بفتح العين، وهو ما أُخذ عن خضوع وتذلّل، قال الله تعالى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وَعَنَتِ الْوُجُوهُ لِلْحَيِّ الْقَيُّومِ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خضعت و ذلّت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زین رحمه الله</w:t>
      </w:r>
      <w:r>
        <w:rPr>
          <w:rFonts w:eastAsia="IRNazanin" w:cs="IRNazanin"/>
          <w:b w:val="false"/>
          <w:bCs w:val="false"/>
          <w:i w:val="false"/>
          <w:iCs w:val="false"/>
          <w:color w:val="333333"/>
          <w:sz w:val="20"/>
          <w:szCs w:val="20"/>
          <w:rtl w:val="true"/>
        </w:rPr>
        <w:t>)</w:t>
      </w:r>
    </w:p>
  </w:footnote>
  <w:footnote w:id="2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يأتي في ص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p>
  </w:footnote>
  <w:footnote w:id="2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الصحاح،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عمر</w:t>
      </w:r>
      <w:r>
        <w:rPr>
          <w:rFonts w:eastAsia="IRNazanin" w:cs="IRNazanin"/>
          <w:b w:val="false"/>
          <w:bCs w:val="false"/>
          <w:i w:val="false"/>
          <w:iCs w:val="false"/>
          <w:color w:val="333333"/>
          <w:sz w:val="20"/>
          <w:szCs w:val="20"/>
          <w:rtl w:val="true"/>
        </w:rPr>
        <w:t>».</w:t>
      </w:r>
    </w:p>
  </w:footnote>
  <w:footnote w:id="2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به العلّامة في تذكرة الفقهاء،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 الحجرية</w:t>
      </w:r>
      <w:r>
        <w:rPr>
          <w:rFonts w:eastAsia="IRNazanin" w:cs="IRNazanin"/>
          <w:b w:val="false"/>
          <w:bCs w:val="false"/>
          <w:i w:val="false"/>
          <w:iCs w:val="false"/>
          <w:color w:val="333333"/>
          <w:sz w:val="20"/>
          <w:szCs w:val="20"/>
          <w:rtl w:val="true"/>
        </w:rPr>
        <w:t>).</w:t>
      </w:r>
    </w:p>
  </w:footnote>
  <w:footnote w:id="2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تخريجه في ص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الهامش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674</w:t>
      </w:r>
      <w:r>
        <w:rPr>
          <w:rFonts w:eastAsia="IRNazanin" w:cs="IRNazanin"/>
          <w:b w:val="false"/>
          <w:bCs w:val="false"/>
          <w:i w:val="false"/>
          <w:iCs w:val="false"/>
          <w:color w:val="333333"/>
          <w:sz w:val="20"/>
          <w:szCs w:val="20"/>
          <w:rtl w:val="true"/>
        </w:rPr>
        <w:t>.</w:t>
      </w:r>
    </w:p>
  </w:footnote>
  <w:footnote w:id="2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672</w:t>
      </w:r>
      <w:r>
        <w:rPr>
          <w:rFonts w:eastAsia="IRNazanin" w:cs="IRNazanin"/>
          <w:b w:val="false"/>
          <w:bCs w:val="false"/>
          <w:i w:val="false"/>
          <w:iCs w:val="false"/>
          <w:color w:val="333333"/>
          <w:sz w:val="20"/>
          <w:szCs w:val="20"/>
          <w:rtl w:val="true"/>
        </w:rPr>
        <w:t>.</w:t>
      </w:r>
    </w:p>
  </w:footnote>
  <w:footnote w:id="2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تذكرة الفقهاء،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 الحجرية</w:t>
      </w:r>
      <w:r>
        <w:rPr>
          <w:rFonts w:eastAsia="IRNazanin" w:cs="IRNazanin"/>
          <w:b w:val="false"/>
          <w:bCs w:val="false"/>
          <w:i w:val="false"/>
          <w:iCs w:val="false"/>
          <w:color w:val="333333"/>
          <w:sz w:val="20"/>
          <w:szCs w:val="20"/>
          <w:rtl w:val="true"/>
        </w:rPr>
        <w:t>).</w:t>
      </w:r>
    </w:p>
  </w:footnote>
  <w:footnote w:id="2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658</w:t>
      </w:r>
      <w:r>
        <w:rPr>
          <w:rFonts w:eastAsia="IRNazanin" w:cs="IRNazanin"/>
          <w:b w:val="false"/>
          <w:bCs w:val="false"/>
          <w:i w:val="false"/>
          <w:iCs w:val="false"/>
          <w:color w:val="333333"/>
          <w:sz w:val="20"/>
          <w:szCs w:val="20"/>
          <w:rtl w:val="true"/>
        </w:rPr>
        <w:t>.</w:t>
      </w:r>
    </w:p>
  </w:footnote>
  <w:footnote w:id="2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الدروس الشرعية،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ضمن موسوعة الشهيد الأول، 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2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ص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2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حكم الأولوية حكم الملك في جميع الأشياء إلا البيع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زين رحمه الله</w:t>
      </w:r>
      <w:r>
        <w:rPr>
          <w:rFonts w:eastAsia="IRNazanin" w:cs="IRNazanin"/>
          <w:b w:val="false"/>
          <w:bCs w:val="false"/>
          <w:i w:val="false"/>
          <w:iCs w:val="false"/>
          <w:color w:val="333333"/>
          <w:sz w:val="20"/>
          <w:szCs w:val="20"/>
          <w:rtl w:val="true"/>
        </w:rPr>
        <w:t>)</w:t>
      </w:r>
    </w:p>
  </w:footnote>
  <w:footnote w:id="2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إدريس في السرائر،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478</w:t>
      </w:r>
      <w:r>
        <w:rPr>
          <w:rFonts w:ascii="IRNazanin" w:hAnsi="IRNazanin" w:eastAsia="IRNazanin"/>
          <w:b w:val="false"/>
          <w:b w:val="false"/>
          <w:bCs w:val="false"/>
          <w:i w:val="false"/>
          <w:i w:val="false"/>
          <w:iCs w:val="false"/>
          <w:color w:val="333333"/>
          <w:sz w:val="20"/>
          <w:sz w:val="20"/>
          <w:szCs w:val="20"/>
          <w:rtl w:val="true"/>
        </w:rPr>
        <w:t xml:space="preserve">؛ والعلّامة في قواعد الأحكام،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 والمحقق الثاني في جامع المقاصد،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2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w:t>
      </w:r>
    </w:p>
  </w:footnote>
  <w:footnote w:id="2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ص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2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شرائع الإسلام،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218</w:t>
      </w:r>
    </w:p>
  </w:footnote>
  <w:footnote w:id="2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273</w:t>
      </w:r>
      <w:r>
        <w:rPr>
          <w:rFonts w:ascii="IRNazanin" w:hAnsi="IRNazanin" w:eastAsia="IRNazanin"/>
          <w:b w:val="false"/>
          <w:b w:val="false"/>
          <w:bCs w:val="false"/>
          <w:i w:val="false"/>
          <w:i w:val="false"/>
          <w:iCs w:val="false"/>
          <w:color w:val="333333"/>
          <w:sz w:val="20"/>
          <w:sz w:val="20"/>
          <w:szCs w:val="20"/>
          <w:rtl w:val="true"/>
        </w:rPr>
        <w:t xml:space="preserve">، باب القتل، ح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مسند أحمد،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20172</w:t>
      </w:r>
    </w:p>
  </w:footnote>
  <w:footnote w:id="2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الدروس الشرعية،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ضمن موسوعة الشهيد الأول، 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2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السنن الكبرى البيهقي،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7636</w:t>
      </w:r>
      <w:r>
        <w:rPr>
          <w:rFonts w:eastAsia="IRNazanin" w:cs="IRNazanin"/>
          <w:b w:val="false"/>
          <w:bCs w:val="false"/>
          <w:i w:val="false"/>
          <w:iCs w:val="false"/>
          <w:color w:val="333333"/>
          <w:sz w:val="20"/>
          <w:szCs w:val="20"/>
          <w:rtl w:val="true"/>
        </w:rPr>
        <w:t>.</w:t>
      </w:r>
    </w:p>
  </w:footnote>
  <w:footnote w:id="2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6422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السنن الكبرى البيهقي،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11790</w:t>
      </w:r>
      <w:r>
        <w:rPr>
          <w:rFonts w:eastAsia="IRNazanin" w:cs="IRNazanin"/>
          <w:b w:val="false"/>
          <w:bCs w:val="false"/>
          <w:i w:val="false"/>
          <w:iCs w:val="false"/>
          <w:color w:val="333333"/>
          <w:sz w:val="20"/>
          <w:szCs w:val="20"/>
          <w:rtl w:val="true"/>
        </w:rPr>
        <w:t>.</w:t>
      </w:r>
    </w:p>
  </w:footnote>
  <w:footnote w:id="2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الجامع الصحيح،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665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1381</w:t>
      </w:r>
      <w:r>
        <w:rPr>
          <w:rFonts w:ascii="IRNazanin" w:hAnsi="IRNazanin" w:eastAsia="IRNazanin"/>
          <w:b w:val="false"/>
          <w:b w:val="false"/>
          <w:bCs w:val="false"/>
          <w:i w:val="false"/>
          <w:i w:val="false"/>
          <w:iCs w:val="false"/>
          <w:color w:val="333333"/>
          <w:sz w:val="20"/>
          <w:sz w:val="20"/>
          <w:szCs w:val="20"/>
          <w:rtl w:val="true"/>
        </w:rPr>
        <w:t xml:space="preserve">؛ السنن الكبرى البيهقي ،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11788</w:t>
      </w:r>
      <w:r>
        <w:rPr>
          <w:rFonts w:eastAsia="IRNazanin" w:cs="IRNazanin"/>
          <w:b w:val="false"/>
          <w:bCs w:val="false"/>
          <w:i w:val="false"/>
          <w:iCs w:val="false"/>
          <w:color w:val="333333"/>
          <w:sz w:val="20"/>
          <w:szCs w:val="20"/>
          <w:rtl w:val="true"/>
        </w:rPr>
        <w:t>.</w:t>
      </w:r>
    </w:p>
  </w:footnote>
  <w:footnote w:id="2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الدروس الشرعية،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 موسوعة الشهيد الأول، 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2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يأتي في ص </w:t>
      </w:r>
      <w:r>
        <w:rPr>
          <w:rFonts w:eastAsia="IRNazanin" w:cs="IRNazanin"/>
          <w:b w:val="false"/>
          <w:bCs w:val="false"/>
          <w:i w:val="false"/>
          <w:iCs w:val="false"/>
          <w:color w:val="333333"/>
          <w:sz w:val="20"/>
          <w:szCs w:val="20"/>
        </w:rPr>
        <w:t>97</w:t>
      </w:r>
    </w:p>
  </w:footnote>
  <w:footnote w:id="2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644</w:t>
      </w:r>
      <w:r>
        <w:rPr>
          <w:rFonts w:eastAsia="IRNazanin" w:cs="IRNazanin"/>
          <w:b w:val="false"/>
          <w:bCs w:val="false"/>
          <w:i w:val="false"/>
          <w:iCs w:val="false"/>
          <w:color w:val="333333"/>
          <w:sz w:val="20"/>
          <w:szCs w:val="20"/>
          <w:rtl w:val="true"/>
        </w:rPr>
        <w:t>.</w:t>
      </w:r>
    </w:p>
  </w:footnote>
  <w:footnote w:id="2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حكاه عنه العلامة في مختلف الشيعة،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171</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p>
  </w:footnote>
  <w:footnote w:id="2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مختلف الشيعة،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172</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p>
  </w:footnote>
  <w:footnote w:id="2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670</w:t>
      </w:r>
      <w:r>
        <w:rPr>
          <w:rFonts w:eastAsia="IRNazanin" w:cs="IRNazanin"/>
          <w:b w:val="false"/>
          <w:bCs w:val="false"/>
          <w:i w:val="false"/>
          <w:iCs w:val="false"/>
          <w:color w:val="333333"/>
          <w:sz w:val="20"/>
          <w:szCs w:val="20"/>
          <w:rtl w:val="true"/>
        </w:rPr>
        <w:t>.</w:t>
      </w:r>
    </w:p>
  </w:footnote>
  <w:footnote w:id="2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يُدلى منه على الابل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زین رحمه الله</w:t>
      </w:r>
      <w:r>
        <w:rPr>
          <w:rFonts w:eastAsia="IRNazanin" w:cs="IRNazanin"/>
          <w:b w:val="false"/>
          <w:bCs w:val="false"/>
          <w:i w:val="false"/>
          <w:iCs w:val="false"/>
          <w:color w:val="333333"/>
          <w:sz w:val="20"/>
          <w:szCs w:val="20"/>
          <w:rtl w:val="true"/>
        </w:rPr>
        <w:t>)</w:t>
      </w:r>
    </w:p>
  </w:footnote>
  <w:footnote w:id="2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يُدلى منه على البقر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زين رحمه الله</w:t>
      </w:r>
      <w:r>
        <w:rPr>
          <w:rFonts w:eastAsia="IRNazanin" w:cs="IRNazanin"/>
          <w:b w:val="false"/>
          <w:bCs w:val="false"/>
          <w:i w:val="false"/>
          <w:iCs w:val="false"/>
          <w:color w:val="333333"/>
          <w:sz w:val="20"/>
          <w:szCs w:val="20"/>
          <w:rtl w:val="true"/>
        </w:rPr>
        <w:t>)</w:t>
      </w:r>
    </w:p>
  </w:footnote>
  <w:footnote w:id="2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الصحاح،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2165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عطن</w:t>
      </w:r>
      <w:r>
        <w:rPr>
          <w:rFonts w:eastAsia="IRNazanin" w:cs="IRNazanin"/>
          <w:b w:val="false"/>
          <w:bCs w:val="false"/>
          <w:i w:val="false"/>
          <w:iCs w:val="false"/>
          <w:color w:val="333333"/>
          <w:sz w:val="20"/>
          <w:szCs w:val="20"/>
          <w:rtl w:val="true"/>
        </w:rPr>
        <w:t>».</w:t>
      </w:r>
    </w:p>
  </w:footnote>
  <w:footnote w:id="2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طين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زين رحمه الله</w:t>
      </w:r>
      <w:r>
        <w:rPr>
          <w:rFonts w:eastAsia="IRNazanin" w:cs="IRNazanin"/>
          <w:b w:val="false"/>
          <w:bCs w:val="false"/>
          <w:i w:val="false"/>
          <w:iCs w:val="false"/>
          <w:color w:val="333333"/>
          <w:sz w:val="20"/>
          <w:szCs w:val="20"/>
          <w:rtl w:val="true"/>
        </w:rPr>
        <w:t>)</w:t>
      </w:r>
    </w:p>
  </w:footnote>
  <w:footnote w:id="2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الدروس الشرعية ،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ضمن موسوعة الشهيد الأول، 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2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تذكرة الفقهاء،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 الحجرية</w:t>
      </w:r>
      <w:r>
        <w:rPr>
          <w:rFonts w:eastAsia="IRNazanin" w:cs="IRNazanin"/>
          <w:b w:val="false"/>
          <w:bCs w:val="false"/>
          <w:i w:val="false"/>
          <w:iCs w:val="false"/>
          <w:color w:val="333333"/>
          <w:sz w:val="20"/>
          <w:szCs w:val="20"/>
          <w:rtl w:val="true"/>
        </w:rPr>
        <w:t>).</w:t>
      </w:r>
    </w:p>
  </w:footnote>
  <w:footnote w:id="2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 xml:space="preserve">؛ السنن الكبرى البيهقي،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11836</w:t>
      </w:r>
      <w:r>
        <w:rPr>
          <w:rFonts w:eastAsia="IRNazanin" w:cs="IRNazanin"/>
          <w:b w:val="false"/>
          <w:bCs w:val="false"/>
          <w:i w:val="false"/>
          <w:iCs w:val="false"/>
          <w:color w:val="333333"/>
          <w:sz w:val="20"/>
          <w:szCs w:val="20"/>
          <w:rtl w:val="true"/>
        </w:rPr>
        <w:t>.</w:t>
      </w:r>
    </w:p>
  </w:footnote>
  <w:footnote w:id="2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أبي داود،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3561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الجامع الصحيح،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566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1266</w:t>
      </w:r>
      <w:r>
        <w:rPr>
          <w:rFonts w:eastAsia="IRNazanin" w:cs="IRNazanin"/>
          <w:b w:val="false"/>
          <w:bCs w:val="false"/>
          <w:i w:val="false"/>
          <w:iCs w:val="false"/>
          <w:color w:val="333333"/>
          <w:sz w:val="20"/>
          <w:szCs w:val="20"/>
          <w:rtl w:val="true"/>
        </w:rPr>
        <w:t>.</w:t>
      </w:r>
    </w:p>
  </w:footnote>
  <w:footnote w:id="2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الشيخ في المبسوط،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والقاضي في المهذب،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tl w:val="true"/>
        </w:rPr>
        <w:t xml:space="preserve">؛ والعلامة في قواعد الأحكام،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w:t>
      </w:r>
    </w:p>
  </w:footnote>
  <w:footnote w:id="2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ذكرى الشيعة،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 موسوعة الشهيد الأول،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2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تذكرة الفقهاء،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 الحجرية</w:t>
      </w:r>
      <w:r>
        <w:rPr>
          <w:rFonts w:eastAsia="IRNazanin" w:cs="IRNazanin"/>
          <w:b w:val="false"/>
          <w:bCs w:val="false"/>
          <w:i w:val="false"/>
          <w:iCs w:val="false"/>
          <w:color w:val="333333"/>
          <w:sz w:val="20"/>
          <w:szCs w:val="20"/>
          <w:rtl w:val="true"/>
        </w:rPr>
        <w:t>).</w:t>
      </w:r>
    </w:p>
  </w:footnote>
  <w:footnote w:id="2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نعثر عليه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تهذيب الأحكام،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233</w:t>
      </w:r>
      <w:r>
        <w:rPr>
          <w:rFonts w:ascii="IRNazanin" w:hAnsi="IRNazanin" w:eastAsia="IRNazanin"/>
          <w:b w:val="false"/>
          <w:b w:val="false"/>
          <w:bCs w:val="false"/>
          <w:i w:val="false"/>
          <w:i w:val="false"/>
          <w:iCs w:val="false"/>
          <w:color w:val="333333"/>
          <w:sz w:val="20"/>
          <w:sz w:val="20"/>
          <w:szCs w:val="20"/>
          <w:rtl w:val="true"/>
        </w:rPr>
        <w:t xml:space="preserve">؛ والخلاف،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234</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tl w:val="true"/>
        </w:rPr>
        <w:t xml:space="preserve">؛ والسرائر،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173</w:t>
      </w:r>
      <w:r>
        <w:rPr>
          <w:rFonts w:ascii="IRNazanin" w:hAnsi="IRNazanin" w:eastAsia="IRNazanin"/>
          <w:b w:val="false"/>
          <w:b w:val="false"/>
          <w:bCs w:val="false"/>
          <w:i w:val="false"/>
          <w:i w:val="false"/>
          <w:iCs w:val="false"/>
          <w:color w:val="333333"/>
          <w:sz w:val="20"/>
          <w:sz w:val="20"/>
          <w:szCs w:val="20"/>
          <w:rtl w:val="true"/>
        </w:rPr>
        <w:t xml:space="preserve">؛ وكنز العرفان،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2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375</w:t>
      </w:r>
      <w:r>
        <w:rPr>
          <w:rFonts w:ascii="IRNazanin" w:hAnsi="IRNazanin" w:eastAsia="IRNazanin"/>
          <w:b w:val="false"/>
          <w:b w:val="false"/>
          <w:bCs w:val="false"/>
          <w:i w:val="false"/>
          <w:i w:val="false"/>
          <w:iCs w:val="false"/>
          <w:color w:val="333333"/>
          <w:sz w:val="20"/>
          <w:sz w:val="20"/>
          <w:szCs w:val="20"/>
          <w:rtl w:val="true"/>
        </w:rPr>
        <w:t>، كتاب العتق</w:t>
      </w:r>
      <w:r>
        <w:rPr>
          <w:rFonts w:eastAsia="IRNazanin" w:cs="IRNazanin"/>
          <w:b w:val="false"/>
          <w:bCs w:val="false"/>
          <w:i w:val="false"/>
          <w:iCs w:val="false"/>
          <w:color w:val="333333"/>
          <w:sz w:val="20"/>
          <w:szCs w:val="20"/>
          <w:rtl w:val="true"/>
        </w:rPr>
        <w:t>.</w:t>
      </w:r>
    </w:p>
  </w:footnote>
  <w:footnote w:id="2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تخريجه في ص </w:t>
      </w:r>
      <w:r>
        <w:rPr>
          <w:rFonts w:eastAsia="IRNazanin" w:cs="IRNazanin"/>
          <w:b w:val="false"/>
          <w:bCs w:val="false"/>
          <w:i w:val="false"/>
          <w:iCs w:val="false"/>
          <w:color w:val="333333"/>
          <w:sz w:val="20"/>
          <w:szCs w:val="20"/>
        </w:rPr>
        <w:t>100</w:t>
      </w:r>
      <w:r>
        <w:rPr>
          <w:rFonts w:ascii="IRNazanin" w:hAnsi="IRNazanin" w:eastAsia="IRNazanin"/>
          <w:b w:val="false"/>
          <w:b w:val="false"/>
          <w:bCs w:val="false"/>
          <w:i w:val="false"/>
          <w:i w:val="false"/>
          <w:iCs w:val="false"/>
          <w:color w:val="333333"/>
          <w:sz w:val="20"/>
          <w:sz w:val="20"/>
          <w:szCs w:val="20"/>
          <w:rtl w:val="true"/>
        </w:rPr>
        <w:t xml:space="preserve">، الهامش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الدروس الشرعية،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 موسوعة الشهيد الأول، 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2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للفقراء والمساکین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زین رحمه الله </w:t>
      </w:r>
      <w:r>
        <w:rPr>
          <w:rFonts w:eastAsia="IRNazanin" w:cs="IRNazanin"/>
          <w:b w:val="false"/>
          <w:bCs w:val="false"/>
          <w:i w:val="false"/>
          <w:iCs w:val="false"/>
          <w:color w:val="333333"/>
          <w:sz w:val="20"/>
          <w:szCs w:val="20"/>
          <w:rtl w:val="true"/>
        </w:rPr>
        <w:t>)</w:t>
      </w:r>
    </w:p>
  </w:footnote>
  <w:footnote w:id="2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الدروس الشرعية،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 موسوعة الشهيد الأول، 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2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تذكرة الفقهاء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 الحجرية</w:t>
      </w:r>
      <w:r>
        <w:rPr>
          <w:rFonts w:eastAsia="IRNazanin" w:cs="IRNazanin"/>
          <w:b w:val="false"/>
          <w:bCs w:val="false"/>
          <w:i w:val="false"/>
          <w:iCs w:val="false"/>
          <w:color w:val="333333"/>
          <w:sz w:val="20"/>
          <w:szCs w:val="20"/>
          <w:rtl w:val="true"/>
        </w:rPr>
        <w:t>).</w:t>
      </w:r>
    </w:p>
  </w:footnote>
  <w:footnote w:id="2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كالمحقق الكركي في جامع المقاصد،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2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الدروس الشرعية ،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 موسوعة الشهيد الأول، 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2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مسألة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لو غرس شجرة تين في الطريق الواسع بحيث لا تضر بالمارة وجعلها وقفاً صح إن كان فيما زاد على السبعة وإلا فلا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زين رحمه الله</w:t>
      </w:r>
      <w:r>
        <w:rPr>
          <w:rFonts w:eastAsia="IRNazanin" w:cs="IRNazanin"/>
          <w:b w:val="false"/>
          <w:bCs w:val="false"/>
          <w:i w:val="false"/>
          <w:iCs w:val="false"/>
          <w:color w:val="333333"/>
          <w:sz w:val="20"/>
          <w:szCs w:val="20"/>
          <w:rtl w:val="true"/>
        </w:rPr>
        <w:t>)</w:t>
      </w:r>
    </w:p>
  </w:footnote>
  <w:footnote w:id="2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الدروس الشرعية،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ضمن موسوعة الشهيد الأول، 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2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المحقق في شرائع الإسلام،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221</w:t>
      </w:r>
      <w:r>
        <w:rPr>
          <w:rFonts w:ascii="IRNazanin" w:hAnsi="IRNazanin" w:eastAsia="IRNazanin"/>
          <w:b w:val="false"/>
          <w:b w:val="false"/>
          <w:bCs w:val="false"/>
          <w:i w:val="false"/>
          <w:i w:val="false"/>
          <w:iCs w:val="false"/>
          <w:color w:val="333333"/>
          <w:sz w:val="20"/>
          <w:sz w:val="20"/>
          <w:szCs w:val="20"/>
          <w:rtl w:val="true"/>
        </w:rPr>
        <w:t xml:space="preserve">؛ والعلامة في قواعد الأحكام،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270</w:t>
      </w:r>
      <w:r>
        <w:rPr>
          <w:rFonts w:ascii="IRNazanin" w:hAnsi="IRNazanin" w:eastAsia="IRNazanin"/>
          <w:b w:val="false"/>
          <w:b w:val="false"/>
          <w:bCs w:val="false"/>
          <w:i w:val="false"/>
          <w:i w:val="false"/>
          <w:iCs w:val="false"/>
          <w:color w:val="333333"/>
          <w:sz w:val="20"/>
          <w:sz w:val="20"/>
          <w:szCs w:val="20"/>
          <w:rtl w:val="true"/>
        </w:rPr>
        <w:t xml:space="preserve">؛ وفخر المحققين في إيضاح الفوائد،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w:t>
      </w:r>
    </w:p>
  </w:footnote>
  <w:footnote w:id="2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31</w:t>
      </w:r>
    </w:p>
  </w:footnote>
  <w:footnote w:id="2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الدروس الشرعيّة ،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 موسوعة الشهيد الأول، 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2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تذكرة الفقهاء،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الطبعة الحجرية</w:t>
      </w:r>
      <w:r>
        <w:rPr>
          <w:rFonts w:eastAsia="IRNazanin" w:cs="IRNazanin"/>
          <w:b w:val="false"/>
          <w:bCs w:val="false"/>
          <w:i w:val="false"/>
          <w:iCs w:val="false"/>
          <w:color w:val="333333"/>
          <w:sz w:val="20"/>
          <w:szCs w:val="20"/>
          <w:rtl w:val="true"/>
        </w:rPr>
        <w:t>).</w:t>
      </w:r>
    </w:p>
  </w:footnote>
  <w:footnote w:id="2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ضمن الحديث المذكور في ص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الهامش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الدروس الشرعية،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 موسوعة الشهيد الأول، 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2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ذهب إليه العلامة في قواعد الأحكام،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275</w:t>
      </w:r>
      <w:r>
        <w:rPr>
          <w:rFonts w:ascii="IRNazanin" w:hAnsi="IRNazanin" w:eastAsia="IRNazanin"/>
          <w:b w:val="false"/>
          <w:b w:val="false"/>
          <w:bCs w:val="false"/>
          <w:i w:val="false"/>
          <w:i w:val="false"/>
          <w:iCs w:val="false"/>
          <w:color w:val="333333"/>
          <w:sz w:val="20"/>
          <w:sz w:val="20"/>
          <w:szCs w:val="20"/>
          <w:rtl w:val="true"/>
        </w:rPr>
        <w:t xml:space="preserve">؛ وولده في إيضاح الفوائد،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w:t>
      </w:r>
    </w:p>
  </w:footnote>
  <w:footnote w:id="2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102</w:t>
      </w:r>
    </w:p>
  </w:footnote>
  <w:footnote w:id="2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500</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22573</w:t>
      </w:r>
      <w:r>
        <w:rPr>
          <w:rFonts w:ascii="IRNazanin" w:hAnsi="IRNazanin" w:eastAsia="IRNazanin"/>
          <w:b w:val="false"/>
          <w:b w:val="false"/>
          <w:bCs w:val="false"/>
          <w:i w:val="false"/>
          <w:i w:val="false"/>
          <w:iCs w:val="false"/>
          <w:color w:val="333333"/>
          <w:sz w:val="20"/>
          <w:sz w:val="20"/>
          <w:szCs w:val="20"/>
          <w:rtl w:val="true"/>
        </w:rPr>
        <w:t xml:space="preserve">؛ سنن أبي داود،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3477</w:t>
      </w:r>
      <w:r>
        <w:rPr>
          <w:rFonts w:eastAsia="IRNazanin" w:cs="IRNazanin"/>
          <w:b w:val="false"/>
          <w:bCs w:val="false"/>
          <w:i w:val="false"/>
          <w:iCs w:val="false"/>
          <w:color w:val="333333"/>
          <w:sz w:val="20"/>
          <w:szCs w:val="20"/>
          <w:rtl w:val="true"/>
        </w:rPr>
        <w:t>.</w:t>
      </w:r>
    </w:p>
  </w:footnote>
  <w:footnote w:id="2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الدروس الشرعية ،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ضمن موسوعة الشهيد الأول، 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2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احتمله العلّامة في تذكرة الفقهاء ،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 الحجرية</w:t>
      </w:r>
      <w:r>
        <w:rPr>
          <w:rFonts w:eastAsia="IRNazanin" w:cs="IRNazanin"/>
          <w:b w:val="false"/>
          <w:bCs w:val="false"/>
          <w:i w:val="false"/>
          <w:iCs w:val="false"/>
          <w:color w:val="333333"/>
          <w:sz w:val="20"/>
          <w:szCs w:val="20"/>
          <w:rtl w:val="true"/>
        </w:rPr>
        <w:t>).</w:t>
      </w:r>
    </w:p>
  </w:footnote>
  <w:footnote w:id="2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لتوضيح الأقوال راجع مختلف الشيعة،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المسألة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وغاية المراد،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 موسوعة الشهيد الأول،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وسائل الشيعة، ج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333</w:t>
      </w:r>
      <w:r>
        <w:rPr>
          <w:rFonts w:ascii="IRNazanin" w:hAnsi="IRNazanin" w:eastAsia="IRNazanin"/>
          <w:b w:val="false"/>
          <w:b w:val="false"/>
          <w:bCs w:val="false"/>
          <w:i w:val="false"/>
          <w:i w:val="false"/>
          <w:iCs w:val="false"/>
          <w:color w:val="333333"/>
          <w:sz w:val="20"/>
          <w:sz w:val="20"/>
          <w:szCs w:val="20"/>
          <w:rtl w:val="true"/>
        </w:rPr>
        <w:t xml:space="preserve">، وص </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340</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الصيد</w:t>
      </w:r>
      <w:r>
        <w:rPr>
          <w:rFonts w:eastAsia="IRNazanin" w:cs="IRNazanin"/>
          <w:b w:val="false"/>
          <w:bCs w:val="false"/>
          <w:i w:val="false"/>
          <w:iCs w:val="false"/>
          <w:color w:val="333333"/>
          <w:sz w:val="20"/>
          <w:szCs w:val="20"/>
          <w:rtl w:val="true"/>
        </w:rPr>
        <w:t>.</w:t>
      </w:r>
    </w:p>
  </w:footnote>
  <w:footnote w:id="2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قبل رؤية الصيد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زين رحمه الله </w:t>
      </w:r>
      <w:r>
        <w:rPr>
          <w:rFonts w:eastAsia="IRNazanin" w:cs="IRNazanin"/>
          <w:b w:val="false"/>
          <w:bCs w:val="false"/>
          <w:i w:val="false"/>
          <w:iCs w:val="false"/>
          <w:color w:val="333333"/>
          <w:sz w:val="20"/>
          <w:szCs w:val="20"/>
          <w:rtl w:val="true"/>
        </w:rPr>
        <w:t>)</w:t>
      </w:r>
    </w:p>
  </w:footnote>
  <w:footnote w:id="2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297</w:t>
      </w:r>
      <w:r>
        <w:rPr>
          <w:rFonts w:ascii="IRNazanin" w:hAnsi="IRNazanin" w:eastAsia="IRNazanin"/>
          <w:b w:val="false"/>
          <w:b w:val="false"/>
          <w:bCs w:val="false"/>
          <w:i w:val="false"/>
          <w:i w:val="false"/>
          <w:iCs w:val="false"/>
          <w:color w:val="333333"/>
          <w:sz w:val="20"/>
          <w:sz w:val="20"/>
          <w:szCs w:val="20"/>
          <w:rtl w:val="true"/>
        </w:rPr>
        <w:t xml:space="preserve">، باب النوادر،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 في سعة حتّى يعلموا؛ أورد نصه الشهيد في غاية المراد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 موسوعة الشهيد الأوّل،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وابن أبي الجمهور في عوالي اللآلي ،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w:t>
      </w:r>
    </w:p>
  </w:footnote>
  <w:footnote w:id="2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القواعد والفوائد،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 موسوعة الشهيد الأول، 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2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القول بالإجزاء للعلامة في قواعد الأحكام،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313</w:t>
      </w:r>
      <w:r>
        <w:rPr>
          <w:rFonts w:ascii="IRNazanin" w:hAnsi="IRNazanin" w:eastAsia="IRNazanin"/>
          <w:b w:val="false"/>
          <w:b w:val="false"/>
          <w:bCs w:val="false"/>
          <w:i w:val="false"/>
          <w:i w:val="false"/>
          <w:iCs w:val="false"/>
          <w:color w:val="333333"/>
          <w:sz w:val="20"/>
          <w:sz w:val="20"/>
          <w:szCs w:val="20"/>
          <w:rtl w:val="true"/>
        </w:rPr>
        <w:t xml:space="preserve">؛ والشهيد في الدروس الشرعية،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 موسوعة الشهيد الأول،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والقول الآخر ظاهر المحقق في شرائع الإسلام،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w:t>
      </w:r>
    </w:p>
  </w:footnote>
  <w:footnote w:id="2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الأنعام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121</w:t>
      </w:r>
    </w:p>
  </w:footnote>
  <w:footnote w:id="2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واذكروا الله</w:t>
      </w:r>
      <w:r>
        <w:rPr>
          <w:rFonts w:eastAsia="IRNazanin" w:cs="IRNazanin"/>
          <w:b w:val="false"/>
          <w:bCs w:val="false"/>
          <w:i w:val="false"/>
          <w:iCs w:val="false"/>
          <w:color w:val="333333"/>
          <w:sz w:val="20"/>
          <w:szCs w:val="20"/>
          <w:rtl w:val="true"/>
        </w:rPr>
        <w:t>»!</w:t>
      </w:r>
    </w:p>
  </w:footnote>
  <w:footnote w:id="2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المائدة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p>
  </w:footnote>
  <w:footnote w:id="2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97</w:t>
      </w:r>
    </w:p>
  </w:footnote>
  <w:footnote w:id="2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w:t>
      </w:r>
    </w:p>
  </w:footnote>
  <w:footnote w:id="3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القول بالإجزاء للشهيد في الدروس الشرعية ،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 موسوعة الشهيد الأول،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ولم نعثر على القول الآخر</w:t>
      </w:r>
      <w:r>
        <w:rPr>
          <w:rFonts w:eastAsia="IRNazanin" w:cs="IRNazanin"/>
          <w:b w:val="false"/>
          <w:bCs w:val="false"/>
          <w:i w:val="false"/>
          <w:iCs w:val="false"/>
          <w:color w:val="333333"/>
          <w:sz w:val="20"/>
          <w:szCs w:val="20"/>
          <w:rtl w:val="true"/>
        </w:rPr>
        <w:t>.</w:t>
      </w:r>
    </w:p>
  </w:footnote>
  <w:footnote w:id="3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تحرير الأحكام الشرعية،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607</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6208</w:t>
      </w:r>
      <w:r>
        <w:rPr>
          <w:rFonts w:eastAsia="IRNazanin" w:cs="IRNazanin"/>
          <w:b w:val="false"/>
          <w:bCs w:val="false"/>
          <w:i w:val="false"/>
          <w:iCs w:val="false"/>
          <w:color w:val="333333"/>
          <w:sz w:val="20"/>
          <w:szCs w:val="20"/>
          <w:rtl w:val="true"/>
        </w:rPr>
        <w:t>.</w:t>
      </w:r>
    </w:p>
  </w:footnote>
  <w:footnote w:id="3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القول بعدم الاشتراط للعلامة في تحرير الأحكام الشرعية،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6208</w:t>
      </w:r>
      <w:r>
        <w:rPr>
          <w:rFonts w:ascii="IRNazanin" w:hAnsi="IRNazanin" w:eastAsia="IRNazanin"/>
          <w:b w:val="false"/>
          <w:b w:val="false"/>
          <w:bCs w:val="false"/>
          <w:i w:val="false"/>
          <w:i w:val="false"/>
          <w:iCs w:val="false"/>
          <w:color w:val="333333"/>
          <w:sz w:val="20"/>
          <w:sz w:val="20"/>
          <w:szCs w:val="20"/>
          <w:rtl w:val="true"/>
        </w:rPr>
        <w:t>؛ أما القول باشتراط العربية لم نعثر عليه</w:t>
      </w:r>
      <w:r>
        <w:rPr>
          <w:rFonts w:eastAsia="IRNazanin" w:cs="IRNazanin"/>
          <w:b w:val="false"/>
          <w:bCs w:val="false"/>
          <w:i w:val="false"/>
          <w:iCs w:val="false"/>
          <w:color w:val="333333"/>
          <w:sz w:val="20"/>
          <w:szCs w:val="20"/>
          <w:rtl w:val="true"/>
        </w:rPr>
        <w:t>.</w:t>
      </w:r>
    </w:p>
  </w:footnote>
  <w:footnote w:id="3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نقلهما العلامة عن ابن الجنيد و ابن أبي عقيل في مختلف الشيعة،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316</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3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سلف في ص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w:t>
      </w:r>
    </w:p>
  </w:footnote>
  <w:footnote w:id="3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 في ص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w:t>
      </w:r>
    </w:p>
  </w:footnote>
  <w:footnote w:id="3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المائدة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p>
  </w:footnote>
  <w:footnote w:id="3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المسألة</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p>
  </w:footnote>
  <w:footnote w:id="3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الدروس الشرعية،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 موسوعة الشهيد الأول،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3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منهم الشيخ الصدوق في المقنع، ص </w:t>
      </w:r>
      <w:r>
        <w:rPr>
          <w:rFonts w:eastAsia="IRNazanin" w:cs="IRNazanin"/>
          <w:b w:val="false"/>
          <w:bCs w:val="false"/>
          <w:i w:val="false"/>
          <w:iCs w:val="false"/>
          <w:color w:val="333333"/>
          <w:sz w:val="20"/>
          <w:szCs w:val="20"/>
        </w:rPr>
        <w:t>417</w:t>
      </w:r>
      <w:r>
        <w:rPr>
          <w:rFonts w:eastAsia="IRNazanin" w:cs="IRNazanin"/>
          <w:b w:val="false"/>
          <w:bCs w:val="false"/>
          <w:i w:val="false"/>
          <w:iCs w:val="false"/>
          <w:color w:val="333333"/>
          <w:sz w:val="20"/>
          <w:szCs w:val="20"/>
          <w:rtl w:val="true"/>
        </w:rPr>
        <w:t>.</w:t>
      </w:r>
    </w:p>
  </w:footnote>
  <w:footnote w:id="3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نقله عن ابن أبي عقيل وابن الجنيد العلّامة في مختلف الشيعة،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316</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3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 xml:space="preserve"> .</w:t>
      </w:r>
    </w:p>
  </w:footnote>
  <w:footnote w:id="3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w:t>
      </w:r>
    </w:p>
  </w:footnote>
  <w:footnote w:id="3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في مختلف الشيعة،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319</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3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w:t>
      </w:r>
    </w:p>
  </w:footnote>
  <w:footnote w:id="3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القول بالاشتراط للعلامة في مختلف الشيعة،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320</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القول بالعدم للشهيد في الدروس</w:t>
      </w:r>
    </w:p>
  </w:footnote>
  <w:footnote w:id="3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w:t>
      </w:r>
    </w:p>
  </w:footnote>
  <w:footnote w:id="3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القاضي في المهذب،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439</w:t>
      </w:r>
      <w:r>
        <w:rPr>
          <w:rFonts w:ascii="IRNazanin" w:hAnsi="IRNazanin" w:eastAsia="IRNazanin"/>
          <w:b w:val="false"/>
          <w:b w:val="false"/>
          <w:bCs w:val="false"/>
          <w:i w:val="false"/>
          <w:i w:val="false"/>
          <w:iCs w:val="false"/>
          <w:color w:val="333333"/>
          <w:sz w:val="20"/>
          <w:sz w:val="20"/>
          <w:szCs w:val="20"/>
          <w:rtl w:val="true"/>
        </w:rPr>
        <w:t xml:space="preserve">؛ وابن إدريس في السرائر،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106</w:t>
      </w:r>
      <w:r>
        <w:rPr>
          <w:rFonts w:ascii="IRNazanin" w:hAnsi="IRNazanin" w:eastAsia="IRNazanin"/>
          <w:b w:val="false"/>
          <w:b w:val="false"/>
          <w:bCs w:val="false"/>
          <w:i w:val="false"/>
          <w:i w:val="false"/>
          <w:iCs w:val="false"/>
          <w:color w:val="333333"/>
          <w:sz w:val="20"/>
          <w:sz w:val="20"/>
          <w:szCs w:val="20"/>
          <w:rtl w:val="true"/>
        </w:rPr>
        <w:t xml:space="preserve">؛ والحلبي في الكافي في الفقه، ص </w:t>
      </w:r>
      <w:r>
        <w:rPr>
          <w:rFonts w:eastAsia="IRNazanin" w:cs="IRNazanin"/>
          <w:b w:val="false"/>
          <w:bCs w:val="false"/>
          <w:i w:val="false"/>
          <w:iCs w:val="false"/>
          <w:color w:val="333333"/>
          <w:sz w:val="20"/>
          <w:szCs w:val="20"/>
        </w:rPr>
        <w:t>277</w:t>
      </w:r>
    </w:p>
  </w:footnote>
  <w:footnote w:id="3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298</w:t>
      </w:r>
    </w:p>
  </w:footnote>
  <w:footnote w:id="3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تخريجه في ص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الهامش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3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الأصل، وفي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أ ، ب ، ج </w:t>
      </w:r>
      <w:r>
        <w:rPr>
          <w:rFonts w:eastAsia="IRNazanin" w:cs="IRNazanin"/>
          <w:b w:val="false"/>
          <w:bCs w:val="false"/>
          <w:i w:val="false"/>
          <w:iCs w:val="false"/>
          <w:color w:val="333333"/>
          <w:sz w:val="20"/>
          <w:szCs w:val="20"/>
          <w:rtl w:val="true"/>
        </w:rPr>
        <w:t>...»</w:t>
      </w:r>
    </w:p>
  </w:footnote>
  <w:footnote w:id="3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 xml:space="preserve"> .</w:t>
      </w:r>
    </w:p>
  </w:footnote>
  <w:footnote w:id="3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213</w:t>
      </w:r>
    </w:p>
  </w:footnote>
  <w:footnote w:id="3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4166</w:t>
      </w:r>
      <w:r>
        <w:rPr>
          <w:rFonts w:eastAsia="IRNazanin" w:cs="IRNazanin"/>
          <w:b w:val="false"/>
          <w:bCs w:val="false"/>
          <w:i w:val="false"/>
          <w:iCs w:val="false"/>
          <w:color w:val="333333"/>
          <w:sz w:val="20"/>
          <w:szCs w:val="20"/>
          <w:rtl w:val="true"/>
        </w:rPr>
        <w:t>.</w:t>
      </w:r>
    </w:p>
  </w:footnote>
  <w:footnote w:id="3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اختاره ابن إدريس في السرائر،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86</w:t>
      </w:r>
    </w:p>
  </w:footnote>
  <w:footnote w:id="3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3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النسخ، وفي المصدر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أنهر</w:t>
      </w:r>
      <w:r>
        <w:rPr>
          <w:rFonts w:eastAsia="IRNazanin" w:cs="IRNazanin"/>
          <w:b w:val="false"/>
          <w:bCs w:val="false"/>
          <w:i w:val="false"/>
          <w:iCs w:val="false"/>
          <w:color w:val="333333"/>
          <w:sz w:val="20"/>
          <w:szCs w:val="20"/>
          <w:rtl w:val="true"/>
        </w:rPr>
        <w:t>»</w:t>
      </w:r>
    </w:p>
  </w:footnote>
  <w:footnote w:id="3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السنن الكبرى البيهقي،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18935</w:t>
      </w:r>
      <w:r>
        <w:rPr>
          <w:rFonts w:ascii="IRNazanin" w:hAnsi="IRNazanin" w:eastAsia="IRNazanin"/>
          <w:b w:val="false"/>
          <w:b w:val="false"/>
          <w:bCs w:val="false"/>
          <w:i w:val="false"/>
          <w:i w:val="false"/>
          <w:iCs w:val="false"/>
          <w:color w:val="333333"/>
          <w:sz w:val="20"/>
          <w:sz w:val="20"/>
          <w:szCs w:val="20"/>
          <w:rtl w:val="true"/>
        </w:rPr>
        <w:t xml:space="preserve">؛ صحیح مسلم،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1968/20</w:t>
      </w:r>
      <w:r>
        <w:rPr>
          <w:rFonts w:eastAsia="IRNazanin" w:cs="IRNazanin"/>
          <w:b w:val="false"/>
          <w:bCs w:val="false"/>
          <w:i w:val="false"/>
          <w:iCs w:val="false"/>
          <w:color w:val="333333"/>
          <w:sz w:val="20"/>
          <w:szCs w:val="20"/>
          <w:rtl w:val="true"/>
        </w:rPr>
        <w:t>.</w:t>
      </w:r>
    </w:p>
  </w:footnote>
  <w:footnote w:id="3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غاية المراد،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 موسوعة الشهيد الأول،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الدروس الشرعية،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 موسوعة الشهيد الأول،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3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أجمع الأصحاب على اشتراط استقبال القبلة في الذبح والنحر وأنه لو أخل به عامداً حرمت ولو كانت ناسياً لم تحرم لحسنة محمّد بن مسلم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سألت أبا عبد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عن ذبيحة ذبحت بغير القبلة فقال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كل لا بأس بذلك ما لم يتعمد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ومثلها حسنة الحلبي عنه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والجاهل هنا كالناسي لحسنة محمد بن مسلم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سألت أبا جعفر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رجل ذبح ذبيحة جهل أن يوجهه إلى القبلة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كل منها وقال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إذا أردت أن تذبح فاستقبل بذبيحتك القبلة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ومَن لا يعتقد وجوب الاستقبال في معنى الجاهل فلا تحرم ذبیحته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زین رحمه الله</w:t>
      </w:r>
      <w:r>
        <w:rPr>
          <w:rFonts w:eastAsia="IRNazanin" w:cs="IRNazanin"/>
          <w:b w:val="false"/>
          <w:bCs w:val="false"/>
          <w:i w:val="false"/>
          <w:iCs w:val="false"/>
          <w:color w:val="333333"/>
          <w:sz w:val="20"/>
          <w:szCs w:val="20"/>
          <w:rtl w:val="true"/>
        </w:rPr>
        <w:t>)</w:t>
      </w:r>
    </w:p>
  </w:footnote>
  <w:footnote w:id="3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نعثر عليه</w:t>
      </w:r>
      <w:r>
        <w:rPr>
          <w:rFonts w:eastAsia="IRNazanin" w:cs="IRNazanin"/>
          <w:b w:val="false"/>
          <w:bCs w:val="false"/>
          <w:i w:val="false"/>
          <w:iCs w:val="false"/>
          <w:color w:val="333333"/>
          <w:sz w:val="20"/>
          <w:szCs w:val="20"/>
          <w:rtl w:val="true"/>
        </w:rPr>
        <w:t>.</w:t>
      </w:r>
    </w:p>
  </w:footnote>
  <w:footnote w:id="3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w:t>
      </w:r>
    </w:p>
  </w:footnote>
  <w:footnote w:id="3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w:t>
      </w:r>
    </w:p>
  </w:footnote>
  <w:footnote w:id="3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w:t>
      </w:r>
    </w:p>
  </w:footnote>
  <w:footnote w:id="3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سبق في ص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w:t>
      </w:r>
    </w:p>
  </w:footnote>
  <w:footnote w:id="3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الدروس الشرعية،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ضمن موسوعة الشهيد الأول،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3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المجموع شرح المهذب،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409</w:t>
      </w:r>
      <w:r>
        <w:rPr>
          <w:rFonts w:eastAsia="IRNazanin" w:cs="IRNazanin"/>
          <w:b w:val="false"/>
          <w:bCs w:val="false"/>
          <w:i w:val="false"/>
          <w:iCs w:val="false"/>
          <w:color w:val="333333"/>
          <w:sz w:val="20"/>
          <w:szCs w:val="20"/>
          <w:rtl w:val="true"/>
        </w:rPr>
        <w:t>.</w:t>
      </w:r>
    </w:p>
  </w:footnote>
  <w:footnote w:id="3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ص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w:t>
      </w:r>
    </w:p>
  </w:footnote>
  <w:footnote w:id="3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w:t>
      </w:r>
    </w:p>
  </w:footnote>
  <w:footnote w:id="3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الدروس الشرعية،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ضمن موسوعة الشهيد الأول،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3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كالمحقق في شرائع الإسلام،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w:t>
      </w:r>
    </w:p>
  </w:footnote>
  <w:footnote w:id="3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يأتي عن قريب</w:t>
      </w:r>
      <w:r>
        <w:rPr>
          <w:rFonts w:eastAsia="IRNazanin" w:cs="IRNazanin"/>
          <w:b w:val="false"/>
          <w:bCs w:val="false"/>
          <w:i w:val="false"/>
          <w:iCs w:val="false"/>
          <w:color w:val="333333"/>
          <w:sz w:val="20"/>
          <w:szCs w:val="20"/>
          <w:rtl w:val="true"/>
        </w:rPr>
        <w:t>.</w:t>
      </w:r>
    </w:p>
  </w:footnote>
  <w:footnote w:id="3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نقله عن ابن الجنيد العلّامة في مختلف الشيعة،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369</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3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213</w:t>
      </w:r>
    </w:p>
  </w:footnote>
  <w:footnote w:id="3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حملها الشهيد في الدروس الشرعية،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ضمن موسوعة الشهيد الأول،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3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235</w:t>
      </w:r>
    </w:p>
  </w:footnote>
  <w:footnote w:id="3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w:t>
      </w:r>
    </w:p>
  </w:footnote>
  <w:footnote w:id="3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الشيخ المفيد في المقنعة، ص </w:t>
      </w:r>
      <w:r>
        <w:rPr>
          <w:rFonts w:eastAsia="IRNazanin" w:cs="IRNazanin"/>
          <w:b w:val="false"/>
          <w:bCs w:val="false"/>
          <w:i w:val="false"/>
          <w:iCs w:val="false"/>
          <w:color w:val="333333"/>
          <w:sz w:val="20"/>
          <w:szCs w:val="20"/>
        </w:rPr>
        <w:t>580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والديلمي في المراسم ص </w:t>
      </w:r>
      <w:r>
        <w:rPr>
          <w:rFonts w:eastAsia="IRNazanin" w:cs="IRNazanin"/>
          <w:b w:val="false"/>
          <w:bCs w:val="false"/>
          <w:i w:val="false"/>
          <w:iCs w:val="false"/>
          <w:color w:val="333333"/>
          <w:sz w:val="20"/>
          <w:szCs w:val="20"/>
        </w:rPr>
        <w:t>209</w:t>
      </w:r>
      <w:r>
        <w:rPr>
          <w:rFonts w:ascii="IRNazanin" w:hAnsi="IRNazanin" w:eastAsia="IRNazanin"/>
          <w:b w:val="false"/>
          <w:b w:val="false"/>
          <w:bCs w:val="false"/>
          <w:i w:val="false"/>
          <w:i w:val="false"/>
          <w:iCs w:val="false"/>
          <w:color w:val="333333"/>
          <w:sz w:val="20"/>
          <w:sz w:val="20"/>
          <w:szCs w:val="20"/>
          <w:rtl w:val="true"/>
        </w:rPr>
        <w:t xml:space="preserve">؛ والقاضي في المهذب،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428</w:t>
      </w:r>
      <w:r>
        <w:rPr>
          <w:rFonts w:eastAsia="IRNazanin" w:cs="IRNazanin"/>
          <w:b w:val="false"/>
          <w:bCs w:val="false"/>
          <w:i w:val="false"/>
          <w:iCs w:val="false"/>
          <w:color w:val="333333"/>
          <w:sz w:val="20"/>
          <w:szCs w:val="20"/>
          <w:rtl w:val="true"/>
        </w:rPr>
        <w:t>.</w:t>
      </w:r>
    </w:p>
  </w:footnote>
  <w:footnote w:id="3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منهم الشيخ الصدوق في المقنع، ص </w:t>
      </w:r>
      <w:r>
        <w:rPr>
          <w:rFonts w:eastAsia="IRNazanin" w:cs="IRNazanin"/>
          <w:b w:val="false"/>
          <w:bCs w:val="false"/>
          <w:i w:val="false"/>
          <w:iCs w:val="false"/>
          <w:color w:val="333333"/>
          <w:sz w:val="20"/>
          <w:szCs w:val="20"/>
        </w:rPr>
        <w:t>416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والعلّامة في مختلف الشيعة،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326</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34</w:t>
      </w:r>
      <w:r>
        <w:rPr>
          <w:rFonts w:ascii="IRNazanin" w:hAnsi="IRNazanin" w:eastAsia="IRNazanin"/>
          <w:b w:val="false"/>
          <w:b w:val="false"/>
          <w:bCs w:val="false"/>
          <w:i w:val="false"/>
          <w:i w:val="false"/>
          <w:iCs w:val="false"/>
          <w:color w:val="333333"/>
          <w:sz w:val="20"/>
          <w:sz w:val="20"/>
          <w:szCs w:val="20"/>
          <w:rtl w:val="true"/>
        </w:rPr>
        <w:t>؛ وابن</w:t>
      </w:r>
    </w:p>
  </w:footnote>
  <w:footnote w:id="3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w:t>
      </w:r>
    </w:p>
  </w:footnote>
  <w:footnote w:id="3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كابن إدريس في السرائر ،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108</w:t>
      </w:r>
      <w:r>
        <w:rPr>
          <w:rFonts w:ascii="IRNazanin" w:hAnsi="IRNazanin" w:eastAsia="IRNazanin"/>
          <w:b w:val="false"/>
          <w:b w:val="false"/>
          <w:bCs w:val="false"/>
          <w:i w:val="false"/>
          <w:i w:val="false"/>
          <w:iCs w:val="false"/>
          <w:color w:val="333333"/>
          <w:sz w:val="20"/>
          <w:sz w:val="20"/>
          <w:szCs w:val="20"/>
          <w:rtl w:val="true"/>
        </w:rPr>
        <w:t xml:space="preserve">؛ والمحقق في شرائع الإسلام،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158</w:t>
      </w:r>
      <w:r>
        <w:rPr>
          <w:rFonts w:ascii="IRNazanin" w:hAnsi="IRNazanin" w:eastAsia="IRNazanin"/>
          <w:b w:val="false"/>
          <w:b w:val="false"/>
          <w:bCs w:val="false"/>
          <w:i w:val="false"/>
          <w:i w:val="false"/>
          <w:iCs w:val="false"/>
          <w:color w:val="333333"/>
          <w:sz w:val="20"/>
          <w:sz w:val="20"/>
          <w:szCs w:val="20"/>
          <w:rtl w:val="true"/>
        </w:rPr>
        <w:t xml:space="preserve">؛ والعلامة في قواعد الأحكام،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322</w:t>
      </w:r>
    </w:p>
  </w:footnote>
  <w:footnote w:id="3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المائدة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p>
  </w:footnote>
  <w:footnote w:id="3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w:t>
      </w:r>
    </w:p>
  </w:footnote>
  <w:footnote w:id="3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 xml:space="preserve"> .</w:t>
      </w:r>
    </w:p>
  </w:footnote>
  <w:footnote w:id="3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الدروس الشرعية،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ضمن موسوعة الشهيد الأول،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3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745</w:t>
      </w:r>
      <w:r>
        <w:rPr>
          <w:rFonts w:eastAsia="IRNazanin" w:cs="IRNazanin"/>
          <w:b w:val="false"/>
          <w:bCs w:val="false"/>
          <w:i w:val="false"/>
          <w:iCs w:val="false"/>
          <w:color w:val="333333"/>
          <w:sz w:val="20"/>
          <w:szCs w:val="20"/>
          <w:rtl w:val="true"/>
        </w:rPr>
        <w:t>.</w:t>
      </w:r>
    </w:p>
  </w:footnote>
  <w:footnote w:id="3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w:t>
      </w:r>
    </w:p>
  </w:footnote>
  <w:footnote w:id="3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به الشيخ في النهاية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584</w:t>
      </w:r>
      <w:r>
        <w:rPr>
          <w:rFonts w:ascii="IRNazanin" w:hAnsi="IRNazanin" w:eastAsia="IRNazanin"/>
          <w:b w:val="false"/>
          <w:b w:val="false"/>
          <w:bCs w:val="false"/>
          <w:i w:val="false"/>
          <w:i w:val="false"/>
          <w:iCs w:val="false"/>
          <w:color w:val="333333"/>
          <w:sz w:val="20"/>
          <w:sz w:val="20"/>
          <w:szCs w:val="20"/>
          <w:rtl w:val="true"/>
        </w:rPr>
        <w:t xml:space="preserve">؛ والقاضي في المهذب،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440</w:t>
      </w:r>
      <w:r>
        <w:rPr>
          <w:rFonts w:eastAsia="IRNazanin" w:cs="IRNazanin"/>
          <w:b w:val="false"/>
          <w:bCs w:val="false"/>
          <w:i w:val="false"/>
          <w:iCs w:val="false"/>
          <w:color w:val="333333"/>
          <w:sz w:val="20"/>
          <w:szCs w:val="20"/>
          <w:rtl w:val="true"/>
        </w:rPr>
        <w:t>.</w:t>
      </w:r>
    </w:p>
  </w:footnote>
  <w:footnote w:id="3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 xml:space="preserve"> .</w:t>
      </w:r>
    </w:p>
  </w:footnote>
  <w:footnote w:id="3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الدروس الشرعية ،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ضمن موسوعة الشهيد الأول،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3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آنفاً في الهامش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به الشيخ في النهاية، ص </w:t>
      </w:r>
      <w:r>
        <w:rPr>
          <w:rFonts w:eastAsia="IRNazanin" w:cs="IRNazanin"/>
          <w:b w:val="false"/>
          <w:bCs w:val="false"/>
          <w:i w:val="false"/>
          <w:iCs w:val="false"/>
          <w:color w:val="333333"/>
          <w:sz w:val="20"/>
          <w:szCs w:val="20"/>
        </w:rPr>
        <w:t>584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والقاضي في المهذب،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440</w:t>
      </w:r>
      <w:r>
        <w:rPr>
          <w:rFonts w:eastAsia="IRNazanin" w:cs="IRNazanin"/>
          <w:b w:val="false"/>
          <w:bCs w:val="false"/>
          <w:i w:val="false"/>
          <w:iCs w:val="false"/>
          <w:color w:val="333333"/>
          <w:sz w:val="20"/>
          <w:szCs w:val="20"/>
          <w:rtl w:val="true"/>
        </w:rPr>
        <w:t>.</w:t>
      </w:r>
    </w:p>
  </w:footnote>
  <w:footnote w:id="3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اعلم أنّ الرواية مع عدم دلالتها على موضع النزاع مرسلة ؛ لأنّ محمّد بن يحيى لم يدرك الرضا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إنما رفعه اليد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وهو طريق آخر لردّها والمصنف في الشرح غاية المراد،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ضمن موسوعة الشهيد الأول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اعتذر عن ذلك بأن الرفع في الاصطلاح بمعنى الإسناد، وضعف بأنه مع تسليمه لا يستلزم كونه على وجه يصلح للحجة ؛ لأن السند حينئذٍ مجهول فهو بمعنى الإرسال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وأعجب من ذلك أنه جعلها في الدروس الشرعية،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 موسوعة الشهيد الأوّل،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مقطوعة مع كونها مروية عن الرضا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والمقطوع ما لم يذكر فيه المروي عنه من النبي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وآله وسلم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 الإمام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منه رحمه الله</w:t>
      </w:r>
      <w:r>
        <w:rPr>
          <w:rFonts w:eastAsia="IRNazanin" w:cs="IRNazanin"/>
          <w:b w:val="false"/>
          <w:bCs w:val="false"/>
          <w:i w:val="false"/>
          <w:iCs w:val="false"/>
          <w:color w:val="333333"/>
          <w:sz w:val="20"/>
          <w:szCs w:val="20"/>
          <w:rtl w:val="true"/>
        </w:rPr>
        <w:t>)</w:t>
      </w:r>
    </w:p>
  </w:footnote>
  <w:footnote w:id="3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w:t>
      </w:r>
    </w:p>
  </w:footnote>
  <w:footnote w:id="3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الشيخ في النهاية، ص </w:t>
      </w:r>
      <w:r>
        <w:rPr>
          <w:rFonts w:eastAsia="IRNazanin" w:cs="IRNazanin"/>
          <w:b w:val="false"/>
          <w:bCs w:val="false"/>
          <w:i w:val="false"/>
          <w:iCs w:val="false"/>
          <w:color w:val="333333"/>
          <w:sz w:val="20"/>
          <w:szCs w:val="20"/>
        </w:rPr>
        <w:t>584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والقاضي في المهذب،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وابن حمزة في الوسيلة، ص </w:t>
      </w:r>
      <w:r>
        <w:rPr>
          <w:rFonts w:eastAsia="IRNazanin" w:cs="IRNazanin"/>
          <w:b w:val="false"/>
          <w:bCs w:val="false"/>
          <w:i w:val="false"/>
          <w:iCs w:val="false"/>
          <w:color w:val="333333"/>
          <w:sz w:val="20"/>
          <w:szCs w:val="20"/>
        </w:rPr>
        <w:t>360</w:t>
      </w:r>
      <w:r>
        <w:rPr>
          <w:rFonts w:eastAsia="IRNazanin" w:cs="IRNazanin"/>
          <w:b w:val="false"/>
          <w:bCs w:val="false"/>
          <w:i w:val="false"/>
          <w:iCs w:val="false"/>
          <w:color w:val="333333"/>
          <w:sz w:val="20"/>
          <w:szCs w:val="20"/>
          <w:rtl w:val="true"/>
        </w:rPr>
        <w:t>.</w:t>
      </w:r>
    </w:p>
  </w:footnote>
  <w:footnote w:id="3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غاية المراد،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365</w:t>
      </w:r>
      <w:r>
        <w:rPr>
          <w:rFonts w:ascii="IRNazanin" w:hAnsi="IRNazanin" w:eastAsia="IRNazanin"/>
          <w:b w:val="false"/>
          <w:b w:val="false"/>
          <w:bCs w:val="false"/>
          <w:i w:val="false"/>
          <w:i w:val="false"/>
          <w:iCs w:val="false"/>
          <w:color w:val="333333"/>
          <w:sz w:val="20"/>
          <w:sz w:val="20"/>
          <w:szCs w:val="20"/>
          <w:rtl w:val="true"/>
        </w:rPr>
        <w:t xml:space="preserve">؛ الدروس الشرعية،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 موسوعة الشهيد الأول،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3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w:t>
      </w:r>
    </w:p>
  </w:footnote>
  <w:footnote w:id="3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النهاية، ص </w:t>
      </w:r>
      <w:r>
        <w:rPr>
          <w:rFonts w:eastAsia="IRNazanin" w:cs="IRNazanin"/>
          <w:b w:val="false"/>
          <w:bCs w:val="false"/>
          <w:i w:val="false"/>
          <w:iCs w:val="false"/>
          <w:color w:val="333333"/>
          <w:sz w:val="20"/>
          <w:szCs w:val="20"/>
        </w:rPr>
        <w:t>584</w:t>
      </w:r>
    </w:p>
  </w:footnote>
  <w:footnote w:id="3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القاضي في المهذب،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440</w:t>
      </w:r>
      <w:r>
        <w:rPr>
          <w:rFonts w:ascii="IRNazanin" w:hAnsi="IRNazanin" w:eastAsia="IRNazanin"/>
          <w:b w:val="false"/>
          <w:b w:val="false"/>
          <w:bCs w:val="false"/>
          <w:i w:val="false"/>
          <w:i w:val="false"/>
          <w:iCs w:val="false"/>
          <w:color w:val="333333"/>
          <w:sz w:val="20"/>
          <w:sz w:val="20"/>
          <w:szCs w:val="20"/>
          <w:rtl w:val="true"/>
        </w:rPr>
        <w:t xml:space="preserve">؛ وابن حمزة في الوسيلة، ص </w:t>
      </w:r>
      <w:r>
        <w:rPr>
          <w:rFonts w:eastAsia="IRNazanin" w:cs="IRNazanin"/>
          <w:b w:val="false"/>
          <w:bCs w:val="false"/>
          <w:i w:val="false"/>
          <w:iCs w:val="false"/>
          <w:color w:val="333333"/>
          <w:sz w:val="20"/>
          <w:szCs w:val="20"/>
        </w:rPr>
        <w:t>360</w:t>
      </w:r>
      <w:r>
        <w:rPr>
          <w:rFonts w:ascii="IRNazanin" w:hAnsi="IRNazanin" w:eastAsia="IRNazanin"/>
          <w:b w:val="false"/>
          <w:b w:val="false"/>
          <w:bCs w:val="false"/>
          <w:i w:val="false"/>
          <w:i w:val="false"/>
          <w:iCs w:val="false"/>
          <w:color w:val="333333"/>
          <w:sz w:val="20"/>
          <w:sz w:val="20"/>
          <w:szCs w:val="20"/>
          <w:rtl w:val="true"/>
        </w:rPr>
        <w:t>؛ والشهيد في الدروس الشرعية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 موسوعة الشهيد الأول،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3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به الشيخ في النهاية، ص </w:t>
      </w:r>
      <w:r>
        <w:rPr>
          <w:rFonts w:eastAsia="IRNazanin" w:cs="IRNazanin"/>
          <w:b w:val="false"/>
          <w:bCs w:val="false"/>
          <w:i w:val="false"/>
          <w:iCs w:val="false"/>
          <w:color w:val="333333"/>
          <w:sz w:val="20"/>
          <w:szCs w:val="20"/>
        </w:rPr>
        <w:t>584</w:t>
      </w:r>
      <w:r>
        <w:rPr>
          <w:rFonts w:ascii="IRNazanin" w:hAnsi="IRNazanin" w:eastAsia="IRNazanin"/>
          <w:b w:val="false"/>
          <w:b w:val="false"/>
          <w:bCs w:val="false"/>
          <w:i w:val="false"/>
          <w:i w:val="false"/>
          <w:iCs w:val="false"/>
          <w:color w:val="333333"/>
          <w:sz w:val="20"/>
          <w:sz w:val="20"/>
          <w:szCs w:val="20"/>
          <w:rtl w:val="true"/>
        </w:rPr>
        <w:t xml:space="preserve">؛ وابن زهرة في غنية النزوع،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397</w:t>
      </w:r>
      <w:r>
        <w:rPr>
          <w:rFonts w:eastAsia="IRNazanin" w:cs="IRNazanin"/>
          <w:b w:val="false"/>
          <w:bCs w:val="false"/>
          <w:i w:val="false"/>
          <w:iCs w:val="false"/>
          <w:color w:val="333333"/>
          <w:sz w:val="20"/>
          <w:szCs w:val="20"/>
          <w:rtl w:val="true"/>
        </w:rPr>
        <w:t>.</w:t>
      </w:r>
    </w:p>
  </w:footnote>
  <w:footnote w:id="3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4175</w:t>
      </w:r>
      <w:r>
        <w:rPr>
          <w:rFonts w:eastAsia="IRNazanin" w:cs="IRNazanin"/>
          <w:b w:val="false"/>
          <w:bCs w:val="false"/>
          <w:i w:val="false"/>
          <w:iCs w:val="false"/>
          <w:color w:val="333333"/>
          <w:sz w:val="20"/>
          <w:szCs w:val="20"/>
          <w:rtl w:val="true"/>
        </w:rPr>
        <w:t>.</w:t>
      </w:r>
    </w:p>
  </w:footnote>
  <w:footnote w:id="3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الأنعام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118</w:t>
      </w:r>
    </w:p>
  </w:footnote>
  <w:footnote w:id="3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الدروس الشرعية،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ضمن موسوعة الشهيد الأول،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3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غاية المراد،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ضمن موسوعة الشهيد الأول،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176</w:t>
      </w:r>
    </w:p>
  </w:footnote>
  <w:footnote w:id="3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176</w:t>
      </w:r>
    </w:p>
  </w:footnote>
  <w:footnote w:id="3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w:t>
      </w:r>
    </w:p>
  </w:footnote>
  <w:footnote w:id="3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حمله على ذلك فخر المحققين في إيضاح الفوائد،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w:t>
      </w:r>
    </w:p>
  </w:footnote>
  <w:footnote w:id="3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المصدر، وفي النسخ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تحريم</w:t>
      </w:r>
      <w:r>
        <w:rPr>
          <w:rFonts w:eastAsia="IRNazanin" w:cs="IRNazanin"/>
          <w:b w:val="false"/>
          <w:bCs w:val="false"/>
          <w:i w:val="false"/>
          <w:iCs w:val="false"/>
          <w:color w:val="333333"/>
          <w:sz w:val="20"/>
          <w:szCs w:val="20"/>
          <w:rtl w:val="true"/>
        </w:rPr>
        <w:t>».</w:t>
      </w:r>
    </w:p>
  </w:footnote>
  <w:footnote w:id="3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338</w:t>
      </w:r>
    </w:p>
  </w:footnote>
  <w:footnote w:id="3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غاية المراد،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ضمن موسوعة الشهيد الأول،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w:t>
      </w:r>
    </w:p>
  </w:footnote>
  <w:footnote w:id="3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70</w:t>
      </w:r>
    </w:p>
  </w:footnote>
  <w:footnote w:id="3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اختاره المحقق في شرائع الإسلام،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162</w:t>
      </w:r>
      <w:r>
        <w:rPr>
          <w:rFonts w:ascii="IRNazanin" w:hAnsi="IRNazanin" w:eastAsia="IRNazanin"/>
          <w:b w:val="false"/>
          <w:b w:val="false"/>
          <w:bCs w:val="false"/>
          <w:i w:val="false"/>
          <w:i w:val="false"/>
          <w:iCs w:val="false"/>
          <w:color w:val="333333"/>
          <w:sz w:val="20"/>
          <w:sz w:val="20"/>
          <w:szCs w:val="20"/>
          <w:rtl w:val="true"/>
        </w:rPr>
        <w:t xml:space="preserve">؛ والعلّامة في قواعد الأحكام،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323</w:t>
      </w:r>
      <w:r>
        <w:rPr>
          <w:rFonts w:ascii="IRNazanin" w:hAnsi="IRNazanin" w:eastAsia="IRNazanin"/>
          <w:b w:val="false"/>
          <w:b w:val="false"/>
          <w:bCs w:val="false"/>
          <w:i w:val="false"/>
          <w:i w:val="false"/>
          <w:iCs w:val="false"/>
          <w:color w:val="333333"/>
          <w:sz w:val="20"/>
          <w:sz w:val="20"/>
          <w:szCs w:val="20"/>
          <w:rtl w:val="true"/>
        </w:rPr>
        <w:t xml:space="preserve">؛ والقول الآخر يأتي في الهامش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34</w:t>
      </w:r>
    </w:p>
  </w:footnote>
  <w:footnote w:id="3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3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به المحقق في نكت النهاية،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p>
  </w:footnote>
  <w:footnote w:id="3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النسخ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ذكاته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ذكاتها</w:t>
      </w:r>
      <w:r>
        <w:rPr>
          <w:rFonts w:eastAsia="IRNazanin" w:cs="IRNazanin"/>
          <w:b w:val="false"/>
          <w:bCs w:val="false"/>
          <w:i w:val="false"/>
          <w:iCs w:val="false"/>
          <w:color w:val="333333"/>
          <w:sz w:val="20"/>
          <w:szCs w:val="20"/>
          <w:rtl w:val="true"/>
        </w:rPr>
        <w:t>».</w:t>
      </w:r>
    </w:p>
  </w:footnote>
  <w:footnote w:id="3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22</w:t>
      </w:r>
    </w:p>
  </w:footnote>
  <w:footnote w:id="3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31</w:t>
      </w:r>
    </w:p>
  </w:footnote>
  <w:footnote w:id="3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3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حملها عليه الشيخ في تهذيب الأحكام،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ذيل الحديث </w:t>
      </w:r>
      <w:r>
        <w:rPr>
          <w:rFonts w:eastAsia="IRNazanin" w:cs="IRNazanin"/>
          <w:b w:val="false"/>
          <w:bCs w:val="false"/>
          <w:i w:val="false"/>
          <w:iCs w:val="false"/>
          <w:color w:val="333333"/>
          <w:sz w:val="20"/>
          <w:szCs w:val="20"/>
        </w:rPr>
        <w:t>32</w:t>
      </w:r>
    </w:p>
  </w:footnote>
  <w:footnote w:id="3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الاستبصار،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577</w:t>
      </w:r>
    </w:p>
  </w:footnote>
  <w:footnote w:id="3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المقنعة، ص </w:t>
      </w:r>
      <w:r>
        <w:rPr>
          <w:rFonts w:eastAsia="IRNazanin" w:cs="IRNazanin"/>
          <w:b w:val="false"/>
          <w:bCs w:val="false"/>
          <w:i w:val="false"/>
          <w:iCs w:val="false"/>
          <w:color w:val="333333"/>
          <w:sz w:val="20"/>
          <w:szCs w:val="20"/>
        </w:rPr>
        <w:t>577</w:t>
      </w:r>
    </w:p>
  </w:footnote>
  <w:footnote w:id="3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غنية النزوع،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397</w:t>
      </w:r>
    </w:p>
  </w:footnote>
  <w:footnote w:id="3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3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سبق أنفاً</w:t>
      </w:r>
      <w:r>
        <w:rPr>
          <w:rFonts w:eastAsia="IRNazanin" w:cs="IRNazanin"/>
          <w:b w:val="false"/>
          <w:bCs w:val="false"/>
          <w:i w:val="false"/>
          <w:iCs w:val="false"/>
          <w:color w:val="333333"/>
          <w:sz w:val="20"/>
          <w:szCs w:val="20"/>
          <w:rtl w:val="true"/>
        </w:rPr>
        <w:t>.</w:t>
      </w:r>
    </w:p>
  </w:footnote>
  <w:footnote w:id="3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الدروس الشرعية،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ضمن موسوعة الشهيد الأول،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3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به الشيخ في المبسوط،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672</w:t>
      </w:r>
      <w:r>
        <w:rPr>
          <w:rFonts w:eastAsia="IRNazanin" w:cs="IRNazanin"/>
          <w:b w:val="false"/>
          <w:bCs w:val="false"/>
          <w:i w:val="false"/>
          <w:iCs w:val="false"/>
          <w:color w:val="333333"/>
          <w:sz w:val="20"/>
          <w:szCs w:val="20"/>
          <w:rtl w:val="true"/>
        </w:rPr>
        <w:t>.</w:t>
      </w:r>
    </w:p>
  </w:footnote>
  <w:footnote w:id="4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4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4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به الشيخ في النهاية، ص </w:t>
      </w:r>
      <w:r>
        <w:rPr>
          <w:rFonts w:eastAsia="IRNazanin" w:cs="IRNazanin"/>
          <w:b w:val="false"/>
          <w:bCs w:val="false"/>
          <w:i w:val="false"/>
          <w:iCs w:val="false"/>
          <w:color w:val="333333"/>
          <w:sz w:val="20"/>
          <w:szCs w:val="20"/>
        </w:rPr>
        <w:t>578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والقاضي في المهذب،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438</w:t>
      </w:r>
      <w:r>
        <w:rPr>
          <w:rFonts w:eastAsia="IRNazanin" w:cs="IRNazanin"/>
          <w:b w:val="false"/>
          <w:bCs w:val="false"/>
          <w:i w:val="false"/>
          <w:iCs w:val="false"/>
          <w:color w:val="333333"/>
          <w:sz w:val="20"/>
          <w:szCs w:val="20"/>
          <w:rtl w:val="true"/>
        </w:rPr>
        <w:t>.</w:t>
      </w:r>
    </w:p>
  </w:footnote>
  <w:footnote w:id="4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43</w:t>
      </w:r>
    </w:p>
  </w:footnote>
  <w:footnote w:id="4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p>
  </w:footnote>
  <w:footnote w:id="4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نقله عن ابن أبي عقيل العلّامة في مختلف الشيعة،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285</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4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4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غنية النزوع،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397</w:t>
      </w:r>
      <w:r>
        <w:rPr>
          <w:rFonts w:eastAsia="IRNazanin" w:cs="IRNazanin"/>
          <w:b w:val="false"/>
          <w:bCs w:val="false"/>
          <w:i w:val="false"/>
          <w:iCs w:val="false"/>
          <w:color w:val="333333"/>
          <w:sz w:val="20"/>
          <w:szCs w:val="20"/>
          <w:rtl w:val="true"/>
        </w:rPr>
        <w:t>.</w:t>
      </w:r>
    </w:p>
  </w:footnote>
  <w:footnote w:id="4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10950</w:t>
      </w:r>
      <w:r>
        <w:rPr>
          <w:rFonts w:ascii="IRNazanin" w:hAnsi="IRNazanin" w:eastAsia="IRNazanin"/>
          <w:b w:val="false"/>
          <w:b w:val="false"/>
          <w:bCs w:val="false"/>
          <w:i w:val="false"/>
          <w:i w:val="false"/>
          <w:iCs w:val="false"/>
          <w:color w:val="333333"/>
          <w:sz w:val="20"/>
          <w:sz w:val="20"/>
          <w:szCs w:val="20"/>
          <w:rtl w:val="true"/>
        </w:rPr>
        <w:t xml:space="preserve">؛ الجامع الصحيح،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1476</w:t>
      </w:r>
      <w:r>
        <w:rPr>
          <w:rFonts w:eastAsia="IRNazanin" w:cs="IRNazanin"/>
          <w:b w:val="false"/>
          <w:bCs w:val="false"/>
          <w:i w:val="false"/>
          <w:iCs w:val="false"/>
          <w:color w:val="333333"/>
          <w:sz w:val="20"/>
          <w:szCs w:val="20"/>
          <w:rtl w:val="true"/>
        </w:rPr>
        <w:t>.</w:t>
      </w:r>
    </w:p>
  </w:footnote>
  <w:footnote w:id="4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w:t>
      </w:r>
    </w:p>
  </w:footnote>
  <w:footnote w:id="4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نقله الشهيد الثاني في مسالك الأفهام،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510</w:t>
      </w:r>
      <w:r>
        <w:rPr>
          <w:rFonts w:ascii="IRNazanin" w:hAnsi="IRNazanin" w:eastAsia="IRNazanin"/>
          <w:b w:val="false"/>
          <w:b w:val="false"/>
          <w:bCs w:val="false"/>
          <w:i w:val="false"/>
          <w:i w:val="false"/>
          <w:iCs w:val="false"/>
          <w:color w:val="333333"/>
          <w:sz w:val="20"/>
          <w:sz w:val="20"/>
          <w:szCs w:val="20"/>
          <w:rtl w:val="true"/>
        </w:rPr>
        <w:t xml:space="preserve">؛ نقله عن بعض العامة في جواهر الکلام، ج </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 xml:space="preserve"> .</w:t>
      </w:r>
    </w:p>
  </w:footnote>
  <w:footnote w:id="4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w:t>
      </w:r>
    </w:p>
  </w:footnote>
  <w:footnote w:id="4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w:t>
      </w:r>
    </w:p>
  </w:footnote>
  <w:footnote w:id="4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w:t>
      </w:r>
    </w:p>
  </w:footnote>
  <w:footnote w:id="4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242</w:t>
      </w:r>
    </w:p>
  </w:footnote>
  <w:footnote w:id="4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وتجب المبادرة إلى شق الجوف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زين رحمه الله</w:t>
      </w:r>
      <w:r>
        <w:rPr>
          <w:rFonts w:eastAsia="IRNazanin" w:cs="IRNazanin"/>
          <w:b w:val="false"/>
          <w:bCs w:val="false"/>
          <w:i w:val="false"/>
          <w:iCs w:val="false"/>
          <w:color w:val="333333"/>
          <w:sz w:val="20"/>
          <w:szCs w:val="20"/>
          <w:rtl w:val="true"/>
        </w:rPr>
        <w:t>)</w:t>
      </w:r>
    </w:p>
  </w:footnote>
  <w:footnote w:id="4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قواعد الأحكام،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w:t>
      </w:r>
    </w:p>
  </w:footnote>
  <w:footnote w:id="4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الشيخ في النهاية، ص </w:t>
      </w:r>
      <w:r>
        <w:rPr>
          <w:rFonts w:eastAsia="IRNazanin" w:cs="IRNazanin"/>
          <w:b w:val="false"/>
          <w:bCs w:val="false"/>
          <w:i w:val="false"/>
          <w:iCs w:val="false"/>
          <w:color w:val="333333"/>
          <w:sz w:val="20"/>
          <w:szCs w:val="20"/>
        </w:rPr>
        <w:t>584</w:t>
      </w:r>
      <w:r>
        <w:rPr>
          <w:rFonts w:ascii="IRNazanin" w:hAnsi="IRNazanin" w:eastAsia="IRNazanin"/>
          <w:b w:val="false"/>
          <w:b w:val="false"/>
          <w:bCs w:val="false"/>
          <w:i w:val="false"/>
          <w:i w:val="false"/>
          <w:iCs w:val="false"/>
          <w:color w:val="333333"/>
          <w:sz w:val="20"/>
          <w:sz w:val="20"/>
          <w:szCs w:val="20"/>
          <w:rtl w:val="true"/>
        </w:rPr>
        <w:t xml:space="preserve">؛ والقاضي في المهذب،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440</w:t>
      </w:r>
      <w:r>
        <w:rPr>
          <w:rFonts w:ascii="IRNazanin" w:hAnsi="IRNazanin" w:eastAsia="IRNazanin"/>
          <w:b w:val="false"/>
          <w:b w:val="false"/>
          <w:bCs w:val="false"/>
          <w:i w:val="false"/>
          <w:i w:val="false"/>
          <w:iCs w:val="false"/>
          <w:color w:val="333333"/>
          <w:sz w:val="20"/>
          <w:sz w:val="20"/>
          <w:szCs w:val="20"/>
          <w:rtl w:val="true"/>
        </w:rPr>
        <w:t xml:space="preserve">؛ ابن حمزة في الوسيلة، ص </w:t>
      </w:r>
      <w:r>
        <w:rPr>
          <w:rFonts w:eastAsia="IRNazanin" w:cs="IRNazanin"/>
          <w:b w:val="false"/>
          <w:bCs w:val="false"/>
          <w:i w:val="false"/>
          <w:iCs w:val="false"/>
          <w:color w:val="333333"/>
          <w:sz w:val="20"/>
          <w:szCs w:val="20"/>
        </w:rPr>
        <w:t>361</w:t>
      </w:r>
      <w:r>
        <w:rPr>
          <w:rFonts w:eastAsia="IRNazanin" w:cs="IRNazanin"/>
          <w:b w:val="false"/>
          <w:bCs w:val="false"/>
          <w:i w:val="false"/>
          <w:iCs w:val="false"/>
          <w:color w:val="333333"/>
          <w:sz w:val="20"/>
          <w:szCs w:val="20"/>
          <w:rtl w:val="true"/>
        </w:rPr>
        <w:t>.</w:t>
      </w:r>
    </w:p>
  </w:footnote>
  <w:footnote w:id="4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القول بعدم الخروج للمحقق في شرائع الإسلام،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والقول الآخر نسبه إلى الشيخ في المبسوط فخر المحققين في إيضاح الفوائد،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ولم نعثر عليه في المبسوط</w:t>
      </w:r>
      <w:r>
        <w:rPr>
          <w:rFonts w:eastAsia="IRNazanin" w:cs="IRNazanin"/>
          <w:b w:val="false"/>
          <w:bCs w:val="false"/>
          <w:i w:val="false"/>
          <w:iCs w:val="false"/>
          <w:color w:val="333333"/>
          <w:sz w:val="20"/>
          <w:szCs w:val="20"/>
          <w:rtl w:val="true"/>
        </w:rPr>
        <w:t>.</w:t>
      </w:r>
    </w:p>
  </w:footnote>
  <w:footnote w:id="4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به العلّامة في قواعد الأحكام،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316</w:t>
      </w:r>
      <w:r>
        <w:rPr>
          <w:rFonts w:ascii="IRNazanin" w:hAnsi="IRNazanin" w:eastAsia="IRNazanin"/>
          <w:b w:val="false"/>
          <w:b w:val="false"/>
          <w:bCs w:val="false"/>
          <w:i w:val="false"/>
          <w:i w:val="false"/>
          <w:iCs w:val="false"/>
          <w:color w:val="333333"/>
          <w:sz w:val="20"/>
          <w:sz w:val="20"/>
          <w:szCs w:val="20"/>
          <w:rtl w:val="true"/>
        </w:rPr>
        <w:t xml:space="preserve">؛ والشهيد في الدروس الشرعية،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 موسوعة الشهيد الأول،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4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القول للعلّامة في قواعد الأحكام،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والقول الآخر لم نعثر عليه</w:t>
      </w:r>
      <w:r>
        <w:rPr>
          <w:rFonts w:eastAsia="IRNazanin" w:cs="IRNazanin"/>
          <w:b w:val="false"/>
          <w:bCs w:val="false"/>
          <w:i w:val="false"/>
          <w:iCs w:val="false"/>
          <w:color w:val="333333"/>
          <w:sz w:val="20"/>
          <w:szCs w:val="20"/>
          <w:rtl w:val="true"/>
        </w:rPr>
        <w:t>.</w:t>
      </w:r>
    </w:p>
  </w:footnote>
  <w:footnote w:id="4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اختاره الصدوق في المقنع، ص </w:t>
      </w:r>
      <w:r>
        <w:rPr>
          <w:rFonts w:eastAsia="IRNazanin" w:cs="IRNazanin"/>
          <w:b w:val="false"/>
          <w:bCs w:val="false"/>
          <w:i w:val="false"/>
          <w:iCs w:val="false"/>
          <w:color w:val="333333"/>
          <w:sz w:val="20"/>
          <w:szCs w:val="20"/>
        </w:rPr>
        <w:t>423</w:t>
      </w:r>
      <w:r>
        <w:rPr>
          <w:rFonts w:ascii="IRNazanin" w:hAnsi="IRNazanin" w:eastAsia="IRNazanin"/>
          <w:b w:val="false"/>
          <w:b w:val="false"/>
          <w:bCs w:val="false"/>
          <w:i w:val="false"/>
          <w:i w:val="false"/>
          <w:iCs w:val="false"/>
          <w:color w:val="333333"/>
          <w:sz w:val="20"/>
          <w:sz w:val="20"/>
          <w:szCs w:val="20"/>
          <w:rtl w:val="true"/>
        </w:rPr>
        <w:t xml:space="preserve">؛ والسيد المرتضى في الانتصار، ص </w:t>
      </w:r>
      <w:r>
        <w:rPr>
          <w:rFonts w:eastAsia="IRNazanin" w:cs="IRNazanin"/>
          <w:b w:val="false"/>
          <w:bCs w:val="false"/>
          <w:i w:val="false"/>
          <w:iCs w:val="false"/>
          <w:color w:val="333333"/>
          <w:sz w:val="20"/>
          <w:szCs w:val="20"/>
        </w:rPr>
        <w:t>400</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229</w:t>
      </w:r>
      <w:r>
        <w:rPr>
          <w:rFonts w:ascii="IRNazanin" w:hAnsi="IRNazanin" w:eastAsia="IRNazanin"/>
          <w:b w:val="false"/>
          <w:b w:val="false"/>
          <w:bCs w:val="false"/>
          <w:i w:val="false"/>
          <w:i w:val="false"/>
          <w:iCs w:val="false"/>
          <w:color w:val="333333"/>
          <w:sz w:val="20"/>
          <w:sz w:val="20"/>
          <w:szCs w:val="20"/>
          <w:rtl w:val="true"/>
        </w:rPr>
        <w:t>؛ والشيخ في</w:t>
      </w:r>
    </w:p>
  </w:footnote>
  <w:footnote w:id="4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4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الدروس الشرعية،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ضمن موسوعة الشهيد الأول، 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4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993</w:t>
      </w:r>
      <w:r>
        <w:rPr>
          <w:rFonts w:eastAsia="IRNazanin" w:cs="IRNazanin"/>
          <w:b w:val="false"/>
          <w:bCs w:val="false"/>
          <w:i w:val="false"/>
          <w:iCs w:val="false"/>
          <w:color w:val="333333"/>
          <w:sz w:val="20"/>
          <w:szCs w:val="20"/>
          <w:rtl w:val="true"/>
        </w:rPr>
        <w:t>.</w:t>
      </w:r>
    </w:p>
  </w:footnote>
  <w:footnote w:id="4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الشيخ المفيد في المقنعة، ص </w:t>
      </w:r>
      <w:r>
        <w:rPr>
          <w:rFonts w:eastAsia="IRNazanin" w:cs="IRNazanin"/>
          <w:b w:val="false"/>
          <w:bCs w:val="false"/>
          <w:i w:val="false"/>
          <w:iCs w:val="false"/>
          <w:color w:val="333333"/>
          <w:sz w:val="20"/>
          <w:szCs w:val="20"/>
        </w:rPr>
        <w:t>576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وسلّار في المراسم ص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وابن حمزة في الوسيلة، ص </w:t>
      </w:r>
      <w:r>
        <w:rPr>
          <w:rFonts w:eastAsia="IRNazanin" w:cs="IRNazanin"/>
          <w:b w:val="false"/>
          <w:bCs w:val="false"/>
          <w:i w:val="false"/>
          <w:iCs w:val="false"/>
          <w:color w:val="333333"/>
          <w:sz w:val="20"/>
          <w:szCs w:val="20"/>
        </w:rPr>
        <w:t>355</w:t>
      </w:r>
      <w:r>
        <w:rPr>
          <w:rFonts w:eastAsia="IRNazanin" w:cs="IRNazanin"/>
          <w:b w:val="false"/>
          <w:bCs w:val="false"/>
          <w:i w:val="false"/>
          <w:iCs w:val="false"/>
          <w:color w:val="333333"/>
          <w:sz w:val="20"/>
          <w:szCs w:val="20"/>
          <w:rtl w:val="true"/>
        </w:rPr>
        <w:t>.</w:t>
      </w:r>
    </w:p>
  </w:footnote>
  <w:footnote w:id="4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نعثر عليه على ما بأيدينا من كتب القاضي، نقله عنه الشهيد في الدروس الشرعية،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ضمن موسوعة الشهيد الأول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ونقله عن بعض أصحابنا ابن إدريس في السرائر،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w:t>
      </w:r>
    </w:p>
  </w:footnote>
  <w:footnote w:id="4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به الحلبي في الكافي في الفقه، ص </w:t>
      </w:r>
      <w:r>
        <w:rPr>
          <w:rFonts w:eastAsia="IRNazanin" w:cs="IRNazanin"/>
          <w:b w:val="false"/>
          <w:bCs w:val="false"/>
          <w:i w:val="false"/>
          <w:iCs w:val="false"/>
          <w:color w:val="333333"/>
          <w:sz w:val="20"/>
          <w:szCs w:val="20"/>
        </w:rPr>
        <w:t>277</w:t>
      </w:r>
    </w:p>
  </w:footnote>
  <w:footnote w:id="4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 xml:space="preserve"> .</w:t>
      </w:r>
    </w:p>
  </w:footnote>
  <w:footnote w:id="4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حملها عليها العلّامة في مختلف الشيعة،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316</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26</w:t>
      </w:r>
    </w:p>
  </w:footnote>
  <w:footnote w:id="4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دواب تأكل العذرة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زين رحمه الله</w:t>
      </w:r>
      <w:r>
        <w:rPr>
          <w:rFonts w:eastAsia="IRNazanin" w:cs="IRNazanin"/>
          <w:b w:val="false"/>
          <w:bCs w:val="false"/>
          <w:i w:val="false"/>
          <w:iCs w:val="false"/>
          <w:color w:val="333333"/>
          <w:sz w:val="20"/>
          <w:szCs w:val="20"/>
          <w:rtl w:val="true"/>
        </w:rPr>
        <w:t>)</w:t>
      </w:r>
    </w:p>
  </w:footnote>
  <w:footnote w:id="4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الصحاح،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841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وبر</w:t>
      </w:r>
      <w:r>
        <w:rPr>
          <w:rFonts w:eastAsia="IRNazanin" w:cs="IRNazanin"/>
          <w:b w:val="false"/>
          <w:bCs w:val="false"/>
          <w:i w:val="false"/>
          <w:iCs w:val="false"/>
          <w:color w:val="333333"/>
          <w:sz w:val="20"/>
          <w:szCs w:val="20"/>
          <w:rtl w:val="true"/>
        </w:rPr>
        <w:t>».</w:t>
      </w:r>
    </w:p>
  </w:footnote>
  <w:footnote w:id="4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الفصل الثاني في شروط الصلاة</w:t>
      </w:r>
      <w:r>
        <w:rPr>
          <w:rFonts w:eastAsia="IRNazanin" w:cs="IRNazanin"/>
          <w:b w:val="false"/>
          <w:bCs w:val="false"/>
          <w:i w:val="false"/>
          <w:iCs w:val="false"/>
          <w:color w:val="333333"/>
          <w:sz w:val="20"/>
          <w:szCs w:val="20"/>
          <w:rtl w:val="true"/>
        </w:rPr>
        <w:t>.</w:t>
      </w:r>
    </w:p>
  </w:footnote>
  <w:footnote w:id="4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الصحاح،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2431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عظي</w:t>
      </w:r>
      <w:r>
        <w:rPr>
          <w:rFonts w:eastAsia="IRNazanin" w:cs="IRNazanin"/>
          <w:b w:val="false"/>
          <w:bCs w:val="false"/>
          <w:i w:val="false"/>
          <w:iCs w:val="false"/>
          <w:color w:val="333333"/>
          <w:sz w:val="20"/>
          <w:szCs w:val="20"/>
          <w:rtl w:val="true"/>
        </w:rPr>
        <w:t>».</w:t>
      </w:r>
    </w:p>
  </w:footnote>
  <w:footnote w:id="4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الصحاح،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لحك</w:t>
      </w:r>
      <w:r>
        <w:rPr>
          <w:rFonts w:eastAsia="IRNazanin" w:cs="IRNazanin"/>
          <w:b w:val="false"/>
          <w:bCs w:val="false"/>
          <w:i w:val="false"/>
          <w:iCs w:val="false"/>
          <w:color w:val="333333"/>
          <w:sz w:val="20"/>
          <w:szCs w:val="20"/>
          <w:rtl w:val="true"/>
        </w:rPr>
        <w:t>».</w:t>
      </w:r>
    </w:p>
  </w:footnote>
  <w:footnote w:id="4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الدروس الشرعية،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 موسوعة الشهيد الأول، 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4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المهذب البارع،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w:t>
      </w:r>
    </w:p>
  </w:footnote>
  <w:footnote w:id="4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73</w:t>
      </w:r>
    </w:p>
  </w:footnote>
  <w:footnote w:id="4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71</w:t>
      </w:r>
    </w:p>
  </w:footnote>
  <w:footnote w:id="4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هذه العبارة كزميلاتها من العبائر الغامضة في الكتاب وما أكثرها؟</w:t>
      </w:r>
      <w:r>
        <w:rPr>
          <w:rFonts w:eastAsia="IRNazanin" w:cs="IRNazanin"/>
          <w:b w:val="false"/>
          <w:bCs w:val="false"/>
          <w:i w:val="false"/>
          <w:iCs w:val="false"/>
          <w:color w:val="333333"/>
          <w:sz w:val="20"/>
          <w:szCs w:val="20"/>
          <w:rtl w:val="true"/>
        </w:rPr>
        <w:t>!</w:t>
      </w:r>
    </w:p>
  </w:footnote>
  <w:footnote w:id="4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ص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الهامش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72</w:t>
      </w:r>
    </w:p>
  </w:footnote>
  <w:footnote w:id="4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يجوز عود الضعف إلى الحديث باعتبار سنده وإلى المفهوم؛ لأنه مفهوم الاسم وضعفه ظاهر، أو مفهوم الوصف ،وهو كذلك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 رحمه الله</w:t>
      </w:r>
      <w:r>
        <w:rPr>
          <w:rFonts w:eastAsia="IRNazanin" w:cs="IRNazanin"/>
          <w:b w:val="false"/>
          <w:bCs w:val="false"/>
          <w:i w:val="false"/>
          <w:iCs w:val="false"/>
          <w:color w:val="333333"/>
          <w:sz w:val="20"/>
          <w:szCs w:val="20"/>
          <w:rtl w:val="true"/>
        </w:rPr>
        <w:t>)</w:t>
      </w:r>
    </w:p>
  </w:footnote>
  <w:footnote w:id="4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322</w:t>
      </w:r>
      <w:r>
        <w:rPr>
          <w:rFonts w:ascii="IRNazanin" w:hAnsi="IRNazanin" w:eastAsia="IRNazanin"/>
          <w:b w:val="false"/>
          <w:b w:val="false"/>
          <w:bCs w:val="false"/>
          <w:i w:val="false"/>
          <w:i w:val="false"/>
          <w:iCs w:val="false"/>
          <w:color w:val="333333"/>
          <w:sz w:val="20"/>
          <w:sz w:val="20"/>
          <w:szCs w:val="20"/>
          <w:rtl w:val="true"/>
        </w:rPr>
        <w:t xml:space="preserve">، ذيل الحديث </w:t>
      </w:r>
      <w:r>
        <w:rPr>
          <w:rFonts w:eastAsia="IRNazanin" w:cs="IRNazanin"/>
          <w:b w:val="false"/>
          <w:bCs w:val="false"/>
          <w:i w:val="false"/>
          <w:iCs w:val="false"/>
          <w:color w:val="333333"/>
          <w:sz w:val="20"/>
          <w:szCs w:val="20"/>
        </w:rPr>
        <w:t>4149</w:t>
      </w:r>
    </w:p>
  </w:footnote>
  <w:footnote w:id="4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به الشيخ في النهاية، ص </w:t>
      </w:r>
      <w:r>
        <w:rPr>
          <w:rFonts w:eastAsia="IRNazanin" w:cs="IRNazanin"/>
          <w:b w:val="false"/>
          <w:bCs w:val="false"/>
          <w:i w:val="false"/>
          <w:iCs w:val="false"/>
          <w:color w:val="333333"/>
          <w:sz w:val="20"/>
          <w:szCs w:val="20"/>
        </w:rPr>
        <w:t>577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والقاضي في المهذب،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وابن إدريس في السرائر،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59</w:t>
      </w:r>
    </w:p>
  </w:footnote>
  <w:footnote w:id="4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p>
  </w:footnote>
  <w:footnote w:id="4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p>
  </w:footnote>
  <w:footnote w:id="4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p>
  </w:footnote>
  <w:footnote w:id="4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4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باب الهدهد والصرد، 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223</w:t>
      </w:r>
      <w:r>
        <w:rPr>
          <w:rFonts w:ascii="IRNazanin" w:hAnsi="IRNazanin" w:eastAsia="IRNazanin"/>
          <w:b w:val="false"/>
          <w:b w:val="false"/>
          <w:bCs w:val="false"/>
          <w:i w:val="false"/>
          <w:i w:val="false"/>
          <w:iCs w:val="false"/>
          <w:color w:val="333333"/>
          <w:sz w:val="20"/>
          <w:sz w:val="20"/>
          <w:szCs w:val="20"/>
          <w:rtl w:val="true"/>
        </w:rPr>
        <w:t xml:space="preserve">، باب الخطاف،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به الشيخ في النهاية، ص </w:t>
      </w:r>
      <w:r>
        <w:rPr>
          <w:rFonts w:eastAsia="IRNazanin" w:cs="IRNazanin"/>
          <w:b w:val="false"/>
          <w:bCs w:val="false"/>
          <w:i w:val="false"/>
          <w:iCs w:val="false"/>
          <w:color w:val="333333"/>
          <w:sz w:val="20"/>
          <w:szCs w:val="20"/>
        </w:rPr>
        <w:t>577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والقاضي في المهذب،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429</w:t>
      </w:r>
      <w:r>
        <w:rPr>
          <w:rFonts w:eastAsia="IRNazanin" w:cs="IRNazanin"/>
          <w:b w:val="false"/>
          <w:bCs w:val="false"/>
          <w:i w:val="false"/>
          <w:iCs w:val="false"/>
          <w:color w:val="333333"/>
          <w:sz w:val="20"/>
          <w:szCs w:val="20"/>
          <w:rtl w:val="true"/>
        </w:rPr>
        <w:t>.</w:t>
      </w:r>
    </w:p>
  </w:footnote>
  <w:footnote w:id="4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78</w:t>
      </w:r>
    </w:p>
  </w:footnote>
  <w:footnote w:id="4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p>
  </w:footnote>
  <w:footnote w:id="4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77</w:t>
      </w:r>
    </w:p>
  </w:footnote>
  <w:footnote w:id="4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225</w:t>
      </w:r>
      <w:r>
        <w:rPr>
          <w:rFonts w:ascii="IRNazanin" w:hAnsi="IRNazanin" w:eastAsia="IRNazanin"/>
          <w:b w:val="false"/>
          <w:b w:val="false"/>
          <w:bCs w:val="false"/>
          <w:i w:val="false"/>
          <w:i w:val="false"/>
          <w:iCs w:val="false"/>
          <w:color w:val="333333"/>
          <w:sz w:val="20"/>
          <w:sz w:val="20"/>
          <w:szCs w:val="20"/>
          <w:rtl w:val="true"/>
        </w:rPr>
        <w:t xml:space="preserve">، باب القنبرة،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4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551</w:t>
      </w:r>
      <w:r>
        <w:rPr>
          <w:rFonts w:ascii="IRNazanin" w:hAnsi="IRNazanin" w:eastAsia="IRNazanin"/>
          <w:b w:val="false"/>
          <w:b w:val="false"/>
          <w:bCs w:val="false"/>
          <w:i w:val="false"/>
          <w:i w:val="false"/>
          <w:iCs w:val="false"/>
          <w:color w:val="333333"/>
          <w:sz w:val="20"/>
          <w:sz w:val="20"/>
          <w:szCs w:val="20"/>
          <w:rtl w:val="true"/>
        </w:rPr>
        <w:t xml:space="preserve">، باب الفاختة ،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منهم المحقق في شرائع الإسلام،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173</w:t>
      </w:r>
      <w:r>
        <w:rPr>
          <w:rFonts w:ascii="IRNazanin" w:hAnsi="IRNazanin" w:eastAsia="IRNazanin"/>
          <w:b w:val="false"/>
          <w:b w:val="false"/>
          <w:bCs w:val="false"/>
          <w:i w:val="false"/>
          <w:i w:val="false"/>
          <w:iCs w:val="false"/>
          <w:color w:val="333333"/>
          <w:sz w:val="20"/>
          <w:sz w:val="20"/>
          <w:szCs w:val="20"/>
          <w:rtl w:val="true"/>
        </w:rPr>
        <w:t xml:space="preserve">؛ ويحيى بن سعيد في الجامع للشرائع، ص </w:t>
      </w:r>
      <w:r>
        <w:rPr>
          <w:rFonts w:eastAsia="IRNazanin" w:cs="IRNazanin"/>
          <w:b w:val="false"/>
          <w:bCs w:val="false"/>
          <w:i w:val="false"/>
          <w:iCs w:val="false"/>
          <w:color w:val="333333"/>
          <w:sz w:val="20"/>
          <w:szCs w:val="20"/>
        </w:rPr>
        <w:t>379</w:t>
      </w:r>
      <w:r>
        <w:rPr>
          <w:rFonts w:eastAsia="IRNazanin" w:cs="IRNazanin"/>
          <w:b w:val="false"/>
          <w:bCs w:val="false"/>
          <w:i w:val="false"/>
          <w:iCs w:val="false"/>
          <w:color w:val="333333"/>
          <w:sz w:val="20"/>
          <w:szCs w:val="20"/>
          <w:rtl w:val="true"/>
        </w:rPr>
        <w:t>.</w:t>
      </w:r>
    </w:p>
  </w:footnote>
  <w:footnote w:id="4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4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تحرير الأحكام الشرعية،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635</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6241</w:t>
      </w:r>
      <w:r>
        <w:rPr>
          <w:rFonts w:eastAsia="IRNazanin" w:cs="IRNazanin"/>
          <w:b w:val="false"/>
          <w:bCs w:val="false"/>
          <w:i w:val="false"/>
          <w:iCs w:val="false"/>
          <w:color w:val="333333"/>
          <w:sz w:val="20"/>
          <w:szCs w:val="20"/>
          <w:rtl w:val="true"/>
        </w:rPr>
        <w:t>.</w:t>
      </w:r>
    </w:p>
  </w:footnote>
  <w:footnote w:id="4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4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ص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الهامش </w:t>
      </w:r>
      <w:r>
        <w:rPr>
          <w:rFonts w:eastAsia="IRNazanin" w:cs="IRNazanin"/>
          <w:b w:val="false"/>
          <w:bCs w:val="false"/>
          <w:i w:val="false"/>
          <w:iCs w:val="false"/>
          <w:color w:val="333333"/>
          <w:sz w:val="20"/>
          <w:szCs w:val="20"/>
        </w:rPr>
        <w:t>4</w:t>
      </w:r>
    </w:p>
  </w:footnote>
  <w:footnote w:id="4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المحيط،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شقرق</w:t>
      </w:r>
      <w:r>
        <w:rPr>
          <w:rFonts w:eastAsia="IRNazanin" w:cs="IRNazanin"/>
          <w:b w:val="false"/>
          <w:bCs w:val="false"/>
          <w:i w:val="false"/>
          <w:iCs w:val="false"/>
          <w:color w:val="333333"/>
          <w:sz w:val="20"/>
          <w:szCs w:val="20"/>
          <w:rtl w:val="true"/>
        </w:rPr>
        <w:t>».</w:t>
      </w:r>
    </w:p>
  </w:footnote>
  <w:footnote w:id="4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p>
  </w:footnote>
  <w:footnote w:id="4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قد تقدّم في الحج أنّ الحمام جنس يقع على كلّ ذات طوق من الطيور أو ما يعبّ أي يشرب الماء بلا مص فيدخل فيه القمري وهو الأزرق، والدبسي وهو الأحمر، والورشان وهو الأبيض، والفواخت وغيرها، ولا خلاف في حلها بين أهل الإسلام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زين رحمه الله</w:t>
      </w:r>
      <w:r>
        <w:rPr>
          <w:rFonts w:eastAsia="IRNazanin" w:cs="IRNazanin"/>
          <w:b w:val="false"/>
          <w:bCs w:val="false"/>
          <w:i w:val="false"/>
          <w:iCs w:val="false"/>
          <w:color w:val="333333"/>
          <w:sz w:val="20"/>
          <w:szCs w:val="20"/>
          <w:rtl w:val="true"/>
        </w:rPr>
        <w:t>)</w:t>
      </w:r>
    </w:p>
  </w:footnote>
  <w:footnote w:id="4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به الجوهري في الصحاح،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926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دبس</w:t>
      </w:r>
      <w:r>
        <w:rPr>
          <w:rFonts w:eastAsia="IRNazanin" w:cs="IRNazanin"/>
          <w:b w:val="false"/>
          <w:bCs w:val="false"/>
          <w:i w:val="false"/>
          <w:iCs w:val="false"/>
          <w:color w:val="333333"/>
          <w:sz w:val="20"/>
          <w:szCs w:val="20"/>
          <w:rtl w:val="true"/>
        </w:rPr>
        <w:t>».</w:t>
      </w:r>
    </w:p>
  </w:footnote>
  <w:footnote w:id="4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ص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الهامش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النهاية في غريب الحديث والأثر،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جشم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صبر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مسند أحمد،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14014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دعائم الإسلام،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مسالك الأفهام،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4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 ، م ، 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يغتذي</w:t>
      </w:r>
      <w:r>
        <w:rPr>
          <w:rFonts w:eastAsia="IRNazanin" w:cs="IRNazanin"/>
          <w:b w:val="false"/>
          <w:bCs w:val="false"/>
          <w:i w:val="false"/>
          <w:iCs w:val="false"/>
          <w:color w:val="333333"/>
          <w:sz w:val="20"/>
          <w:szCs w:val="20"/>
          <w:rtl w:val="true"/>
        </w:rPr>
        <w:t>».</w:t>
      </w:r>
    </w:p>
  </w:footnote>
  <w:footnote w:id="4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ولو أكل في أثناء الاستبراء شيئاً نجساً بالأصالة أسقط ذلك اليوم من البين ولا يستأنف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زين رحمه الله</w:t>
      </w:r>
      <w:r>
        <w:rPr>
          <w:rFonts w:eastAsia="IRNazanin" w:cs="IRNazanin"/>
          <w:b w:val="false"/>
          <w:bCs w:val="false"/>
          <w:i w:val="false"/>
          <w:iCs w:val="false"/>
          <w:color w:val="333333"/>
          <w:sz w:val="20"/>
          <w:szCs w:val="20"/>
          <w:rtl w:val="true"/>
        </w:rPr>
        <w:t>)</w:t>
      </w:r>
    </w:p>
  </w:footnote>
  <w:footnote w:id="4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188</w:t>
      </w:r>
    </w:p>
  </w:footnote>
  <w:footnote w:id="4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w:t>
      </w:r>
    </w:p>
  </w:footnote>
  <w:footnote w:id="4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w:t>
      </w:r>
    </w:p>
  </w:footnote>
  <w:footnote w:id="4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حكاه عنه العلّامة في مختلف الشيعة،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4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به الشيخ في المبسوط،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679</w:t>
      </w:r>
      <w:r>
        <w:rPr>
          <w:rFonts w:eastAsia="IRNazanin" w:cs="IRNazanin"/>
          <w:b w:val="false"/>
          <w:bCs w:val="false"/>
          <w:i w:val="false"/>
          <w:iCs w:val="false"/>
          <w:color w:val="333333"/>
          <w:sz w:val="20"/>
          <w:szCs w:val="20"/>
          <w:rtl w:val="true"/>
        </w:rPr>
        <w:t>.</w:t>
      </w:r>
    </w:p>
  </w:footnote>
  <w:footnote w:id="4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به الشيخ في المبسوط،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679</w:t>
      </w:r>
      <w:r>
        <w:rPr>
          <w:rFonts w:eastAsia="IRNazanin" w:cs="IRNazanin"/>
          <w:b w:val="false"/>
          <w:bCs w:val="false"/>
          <w:i w:val="false"/>
          <w:iCs w:val="false"/>
          <w:color w:val="333333"/>
          <w:sz w:val="20"/>
          <w:szCs w:val="20"/>
          <w:rtl w:val="true"/>
        </w:rPr>
        <w:t>.</w:t>
      </w:r>
    </w:p>
  </w:footnote>
  <w:footnote w:id="4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w:t>
      </w:r>
    </w:p>
  </w:footnote>
  <w:footnote w:id="4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لو أرضعت الآدمية حيواناً محلّلاً حتى اشتدّ لم يحرم بل يكره ولحم نسله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زين رحمه الله</w:t>
      </w:r>
      <w:r>
        <w:rPr>
          <w:rFonts w:eastAsia="IRNazanin" w:cs="IRNazanin"/>
          <w:b w:val="false"/>
          <w:bCs w:val="false"/>
          <w:i w:val="false"/>
          <w:iCs w:val="false"/>
          <w:color w:val="333333"/>
          <w:sz w:val="20"/>
          <w:szCs w:val="20"/>
          <w:rtl w:val="true"/>
        </w:rPr>
        <w:t>)</w:t>
      </w:r>
    </w:p>
  </w:footnote>
  <w:footnote w:id="4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الحمل والجدي يرضعان من لبن الخنزيرة،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4198</w:t>
      </w:r>
      <w:r>
        <w:rPr>
          <w:rFonts w:ascii="IRNazanin" w:hAnsi="IRNazanin" w:eastAsia="IRNazanin"/>
          <w:b w:val="false"/>
          <w:b w:val="false"/>
          <w:bCs w:val="false"/>
          <w:i w:val="false"/>
          <w:i w:val="false"/>
          <w:iCs w:val="false"/>
          <w:color w:val="333333"/>
          <w:sz w:val="20"/>
          <w:sz w:val="20"/>
          <w:szCs w:val="20"/>
          <w:rtl w:val="true"/>
        </w:rPr>
        <w:t>، 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بأس به</w:t>
      </w:r>
    </w:p>
  </w:footnote>
  <w:footnote w:id="4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موطوء الإنسان الذي يجب بيعه خارج البلد لا يجب إعلام المشتري بحاله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زين رحمه الله </w:t>
      </w:r>
      <w:r>
        <w:rPr>
          <w:rFonts w:eastAsia="IRNazanin" w:cs="IRNazanin"/>
          <w:b w:val="false"/>
          <w:bCs w:val="false"/>
          <w:i w:val="false"/>
          <w:iCs w:val="false"/>
          <w:color w:val="333333"/>
          <w:sz w:val="20"/>
          <w:szCs w:val="20"/>
          <w:rtl w:val="true"/>
        </w:rPr>
        <w:t>)</w:t>
      </w:r>
    </w:p>
  </w:footnote>
  <w:footnote w:id="4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w:t>
      </w:r>
    </w:p>
  </w:footnote>
  <w:footnote w:id="4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قواعد الأحكام،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328</w:t>
      </w:r>
    </w:p>
  </w:footnote>
  <w:footnote w:id="4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الهامش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4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يأتي في كتاب الحدود</w:t>
      </w:r>
      <w:r>
        <w:rPr>
          <w:rFonts w:eastAsia="IRNazanin" w:cs="IRNazanin"/>
          <w:b w:val="false"/>
          <w:bCs w:val="false"/>
          <w:i w:val="false"/>
          <w:iCs w:val="false"/>
          <w:color w:val="333333"/>
          <w:sz w:val="20"/>
          <w:szCs w:val="20"/>
          <w:rtl w:val="true"/>
        </w:rPr>
        <w:t>.</w:t>
      </w:r>
    </w:p>
  </w:footnote>
  <w:footnote w:id="4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w:t>
      </w:r>
    </w:p>
  </w:footnote>
  <w:footnote w:id="4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الدروس الشرعية،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 موسوعة الشهيد الأوّل، 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4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قواعد الأحكام،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w:t>
      </w:r>
    </w:p>
  </w:footnote>
  <w:footnote w:id="4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w:t>
      </w:r>
    </w:p>
  </w:footnote>
  <w:footnote w:id="4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4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الهامش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4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المحقق في شرائع الإسلام،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171</w:t>
      </w:r>
      <w:r>
        <w:rPr>
          <w:rFonts w:ascii="IRNazanin" w:hAnsi="IRNazanin" w:eastAsia="IRNazanin"/>
          <w:b w:val="false"/>
          <w:b w:val="false"/>
          <w:bCs w:val="false"/>
          <w:i w:val="false"/>
          <w:i w:val="false"/>
          <w:iCs w:val="false"/>
          <w:color w:val="333333"/>
          <w:sz w:val="20"/>
          <w:sz w:val="20"/>
          <w:szCs w:val="20"/>
          <w:rtl w:val="true"/>
        </w:rPr>
        <w:t xml:space="preserve">؛ والعلّامة في قواعد الأحكام،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328</w:t>
      </w:r>
    </w:p>
  </w:footnote>
  <w:footnote w:id="4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فائدة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لو وطئ مأكول اللحم وهو حامل فلحم ولده حلال، ويكون ذكاة الحمل ذكاة أمه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والذبح واجب على صاحب الحيوان ويجب استقبال القبلة والبسملة ولا يجوز الانتفاع بجلده كباقي الحيوانات المحرمة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وإحراقه تعبد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ويفعل بالطير كما يفعل بالحيوان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زین رحمه الله </w:t>
      </w:r>
      <w:r>
        <w:rPr>
          <w:rFonts w:eastAsia="IRNazanin" w:cs="IRNazanin"/>
          <w:b w:val="false"/>
          <w:bCs w:val="false"/>
          <w:i w:val="false"/>
          <w:iCs w:val="false"/>
          <w:color w:val="333333"/>
          <w:sz w:val="20"/>
          <w:szCs w:val="20"/>
          <w:rtl w:val="true"/>
        </w:rPr>
        <w:t>)</w:t>
      </w:r>
    </w:p>
  </w:footnote>
  <w:footnote w:id="4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w:t>
      </w:r>
    </w:p>
  </w:footnote>
  <w:footnote w:id="4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 هذا الفرق الفاضل المقداد في التنقيح الرائع،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4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ولا فرق بين الحي والميت، ولو خرجت البيضة من الحي ولم تكتس القشر الأعلى فهي حرام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زين رحمه الله</w:t>
      </w:r>
      <w:r>
        <w:rPr>
          <w:rFonts w:eastAsia="IRNazanin" w:cs="IRNazanin"/>
          <w:b w:val="false"/>
          <w:bCs w:val="false"/>
          <w:i w:val="false"/>
          <w:iCs w:val="false"/>
          <w:color w:val="333333"/>
          <w:sz w:val="20"/>
          <w:szCs w:val="20"/>
          <w:rtl w:val="true"/>
        </w:rPr>
        <w:t>)</w:t>
      </w:r>
    </w:p>
  </w:footnote>
  <w:footnote w:id="4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المحيط،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نفح</w:t>
      </w:r>
      <w:r>
        <w:rPr>
          <w:rFonts w:eastAsia="IRNazanin" w:cs="IRNazanin"/>
          <w:b w:val="false"/>
          <w:bCs w:val="false"/>
          <w:i w:val="false"/>
          <w:iCs w:val="false"/>
          <w:color w:val="333333"/>
          <w:sz w:val="20"/>
          <w:szCs w:val="20"/>
          <w:rtl w:val="true"/>
        </w:rPr>
        <w:t>».</w:t>
      </w:r>
    </w:p>
  </w:footnote>
  <w:footnote w:id="4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الصحاح،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نفح</w:t>
      </w:r>
      <w:r>
        <w:rPr>
          <w:rFonts w:eastAsia="IRNazanin" w:cs="IRNazanin"/>
          <w:b w:val="false"/>
          <w:bCs w:val="false"/>
          <w:i w:val="false"/>
          <w:iCs w:val="false"/>
          <w:color w:val="333333"/>
          <w:sz w:val="20"/>
          <w:szCs w:val="20"/>
          <w:rtl w:val="true"/>
        </w:rPr>
        <w:t>».</w:t>
      </w:r>
    </w:p>
  </w:footnote>
  <w:footnote w:id="4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جمهرة اللغة،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556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نفح</w:t>
      </w:r>
      <w:r>
        <w:rPr>
          <w:rFonts w:eastAsia="IRNazanin" w:cs="IRNazanin"/>
          <w:b w:val="false"/>
          <w:bCs w:val="false"/>
          <w:i w:val="false"/>
          <w:iCs w:val="false"/>
          <w:color w:val="333333"/>
          <w:sz w:val="20"/>
          <w:szCs w:val="20"/>
          <w:rtl w:val="true"/>
        </w:rPr>
        <w:t>».</w:t>
      </w:r>
    </w:p>
  </w:footnote>
  <w:footnote w:id="5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ما ينتفع به من الميتة،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ذكرى الشيعة،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 موسوعة الشهيد الأول،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5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الهامش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الصدوق في الهداية، ص </w:t>
      </w:r>
      <w:r>
        <w:rPr>
          <w:rFonts w:eastAsia="IRNazanin" w:cs="IRNazanin"/>
          <w:b w:val="false"/>
          <w:bCs w:val="false"/>
          <w:i w:val="false"/>
          <w:iCs w:val="false"/>
          <w:color w:val="333333"/>
          <w:sz w:val="20"/>
          <w:szCs w:val="20"/>
        </w:rPr>
        <w:t>310</w:t>
      </w:r>
      <w:r>
        <w:rPr>
          <w:rFonts w:ascii="IRNazanin" w:hAnsi="IRNazanin" w:eastAsia="IRNazanin"/>
          <w:b w:val="false"/>
          <w:b w:val="false"/>
          <w:bCs w:val="false"/>
          <w:i w:val="false"/>
          <w:i w:val="false"/>
          <w:iCs w:val="false"/>
          <w:color w:val="333333"/>
          <w:sz w:val="20"/>
          <w:sz w:val="20"/>
          <w:szCs w:val="20"/>
          <w:rtl w:val="true"/>
        </w:rPr>
        <w:t xml:space="preserve">؛ والمفيد في المقنعة، ص </w:t>
      </w:r>
      <w:r>
        <w:rPr>
          <w:rFonts w:eastAsia="IRNazanin" w:cs="IRNazanin"/>
          <w:b w:val="false"/>
          <w:bCs w:val="false"/>
          <w:i w:val="false"/>
          <w:iCs w:val="false"/>
          <w:color w:val="333333"/>
          <w:sz w:val="20"/>
          <w:szCs w:val="20"/>
        </w:rPr>
        <w:t>583</w:t>
      </w:r>
      <w:r>
        <w:rPr>
          <w:rFonts w:ascii="IRNazanin" w:hAnsi="IRNazanin" w:eastAsia="IRNazanin"/>
          <w:b w:val="false"/>
          <w:b w:val="false"/>
          <w:bCs w:val="false"/>
          <w:i w:val="false"/>
          <w:i w:val="false"/>
          <w:iCs w:val="false"/>
          <w:color w:val="333333"/>
          <w:sz w:val="20"/>
          <w:sz w:val="20"/>
          <w:szCs w:val="20"/>
          <w:rtl w:val="true"/>
        </w:rPr>
        <w:t xml:space="preserve">؛ والشيخ في النهاية، ص </w:t>
      </w:r>
      <w:r>
        <w:rPr>
          <w:rFonts w:eastAsia="IRNazanin" w:cs="IRNazanin"/>
          <w:b w:val="false"/>
          <w:bCs w:val="false"/>
          <w:i w:val="false"/>
          <w:iCs w:val="false"/>
          <w:color w:val="333333"/>
          <w:sz w:val="20"/>
          <w:szCs w:val="20"/>
        </w:rPr>
        <w:t>585</w:t>
      </w:r>
      <w:r>
        <w:rPr>
          <w:rFonts w:eastAsia="IRNazanin" w:cs="IRNazanin"/>
          <w:b w:val="false"/>
          <w:bCs w:val="false"/>
          <w:i w:val="false"/>
          <w:iCs w:val="false"/>
          <w:color w:val="333333"/>
          <w:sz w:val="20"/>
          <w:szCs w:val="20"/>
          <w:rtl w:val="true"/>
        </w:rPr>
        <w:t>.</w:t>
      </w:r>
    </w:p>
  </w:footnote>
  <w:footnote w:id="5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w:t>
      </w:r>
    </w:p>
  </w:footnote>
  <w:footnote w:id="5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325</w:t>
      </w:r>
    </w:p>
  </w:footnote>
  <w:footnote w:id="5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القائل ابن إدريس في السرائر،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w:t>
      </w:r>
    </w:p>
  </w:footnote>
  <w:footnote w:id="5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الدروس الشرعية،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 موسوعة الشهيد الأول، 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5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ذهب إليه الشيخ في النهاية، ص </w:t>
      </w:r>
      <w:r>
        <w:rPr>
          <w:rFonts w:eastAsia="IRNazanin" w:cs="IRNazanin"/>
          <w:b w:val="false"/>
          <w:bCs w:val="false"/>
          <w:i w:val="false"/>
          <w:iCs w:val="false"/>
          <w:color w:val="333333"/>
          <w:sz w:val="20"/>
          <w:szCs w:val="20"/>
        </w:rPr>
        <w:t>586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حمزة في الوسيلة ص </w:t>
      </w:r>
      <w:r>
        <w:rPr>
          <w:rFonts w:eastAsia="IRNazanin" w:cs="IRNazanin"/>
          <w:b w:val="false"/>
          <w:bCs w:val="false"/>
          <w:i w:val="false"/>
          <w:iCs w:val="false"/>
          <w:color w:val="333333"/>
          <w:sz w:val="20"/>
          <w:szCs w:val="20"/>
        </w:rPr>
        <w:t>362</w:t>
      </w:r>
      <w:r>
        <w:rPr>
          <w:rFonts w:ascii="IRNazanin" w:hAnsi="IRNazanin" w:eastAsia="IRNazanin"/>
          <w:b w:val="false"/>
          <w:b w:val="false"/>
          <w:bCs w:val="false"/>
          <w:i w:val="false"/>
          <w:i w:val="false"/>
          <w:iCs w:val="false"/>
          <w:color w:val="333333"/>
          <w:sz w:val="20"/>
          <w:sz w:val="20"/>
          <w:szCs w:val="20"/>
          <w:rtl w:val="true"/>
        </w:rPr>
        <w:t xml:space="preserve">؛ والعلّامة في مختلف الشيعة، ج </w:t>
      </w:r>
      <w:r>
        <w:rPr>
          <w:rFonts w:eastAsia="IRNazanin" w:cs="IRNazanin"/>
          <w:b w:val="false"/>
          <w:bCs w:val="false"/>
          <w:i w:val="false"/>
          <w:iCs w:val="false"/>
          <w:color w:val="333333"/>
          <w:sz w:val="20"/>
          <w:szCs w:val="20"/>
        </w:rPr>
        <w:t>8</w:t>
      </w:r>
    </w:p>
  </w:footnote>
  <w:footnote w:id="5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نبه بقوله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مستنده صحيحة الحلبي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على فائدة وهي أن المصنّف جعل الرواية من الصحيح والعلامة وغيره جعلها من الحسن وكلاهما حسن؛ لأنها وردت بطريقين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أحدهما حسن، والآخر صحيح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وكأن ما ذكره المصنف من أنها صحيحة أولى</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منه 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الدورس الشرعية،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 موسوعة الشهيد الأوّل، ج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ومختلف الشيعة،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339</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w:t>
      </w:r>
      <w:r>
        <w:rPr>
          <w:rFonts w:ascii="IRNazanin" w:hAnsi="IRNazanin" w:eastAsia="IRNazanin"/>
          <w:b w:val="false"/>
          <w:b w:val="false"/>
          <w:bCs w:val="false"/>
          <w:i w:val="false"/>
          <w:i w:val="false"/>
          <w:iCs w:val="false"/>
          <w:color w:val="333333"/>
          <w:sz w:val="20"/>
          <w:sz w:val="20"/>
          <w:szCs w:val="20"/>
          <w:rtl w:val="true"/>
        </w:rPr>
        <w:t xml:space="preserve">؛ وتحرير الأحكام الشرعية،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639</w:t>
      </w:r>
      <w:r>
        <w:rPr>
          <w:rFonts w:eastAsia="IRNazanin" w:cs="IRNazanin"/>
          <w:b w:val="false"/>
          <w:bCs w:val="false"/>
          <w:i w:val="false"/>
          <w:iCs w:val="false"/>
          <w:color w:val="333333"/>
          <w:sz w:val="20"/>
          <w:szCs w:val="20"/>
          <w:rtl w:val="true"/>
        </w:rPr>
        <w:t>.</w:t>
      </w:r>
    </w:p>
  </w:footnote>
  <w:footnote w:id="5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w:t>
      </w:r>
    </w:p>
  </w:footnote>
  <w:footnote w:id="5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كالقاضي في المهذب،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وابن إدريس في السرائر،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113</w:t>
      </w:r>
    </w:p>
  </w:footnote>
  <w:footnote w:id="5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ص </w:t>
      </w:r>
      <w:r>
        <w:rPr>
          <w:rFonts w:eastAsia="IRNazanin" w:cs="IRNazanin"/>
          <w:b w:val="false"/>
          <w:bCs w:val="false"/>
          <w:i w:val="false"/>
          <w:iCs w:val="false"/>
          <w:color w:val="333333"/>
          <w:sz w:val="20"/>
          <w:szCs w:val="20"/>
        </w:rPr>
        <w:t>331</w:t>
      </w:r>
    </w:p>
  </w:footnote>
  <w:footnote w:id="5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مختلف الشيعة،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337</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5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شرائع الإسلام،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w:t>
      </w:r>
    </w:p>
  </w:footnote>
  <w:footnote w:id="5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مختلف الشيعة،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337</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5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الهامش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الصحاح ،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1236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شجع</w:t>
      </w:r>
      <w:r>
        <w:rPr>
          <w:rFonts w:eastAsia="IRNazanin" w:cs="IRNazanin"/>
          <w:b w:val="false"/>
          <w:bCs w:val="false"/>
          <w:i w:val="false"/>
          <w:iCs w:val="false"/>
          <w:color w:val="333333"/>
          <w:sz w:val="20"/>
          <w:szCs w:val="20"/>
          <w:rtl w:val="true"/>
        </w:rPr>
        <w:t>».</w:t>
      </w:r>
    </w:p>
  </w:footnote>
  <w:footnote w:id="5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السواد الذي في جوف البياض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زین رحمه الله </w:t>
      </w:r>
      <w:r>
        <w:rPr>
          <w:rFonts w:eastAsia="IRNazanin" w:cs="IRNazanin"/>
          <w:b w:val="false"/>
          <w:bCs w:val="false"/>
          <w:i w:val="false"/>
          <w:iCs w:val="false"/>
          <w:color w:val="333333"/>
          <w:sz w:val="20"/>
          <w:szCs w:val="20"/>
          <w:rtl w:val="true"/>
        </w:rPr>
        <w:t>)</w:t>
      </w:r>
    </w:p>
  </w:footnote>
  <w:footnote w:id="5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النهاية، ص </w:t>
      </w:r>
      <w:r>
        <w:rPr>
          <w:rFonts w:eastAsia="IRNazanin" w:cs="IRNazanin"/>
          <w:b w:val="false"/>
          <w:bCs w:val="false"/>
          <w:i w:val="false"/>
          <w:iCs w:val="false"/>
          <w:color w:val="333333"/>
          <w:sz w:val="20"/>
          <w:szCs w:val="20"/>
        </w:rPr>
        <w:t>585</w:t>
      </w:r>
    </w:p>
  </w:footnote>
  <w:footnote w:id="5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p>
  </w:footnote>
  <w:footnote w:id="5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العلامة في قواعد الأحكام،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329</w:t>
      </w:r>
      <w:r>
        <w:rPr>
          <w:rFonts w:ascii="IRNazanin" w:hAnsi="IRNazanin" w:eastAsia="IRNazanin"/>
          <w:b w:val="false"/>
          <w:b w:val="false"/>
          <w:bCs w:val="false"/>
          <w:i w:val="false"/>
          <w:i w:val="false"/>
          <w:iCs w:val="false"/>
          <w:color w:val="333333"/>
          <w:sz w:val="20"/>
          <w:sz w:val="20"/>
          <w:szCs w:val="20"/>
          <w:rtl w:val="true"/>
        </w:rPr>
        <w:t xml:space="preserve">؛ وابن فهد الحلي في المهذب البارع،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218</w:t>
      </w:r>
    </w:p>
  </w:footnote>
  <w:footnote w:id="5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الدروس الشرعية،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ضمن موسوعة الشهيد الأول، 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5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w:t>
      </w:r>
    </w:p>
  </w:footnote>
  <w:footnote w:id="5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173</w:t>
      </w:r>
    </w:p>
  </w:footnote>
  <w:footnote w:id="5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ادّعاه ابن فهد الحلّي في المهذب البارع،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218</w:t>
      </w:r>
    </w:p>
  </w:footnote>
  <w:footnote w:id="5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مختلف الشيعة،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333</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5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نقله عنه العلامة في مختلف الشيعة،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المسألة </w:t>
      </w:r>
      <w:r>
        <w:rPr>
          <w:rFonts w:eastAsia="IRNazanin" w:cs="IRNazanin"/>
          <w:b w:val="false"/>
          <w:bCs w:val="false"/>
          <w:i w:val="false"/>
          <w:iCs w:val="false"/>
          <w:color w:val="333333"/>
          <w:sz w:val="20"/>
          <w:szCs w:val="20"/>
        </w:rPr>
        <w:t>36</w:t>
      </w:r>
    </w:p>
  </w:footnote>
  <w:footnote w:id="5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نقله عنه الجوهري في الصحاح،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2475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کلی</w:t>
      </w:r>
      <w:r>
        <w:rPr>
          <w:rFonts w:eastAsia="IRNazanin" w:cs="IRNazanin"/>
          <w:b w:val="false"/>
          <w:bCs w:val="false"/>
          <w:i w:val="false"/>
          <w:iCs w:val="false"/>
          <w:color w:val="333333"/>
          <w:sz w:val="20"/>
          <w:szCs w:val="20"/>
          <w:rtl w:val="true"/>
        </w:rPr>
        <w:t>».</w:t>
      </w:r>
    </w:p>
  </w:footnote>
  <w:footnote w:id="5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اختلاط الحلال بغيره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من التمر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زين رحمه الله</w:t>
      </w:r>
      <w:r>
        <w:rPr>
          <w:rFonts w:eastAsia="IRNazanin" w:cs="IRNazanin"/>
          <w:b w:val="false"/>
          <w:bCs w:val="false"/>
          <w:i w:val="false"/>
          <w:iCs w:val="false"/>
          <w:color w:val="333333"/>
          <w:sz w:val="20"/>
          <w:szCs w:val="20"/>
          <w:rtl w:val="true"/>
        </w:rPr>
        <w:t>)</w:t>
      </w:r>
    </w:p>
  </w:footnote>
  <w:footnote w:id="5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وسائل الشيعة، ج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287</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الأشربة المحرمة</w:t>
      </w:r>
      <w:r>
        <w:rPr>
          <w:rFonts w:eastAsia="IRNazanin" w:cs="IRNazanin"/>
          <w:b w:val="false"/>
          <w:bCs w:val="false"/>
          <w:i w:val="false"/>
          <w:iCs w:val="false"/>
          <w:color w:val="333333"/>
          <w:sz w:val="20"/>
          <w:szCs w:val="20"/>
          <w:rtl w:val="true"/>
        </w:rPr>
        <w:t>.</w:t>
      </w:r>
    </w:p>
  </w:footnote>
  <w:footnote w:id="5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منهم المحقق في شرائع الإسلام،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xml:space="preserve">؛ والعلّامة في مختلف الشيعة،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310</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xml:space="preserve">؛ والمحقق الكركي في رسائله،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5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نقله عن بعض مشايخه الشهيد في الدروس الشرعية،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 موسوعة الشهيد الأول، 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5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522</w:t>
      </w:r>
    </w:p>
  </w:footnote>
  <w:footnote w:id="5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547</w:t>
      </w:r>
      <w:r>
        <w:rPr>
          <w:rFonts w:eastAsia="IRNazanin" w:cs="IRNazanin"/>
          <w:b w:val="false"/>
          <w:bCs w:val="false"/>
          <w:i w:val="false"/>
          <w:iCs w:val="false"/>
          <w:color w:val="333333"/>
          <w:sz w:val="20"/>
          <w:szCs w:val="20"/>
          <w:rtl w:val="true"/>
        </w:rPr>
        <w:t>.</w:t>
      </w:r>
    </w:p>
  </w:footnote>
  <w:footnote w:id="5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534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544</w:t>
      </w:r>
      <w:r>
        <w:rPr>
          <w:rFonts w:eastAsia="IRNazanin" w:cs="IRNazanin"/>
          <w:b w:val="false"/>
          <w:bCs w:val="false"/>
          <w:i w:val="false"/>
          <w:iCs w:val="false"/>
          <w:color w:val="333333"/>
          <w:sz w:val="20"/>
          <w:szCs w:val="20"/>
          <w:rtl w:val="true"/>
        </w:rPr>
        <w:t>.</w:t>
      </w:r>
    </w:p>
  </w:footnote>
  <w:footnote w:id="5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الدروس الشرعية،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 موسوعة الشهيد الأوّل، 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حكاه عن ابن الجنيد العلامة في</w:t>
      </w:r>
    </w:p>
  </w:footnote>
  <w:footnote w:id="5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يأتي في ص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xml:space="preserve"> .</w:t>
      </w:r>
    </w:p>
  </w:footnote>
  <w:footnote w:id="5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376</w:t>
      </w:r>
      <w:r>
        <w:rPr>
          <w:rFonts w:eastAsia="IRNazanin" w:cs="IRNazanin"/>
          <w:b w:val="false"/>
          <w:bCs w:val="false"/>
          <w:i w:val="false"/>
          <w:iCs w:val="false"/>
          <w:color w:val="333333"/>
          <w:sz w:val="20"/>
          <w:szCs w:val="20"/>
          <w:rtl w:val="true"/>
        </w:rPr>
        <w:t>.</w:t>
      </w:r>
    </w:p>
  </w:footnote>
  <w:footnote w:id="5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377</w:t>
      </w:r>
    </w:p>
  </w:footnote>
  <w:footnote w:id="5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باب أكل الطين</w:t>
      </w:r>
      <w:r>
        <w:rPr>
          <w:rFonts w:eastAsia="IRNazanin" w:cs="IRNazanin"/>
          <w:b w:val="false"/>
          <w:bCs w:val="false"/>
          <w:i w:val="false"/>
          <w:iCs w:val="false"/>
          <w:color w:val="333333"/>
          <w:sz w:val="20"/>
          <w:szCs w:val="20"/>
          <w:rtl w:val="true"/>
        </w:rPr>
        <w:t>.</w:t>
      </w:r>
    </w:p>
  </w:footnote>
  <w:footnote w:id="5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نعثر عليهما، نعم، في تهذيب الأحكام،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حريم قبر الحسين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خمسة فراسخ من أربع جوانبه</w:t>
      </w:r>
      <w:r>
        <w:rPr>
          <w:rFonts w:eastAsia="IRNazanin" w:cs="IRNazanin"/>
          <w:b w:val="false"/>
          <w:bCs w:val="false"/>
          <w:i w:val="false"/>
          <w:iCs w:val="false"/>
          <w:color w:val="333333"/>
          <w:sz w:val="20"/>
          <w:szCs w:val="20"/>
          <w:rtl w:val="true"/>
        </w:rPr>
        <w:t>.</w:t>
      </w:r>
    </w:p>
  </w:footnote>
  <w:footnote w:id="5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نعثر عليهما، نعم، في تهذيب الأحكام،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حريم قبر الحسين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خمسة فراسخ من أربع جوانبه</w:t>
      </w:r>
      <w:r>
        <w:rPr>
          <w:rFonts w:eastAsia="IRNazanin" w:cs="IRNazanin"/>
          <w:b w:val="false"/>
          <w:bCs w:val="false"/>
          <w:i w:val="false"/>
          <w:iCs w:val="false"/>
          <w:color w:val="333333"/>
          <w:sz w:val="20"/>
          <w:szCs w:val="20"/>
          <w:rtl w:val="true"/>
        </w:rPr>
        <w:t>.</w:t>
      </w:r>
    </w:p>
  </w:footnote>
  <w:footnote w:id="5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 الأئمة، ص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5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المائدة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5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المائدة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5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منتهى المطلب،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292</w:t>
      </w:r>
      <w:r>
        <w:rPr>
          <w:rFonts w:ascii="IRNazanin" w:hAnsi="IRNazanin" w:eastAsia="IRNazanin"/>
          <w:b w:val="false"/>
          <w:b w:val="false"/>
          <w:bCs w:val="false"/>
          <w:i w:val="false"/>
          <w:i w:val="false"/>
          <w:iCs w:val="false"/>
          <w:color w:val="333333"/>
          <w:sz w:val="20"/>
          <w:sz w:val="20"/>
          <w:szCs w:val="20"/>
          <w:rtl w:val="true"/>
        </w:rPr>
        <w:t xml:space="preserve">؛ نهاية الإحكام،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281</w:t>
      </w:r>
    </w:p>
  </w:footnote>
  <w:footnote w:id="5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الدروس الشرعية،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ضمن موسوعة الشهيد الأوّل،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5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يحلّ بيع الأدهان النجسة لفائدة الاستصباح تحت السماء، ويجب إعلام المشتري، ويكون الثمن حراماً إن لم يُعْلِمُه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زين رحمه الله </w:t>
      </w:r>
      <w:r>
        <w:rPr>
          <w:rFonts w:eastAsia="IRNazanin" w:cs="IRNazanin"/>
          <w:b w:val="false"/>
          <w:bCs w:val="false"/>
          <w:i w:val="false"/>
          <w:iCs w:val="false"/>
          <w:color w:val="333333"/>
          <w:sz w:val="20"/>
          <w:szCs w:val="20"/>
          <w:rtl w:val="true"/>
        </w:rPr>
        <w:t>)</w:t>
      </w:r>
    </w:p>
  </w:footnote>
  <w:footnote w:id="5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الدروس الشرعية،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ضمن موسوعة الشهيد الأوّل، 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5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w:t>
      </w:r>
    </w:p>
  </w:footnote>
  <w:footnote w:id="5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الهامش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قواعد الأحكام،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333</w:t>
      </w:r>
    </w:p>
  </w:footnote>
  <w:footnote w:id="5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شرائع الإسلام،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والقول الآخر اختاره في المختصر النافع، ص </w:t>
      </w:r>
      <w:r>
        <w:rPr>
          <w:rFonts w:eastAsia="IRNazanin" w:cs="IRNazanin"/>
          <w:b w:val="false"/>
          <w:bCs w:val="false"/>
          <w:i w:val="false"/>
          <w:iCs w:val="false"/>
          <w:color w:val="333333"/>
          <w:sz w:val="20"/>
          <w:szCs w:val="20"/>
        </w:rPr>
        <w:t>366</w:t>
      </w:r>
      <w:r>
        <w:rPr>
          <w:rFonts w:eastAsia="IRNazanin" w:cs="IRNazanin"/>
          <w:b w:val="false"/>
          <w:bCs w:val="false"/>
          <w:i w:val="false"/>
          <w:iCs w:val="false"/>
          <w:color w:val="333333"/>
          <w:sz w:val="20"/>
          <w:szCs w:val="20"/>
          <w:rtl w:val="true"/>
        </w:rPr>
        <w:t>.</w:t>
      </w:r>
    </w:p>
  </w:footnote>
  <w:footnote w:id="5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الهامش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355</w:t>
      </w:r>
    </w:p>
  </w:footnote>
  <w:footnote w:id="5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به العلّامة في مختلف الشيعة،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340</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5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357</w:t>
      </w:r>
    </w:p>
  </w:footnote>
  <w:footnote w:id="5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546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0547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15589</w:t>
      </w:r>
      <w:r>
        <w:rPr>
          <w:rFonts w:eastAsia="IRNazanin" w:cs="IRNazanin"/>
          <w:b w:val="false"/>
          <w:bCs w:val="false"/>
          <w:i w:val="false"/>
          <w:iCs w:val="false"/>
          <w:color w:val="333333"/>
          <w:sz w:val="20"/>
          <w:szCs w:val="20"/>
          <w:rtl w:val="true"/>
        </w:rPr>
        <w:t>.</w:t>
      </w:r>
    </w:p>
  </w:footnote>
  <w:footnote w:id="5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النور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w:t>
      </w:r>
    </w:p>
  </w:footnote>
  <w:footnote w:id="5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124</w:t>
      </w:r>
    </w:p>
  </w:footnote>
  <w:footnote w:id="5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به الطبرسي في مجمع البیان،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273</w:t>
      </w:r>
      <w:r>
        <w:rPr>
          <w:rFonts w:ascii="IRNazanin" w:hAnsi="IRNazanin" w:eastAsia="IRNazanin"/>
          <w:b w:val="false"/>
          <w:b w:val="false"/>
          <w:bCs w:val="false"/>
          <w:i w:val="false"/>
          <w:i w:val="false"/>
          <w:iCs w:val="false"/>
          <w:color w:val="333333"/>
          <w:sz w:val="20"/>
          <w:sz w:val="20"/>
          <w:szCs w:val="20"/>
          <w:rtl w:val="true"/>
        </w:rPr>
        <w:t xml:space="preserve">، ذيل الآية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النور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5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به الزمخشري في الكشاف،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256</w:t>
      </w:r>
      <w:r>
        <w:rPr>
          <w:rFonts w:ascii="IRNazanin" w:hAnsi="IRNazanin" w:eastAsia="IRNazanin"/>
          <w:b w:val="false"/>
          <w:b w:val="false"/>
          <w:bCs w:val="false"/>
          <w:i w:val="false"/>
          <w:i w:val="false"/>
          <w:iCs w:val="false"/>
          <w:color w:val="333333"/>
          <w:sz w:val="20"/>
          <w:sz w:val="20"/>
          <w:szCs w:val="20"/>
          <w:rtl w:val="true"/>
        </w:rPr>
        <w:t xml:space="preserve">، ذيل الآية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النور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5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الجامع الصحيح،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1358</w:t>
      </w:r>
      <w:r>
        <w:rPr>
          <w:rFonts w:ascii="IRNazanin" w:hAnsi="IRNazanin" w:eastAsia="IRNazanin"/>
          <w:b w:val="false"/>
          <w:b w:val="false"/>
          <w:bCs w:val="false"/>
          <w:i w:val="false"/>
          <w:i w:val="false"/>
          <w:iCs w:val="false"/>
          <w:color w:val="333333"/>
          <w:sz w:val="20"/>
          <w:sz w:val="20"/>
          <w:szCs w:val="20"/>
          <w:rtl w:val="true"/>
        </w:rPr>
        <w:t xml:space="preserve">؛ سنن ابن ماجة،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768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2290</w:t>
      </w:r>
      <w:r>
        <w:rPr>
          <w:rFonts w:ascii="IRNazanin" w:hAnsi="IRNazanin" w:eastAsia="IRNazanin"/>
          <w:b w:val="false"/>
          <w:b w:val="false"/>
          <w:bCs w:val="false"/>
          <w:i w:val="false"/>
          <w:i w:val="false"/>
          <w:iCs w:val="false"/>
          <w:color w:val="333333"/>
          <w:sz w:val="20"/>
          <w:sz w:val="20"/>
          <w:szCs w:val="20"/>
          <w:rtl w:val="true"/>
        </w:rPr>
        <w:t xml:space="preserve">؛ عوالي اللآلي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w:t>
      </w:r>
    </w:p>
  </w:footnote>
  <w:footnote w:id="5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416</w:t>
      </w:r>
      <w:r>
        <w:rPr>
          <w:rFonts w:eastAsia="IRNazanin" w:cs="IRNazanin"/>
          <w:b w:val="false"/>
          <w:bCs w:val="false"/>
          <w:i w:val="false"/>
          <w:iCs w:val="false"/>
          <w:color w:val="333333"/>
          <w:sz w:val="20"/>
          <w:szCs w:val="20"/>
          <w:rtl w:val="true"/>
        </w:rPr>
        <w:t>.</w:t>
      </w:r>
    </w:p>
  </w:footnote>
  <w:footnote w:id="5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به الطبرسي في مجمع البيان،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273</w:t>
      </w:r>
      <w:r>
        <w:rPr>
          <w:rFonts w:ascii="IRNazanin" w:hAnsi="IRNazanin" w:eastAsia="IRNazanin"/>
          <w:b w:val="false"/>
          <w:b w:val="false"/>
          <w:bCs w:val="false"/>
          <w:i w:val="false"/>
          <w:i w:val="false"/>
          <w:iCs w:val="false"/>
          <w:color w:val="333333"/>
          <w:sz w:val="20"/>
          <w:sz w:val="20"/>
          <w:szCs w:val="20"/>
          <w:rtl w:val="true"/>
        </w:rPr>
        <w:t xml:space="preserve">، ذيل الآية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النور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5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414</w:t>
      </w:r>
    </w:p>
  </w:footnote>
  <w:footnote w:id="5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نقله الزمخشري في الكشاف،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ذيل الآية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النور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5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كابن فهد الحلي في المهذب البارع،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w:t>
      </w:r>
    </w:p>
  </w:footnote>
  <w:footnote w:id="5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p>
  </w:footnote>
  <w:footnote w:id="5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الدروس الشرعية،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ضمن موسوعة الشهيد الأول، 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5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العلّامة في قواعد الأحكام،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 xml:space="preserve"> .</w:t>
      </w:r>
    </w:p>
  </w:footnote>
  <w:footnote w:id="5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504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510</w:t>
      </w:r>
      <w:r>
        <w:rPr>
          <w:rFonts w:eastAsia="IRNazanin" w:cs="IRNazanin"/>
          <w:b w:val="false"/>
          <w:bCs w:val="false"/>
          <w:i w:val="false"/>
          <w:iCs w:val="false"/>
          <w:color w:val="333333"/>
          <w:sz w:val="20"/>
          <w:szCs w:val="20"/>
          <w:rtl w:val="true"/>
        </w:rPr>
        <w:t>.</w:t>
      </w:r>
    </w:p>
  </w:footnote>
  <w:footnote w:id="5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504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510</w:t>
      </w:r>
      <w:r>
        <w:rPr>
          <w:rFonts w:eastAsia="IRNazanin" w:cs="IRNazanin"/>
          <w:b w:val="false"/>
          <w:bCs w:val="false"/>
          <w:i w:val="false"/>
          <w:iCs w:val="false"/>
          <w:color w:val="333333"/>
          <w:sz w:val="20"/>
          <w:szCs w:val="20"/>
          <w:rtl w:val="true"/>
        </w:rPr>
        <w:t>.</w:t>
      </w:r>
    </w:p>
  </w:footnote>
  <w:footnote w:id="5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شرائع الإسلام،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180</w:t>
      </w:r>
      <w:r>
        <w:rPr>
          <w:rFonts w:ascii="IRNazanin" w:hAnsi="IRNazanin" w:eastAsia="IRNazanin"/>
          <w:b w:val="false"/>
          <w:b w:val="false"/>
          <w:bCs w:val="false"/>
          <w:i w:val="false"/>
          <w:i w:val="false"/>
          <w:iCs w:val="false"/>
          <w:color w:val="333333"/>
          <w:sz w:val="20"/>
          <w:sz w:val="20"/>
          <w:szCs w:val="20"/>
          <w:rtl w:val="true"/>
        </w:rPr>
        <w:t xml:space="preserve">؛ قواعد الأحكام،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331</w:t>
      </w:r>
    </w:p>
  </w:footnote>
  <w:footnote w:id="5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510</w:t>
      </w:r>
      <w:r>
        <w:rPr>
          <w:rFonts w:eastAsia="IRNazanin" w:cs="IRNazanin"/>
          <w:b w:val="false"/>
          <w:bCs w:val="false"/>
          <w:i w:val="false"/>
          <w:iCs w:val="false"/>
          <w:color w:val="333333"/>
          <w:sz w:val="20"/>
          <w:szCs w:val="20"/>
          <w:rtl w:val="true"/>
        </w:rPr>
        <w:t>.</w:t>
      </w:r>
    </w:p>
  </w:footnote>
  <w:footnote w:id="5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الدروس الشرعية ،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 موسوعة الشهيد الأول، 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5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مثل رواية أبي بصير تقدم تخريجه في الهامش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5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المجموع شرح المهذب،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594</w:t>
      </w:r>
      <w:r>
        <w:rPr>
          <w:rFonts w:eastAsia="IRNazanin" w:cs="IRNazanin"/>
          <w:b w:val="false"/>
          <w:bCs w:val="false"/>
          <w:i w:val="false"/>
          <w:iCs w:val="false"/>
          <w:color w:val="333333"/>
          <w:sz w:val="20"/>
          <w:szCs w:val="20"/>
          <w:rtl w:val="true"/>
        </w:rPr>
        <w:t>.</w:t>
      </w:r>
    </w:p>
  </w:footnote>
  <w:footnote w:id="5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551</w:t>
      </w:r>
    </w:p>
  </w:footnote>
  <w:footnote w:id="5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ولو خاف طول المرض أو عسر علاجه فالأقرب أنه مضطر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زين رحمه الله</w:t>
      </w:r>
      <w:r>
        <w:rPr>
          <w:rFonts w:eastAsia="IRNazanin" w:cs="IRNazanin"/>
          <w:b w:val="false"/>
          <w:bCs w:val="false"/>
          <w:i w:val="false"/>
          <w:iCs w:val="false"/>
          <w:color w:val="333333"/>
          <w:sz w:val="20"/>
          <w:szCs w:val="20"/>
          <w:rtl w:val="true"/>
        </w:rPr>
        <w:t>)</w:t>
      </w:r>
    </w:p>
  </w:footnote>
  <w:footnote w:id="5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به الشيخ في المبسوط ،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685</w:t>
      </w:r>
      <w:r>
        <w:rPr>
          <w:rFonts w:eastAsia="IRNazanin" w:cs="IRNazanin"/>
          <w:b w:val="false"/>
          <w:bCs w:val="false"/>
          <w:i w:val="false"/>
          <w:iCs w:val="false"/>
          <w:color w:val="333333"/>
          <w:sz w:val="20"/>
          <w:szCs w:val="20"/>
          <w:rtl w:val="true"/>
        </w:rPr>
        <w:t>.</w:t>
      </w:r>
    </w:p>
  </w:footnote>
  <w:footnote w:id="5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به المحقق في شرائع الإسلام،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w:t>
      </w:r>
    </w:p>
  </w:footnote>
  <w:footnote w:id="5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الدروس الشرعية،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ضمن موسوعة الشهيد الأول، 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5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المائدة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p>
  </w:footnote>
  <w:footnote w:id="5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وسائل الشيعة، ج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350</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الأشربة المحرمة</w:t>
      </w:r>
      <w:r>
        <w:rPr>
          <w:rFonts w:eastAsia="IRNazanin" w:cs="IRNazanin"/>
          <w:b w:val="false"/>
          <w:bCs w:val="false"/>
          <w:i w:val="false"/>
          <w:iCs w:val="false"/>
          <w:color w:val="333333"/>
          <w:sz w:val="20"/>
          <w:szCs w:val="20"/>
          <w:rtl w:val="true"/>
        </w:rPr>
        <w:t>.</w:t>
      </w:r>
    </w:p>
  </w:footnote>
  <w:footnote w:id="5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488</w:t>
      </w:r>
      <w:r>
        <w:rPr>
          <w:rFonts w:eastAsia="IRNazanin" w:cs="IRNazanin"/>
          <w:b w:val="false"/>
          <w:bCs w:val="false"/>
          <w:i w:val="false"/>
          <w:iCs w:val="false"/>
          <w:color w:val="333333"/>
          <w:sz w:val="20"/>
          <w:szCs w:val="20"/>
          <w:rtl w:val="true"/>
        </w:rPr>
        <w:t>.</w:t>
      </w:r>
    </w:p>
  </w:footnote>
  <w:footnote w:id="5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من اضطر إلى الخمر ، 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5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الدروس الشرعية،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ضمن موسوعة الشهيد الأوّل، 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5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مختلف الشيعة،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المسألة </w:t>
      </w:r>
      <w:r>
        <w:rPr>
          <w:rFonts w:eastAsia="IRNazanin" w:cs="IRNazanin"/>
          <w:b w:val="false"/>
          <w:bCs w:val="false"/>
          <w:i w:val="false"/>
          <w:iCs w:val="false"/>
          <w:color w:val="333333"/>
          <w:sz w:val="20"/>
          <w:szCs w:val="20"/>
        </w:rPr>
        <w:t>56</w:t>
      </w:r>
    </w:p>
  </w:footnote>
  <w:footnote w:id="5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الهامش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حكاهما المحقق في شرائع الإسلام،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181</w:t>
      </w:r>
      <w:r>
        <w:rPr>
          <w:rFonts w:ascii="IRNazanin" w:hAnsi="IRNazanin" w:eastAsia="IRNazanin"/>
          <w:b w:val="false"/>
          <w:b w:val="false"/>
          <w:bCs w:val="false"/>
          <w:i w:val="false"/>
          <w:i w:val="false"/>
          <w:iCs w:val="false"/>
          <w:color w:val="333333"/>
          <w:sz w:val="20"/>
          <w:sz w:val="20"/>
          <w:szCs w:val="20"/>
          <w:rtl w:val="true"/>
        </w:rPr>
        <w:t xml:space="preserve">؛ والعلّامة في قواعد الأحكام،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334</w:t>
      </w:r>
      <w:r>
        <w:rPr>
          <w:rFonts w:ascii="IRNazanin" w:hAnsi="IRNazanin" w:eastAsia="IRNazanin"/>
          <w:b w:val="false"/>
          <w:b w:val="false"/>
          <w:bCs w:val="false"/>
          <w:i w:val="false"/>
          <w:i w:val="false"/>
          <w:iCs w:val="false"/>
          <w:color w:val="333333"/>
          <w:sz w:val="20"/>
          <w:sz w:val="20"/>
          <w:szCs w:val="20"/>
          <w:rtl w:val="true"/>
        </w:rPr>
        <w:t>؛ وقال بهما</w:t>
      </w:r>
    </w:p>
  </w:footnote>
  <w:footnote w:id="5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به المحقق في شرائع الإسلام،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182</w:t>
      </w:r>
      <w:r>
        <w:rPr>
          <w:rFonts w:ascii="IRNazanin" w:hAnsi="IRNazanin" w:eastAsia="IRNazanin"/>
          <w:b w:val="false"/>
          <w:b w:val="false"/>
          <w:bCs w:val="false"/>
          <w:i w:val="false"/>
          <w:i w:val="false"/>
          <w:iCs w:val="false"/>
          <w:color w:val="333333"/>
          <w:sz w:val="20"/>
          <w:sz w:val="20"/>
          <w:szCs w:val="20"/>
          <w:rtl w:val="true"/>
        </w:rPr>
        <w:t xml:space="preserve">؛ والعلّامة في قواعد الأحكام،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335</w:t>
      </w:r>
      <w:r>
        <w:rPr>
          <w:rFonts w:eastAsia="IRNazanin" w:cs="IRNazanin"/>
          <w:b w:val="false"/>
          <w:bCs w:val="false"/>
          <w:i w:val="false"/>
          <w:iCs w:val="false"/>
          <w:color w:val="333333"/>
          <w:sz w:val="20"/>
          <w:szCs w:val="20"/>
          <w:rtl w:val="true"/>
        </w:rPr>
        <w:t>.</w:t>
      </w:r>
    </w:p>
  </w:footnote>
  <w:footnote w:id="5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به الشيخ في المبسوط،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684</w:t>
      </w:r>
      <w:r>
        <w:rPr>
          <w:rFonts w:eastAsia="IRNazanin" w:cs="IRNazanin"/>
          <w:b w:val="false"/>
          <w:bCs w:val="false"/>
          <w:i w:val="false"/>
          <w:iCs w:val="false"/>
          <w:color w:val="333333"/>
          <w:sz w:val="20"/>
          <w:szCs w:val="20"/>
          <w:rtl w:val="true"/>
        </w:rPr>
        <w:t>.</w:t>
      </w:r>
    </w:p>
  </w:footnote>
  <w:footnote w:id="5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نعثر عليه سوى ما رواه الشيخ مرسلاً في الخلاف،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177</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290</w:t>
      </w:r>
      <w:r>
        <w:rPr>
          <w:rFonts w:ascii="IRNazanin" w:hAnsi="IRNazanin" w:eastAsia="IRNazanin"/>
          <w:b w:val="false"/>
          <w:b w:val="false"/>
          <w:bCs w:val="false"/>
          <w:i w:val="false"/>
          <w:i w:val="false"/>
          <w:iCs w:val="false"/>
          <w:color w:val="333333"/>
          <w:sz w:val="20"/>
          <w:sz w:val="20"/>
          <w:szCs w:val="20"/>
          <w:rtl w:val="true"/>
        </w:rPr>
        <w:t xml:space="preserve">؛ وكذلك في عوالي اللآلي،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w:t>
      </w:r>
    </w:p>
  </w:footnote>
  <w:footnote w:id="5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به ابن فهد الحلّي في المهذب البارع،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w:t>
      </w:r>
    </w:p>
  </w:footnote>
  <w:footnote w:id="5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الدروس الشرعية،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 موسوعة الشهيد الأول، 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5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ثمّ إن كان المضطر قادراً على دفع ثمنه لم يجب على المالك بذله مجاناً قطعاً؛ لأن ضرورة الجائع يندفع ببذل الثمن القادر عليه وإن كان عاجزاً عنه، ففي وجوب بذله مجاناً وجهان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أصحهما العدم؛ لعصمة مال الغير كعصمة سه، فيجمع بين الحقين بالعوض وقت القدرة، الثاني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عدم جواز أخذ العوض لوجوب بذله فلا يتعقبه العوض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لأنه لا عوض على فعل الواجب كما إذا خلص مشرفاً على الهلاك لا يجب عليه أجرة المثل، وجوابه منع الكلّيّة كما يجب بذل الطعام في الغلاء على المحتكر، ويجبر عليه مع جواز أخذه العوض إجماعاً والمعلوم وجوب نفس بذل المال أعم من كونه مجاناً أو بعوض وفرّقوا بينه وبين تخليص المشرف على الهلاك بأن هاهنا يلزمه التخليص وإن لم يكن للمشرف على الهلاك مال ولا يجوز التأخير إلى تقدير الأجرة بخلاف ما هنا ولا يخلو هذا الفرق من قصور </w:t>
      </w:r>
      <w:r>
        <w:rPr>
          <w:rFonts w:eastAsia="IRNazanin" w:cs="IRNazanin"/>
          <w:b w:val="false"/>
          <w:bCs w:val="false"/>
          <w:i w:val="false"/>
          <w:iCs w:val="false"/>
          <w:color w:val="333333"/>
          <w:sz w:val="20"/>
          <w:szCs w:val="20"/>
          <w:rtl w:val="true"/>
        </w:rPr>
        <w:t>.</w:t>
      </w:r>
    </w:p>
  </w:footnote>
  <w:footnote w:id="5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الوضوء قبل الطعام ،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6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290</w:t>
      </w:r>
      <w:r>
        <w:rPr>
          <w:rFonts w:ascii="IRNazanin" w:hAnsi="IRNazanin" w:eastAsia="IRNazanin"/>
          <w:b w:val="false"/>
          <w:b w:val="false"/>
          <w:bCs w:val="false"/>
          <w:i w:val="false"/>
          <w:i w:val="false"/>
          <w:iCs w:val="false"/>
          <w:color w:val="333333"/>
          <w:sz w:val="20"/>
          <w:sz w:val="20"/>
          <w:szCs w:val="20"/>
          <w:rtl w:val="true"/>
        </w:rPr>
        <w:t xml:space="preserve">، باب الوضوء قبل الطعام،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6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290</w:t>
      </w:r>
      <w:r>
        <w:rPr>
          <w:rFonts w:ascii="IRNazanin" w:hAnsi="IRNazanin" w:eastAsia="IRNazanin"/>
          <w:b w:val="false"/>
          <w:b w:val="false"/>
          <w:bCs w:val="false"/>
          <w:i w:val="false"/>
          <w:i w:val="false"/>
          <w:iCs w:val="false"/>
          <w:color w:val="333333"/>
          <w:sz w:val="20"/>
          <w:sz w:val="20"/>
          <w:szCs w:val="20"/>
          <w:rtl w:val="true"/>
        </w:rPr>
        <w:t xml:space="preserve">، باب الوضوء قبل الطعام،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6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يدلّ عليه ما في الكافي،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التمندل،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427</w:t>
      </w:r>
      <w:r>
        <w:rPr>
          <w:rFonts w:eastAsia="IRNazanin" w:cs="IRNazanin"/>
          <w:b w:val="false"/>
          <w:bCs w:val="false"/>
          <w:i w:val="false"/>
          <w:iCs w:val="false"/>
          <w:color w:val="333333"/>
          <w:sz w:val="20"/>
          <w:szCs w:val="20"/>
          <w:rtl w:val="true"/>
        </w:rPr>
        <w:t>.</w:t>
      </w:r>
    </w:p>
  </w:footnote>
  <w:footnote w:id="6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التسمية والتحميد، ح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6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431</w:t>
      </w:r>
    </w:p>
  </w:footnote>
  <w:footnote w:id="6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431</w:t>
      </w:r>
    </w:p>
  </w:footnote>
  <w:footnote w:id="6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99</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429</w:t>
      </w:r>
      <w:r>
        <w:rPr>
          <w:rFonts w:eastAsia="IRNazanin" w:cs="IRNazanin"/>
          <w:b w:val="false"/>
          <w:bCs w:val="false"/>
          <w:i w:val="false"/>
          <w:iCs w:val="false"/>
          <w:color w:val="333333"/>
          <w:sz w:val="20"/>
          <w:szCs w:val="20"/>
          <w:rtl w:val="true"/>
        </w:rPr>
        <w:t>.</w:t>
      </w:r>
    </w:p>
  </w:footnote>
  <w:footnote w:id="6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وإنما ذكر كراهة الأكل باليسار مع سبق ذكر استحباب الأكل باليمين بناءً على أنه لا يلزم من نفي الاستحباب في الأكل باليسار إثبات الكراهة؛ لأنه أعم فجاز أن يكون مباحاً، فنبه على كونه مكروهاً للنهي عنه بخصوصه على وجه لم يبلغ حدّ المنع من النقيض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زين رحمه الله</w:t>
      </w:r>
      <w:r>
        <w:rPr>
          <w:rFonts w:eastAsia="IRNazanin" w:cs="IRNazanin"/>
          <w:b w:val="false"/>
          <w:bCs w:val="false"/>
          <w:i w:val="false"/>
          <w:iCs w:val="false"/>
          <w:color w:val="333333"/>
          <w:sz w:val="20"/>
          <w:szCs w:val="20"/>
          <w:rtl w:val="true"/>
        </w:rPr>
        <w:t>)</w:t>
      </w:r>
    </w:p>
  </w:footnote>
  <w:footnote w:id="6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093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403</w:t>
      </w:r>
      <w:r>
        <w:rPr>
          <w:rFonts w:eastAsia="IRNazanin" w:cs="IRNazanin"/>
          <w:b w:val="false"/>
          <w:bCs w:val="false"/>
          <w:i w:val="false"/>
          <w:iCs w:val="false"/>
          <w:color w:val="333333"/>
          <w:sz w:val="20"/>
          <w:szCs w:val="20"/>
          <w:rtl w:val="true"/>
        </w:rPr>
        <w:t>.</w:t>
      </w:r>
    </w:p>
  </w:footnote>
  <w:footnote w:id="6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404</w:t>
      </w:r>
      <w:r>
        <w:rPr>
          <w:rFonts w:eastAsia="IRNazanin" w:cs="IRNazanin"/>
          <w:b w:val="false"/>
          <w:bCs w:val="false"/>
          <w:i w:val="false"/>
          <w:iCs w:val="false"/>
          <w:color w:val="333333"/>
          <w:sz w:val="20"/>
          <w:szCs w:val="20"/>
          <w:rtl w:val="true"/>
        </w:rPr>
        <w:t>.</w:t>
      </w:r>
    </w:p>
  </w:footnote>
  <w:footnote w:id="6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85</w:t>
      </w:r>
      <w:r>
        <w:rPr>
          <w:rFonts w:ascii="IRNazanin" w:hAnsi="IRNazanin" w:eastAsia="IRNazanin"/>
          <w:b w:val="false"/>
          <w:b w:val="false"/>
          <w:bCs w:val="false"/>
          <w:i w:val="false"/>
          <w:i w:val="false"/>
          <w:iCs w:val="false"/>
          <w:color w:val="333333"/>
          <w:sz w:val="20"/>
          <w:sz w:val="20"/>
          <w:szCs w:val="20"/>
          <w:rtl w:val="true"/>
        </w:rPr>
        <w:t xml:space="preserve">، باب الأكل مع الضيف،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6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291</w:t>
      </w:r>
      <w:r>
        <w:rPr>
          <w:rFonts w:ascii="IRNazanin" w:hAnsi="IRNazanin" w:eastAsia="IRNazanin"/>
          <w:b w:val="false"/>
          <w:b w:val="false"/>
          <w:bCs w:val="false"/>
          <w:i w:val="false"/>
          <w:i w:val="false"/>
          <w:iCs w:val="false"/>
          <w:color w:val="333333"/>
          <w:sz w:val="20"/>
          <w:sz w:val="20"/>
          <w:szCs w:val="20"/>
          <w:rtl w:val="true"/>
        </w:rPr>
        <w:t xml:space="preserve">، باب صفة الوضوء قبل الطعام، ذيل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صفة الوضوء قبل الطعام،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للتبرك ويرشها في جوانب البيت ؛ فإنّه يدر الرزق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زين رحمه الله</w:t>
      </w:r>
      <w:r>
        <w:rPr>
          <w:rFonts w:eastAsia="IRNazanin" w:cs="IRNazanin"/>
          <w:b w:val="false"/>
          <w:bCs w:val="false"/>
          <w:i w:val="false"/>
          <w:iCs w:val="false"/>
          <w:color w:val="333333"/>
          <w:sz w:val="20"/>
          <w:szCs w:val="20"/>
          <w:rtl w:val="true"/>
        </w:rPr>
        <w:t>)</w:t>
      </w:r>
    </w:p>
  </w:footnote>
  <w:footnote w:id="6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صفة الوضوء قبل الطعام،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6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435</w:t>
      </w:r>
    </w:p>
  </w:footnote>
  <w:footnote w:id="6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270</w:t>
      </w:r>
      <w:r>
        <w:rPr>
          <w:rFonts w:ascii="IRNazanin" w:hAnsi="IRNazanin" w:eastAsia="IRNazanin"/>
          <w:b w:val="false"/>
          <w:b w:val="false"/>
          <w:bCs w:val="false"/>
          <w:i w:val="false"/>
          <w:i w:val="false"/>
          <w:iCs w:val="false"/>
          <w:color w:val="333333"/>
          <w:sz w:val="20"/>
          <w:sz w:val="20"/>
          <w:szCs w:val="20"/>
          <w:rtl w:val="true"/>
        </w:rPr>
        <w:t xml:space="preserve">، باب الأكل متكناً،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6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حمله عليه الشهيد في الدروس الشرعية،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 موسوعة الشهيد الأول، 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6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سلف في الهامش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تخريجه في الهامش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6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273</w:t>
      </w:r>
      <w:r>
        <w:rPr>
          <w:rFonts w:ascii="IRNazanin" w:hAnsi="IRNazanin" w:eastAsia="IRNazanin"/>
          <w:b w:val="false"/>
          <w:b w:val="false"/>
          <w:bCs w:val="false"/>
          <w:i w:val="false"/>
          <w:i w:val="false"/>
          <w:iCs w:val="false"/>
          <w:color w:val="333333"/>
          <w:sz w:val="20"/>
          <w:sz w:val="20"/>
          <w:szCs w:val="20"/>
          <w:rtl w:val="true"/>
        </w:rPr>
        <w:t xml:space="preserve">، باب الأكل متكئاً، 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6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كراهية كثر الأكل،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6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يورث البرص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زین رحمه الله </w:t>
      </w:r>
      <w:r>
        <w:rPr>
          <w:rFonts w:eastAsia="IRNazanin" w:cs="IRNazanin"/>
          <w:b w:val="false"/>
          <w:bCs w:val="false"/>
          <w:i w:val="false"/>
          <w:iCs w:val="false"/>
          <w:color w:val="333333"/>
          <w:sz w:val="20"/>
          <w:szCs w:val="20"/>
          <w:rtl w:val="true"/>
        </w:rPr>
        <w:t>)</w:t>
      </w:r>
    </w:p>
  </w:footnote>
  <w:footnote w:id="6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ص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w:t>
      </w:r>
    </w:p>
  </w:footnote>
  <w:footnote w:id="6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 النهي عن التملي تقدّم في الهامش ؛ وأما النهي عن الأكل على الشبع ورد في الكافي،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270</w:t>
      </w:r>
      <w:r>
        <w:rPr>
          <w:rFonts w:ascii="IRNazanin" w:hAnsi="IRNazanin" w:eastAsia="IRNazanin"/>
          <w:b w:val="false"/>
          <w:b w:val="false"/>
          <w:bCs w:val="false"/>
          <w:i w:val="false"/>
          <w:i w:val="false"/>
          <w:iCs w:val="false"/>
          <w:color w:val="333333"/>
          <w:sz w:val="20"/>
          <w:sz w:val="20"/>
          <w:szCs w:val="20"/>
          <w:rtl w:val="true"/>
        </w:rPr>
        <w:t xml:space="preserve">، باب كراهية كثرة الأكل ، 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6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الأصول،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71</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6646</w:t>
      </w:r>
      <w:r>
        <w:rPr>
          <w:rFonts w:eastAsia="IRNazanin" w:cs="IRNazanin"/>
          <w:b w:val="false"/>
          <w:bCs w:val="false"/>
          <w:i w:val="false"/>
          <w:iCs w:val="false"/>
          <w:color w:val="333333"/>
          <w:sz w:val="20"/>
          <w:szCs w:val="20"/>
          <w:rtl w:val="true"/>
        </w:rPr>
        <w:t>.</w:t>
      </w:r>
    </w:p>
  </w:footnote>
  <w:footnote w:id="6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ابن أبي الحديد،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6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كراهية الأكل على مائدة يشرب عليها الخمر ،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كراهية الأكل على مائدة يشرب عليها الخمر، ذيل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408</w:t>
      </w:r>
      <w:r>
        <w:rPr>
          <w:rFonts w:ascii="IRNazanin" w:hAnsi="IRNazanin" w:eastAsia="IRNazanin"/>
          <w:b w:val="false"/>
          <w:b w:val="false"/>
          <w:bCs w:val="false"/>
          <w:i w:val="false"/>
          <w:i w:val="false"/>
          <w:iCs w:val="false"/>
          <w:color w:val="333333"/>
          <w:sz w:val="20"/>
          <w:sz w:val="20"/>
          <w:szCs w:val="20"/>
          <w:rtl w:val="true"/>
        </w:rPr>
        <w:t xml:space="preserve">، باب أن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وآله وسلم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حرم كل مسكر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6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باب الفقاع</w:t>
      </w:r>
      <w:r>
        <w:rPr>
          <w:rFonts w:eastAsia="IRNazanin" w:cs="IRNazanin"/>
          <w:b w:val="false"/>
          <w:bCs w:val="false"/>
          <w:i w:val="false"/>
          <w:iCs w:val="false"/>
          <w:color w:val="333333"/>
          <w:sz w:val="20"/>
          <w:szCs w:val="20"/>
          <w:rtl w:val="true"/>
        </w:rPr>
        <w:t>.</w:t>
      </w:r>
    </w:p>
  </w:footnote>
  <w:footnote w:id="6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قواعد الأحكام،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337</w:t>
      </w:r>
    </w:p>
  </w:footnote>
  <w:footnote w:id="6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w:t>
      </w:r>
    </w:p>
  </w:footnote>
  <w:footnote w:id="6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فيه أقوال أربعة</w:t>
      </w:r>
      <w:r>
        <w:rPr>
          <w:rFonts w:eastAsia="IRNazanin" w:cs="IRNazanin"/>
          <w:b w:val="false"/>
          <w:bCs w:val="false"/>
          <w:i w:val="false"/>
          <w:iCs w:val="false"/>
          <w:color w:val="333333"/>
          <w:sz w:val="20"/>
          <w:szCs w:val="20"/>
          <w:rtl w:val="true"/>
        </w:rPr>
        <w:t>:</w:t>
      </w:r>
    </w:p>
  </w:footnote>
  <w:footnote w:id="6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الدروس الشرعية،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 موسوعة الشهيد الأول،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6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به الشيخ المفيد في المقنعة، ص </w:t>
      </w:r>
      <w:r>
        <w:rPr>
          <w:rFonts w:eastAsia="IRNazanin" w:cs="IRNazanin"/>
          <w:b w:val="false"/>
          <w:bCs w:val="false"/>
          <w:i w:val="false"/>
          <w:iCs w:val="false"/>
          <w:color w:val="333333"/>
          <w:sz w:val="20"/>
          <w:szCs w:val="20"/>
        </w:rPr>
        <w:t>701</w:t>
      </w:r>
      <w:r>
        <w:rPr>
          <w:rFonts w:eastAsia="IRNazanin" w:cs="IRNazanin"/>
          <w:b w:val="false"/>
          <w:bCs w:val="false"/>
          <w:i w:val="false"/>
          <w:iCs w:val="false"/>
          <w:color w:val="333333"/>
          <w:sz w:val="20"/>
          <w:szCs w:val="20"/>
          <w:rtl w:val="true"/>
        </w:rPr>
        <w:t>.</w:t>
      </w:r>
    </w:p>
  </w:footnote>
  <w:footnote w:id="6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ذهب إليه الشيخ في النهاية، ص </w:t>
      </w:r>
      <w:r>
        <w:rPr>
          <w:rFonts w:eastAsia="IRNazanin" w:cs="IRNazanin"/>
          <w:b w:val="false"/>
          <w:bCs w:val="false"/>
          <w:i w:val="false"/>
          <w:iCs w:val="false"/>
          <w:color w:val="333333"/>
          <w:sz w:val="20"/>
          <w:szCs w:val="20"/>
        </w:rPr>
        <w:t>662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وابن إدريس في السرائر،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 xml:space="preserve"> .</w:t>
      </w:r>
    </w:p>
  </w:footnote>
  <w:footnote w:id="6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ذهب إليه الشيخ في المبسوط،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290</w:t>
      </w:r>
      <w:r>
        <w:rPr>
          <w:rFonts w:ascii="IRNazanin" w:hAnsi="IRNazanin" w:eastAsia="IRNazanin"/>
          <w:b w:val="false"/>
          <w:b w:val="false"/>
          <w:bCs w:val="false"/>
          <w:i w:val="false"/>
          <w:i w:val="false"/>
          <w:iCs w:val="false"/>
          <w:color w:val="333333"/>
          <w:sz w:val="20"/>
          <w:sz w:val="20"/>
          <w:szCs w:val="20"/>
          <w:rtl w:val="true"/>
        </w:rPr>
        <w:t xml:space="preserve">؛ وابن حمزة في الوسيلة، ص </w:t>
      </w:r>
      <w:r>
        <w:rPr>
          <w:rFonts w:eastAsia="IRNazanin" w:cs="IRNazanin"/>
          <w:b w:val="false"/>
          <w:bCs w:val="false"/>
          <w:i w:val="false"/>
          <w:iCs w:val="false"/>
          <w:color w:val="333333"/>
          <w:sz w:val="20"/>
          <w:szCs w:val="20"/>
        </w:rPr>
        <w:t>394</w:t>
      </w:r>
      <w:r>
        <w:rPr>
          <w:rFonts w:eastAsia="IRNazanin" w:cs="IRNazanin"/>
          <w:b w:val="false"/>
          <w:bCs w:val="false"/>
          <w:i w:val="false"/>
          <w:iCs w:val="false"/>
          <w:color w:val="333333"/>
          <w:sz w:val="20"/>
          <w:szCs w:val="20"/>
          <w:rtl w:val="true"/>
        </w:rPr>
        <w:t>.</w:t>
      </w:r>
    </w:p>
  </w:footnote>
  <w:footnote w:id="6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ذهب إليه المحقق في شرائع الإسلام،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6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أعدلها فإنّ الأوسط يطلق على الأعدل كما قال الله تعالى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أَوْسَطُهُمْ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القلم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وهو ترجيح للوسط على وجه لطيف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 رحمه الله</w:t>
      </w:r>
      <w:r>
        <w:rPr>
          <w:rFonts w:eastAsia="IRNazanin" w:cs="IRNazanin"/>
          <w:b w:val="false"/>
          <w:bCs w:val="false"/>
          <w:i w:val="false"/>
          <w:iCs w:val="false"/>
          <w:color w:val="333333"/>
          <w:sz w:val="20"/>
          <w:szCs w:val="20"/>
          <w:rtl w:val="true"/>
        </w:rPr>
        <w:t>)</w:t>
      </w:r>
    </w:p>
  </w:footnote>
  <w:footnote w:id="6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يأتي في باب الحدود</w:t>
      </w:r>
      <w:r>
        <w:rPr>
          <w:rFonts w:eastAsia="IRNazanin" w:cs="IRNazanin"/>
          <w:b w:val="false"/>
          <w:bCs w:val="false"/>
          <w:i w:val="false"/>
          <w:iCs w:val="false"/>
          <w:color w:val="333333"/>
          <w:sz w:val="20"/>
          <w:szCs w:val="20"/>
          <w:rtl w:val="true"/>
        </w:rPr>
        <w:t>.</w:t>
      </w:r>
    </w:p>
  </w:footnote>
  <w:footnote w:id="6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البخاري،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2854</w:t>
      </w:r>
      <w:r>
        <w:rPr>
          <w:rFonts w:ascii="IRNazanin" w:hAnsi="IRNazanin" w:eastAsia="IRNazanin"/>
          <w:b w:val="false"/>
          <w:b w:val="false"/>
          <w:bCs w:val="false"/>
          <w:i w:val="false"/>
          <w:i w:val="false"/>
          <w:iCs w:val="false"/>
          <w:color w:val="333333"/>
          <w:sz w:val="20"/>
          <w:sz w:val="20"/>
          <w:szCs w:val="20"/>
          <w:rtl w:val="true"/>
        </w:rPr>
        <w:t xml:space="preserve">؛ الجامع الصحيح،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1458</w:t>
      </w:r>
      <w:r>
        <w:rPr>
          <w:rFonts w:eastAsia="IRNazanin" w:cs="IRNazanin"/>
          <w:b w:val="false"/>
          <w:bCs w:val="false"/>
          <w:i w:val="false"/>
          <w:iCs w:val="false"/>
          <w:color w:val="333333"/>
          <w:sz w:val="20"/>
          <w:szCs w:val="20"/>
          <w:rtl w:val="true"/>
        </w:rPr>
        <w:t>.</w:t>
      </w:r>
    </w:p>
  </w:footnote>
  <w:footnote w:id="6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5149</w:t>
      </w:r>
      <w:r>
        <w:rPr>
          <w:rFonts w:eastAsia="IRNazanin" w:cs="IRNazanin"/>
          <w:b w:val="false"/>
          <w:bCs w:val="false"/>
          <w:i w:val="false"/>
          <w:iCs w:val="false"/>
          <w:color w:val="333333"/>
          <w:sz w:val="20"/>
          <w:szCs w:val="20"/>
          <w:rtl w:val="true"/>
        </w:rPr>
        <w:t>.</w:t>
      </w:r>
    </w:p>
  </w:footnote>
  <w:footnote w:id="6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1352</w:t>
      </w:r>
    </w:p>
  </w:footnote>
  <w:footnote w:id="6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اختاره السيد في الانتصار، ص </w:t>
      </w:r>
      <w:r>
        <w:rPr>
          <w:rFonts w:eastAsia="IRNazanin" w:cs="IRNazanin"/>
          <w:b w:val="false"/>
          <w:bCs w:val="false"/>
          <w:i w:val="false"/>
          <w:iCs w:val="false"/>
          <w:color w:val="333333"/>
          <w:sz w:val="20"/>
          <w:szCs w:val="20"/>
        </w:rPr>
        <w:t>595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المسألة </w:t>
      </w:r>
      <w:r>
        <w:rPr>
          <w:rFonts w:eastAsia="IRNazanin" w:cs="IRNazanin"/>
          <w:b w:val="false"/>
          <w:bCs w:val="false"/>
          <w:i w:val="false"/>
          <w:iCs w:val="false"/>
          <w:color w:val="333333"/>
          <w:sz w:val="20"/>
          <w:szCs w:val="20"/>
        </w:rPr>
        <w:t>327</w:t>
      </w:r>
      <w:r>
        <w:rPr>
          <w:rFonts w:ascii="IRNazanin" w:hAnsi="IRNazanin" w:eastAsia="IRNazanin"/>
          <w:b w:val="false"/>
          <w:b w:val="false"/>
          <w:bCs w:val="false"/>
          <w:i w:val="false"/>
          <w:i w:val="false"/>
          <w:iCs w:val="false"/>
          <w:color w:val="333333"/>
          <w:sz w:val="20"/>
          <w:sz w:val="20"/>
          <w:szCs w:val="20"/>
          <w:rtl w:val="true"/>
        </w:rPr>
        <w:t xml:space="preserve">؛ والشيخ في المبسوط،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291</w:t>
      </w:r>
      <w:r>
        <w:rPr>
          <w:rFonts w:ascii="IRNazanin" w:hAnsi="IRNazanin" w:eastAsia="IRNazanin"/>
          <w:b w:val="false"/>
          <w:b w:val="false"/>
          <w:bCs w:val="false"/>
          <w:i w:val="false"/>
          <w:i w:val="false"/>
          <w:iCs w:val="false"/>
          <w:color w:val="333333"/>
          <w:sz w:val="20"/>
          <w:sz w:val="20"/>
          <w:szCs w:val="20"/>
          <w:rtl w:val="true"/>
        </w:rPr>
        <w:t xml:space="preserve">؛ وراجع غاية المراد،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 موسوعة الشهيد الأول،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6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1357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1359</w:t>
      </w:r>
      <w:r>
        <w:rPr>
          <w:rFonts w:eastAsia="IRNazanin" w:cs="IRNazanin"/>
          <w:b w:val="false"/>
          <w:bCs w:val="false"/>
          <w:i w:val="false"/>
          <w:iCs w:val="false"/>
          <w:color w:val="333333"/>
          <w:sz w:val="20"/>
          <w:szCs w:val="20"/>
          <w:rtl w:val="true"/>
        </w:rPr>
        <w:t>.</w:t>
      </w:r>
    </w:p>
  </w:footnote>
  <w:footnote w:id="6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هنا عبارة في الأصل مشطوباً عليها وهي هكذا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ولان الدية يجب عليه دفعها إلى الوارث للآية ولا شيء من الموروث للقاتل يُدفَع إليه، والدفع الى نفسه لا يُعقل</w:t>
      </w:r>
      <w:r>
        <w:rPr>
          <w:rFonts w:eastAsia="IRNazanin" w:cs="IRNazanin"/>
          <w:b w:val="false"/>
          <w:bCs w:val="false"/>
          <w:i w:val="false"/>
          <w:iCs w:val="false"/>
          <w:color w:val="333333"/>
          <w:sz w:val="20"/>
          <w:szCs w:val="20"/>
          <w:rtl w:val="true"/>
        </w:rPr>
        <w:t>».</w:t>
      </w:r>
    </w:p>
  </w:footnote>
  <w:footnote w:id="6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ابن ماجة،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2736</w:t>
      </w:r>
      <w:r>
        <w:rPr>
          <w:rFonts w:eastAsia="IRNazanin" w:cs="IRNazanin"/>
          <w:b w:val="false"/>
          <w:bCs w:val="false"/>
          <w:i w:val="false"/>
          <w:iCs w:val="false"/>
          <w:color w:val="333333"/>
          <w:sz w:val="20"/>
          <w:szCs w:val="20"/>
          <w:rtl w:val="true"/>
        </w:rPr>
        <w:t>.</w:t>
      </w:r>
    </w:p>
  </w:footnote>
  <w:footnote w:id="6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نقله عن ابن أبي عقيل العلامة في مختلف الشيعة،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82</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6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1359</w:t>
      </w:r>
    </w:p>
  </w:footnote>
  <w:footnote w:id="6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به الشيخ المفيد في المقنعة، ص </w:t>
      </w:r>
      <w:r>
        <w:rPr>
          <w:rFonts w:eastAsia="IRNazanin" w:cs="IRNazanin"/>
          <w:b w:val="false"/>
          <w:bCs w:val="false"/>
          <w:i w:val="false"/>
          <w:iCs w:val="false"/>
          <w:color w:val="333333"/>
          <w:sz w:val="20"/>
          <w:szCs w:val="20"/>
        </w:rPr>
        <w:t>703</w:t>
      </w:r>
    </w:p>
  </w:footnote>
  <w:footnote w:id="6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1358</w:t>
      </w:r>
      <w:r>
        <w:rPr>
          <w:rFonts w:eastAsia="IRNazanin" w:cs="IRNazanin"/>
          <w:b w:val="false"/>
          <w:bCs w:val="false"/>
          <w:i w:val="false"/>
          <w:iCs w:val="false"/>
          <w:color w:val="333333"/>
          <w:sz w:val="20"/>
          <w:szCs w:val="20"/>
          <w:rtl w:val="true"/>
        </w:rPr>
        <w:t>.</w:t>
      </w:r>
    </w:p>
  </w:footnote>
  <w:footnote w:id="6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الإلحاق بالعمد للعلامة في قواعد الأحكام،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الإلحاق بالخطأ لسلّار في المراسم، ص </w:t>
      </w:r>
      <w:r>
        <w:rPr>
          <w:rFonts w:eastAsia="IRNazanin" w:cs="IRNazanin"/>
          <w:b w:val="false"/>
          <w:bCs w:val="false"/>
          <w:i w:val="false"/>
          <w:iCs w:val="false"/>
          <w:color w:val="333333"/>
          <w:sz w:val="20"/>
          <w:szCs w:val="20"/>
        </w:rPr>
        <w:t>220</w:t>
      </w:r>
      <w:r>
        <w:rPr>
          <w:rFonts w:ascii="IRNazanin" w:hAnsi="IRNazanin" w:eastAsia="IRNazanin"/>
          <w:b w:val="false"/>
          <w:b w:val="false"/>
          <w:bCs w:val="false"/>
          <w:i w:val="false"/>
          <w:i w:val="false"/>
          <w:iCs w:val="false"/>
          <w:color w:val="333333"/>
          <w:sz w:val="20"/>
          <w:sz w:val="20"/>
          <w:szCs w:val="20"/>
          <w:rtl w:val="true"/>
        </w:rPr>
        <w:t>؛</w:t>
      </w:r>
    </w:p>
  </w:footnote>
  <w:footnote w:id="6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الأنفال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الأحزاب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6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يرث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زين رحمه الله </w:t>
      </w:r>
      <w:r>
        <w:rPr>
          <w:rFonts w:eastAsia="IRNazanin" w:cs="IRNazanin"/>
          <w:b w:val="false"/>
          <w:bCs w:val="false"/>
          <w:i w:val="false"/>
          <w:iCs w:val="false"/>
          <w:color w:val="333333"/>
          <w:sz w:val="20"/>
          <w:szCs w:val="20"/>
          <w:rtl w:val="true"/>
        </w:rPr>
        <w:t>)</w:t>
      </w:r>
    </w:p>
  </w:footnote>
  <w:footnote w:id="6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القول بالإرث للشيخ في الخلاف،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114</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127</w:t>
      </w:r>
      <w:r>
        <w:rPr>
          <w:rFonts w:ascii="IRNazanin" w:hAnsi="IRNazanin" w:eastAsia="IRNazanin"/>
          <w:b w:val="false"/>
          <w:b w:val="false"/>
          <w:bCs w:val="false"/>
          <w:i w:val="false"/>
          <w:i w:val="false"/>
          <w:iCs w:val="false"/>
          <w:color w:val="333333"/>
          <w:sz w:val="20"/>
          <w:sz w:val="20"/>
          <w:szCs w:val="20"/>
          <w:rtl w:val="true"/>
        </w:rPr>
        <w:t xml:space="preserve">؛ والقول بالعدم للمفيد في المقنعة، ص </w:t>
      </w:r>
      <w:r>
        <w:rPr>
          <w:rFonts w:eastAsia="IRNazanin" w:cs="IRNazanin"/>
          <w:b w:val="false"/>
          <w:bCs w:val="false"/>
          <w:i w:val="false"/>
          <w:iCs w:val="false"/>
          <w:color w:val="333333"/>
          <w:sz w:val="20"/>
          <w:szCs w:val="20"/>
        </w:rPr>
        <w:t>702</w:t>
      </w:r>
      <w:r>
        <w:rPr>
          <w:rFonts w:ascii="IRNazanin" w:hAnsi="IRNazanin" w:eastAsia="IRNazanin"/>
          <w:b w:val="false"/>
          <w:b w:val="false"/>
          <w:bCs w:val="false"/>
          <w:i w:val="false"/>
          <w:i w:val="false"/>
          <w:iCs w:val="false"/>
          <w:color w:val="333333"/>
          <w:sz w:val="20"/>
          <w:sz w:val="20"/>
          <w:szCs w:val="20"/>
          <w:rtl w:val="true"/>
        </w:rPr>
        <w:t xml:space="preserve">؛ والشيخ في النهاية، ص </w:t>
      </w:r>
      <w:r>
        <w:rPr>
          <w:rFonts w:eastAsia="IRNazanin" w:cs="IRNazanin"/>
          <w:b w:val="false"/>
          <w:bCs w:val="false"/>
          <w:i w:val="false"/>
          <w:iCs w:val="false"/>
          <w:color w:val="333333"/>
          <w:sz w:val="20"/>
          <w:szCs w:val="20"/>
        </w:rPr>
        <w:t>673</w:t>
      </w:r>
      <w:r>
        <w:rPr>
          <w:rFonts w:eastAsia="IRNazanin" w:cs="IRNazanin"/>
          <w:b w:val="false"/>
          <w:bCs w:val="false"/>
          <w:i w:val="false"/>
          <w:iCs w:val="false"/>
          <w:color w:val="333333"/>
          <w:sz w:val="20"/>
          <w:szCs w:val="20"/>
          <w:rtl w:val="true"/>
        </w:rPr>
        <w:t>.</w:t>
      </w:r>
    </w:p>
  </w:footnote>
  <w:footnote w:id="6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1340</w:t>
      </w:r>
      <w:r>
        <w:rPr>
          <w:rFonts w:eastAsia="IRNazanin" w:cs="IRNazanin"/>
          <w:b w:val="false"/>
          <w:bCs w:val="false"/>
          <w:i w:val="false"/>
          <w:iCs w:val="false"/>
          <w:color w:val="333333"/>
          <w:sz w:val="20"/>
          <w:szCs w:val="20"/>
          <w:rtl w:val="true"/>
        </w:rPr>
        <w:t>.</w:t>
      </w:r>
    </w:p>
  </w:footnote>
  <w:footnote w:id="6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1339</w:t>
      </w:r>
      <w:r>
        <w:rPr>
          <w:rFonts w:eastAsia="IRNazanin" w:cs="IRNazanin"/>
          <w:b w:val="false"/>
          <w:bCs w:val="false"/>
          <w:i w:val="false"/>
          <w:iCs w:val="false"/>
          <w:color w:val="333333"/>
          <w:sz w:val="20"/>
          <w:szCs w:val="20"/>
          <w:rtl w:val="true"/>
        </w:rPr>
        <w:t>.</w:t>
      </w:r>
    </w:p>
  </w:footnote>
  <w:footnote w:id="6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1343</w:t>
      </w:r>
      <w:r>
        <w:rPr>
          <w:rFonts w:eastAsia="IRNazanin" w:cs="IRNazanin"/>
          <w:b w:val="false"/>
          <w:bCs w:val="false"/>
          <w:i w:val="false"/>
          <w:iCs w:val="false"/>
          <w:color w:val="333333"/>
          <w:sz w:val="20"/>
          <w:szCs w:val="20"/>
          <w:rtl w:val="true"/>
        </w:rPr>
        <w:t>.</w:t>
      </w:r>
    </w:p>
  </w:footnote>
  <w:footnote w:id="6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الدروس الشرعية ،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 موسوعة الشهيد الأول،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6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62</w:t>
      </w:r>
      <w:r>
        <w:rPr>
          <w:rFonts w:ascii="IRNazanin" w:hAnsi="IRNazanin" w:eastAsia="IRNazanin"/>
          <w:b w:val="false"/>
          <w:b w:val="false"/>
          <w:bCs w:val="false"/>
          <w:i w:val="false"/>
          <w:i w:val="false"/>
          <w:iCs w:val="false"/>
          <w:color w:val="333333"/>
          <w:sz w:val="20"/>
          <w:sz w:val="20"/>
          <w:szCs w:val="20"/>
          <w:rtl w:val="true"/>
        </w:rPr>
        <w:t xml:space="preserve">؛ الخلاف،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114</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w:t>
      </w:r>
    </w:p>
  </w:footnote>
  <w:footnote w:id="6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1360</w:t>
      </w:r>
      <w:r>
        <w:rPr>
          <w:rFonts w:eastAsia="IRNazanin" w:cs="IRNazanin"/>
          <w:b w:val="false"/>
          <w:bCs w:val="false"/>
          <w:i w:val="false"/>
          <w:iCs w:val="false"/>
          <w:color w:val="333333"/>
          <w:sz w:val="20"/>
          <w:szCs w:val="20"/>
          <w:rtl w:val="true"/>
        </w:rPr>
        <w:t>.</w:t>
      </w:r>
    </w:p>
  </w:footnote>
  <w:footnote w:id="6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يفك كلّ وارث وإن كان زوجاً أو زوجة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زين رحمه الله</w:t>
      </w:r>
      <w:r>
        <w:rPr>
          <w:rFonts w:eastAsia="IRNazanin" w:cs="IRNazanin"/>
          <w:b w:val="false"/>
          <w:bCs w:val="false"/>
          <w:i w:val="false"/>
          <w:iCs w:val="false"/>
          <w:color w:val="333333"/>
          <w:sz w:val="20"/>
          <w:szCs w:val="20"/>
          <w:rtl w:val="true"/>
        </w:rPr>
        <w:t>)</w:t>
      </w:r>
    </w:p>
  </w:footnote>
  <w:footnote w:id="6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المقنع، ص </w:t>
      </w:r>
      <w:r>
        <w:rPr>
          <w:rFonts w:eastAsia="IRNazanin" w:cs="IRNazanin"/>
          <w:b w:val="false"/>
          <w:bCs w:val="false"/>
          <w:i w:val="false"/>
          <w:iCs w:val="false"/>
          <w:color w:val="333333"/>
          <w:sz w:val="20"/>
          <w:szCs w:val="20"/>
        </w:rPr>
        <w:t>506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الانتصار، ص </w:t>
      </w:r>
      <w:r>
        <w:rPr>
          <w:rFonts w:eastAsia="IRNazanin" w:cs="IRNazanin"/>
          <w:b w:val="false"/>
          <w:bCs w:val="false"/>
          <w:i w:val="false"/>
          <w:iCs w:val="false"/>
          <w:color w:val="333333"/>
          <w:sz w:val="20"/>
          <w:szCs w:val="20"/>
        </w:rPr>
        <w:t>597</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328</w:t>
      </w:r>
      <w:r>
        <w:rPr>
          <w:rFonts w:ascii="IRNazanin" w:hAnsi="IRNazanin" w:eastAsia="IRNazanin"/>
          <w:b w:val="false"/>
          <w:b w:val="false"/>
          <w:bCs w:val="false"/>
          <w:i w:val="false"/>
          <w:i w:val="false"/>
          <w:iCs w:val="false"/>
          <w:color w:val="333333"/>
          <w:sz w:val="20"/>
          <w:sz w:val="20"/>
          <w:szCs w:val="20"/>
          <w:rtl w:val="true"/>
        </w:rPr>
        <w:t xml:space="preserve">؛ المراسم، ص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w:t>
      </w:r>
    </w:p>
  </w:footnote>
  <w:footnote w:id="6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وسائل الشيعة، ج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50</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موانع الإرث </w:t>
      </w:r>
      <w:r>
        <w:rPr>
          <w:rFonts w:eastAsia="IRNazanin" w:cs="IRNazanin"/>
          <w:b w:val="false"/>
          <w:bCs w:val="false"/>
          <w:i w:val="false"/>
          <w:iCs w:val="false"/>
          <w:color w:val="333333"/>
          <w:sz w:val="20"/>
          <w:szCs w:val="20"/>
          <w:rtl w:val="true"/>
        </w:rPr>
        <w:t>..</w:t>
      </w:r>
    </w:p>
  </w:footnote>
  <w:footnote w:id="6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به الديلمي في المراسم، ص </w:t>
      </w:r>
      <w:r>
        <w:rPr>
          <w:rFonts w:eastAsia="IRNazanin" w:cs="IRNazanin"/>
          <w:b w:val="false"/>
          <w:bCs w:val="false"/>
          <w:i w:val="false"/>
          <w:iCs w:val="false"/>
          <w:color w:val="333333"/>
          <w:sz w:val="20"/>
          <w:szCs w:val="20"/>
        </w:rPr>
        <w:t>219</w:t>
      </w:r>
    </w:p>
  </w:footnote>
  <w:footnote w:id="6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1202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1203</w:t>
      </w:r>
      <w:r>
        <w:rPr>
          <w:rFonts w:eastAsia="IRNazanin" w:cs="IRNazanin"/>
          <w:b w:val="false"/>
          <w:bCs w:val="false"/>
          <w:i w:val="false"/>
          <w:iCs w:val="false"/>
          <w:color w:val="333333"/>
          <w:sz w:val="20"/>
          <w:szCs w:val="20"/>
          <w:rtl w:val="true"/>
        </w:rPr>
        <w:t>.</w:t>
      </w:r>
    </w:p>
  </w:footnote>
  <w:footnote w:id="6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مختلف الشيعة،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80</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6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894</w:t>
      </w:r>
    </w:p>
  </w:footnote>
  <w:footnote w:id="6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القول بالعدم للمفيد في المقنعة ص </w:t>
      </w:r>
      <w:r>
        <w:rPr>
          <w:rFonts w:eastAsia="IRNazanin" w:cs="IRNazanin"/>
          <w:b w:val="false"/>
          <w:bCs w:val="false"/>
          <w:i w:val="false"/>
          <w:iCs w:val="false"/>
          <w:color w:val="333333"/>
          <w:sz w:val="20"/>
          <w:szCs w:val="20"/>
        </w:rPr>
        <w:t>695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والشيخ في النهاية، ص </w:t>
      </w:r>
      <w:r>
        <w:rPr>
          <w:rFonts w:eastAsia="IRNazanin" w:cs="IRNazanin"/>
          <w:b w:val="false"/>
          <w:bCs w:val="false"/>
          <w:i w:val="false"/>
          <w:iCs w:val="false"/>
          <w:color w:val="333333"/>
          <w:sz w:val="20"/>
          <w:szCs w:val="20"/>
        </w:rPr>
        <w:t>668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والقول الآخر نقله الشيخ عن بعض الأصحاب في النهاية، ص </w:t>
      </w:r>
      <w:r>
        <w:rPr>
          <w:rFonts w:eastAsia="IRNazanin" w:cs="IRNazanin"/>
          <w:b w:val="false"/>
          <w:bCs w:val="false"/>
          <w:i w:val="false"/>
          <w:iCs w:val="false"/>
          <w:color w:val="333333"/>
          <w:sz w:val="20"/>
          <w:szCs w:val="20"/>
        </w:rPr>
        <w:t>668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ونقله عن ابن الجنيد العلّامة في مختلف الشيعة،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80</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6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193</w:t>
      </w:r>
      <w:r>
        <w:rPr>
          <w:rFonts w:ascii="IRNazanin" w:hAnsi="IRNazanin" w:eastAsia="IRNazanin"/>
          <w:b w:val="false"/>
          <w:b w:val="false"/>
          <w:bCs w:val="false"/>
          <w:i w:val="false"/>
          <w:i w:val="false"/>
          <w:iCs w:val="false"/>
          <w:color w:val="333333"/>
          <w:sz w:val="20"/>
          <w:sz w:val="20"/>
          <w:szCs w:val="20"/>
          <w:rtl w:val="true"/>
        </w:rPr>
        <w:t xml:space="preserve">، باب أمهات الأولاد،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6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القول بعدم إرثه مطلقاً للشيخ في النهاية، ص </w:t>
      </w:r>
      <w:r>
        <w:rPr>
          <w:rFonts w:eastAsia="IRNazanin" w:cs="IRNazanin"/>
          <w:b w:val="false"/>
          <w:bCs w:val="false"/>
          <w:i w:val="false"/>
          <w:iCs w:val="false"/>
          <w:color w:val="333333"/>
          <w:sz w:val="20"/>
          <w:szCs w:val="20"/>
        </w:rPr>
        <w:t>679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والقول بإرثه لأبي الصلاح في الكافي في الفقه، ص </w:t>
      </w:r>
      <w:r>
        <w:rPr>
          <w:rFonts w:eastAsia="IRNazanin" w:cs="IRNazanin"/>
          <w:b w:val="false"/>
          <w:bCs w:val="false"/>
          <w:i w:val="false"/>
          <w:iCs w:val="false"/>
          <w:color w:val="333333"/>
          <w:sz w:val="20"/>
          <w:szCs w:val="20"/>
        </w:rPr>
        <w:t>375</w:t>
      </w:r>
      <w:r>
        <w:rPr>
          <w:rFonts w:eastAsia="IRNazanin" w:cs="IRNazanin"/>
          <w:b w:val="false"/>
          <w:bCs w:val="false"/>
          <w:i w:val="false"/>
          <w:iCs w:val="false"/>
          <w:color w:val="333333"/>
          <w:sz w:val="20"/>
          <w:szCs w:val="20"/>
          <w:rtl w:val="true"/>
        </w:rPr>
        <w:t>.</w:t>
      </w:r>
    </w:p>
  </w:footnote>
  <w:footnote w:id="6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السنن الكبرى، البيهقي،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12486</w:t>
      </w:r>
      <w:r>
        <w:rPr>
          <w:rFonts w:ascii="IRNazanin" w:hAnsi="IRNazanin" w:eastAsia="IRNazanin"/>
          <w:b w:val="false"/>
          <w:b w:val="false"/>
          <w:bCs w:val="false"/>
          <w:i w:val="false"/>
          <w:i w:val="false"/>
          <w:iCs w:val="false"/>
          <w:color w:val="333333"/>
          <w:sz w:val="20"/>
          <w:sz w:val="20"/>
          <w:szCs w:val="20"/>
          <w:rtl w:val="true"/>
        </w:rPr>
        <w:t xml:space="preserve">؛ راجع عوالي اللآلي،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111</w:t>
      </w:r>
      <w:r>
        <w:rPr>
          <w:rFonts w:ascii="IRNazanin" w:hAnsi="IRNazanin" w:eastAsia="IRNazanin"/>
          <w:b w:val="false"/>
          <w:b w:val="false"/>
          <w:bCs w:val="false"/>
          <w:i w:val="false"/>
          <w:i w:val="false"/>
          <w:iCs w:val="false"/>
          <w:color w:val="333333"/>
          <w:sz w:val="20"/>
          <w:sz w:val="20"/>
          <w:szCs w:val="20"/>
          <w:rtl w:val="true"/>
        </w:rPr>
        <w:t xml:space="preserve">؛ انظر وسائل الشيعة، ج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ميراث الخنثى</w:t>
      </w:r>
      <w:r>
        <w:rPr>
          <w:rFonts w:eastAsia="IRNazanin" w:cs="IRNazanin"/>
          <w:b w:val="false"/>
          <w:bCs w:val="false"/>
          <w:i w:val="false"/>
          <w:iCs w:val="false"/>
          <w:color w:val="333333"/>
          <w:sz w:val="20"/>
          <w:szCs w:val="20"/>
          <w:rtl w:val="true"/>
        </w:rPr>
        <w:t>.</w:t>
      </w:r>
    </w:p>
  </w:footnote>
  <w:footnote w:id="6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ميراث المفقود،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6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الانتصار، ص </w:t>
      </w:r>
      <w:r>
        <w:rPr>
          <w:rFonts w:eastAsia="IRNazanin" w:cs="IRNazanin"/>
          <w:b w:val="false"/>
          <w:bCs w:val="false"/>
          <w:i w:val="false"/>
          <w:iCs w:val="false"/>
          <w:color w:val="333333"/>
          <w:sz w:val="20"/>
          <w:szCs w:val="20"/>
        </w:rPr>
        <w:t>595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المسألة </w:t>
      </w:r>
      <w:r>
        <w:rPr>
          <w:rFonts w:eastAsia="IRNazanin" w:cs="IRNazanin"/>
          <w:b w:val="false"/>
          <w:bCs w:val="false"/>
          <w:i w:val="false"/>
          <w:iCs w:val="false"/>
          <w:color w:val="333333"/>
          <w:sz w:val="20"/>
          <w:szCs w:val="20"/>
        </w:rPr>
        <w:t>326</w:t>
      </w:r>
    </w:p>
  </w:footnote>
  <w:footnote w:id="6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الفقيه،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330</w:t>
      </w:r>
      <w:r>
        <w:rPr>
          <w:rFonts w:ascii="IRNazanin" w:hAnsi="IRNazanin" w:eastAsia="IRNazanin"/>
          <w:b w:val="false"/>
          <w:b w:val="false"/>
          <w:bCs w:val="false"/>
          <w:i w:val="false"/>
          <w:i w:val="false"/>
          <w:iCs w:val="false"/>
          <w:color w:val="333333"/>
          <w:sz w:val="20"/>
          <w:sz w:val="20"/>
          <w:szCs w:val="20"/>
          <w:rtl w:val="true"/>
        </w:rPr>
        <w:t xml:space="preserve">، ذيل الحديث </w:t>
      </w:r>
      <w:r>
        <w:rPr>
          <w:rFonts w:eastAsia="IRNazanin" w:cs="IRNazanin"/>
          <w:b w:val="false"/>
          <w:bCs w:val="false"/>
          <w:i w:val="false"/>
          <w:iCs w:val="false"/>
          <w:color w:val="333333"/>
          <w:sz w:val="20"/>
          <w:szCs w:val="20"/>
        </w:rPr>
        <w:t>5710</w:t>
      </w:r>
    </w:p>
  </w:footnote>
  <w:footnote w:id="6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الدروس الشرعية،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 موسوعة الشهيد الأول،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6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مختلف الشيعة،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111</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6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ميراث المفقود،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6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نقله عن ابن الجنيد العلّامة في مختلف الشيعة،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110</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p>
  </w:footnote>
  <w:footnote w:id="6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1391</w:t>
      </w:r>
    </w:p>
  </w:footnote>
  <w:footnote w:id="6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292</w:t>
      </w:r>
      <w:r>
        <w:rPr>
          <w:rFonts w:ascii="IRNazanin" w:hAnsi="IRNazanin" w:eastAsia="IRNazanin"/>
          <w:b w:val="false"/>
          <w:b w:val="false"/>
          <w:bCs w:val="false"/>
          <w:i w:val="false"/>
          <w:i w:val="false"/>
          <w:iCs w:val="false"/>
          <w:color w:val="333333"/>
          <w:sz w:val="20"/>
          <w:sz w:val="20"/>
          <w:szCs w:val="20"/>
          <w:rtl w:val="true"/>
        </w:rPr>
        <w:t>، باب ميراث ذوي الأرحام</w:t>
      </w:r>
      <w:r>
        <w:rPr>
          <w:rFonts w:eastAsia="IRNazanin" w:cs="IRNazanin"/>
          <w:b w:val="false"/>
          <w:bCs w:val="false"/>
          <w:i w:val="false"/>
          <w:iCs w:val="false"/>
          <w:color w:val="333333"/>
          <w:sz w:val="20"/>
          <w:szCs w:val="20"/>
          <w:rtl w:val="true"/>
        </w:rPr>
        <w:t>.</w:t>
      </w:r>
    </w:p>
  </w:footnote>
  <w:footnote w:id="6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ذهب إلى ذلك ابن إدريس في السرائر،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w:t>
      </w:r>
    </w:p>
  </w:footnote>
  <w:footnote w:id="6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الاستبصار،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ذيل الحديث </w:t>
      </w:r>
      <w:r>
        <w:rPr>
          <w:rFonts w:eastAsia="IRNazanin" w:cs="IRNazanin"/>
          <w:b w:val="false"/>
          <w:bCs w:val="false"/>
          <w:i w:val="false"/>
          <w:iCs w:val="false"/>
          <w:color w:val="333333"/>
          <w:sz w:val="20"/>
          <w:szCs w:val="20"/>
        </w:rPr>
        <w:t>643</w:t>
      </w:r>
      <w:r>
        <w:rPr>
          <w:rFonts w:eastAsia="IRNazanin" w:cs="IRNazanin"/>
          <w:b w:val="false"/>
          <w:bCs w:val="false"/>
          <w:i w:val="false"/>
          <w:iCs w:val="false"/>
          <w:color w:val="333333"/>
          <w:sz w:val="20"/>
          <w:szCs w:val="20"/>
          <w:rtl w:val="true"/>
        </w:rPr>
        <w:t>.</w:t>
      </w:r>
    </w:p>
  </w:footnote>
  <w:footnote w:id="6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به ابن إدريس في السرائر،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w:t>
      </w:r>
    </w:p>
  </w:footnote>
  <w:footnote w:id="6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نقله عنه العلامة في مختلف الشيعة،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المسألة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6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الدروس الشرعية،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 موسوعة الشهيد الأول،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6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شرائع الإسلام،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w:t>
      </w:r>
    </w:p>
  </w:footnote>
  <w:footnote w:id="6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نقله عنهما العلّامة في مختلف الشيعة،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6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نقله عنه العلّامة في مختلف الشيعة،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6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الأنفال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w:t>
      </w:r>
    </w:p>
  </w:footnote>
  <w:footnote w:id="6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مختلف الشيعة،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6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نقله عن الإسكافي العلّامة في مختلف الشيعة،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118</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6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990</w:t>
      </w:r>
      <w:r>
        <w:rPr>
          <w:rFonts w:eastAsia="IRNazanin" w:cs="IRNazanin"/>
          <w:b w:val="false"/>
          <w:bCs w:val="false"/>
          <w:i w:val="false"/>
          <w:iCs w:val="false"/>
          <w:color w:val="333333"/>
          <w:sz w:val="20"/>
          <w:szCs w:val="20"/>
          <w:rtl w:val="true"/>
        </w:rPr>
        <w:t>.</w:t>
      </w:r>
    </w:p>
  </w:footnote>
  <w:footnote w:id="6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الدروس الشرعية،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ضمن موسوعة الشهيد الأول،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6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الدروس الشرعية،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ضمن موسوعة الشهيد الأول،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6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الدروس الشرعية،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ضمن موسوعة الشهيد الأول،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6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11</w:t>
      </w:r>
    </w:p>
  </w:footnote>
  <w:footnote w:id="7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p>
  </w:footnote>
  <w:footnote w:id="7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176</w:t>
      </w:r>
    </w:p>
  </w:footnote>
  <w:footnote w:id="7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p>
  </w:footnote>
  <w:footnote w:id="7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p>
  </w:footnote>
  <w:footnote w:id="7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p>
  </w:footnote>
  <w:footnote w:id="7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p>
  </w:footnote>
  <w:footnote w:id="7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w:t>
      </w:r>
    </w:p>
  </w:footnote>
  <w:footnote w:id="7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p>
  </w:footnote>
  <w:footnote w:id="7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p>
  </w:footnote>
  <w:footnote w:id="7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7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7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p>
  </w:footnote>
  <w:footnote w:id="7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ضابط التكرار أن الأوّل يأتي في جميع الفروض، فلا تكرار فيه والثاني هو الرابع يتكرر مع النصف، لدخوله في أقسامه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والثالث وهو الثمن يتكرّر مع السابقين، لدخوله في أقسامهما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والرابع يتكرّر مع الثلاثة السابقة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والخامس مع الأربعة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والسادس مع الخمسة، وذلك خمسة عشر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ثمّ بعض ما تكرّر يمكن فرضه، بعضها ممتنع ويبقى من الممتنع ثمان كما ذكر، والباقي ممكن ولا تكرار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ولهذا يظهر فساد ما ذكره المقداد في التنقيح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الرائع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تقسيم هذه السهام وجدوله يخالف ما ذكره في كلامه، فتأمل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 رحمه الله </w:t>
      </w:r>
      <w:r>
        <w:rPr>
          <w:rFonts w:eastAsia="IRNazanin" w:cs="IRNazanin"/>
          <w:b w:val="false"/>
          <w:bCs w:val="false"/>
          <w:i w:val="false"/>
          <w:iCs w:val="false"/>
          <w:color w:val="333333"/>
          <w:sz w:val="20"/>
          <w:szCs w:val="20"/>
          <w:rtl w:val="true"/>
        </w:rPr>
        <w:t>)</w:t>
      </w:r>
    </w:p>
  </w:footnote>
  <w:footnote w:id="7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التعصيب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إعطاء الفاضل من التركة عن أصحاب الفروض إلى عصبة الميت، وهم المنتسبون إليه من جهة الأب إذا خلف الميت بنتاً واحدة وله أخ أو أخت أو عمّ فإنّ التركة الزائدة عن فرض الأنثى للأخ أو للأخت أو للعم عند المخالف وعندنا يرد على ذات الفرض وذوي الفروض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زين رحمه الله</w:t>
      </w:r>
      <w:r>
        <w:rPr>
          <w:rFonts w:eastAsia="IRNazanin" w:cs="IRNazanin"/>
          <w:b w:val="false"/>
          <w:bCs w:val="false"/>
          <w:i w:val="false"/>
          <w:iCs w:val="false"/>
          <w:color w:val="333333"/>
          <w:sz w:val="20"/>
          <w:szCs w:val="20"/>
          <w:rtl w:val="true"/>
        </w:rPr>
        <w:t>)</w:t>
      </w:r>
    </w:p>
  </w:footnote>
  <w:footnote w:id="7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الأنفال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w:t>
      </w:r>
    </w:p>
  </w:footnote>
  <w:footnote w:id="7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وسائل الشيعة، ج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موجبات الإرث</w:t>
      </w:r>
      <w:r>
        <w:rPr>
          <w:rFonts w:eastAsia="IRNazanin" w:cs="IRNazanin"/>
          <w:b w:val="false"/>
          <w:bCs w:val="false"/>
          <w:i w:val="false"/>
          <w:iCs w:val="false"/>
          <w:color w:val="333333"/>
          <w:sz w:val="20"/>
          <w:szCs w:val="20"/>
          <w:rtl w:val="true"/>
        </w:rPr>
        <w:t>.</w:t>
      </w:r>
    </w:p>
  </w:footnote>
  <w:footnote w:id="7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به الشيخ المفيد في المقنعة، ص </w:t>
      </w:r>
      <w:r>
        <w:rPr>
          <w:rFonts w:eastAsia="IRNazanin" w:cs="IRNazanin"/>
          <w:b w:val="false"/>
          <w:bCs w:val="false"/>
          <w:i w:val="false"/>
          <w:iCs w:val="false"/>
          <w:color w:val="333333"/>
          <w:sz w:val="20"/>
          <w:szCs w:val="20"/>
        </w:rPr>
        <w:t>691</w:t>
      </w:r>
      <w:r>
        <w:rPr>
          <w:rFonts w:eastAsia="IRNazanin" w:cs="IRNazanin"/>
          <w:b w:val="false"/>
          <w:bCs w:val="false"/>
          <w:i w:val="false"/>
          <w:iCs w:val="false"/>
          <w:color w:val="333333"/>
          <w:sz w:val="20"/>
          <w:szCs w:val="20"/>
          <w:rtl w:val="true"/>
        </w:rPr>
        <w:t>.</w:t>
      </w:r>
    </w:p>
  </w:footnote>
  <w:footnote w:id="7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ظاهر السلّار في المراسم، ص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w:t>
      </w:r>
    </w:p>
  </w:footnote>
  <w:footnote w:id="7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ذهب إليه السيد في الانتصار، ص </w:t>
      </w:r>
      <w:r>
        <w:rPr>
          <w:rFonts w:eastAsia="IRNazanin" w:cs="IRNazanin"/>
          <w:b w:val="false"/>
          <w:bCs w:val="false"/>
          <w:i w:val="false"/>
          <w:iCs w:val="false"/>
          <w:color w:val="333333"/>
          <w:sz w:val="20"/>
          <w:szCs w:val="20"/>
        </w:rPr>
        <w:t>584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المسألة </w:t>
      </w:r>
      <w:r>
        <w:rPr>
          <w:rFonts w:eastAsia="IRNazanin" w:cs="IRNazanin"/>
          <w:b w:val="false"/>
          <w:bCs w:val="false"/>
          <w:i w:val="false"/>
          <w:iCs w:val="false"/>
          <w:color w:val="333333"/>
          <w:sz w:val="20"/>
          <w:szCs w:val="20"/>
        </w:rPr>
        <w:t>318</w:t>
      </w:r>
    </w:p>
  </w:footnote>
  <w:footnote w:id="7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ذهب إليه الصدوق في الفقيه،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ذيل الحديث </w:t>
      </w:r>
      <w:r>
        <w:rPr>
          <w:rFonts w:eastAsia="IRNazanin" w:cs="IRNazanin"/>
          <w:b w:val="false"/>
          <w:bCs w:val="false"/>
          <w:i w:val="false"/>
          <w:iCs w:val="false"/>
          <w:color w:val="333333"/>
          <w:sz w:val="20"/>
          <w:szCs w:val="20"/>
        </w:rPr>
        <w:t>666</w:t>
      </w:r>
      <w:r>
        <w:rPr>
          <w:rFonts w:ascii="IRNazanin" w:hAnsi="IRNazanin" w:eastAsia="IRNazanin"/>
          <w:b w:val="false"/>
          <w:b w:val="false"/>
          <w:bCs w:val="false"/>
          <w:i w:val="false"/>
          <w:i w:val="false"/>
          <w:iCs w:val="false"/>
          <w:color w:val="333333"/>
          <w:sz w:val="20"/>
          <w:sz w:val="20"/>
          <w:szCs w:val="20"/>
          <w:rtl w:val="true"/>
        </w:rPr>
        <w:t xml:space="preserve">؛ والشيخ في تهذيب الأحكام،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ذيل الحديث </w:t>
      </w:r>
      <w:r>
        <w:rPr>
          <w:rFonts w:eastAsia="IRNazanin" w:cs="IRNazanin"/>
          <w:b w:val="false"/>
          <w:bCs w:val="false"/>
          <w:i w:val="false"/>
          <w:iCs w:val="false"/>
          <w:color w:val="333333"/>
          <w:sz w:val="20"/>
          <w:szCs w:val="20"/>
        </w:rPr>
        <w:t>1056</w:t>
      </w:r>
    </w:p>
  </w:footnote>
  <w:footnote w:id="7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288</w:t>
      </w:r>
      <w:r>
        <w:rPr>
          <w:rFonts w:ascii="IRNazanin" w:hAnsi="IRNazanin" w:eastAsia="IRNazanin"/>
          <w:b w:val="false"/>
          <w:b w:val="false"/>
          <w:bCs w:val="false"/>
          <w:i w:val="false"/>
          <w:i w:val="false"/>
          <w:iCs w:val="false"/>
          <w:color w:val="333333"/>
          <w:sz w:val="20"/>
          <w:sz w:val="20"/>
          <w:szCs w:val="20"/>
          <w:rtl w:val="true"/>
        </w:rPr>
        <w:t>، باب ميراث الأزواج</w:t>
      </w:r>
      <w:r>
        <w:rPr>
          <w:rFonts w:eastAsia="IRNazanin" w:cs="IRNazanin"/>
          <w:b w:val="false"/>
          <w:bCs w:val="false"/>
          <w:i w:val="false"/>
          <w:iCs w:val="false"/>
          <w:color w:val="333333"/>
          <w:sz w:val="20"/>
          <w:szCs w:val="20"/>
          <w:rtl w:val="true"/>
        </w:rPr>
        <w:t>.</w:t>
      </w:r>
    </w:p>
  </w:footnote>
  <w:footnote w:id="7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السيد المرتضى في الانتصار، ص </w:t>
      </w:r>
      <w:r>
        <w:rPr>
          <w:rFonts w:eastAsia="IRNazanin" w:cs="IRNazanin"/>
          <w:b w:val="false"/>
          <w:bCs w:val="false"/>
          <w:i w:val="false"/>
          <w:iCs w:val="false"/>
          <w:color w:val="333333"/>
          <w:sz w:val="20"/>
          <w:szCs w:val="20"/>
        </w:rPr>
        <w:t>584</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318</w:t>
      </w:r>
      <w:r>
        <w:rPr>
          <w:rFonts w:ascii="IRNazanin" w:hAnsi="IRNazanin" w:eastAsia="IRNazanin"/>
          <w:b w:val="false"/>
          <w:b w:val="false"/>
          <w:bCs w:val="false"/>
          <w:i w:val="false"/>
          <w:i w:val="false"/>
          <w:iCs w:val="false"/>
          <w:color w:val="333333"/>
          <w:sz w:val="20"/>
          <w:sz w:val="20"/>
          <w:szCs w:val="20"/>
          <w:rtl w:val="true"/>
        </w:rPr>
        <w:t xml:space="preserve">؛ وابن زهرة في غنية النزوع،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332</w:t>
      </w:r>
      <w:r>
        <w:rPr>
          <w:rFonts w:ascii="IRNazanin" w:hAnsi="IRNazanin" w:eastAsia="IRNazanin"/>
          <w:b w:val="false"/>
          <w:b w:val="false"/>
          <w:bCs w:val="false"/>
          <w:i w:val="false"/>
          <w:i w:val="false"/>
          <w:iCs w:val="false"/>
          <w:color w:val="333333"/>
          <w:sz w:val="20"/>
          <w:sz w:val="20"/>
          <w:szCs w:val="20"/>
          <w:rtl w:val="true"/>
        </w:rPr>
        <w:t xml:space="preserve">؛ وابن إدريس في السرائر،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w:t>
      </w:r>
    </w:p>
  </w:footnote>
  <w:footnote w:id="7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1052</w:t>
      </w:r>
      <w:r>
        <w:rPr>
          <w:rFonts w:eastAsia="IRNazanin" w:cs="IRNazanin"/>
          <w:b w:val="false"/>
          <w:bCs w:val="false"/>
          <w:i w:val="false"/>
          <w:iCs w:val="false"/>
          <w:color w:val="333333"/>
          <w:sz w:val="20"/>
          <w:szCs w:val="20"/>
          <w:rtl w:val="true"/>
        </w:rPr>
        <w:t>.</w:t>
      </w:r>
    </w:p>
  </w:footnote>
  <w:footnote w:id="7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1055</w:t>
      </w:r>
      <w:r>
        <w:rPr>
          <w:rFonts w:eastAsia="IRNazanin" w:cs="IRNazanin"/>
          <w:b w:val="false"/>
          <w:bCs w:val="false"/>
          <w:i w:val="false"/>
          <w:iCs w:val="false"/>
          <w:color w:val="333333"/>
          <w:sz w:val="20"/>
          <w:szCs w:val="20"/>
          <w:rtl w:val="true"/>
        </w:rPr>
        <w:t>.</w:t>
      </w:r>
    </w:p>
  </w:footnote>
  <w:footnote w:id="7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1060</w:t>
      </w:r>
      <w:r>
        <w:rPr>
          <w:rFonts w:eastAsia="IRNazanin" w:cs="IRNazanin"/>
          <w:b w:val="false"/>
          <w:bCs w:val="false"/>
          <w:i w:val="false"/>
          <w:iCs w:val="false"/>
          <w:color w:val="333333"/>
          <w:sz w:val="20"/>
          <w:szCs w:val="20"/>
          <w:rtl w:val="true"/>
        </w:rPr>
        <w:t>.</w:t>
      </w:r>
    </w:p>
  </w:footnote>
  <w:footnote w:id="7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1056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أبي عبد الله</w:t>
      </w:r>
      <w:r>
        <w:rPr>
          <w:rFonts w:eastAsia="IRNazanin" w:cs="IRNazanin"/>
          <w:b w:val="false"/>
          <w:bCs w:val="false"/>
          <w:i w:val="false"/>
          <w:iCs w:val="false"/>
          <w:color w:val="333333"/>
          <w:sz w:val="20"/>
          <w:szCs w:val="20"/>
          <w:rtl w:val="true"/>
        </w:rPr>
        <w:t>.</w:t>
      </w:r>
    </w:p>
  </w:footnote>
  <w:footnote w:id="7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غاية المراد،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ضمن موسوعة الشهيد الأول،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7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243</w:t>
      </w:r>
    </w:p>
  </w:footnote>
  <w:footnote w:id="7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حمله على ذلك الشيخ في تهذيب الأحكام،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295</w:t>
      </w:r>
      <w:r>
        <w:rPr>
          <w:rFonts w:ascii="IRNazanin" w:hAnsi="IRNazanin" w:eastAsia="IRNazanin"/>
          <w:b w:val="false"/>
          <w:b w:val="false"/>
          <w:bCs w:val="false"/>
          <w:i w:val="false"/>
          <w:i w:val="false"/>
          <w:iCs w:val="false"/>
          <w:color w:val="333333"/>
          <w:sz w:val="20"/>
          <w:sz w:val="20"/>
          <w:szCs w:val="20"/>
          <w:rtl w:val="true"/>
        </w:rPr>
        <w:t xml:space="preserve">، ذيل الحديث </w:t>
      </w:r>
      <w:r>
        <w:rPr>
          <w:rFonts w:eastAsia="IRNazanin" w:cs="IRNazanin"/>
          <w:b w:val="false"/>
          <w:bCs w:val="false"/>
          <w:i w:val="false"/>
          <w:iCs w:val="false"/>
          <w:color w:val="333333"/>
          <w:sz w:val="20"/>
          <w:szCs w:val="20"/>
        </w:rPr>
        <w:t>1056</w:t>
      </w:r>
      <w:r>
        <w:rPr>
          <w:rFonts w:eastAsia="IRNazanin" w:cs="IRNazanin"/>
          <w:b w:val="false"/>
          <w:bCs w:val="false"/>
          <w:i w:val="false"/>
          <w:iCs w:val="false"/>
          <w:color w:val="333333"/>
          <w:sz w:val="20"/>
          <w:szCs w:val="20"/>
          <w:rtl w:val="true"/>
        </w:rPr>
        <w:t>.</w:t>
      </w:r>
    </w:p>
  </w:footnote>
  <w:footnote w:id="7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المقنعة، ص </w:t>
      </w:r>
      <w:r>
        <w:rPr>
          <w:rFonts w:eastAsia="IRNazanin" w:cs="IRNazanin"/>
          <w:b w:val="false"/>
          <w:bCs w:val="false"/>
          <w:i w:val="false"/>
          <w:iCs w:val="false"/>
          <w:color w:val="333333"/>
          <w:sz w:val="20"/>
          <w:szCs w:val="20"/>
        </w:rPr>
        <w:t>691</w:t>
      </w:r>
    </w:p>
  </w:footnote>
  <w:footnote w:id="7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1061</w:t>
      </w:r>
      <w:r>
        <w:rPr>
          <w:rFonts w:eastAsia="IRNazanin" w:cs="IRNazanin"/>
          <w:b w:val="false"/>
          <w:bCs w:val="false"/>
          <w:i w:val="false"/>
          <w:iCs w:val="false"/>
          <w:color w:val="333333"/>
          <w:sz w:val="20"/>
          <w:szCs w:val="20"/>
          <w:rtl w:val="true"/>
        </w:rPr>
        <w:t>.</w:t>
      </w:r>
    </w:p>
  </w:footnote>
  <w:footnote w:id="7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المغنى المطبوع مع الشرح الكبير،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tl w:val="true"/>
        </w:rPr>
        <w:t xml:space="preserve">، ذيل المسألة </w:t>
      </w:r>
      <w:r>
        <w:rPr>
          <w:rFonts w:eastAsia="IRNazanin" w:cs="IRNazanin"/>
          <w:b w:val="false"/>
          <w:bCs w:val="false"/>
          <w:i w:val="false"/>
          <w:iCs w:val="false"/>
          <w:color w:val="333333"/>
          <w:sz w:val="20"/>
          <w:szCs w:val="20"/>
        </w:rPr>
        <w:t>4843</w:t>
      </w:r>
      <w:r>
        <w:rPr>
          <w:rFonts w:eastAsia="IRNazanin" w:cs="IRNazanin"/>
          <w:b w:val="false"/>
          <w:bCs w:val="false"/>
          <w:i w:val="false"/>
          <w:iCs w:val="false"/>
          <w:color w:val="333333"/>
          <w:sz w:val="20"/>
          <w:szCs w:val="20"/>
          <w:rtl w:val="true"/>
        </w:rPr>
        <w:t>.</w:t>
      </w:r>
    </w:p>
  </w:footnote>
  <w:footnote w:id="7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p>
  </w:footnote>
  <w:footnote w:id="7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79</w:t>
      </w:r>
      <w:r>
        <w:rPr>
          <w:rFonts w:ascii="IRNazanin" w:hAnsi="IRNazanin" w:eastAsia="IRNazanin"/>
          <w:b w:val="false"/>
          <w:b w:val="false"/>
          <w:bCs w:val="false"/>
          <w:i w:val="false"/>
          <w:i w:val="false"/>
          <w:iCs w:val="false"/>
          <w:color w:val="333333"/>
          <w:sz w:val="20"/>
          <w:sz w:val="20"/>
          <w:szCs w:val="20"/>
          <w:rtl w:val="true"/>
        </w:rPr>
        <w:t xml:space="preserve">، باب في إبطال العول،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7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962</w:t>
      </w:r>
    </w:p>
  </w:footnote>
  <w:footnote w:id="7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في النسخ وفي التهذيب وغيره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هكذا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والزوجة لها الربع فإذا زالت عنه صارت إلى الثمن لا يزيلها عنه شيءٌ والأمّ لها الثلث فإذا زالت عنه صارت إلى السدس ولا يزيلها عنه شيء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فهذه الفروض التي قدم الله عز وجل ولعل الشارح لحضها بقوله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ومثله الزوجة والأم</w:t>
      </w:r>
      <w:r>
        <w:rPr>
          <w:rFonts w:eastAsia="IRNazanin" w:cs="IRNazanin"/>
          <w:b w:val="false"/>
          <w:bCs w:val="false"/>
          <w:i w:val="false"/>
          <w:iCs w:val="false"/>
          <w:color w:val="333333"/>
          <w:sz w:val="20"/>
          <w:szCs w:val="20"/>
          <w:rtl w:val="true"/>
        </w:rPr>
        <w:t>».</w:t>
      </w:r>
    </w:p>
  </w:footnote>
  <w:footnote w:id="7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963</w:t>
      </w:r>
    </w:p>
  </w:footnote>
  <w:footnote w:id="7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الدروس الشرعية،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 موسوعة الشهيد الأول،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7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قواعد الأحكام،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357</w:t>
      </w:r>
    </w:p>
  </w:footnote>
  <w:footnote w:id="7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إرشاد الاذهان،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131</w:t>
      </w:r>
      <w:r>
        <w:rPr>
          <w:rFonts w:ascii="IRNazanin" w:hAnsi="IRNazanin" w:eastAsia="IRNazanin"/>
          <w:b w:val="false"/>
          <w:b w:val="false"/>
          <w:bCs w:val="false"/>
          <w:i w:val="false"/>
          <w:i w:val="false"/>
          <w:iCs w:val="false"/>
          <w:color w:val="333333"/>
          <w:sz w:val="20"/>
          <w:sz w:val="20"/>
          <w:szCs w:val="20"/>
          <w:rtl w:val="true"/>
        </w:rPr>
        <w:t xml:space="preserve">؛ تبصرة المتعلمين، ص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w:t>
      </w:r>
    </w:p>
  </w:footnote>
  <w:footnote w:id="7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شرائع الإسلام،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المختصر النافع، ص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 xml:space="preserve"> .</w:t>
      </w:r>
    </w:p>
  </w:footnote>
  <w:footnote w:id="7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ص </w:t>
      </w:r>
      <w:r>
        <w:rPr>
          <w:rFonts w:eastAsia="IRNazanin" w:cs="IRNazanin"/>
          <w:b w:val="false"/>
          <w:bCs w:val="false"/>
          <w:i w:val="false"/>
          <w:iCs w:val="false"/>
          <w:color w:val="333333"/>
          <w:sz w:val="20"/>
          <w:szCs w:val="20"/>
        </w:rPr>
        <w:t>194</w:t>
      </w:r>
      <w:r>
        <w:rPr>
          <w:rFonts w:ascii="IRNazanin" w:hAnsi="IRNazanin" w:eastAsia="IRNazanin"/>
          <w:b w:val="false"/>
          <w:b w:val="false"/>
          <w:bCs w:val="false"/>
          <w:i w:val="false"/>
          <w:i w:val="false"/>
          <w:iCs w:val="false"/>
          <w:color w:val="333333"/>
          <w:sz w:val="20"/>
          <w:sz w:val="20"/>
          <w:szCs w:val="20"/>
          <w:rtl w:val="true"/>
        </w:rPr>
        <w:t>، مسألة العول</w:t>
      </w:r>
      <w:r>
        <w:rPr>
          <w:rFonts w:eastAsia="IRNazanin" w:cs="IRNazanin"/>
          <w:b w:val="false"/>
          <w:bCs w:val="false"/>
          <w:i w:val="false"/>
          <w:iCs w:val="false"/>
          <w:color w:val="333333"/>
          <w:sz w:val="20"/>
          <w:szCs w:val="20"/>
          <w:rtl w:val="true"/>
        </w:rPr>
        <w:t>.</w:t>
      </w:r>
    </w:p>
  </w:footnote>
  <w:footnote w:id="7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المقنع، ص </w:t>
      </w:r>
      <w:r>
        <w:rPr>
          <w:rFonts w:eastAsia="IRNazanin" w:cs="IRNazanin"/>
          <w:b w:val="false"/>
          <w:bCs w:val="false"/>
          <w:i w:val="false"/>
          <w:iCs w:val="false"/>
          <w:color w:val="333333"/>
          <w:sz w:val="20"/>
          <w:szCs w:val="20"/>
        </w:rPr>
        <w:t>494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الهداية، ص </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w:t>
      </w:r>
    </w:p>
  </w:footnote>
  <w:footnote w:id="7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1138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1141</w:t>
      </w:r>
      <w:r>
        <w:rPr>
          <w:rFonts w:eastAsia="IRNazanin" w:cs="IRNazanin"/>
          <w:b w:val="false"/>
          <w:bCs w:val="false"/>
          <w:i w:val="false"/>
          <w:iCs w:val="false"/>
          <w:color w:val="333333"/>
          <w:sz w:val="20"/>
          <w:szCs w:val="20"/>
          <w:rtl w:val="true"/>
        </w:rPr>
        <w:t>.</w:t>
      </w:r>
    </w:p>
  </w:footnote>
  <w:footnote w:id="7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المقنعة، ص </w:t>
      </w:r>
      <w:r>
        <w:rPr>
          <w:rFonts w:eastAsia="IRNazanin" w:cs="IRNazanin"/>
          <w:b w:val="false"/>
          <w:bCs w:val="false"/>
          <w:i w:val="false"/>
          <w:iCs w:val="false"/>
          <w:color w:val="333333"/>
          <w:sz w:val="20"/>
          <w:szCs w:val="20"/>
        </w:rPr>
        <w:t>688</w:t>
      </w:r>
      <w:r>
        <w:rPr>
          <w:rFonts w:ascii="IRNazanin" w:hAnsi="IRNazanin" w:eastAsia="IRNazanin"/>
          <w:b w:val="false"/>
          <w:b w:val="false"/>
          <w:bCs w:val="false"/>
          <w:i w:val="false"/>
          <w:i w:val="false"/>
          <w:iCs w:val="false"/>
          <w:color w:val="333333"/>
          <w:sz w:val="20"/>
          <w:sz w:val="20"/>
          <w:szCs w:val="20"/>
          <w:rtl w:val="true"/>
        </w:rPr>
        <w:t xml:space="preserve">؛ النهاية، ص </w:t>
      </w:r>
      <w:r>
        <w:rPr>
          <w:rFonts w:eastAsia="IRNazanin" w:cs="IRNazanin"/>
          <w:b w:val="false"/>
          <w:bCs w:val="false"/>
          <w:i w:val="false"/>
          <w:iCs w:val="false"/>
          <w:color w:val="333333"/>
          <w:sz w:val="20"/>
          <w:szCs w:val="20"/>
        </w:rPr>
        <w:t>630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في الفقه، ص </w:t>
      </w:r>
      <w:r>
        <w:rPr>
          <w:rFonts w:eastAsia="IRNazanin" w:cs="IRNazanin"/>
          <w:b w:val="false"/>
          <w:bCs w:val="false"/>
          <w:i w:val="false"/>
          <w:iCs w:val="false"/>
          <w:color w:val="333333"/>
          <w:sz w:val="20"/>
          <w:szCs w:val="20"/>
        </w:rPr>
        <w:t>368</w:t>
      </w:r>
      <w:r>
        <w:rPr>
          <w:rFonts w:eastAsia="IRNazanin" w:cs="IRNazanin"/>
          <w:b w:val="false"/>
          <w:bCs w:val="false"/>
          <w:i w:val="false"/>
          <w:iCs w:val="false"/>
          <w:color w:val="333333"/>
          <w:sz w:val="20"/>
          <w:szCs w:val="20"/>
          <w:rtl w:val="true"/>
        </w:rPr>
        <w:t>.</w:t>
      </w:r>
    </w:p>
  </w:footnote>
  <w:footnote w:id="7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رسائل الشريف المرتضى،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 xml:space="preserve"> .</w:t>
      </w:r>
    </w:p>
  </w:footnote>
  <w:footnote w:id="7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إدريس في السرائر،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وحكاه عن ابن أبي عقيل أيضاً ومعين الدين المصري؛ ونقله عنه العلامة في مختلف الشيعة،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w:t>
      </w:r>
      <w:r>
        <w:rPr>
          <w:rFonts w:ascii="IRNazanin" w:hAnsi="IRNazanin" w:eastAsia="IRNazanin"/>
          <w:b w:val="false"/>
          <w:b w:val="false"/>
          <w:bCs w:val="false"/>
          <w:i w:val="false"/>
          <w:i w:val="false"/>
          <w:iCs w:val="false"/>
          <w:color w:val="333333"/>
          <w:sz w:val="20"/>
          <w:sz w:val="20"/>
          <w:szCs w:val="20"/>
          <w:rtl w:val="true"/>
        </w:rPr>
        <w:t xml:space="preserve">، ذيل المسألة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p>
  </w:footnote>
  <w:footnote w:id="7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7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p>
  </w:footnote>
  <w:footnote w:id="7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النور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31</w:t>
      </w:r>
    </w:p>
  </w:footnote>
  <w:footnote w:id="7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1136</w:t>
      </w:r>
      <w:r>
        <w:rPr>
          <w:rFonts w:eastAsia="IRNazanin" w:cs="IRNazanin"/>
          <w:b w:val="false"/>
          <w:bCs w:val="false"/>
          <w:i w:val="false"/>
          <w:iCs w:val="false"/>
          <w:color w:val="333333"/>
          <w:sz w:val="20"/>
          <w:szCs w:val="20"/>
          <w:rtl w:val="true"/>
        </w:rPr>
        <w:t>.</w:t>
      </w:r>
    </w:p>
  </w:footnote>
  <w:footnote w:id="7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1137</w:t>
      </w:r>
      <w:r>
        <w:rPr>
          <w:rFonts w:eastAsia="IRNazanin" w:cs="IRNazanin"/>
          <w:b w:val="false"/>
          <w:bCs w:val="false"/>
          <w:i w:val="false"/>
          <w:iCs w:val="false"/>
          <w:color w:val="333333"/>
          <w:sz w:val="20"/>
          <w:szCs w:val="20"/>
          <w:rtl w:val="true"/>
        </w:rPr>
        <w:t>.</w:t>
      </w:r>
    </w:p>
  </w:footnote>
  <w:footnote w:id="7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303</w:t>
      </w:r>
      <w:r>
        <w:rPr>
          <w:rFonts w:ascii="IRNazanin" w:hAnsi="IRNazanin" w:eastAsia="IRNazanin"/>
          <w:b w:val="false"/>
          <w:b w:val="false"/>
          <w:bCs w:val="false"/>
          <w:i w:val="false"/>
          <w:i w:val="false"/>
          <w:iCs w:val="false"/>
          <w:color w:val="333333"/>
          <w:sz w:val="20"/>
          <w:sz w:val="20"/>
          <w:szCs w:val="20"/>
          <w:rtl w:val="true"/>
        </w:rPr>
        <w:t>، باب ميراث من علا من الآباء</w:t>
      </w:r>
      <w:r>
        <w:rPr>
          <w:rFonts w:eastAsia="IRNazanin" w:cs="IRNazanin"/>
          <w:b w:val="false"/>
          <w:bCs w:val="false"/>
          <w:i w:val="false"/>
          <w:iCs w:val="false"/>
          <w:color w:val="333333"/>
          <w:sz w:val="20"/>
          <w:szCs w:val="20"/>
          <w:rtl w:val="true"/>
        </w:rPr>
        <w:t>.</w:t>
      </w:r>
    </w:p>
  </w:footnote>
  <w:footnote w:id="7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اختاره المحقق في شرائع الإسلام،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والقول الآخر يأتي قريباً</w:t>
      </w:r>
      <w:r>
        <w:rPr>
          <w:rFonts w:eastAsia="IRNazanin" w:cs="IRNazanin"/>
          <w:b w:val="false"/>
          <w:bCs w:val="false"/>
          <w:i w:val="false"/>
          <w:iCs w:val="false"/>
          <w:color w:val="333333"/>
          <w:sz w:val="20"/>
          <w:szCs w:val="20"/>
          <w:rtl w:val="true"/>
        </w:rPr>
        <w:t>.</w:t>
      </w:r>
    </w:p>
  </w:footnote>
  <w:footnote w:id="7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p>
  </w:footnote>
  <w:footnote w:id="7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اختاره الشيخ في المبسوط ،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287</w:t>
      </w:r>
    </w:p>
  </w:footnote>
  <w:footnote w:id="7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وسائل الشيعة، ج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100</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ميراث الأبوين والأولاد</w:t>
      </w:r>
      <w:r>
        <w:rPr>
          <w:rFonts w:eastAsia="IRNazanin" w:cs="IRNazanin"/>
          <w:b w:val="false"/>
          <w:bCs w:val="false"/>
          <w:i w:val="false"/>
          <w:iCs w:val="false"/>
          <w:color w:val="333333"/>
          <w:sz w:val="20"/>
          <w:szCs w:val="20"/>
          <w:rtl w:val="true"/>
        </w:rPr>
        <w:t>.</w:t>
      </w:r>
    </w:p>
  </w:footnote>
  <w:footnote w:id="7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به ابن زهرة في غنية النزوع،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w:t>
      </w:r>
    </w:p>
  </w:footnote>
  <w:footnote w:id="7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به السيد في الانتصار، ص </w:t>
      </w:r>
      <w:r>
        <w:rPr>
          <w:rFonts w:eastAsia="IRNazanin" w:cs="IRNazanin"/>
          <w:b w:val="false"/>
          <w:bCs w:val="false"/>
          <w:i w:val="false"/>
          <w:iCs w:val="false"/>
          <w:color w:val="333333"/>
          <w:sz w:val="20"/>
          <w:szCs w:val="20"/>
        </w:rPr>
        <w:t>582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المسألة </w:t>
      </w:r>
      <w:r>
        <w:rPr>
          <w:rFonts w:eastAsia="IRNazanin" w:cs="IRNazanin"/>
          <w:b w:val="false"/>
          <w:bCs w:val="false"/>
          <w:i w:val="false"/>
          <w:iCs w:val="false"/>
          <w:color w:val="333333"/>
          <w:sz w:val="20"/>
          <w:szCs w:val="20"/>
        </w:rPr>
        <w:t>316</w:t>
      </w:r>
    </w:p>
  </w:footnote>
  <w:footnote w:id="7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p>
  </w:footnote>
  <w:footnote w:id="7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999</w:t>
      </w:r>
    </w:p>
  </w:footnote>
  <w:footnote w:id="7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86</w:t>
      </w:r>
      <w:r>
        <w:rPr>
          <w:rFonts w:ascii="IRNazanin" w:hAnsi="IRNazanin" w:eastAsia="IRNazanin"/>
          <w:b w:val="false"/>
          <w:b w:val="false"/>
          <w:bCs w:val="false"/>
          <w:i w:val="false"/>
          <w:i w:val="false"/>
          <w:iCs w:val="false"/>
          <w:color w:val="333333"/>
          <w:sz w:val="20"/>
          <w:sz w:val="20"/>
          <w:szCs w:val="20"/>
          <w:rtl w:val="true"/>
        </w:rPr>
        <w:t xml:space="preserve">، باب ما يرث الكبير من الولد،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7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997</w:t>
      </w:r>
    </w:p>
  </w:footnote>
  <w:footnote w:id="7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5749</w:t>
      </w:r>
      <w:r>
        <w:rPr>
          <w:rFonts w:eastAsia="IRNazanin" w:cs="IRNazanin"/>
          <w:b w:val="false"/>
          <w:bCs w:val="false"/>
          <w:i w:val="false"/>
          <w:iCs w:val="false"/>
          <w:color w:val="333333"/>
          <w:sz w:val="20"/>
          <w:szCs w:val="20"/>
          <w:rtl w:val="true"/>
        </w:rPr>
        <w:t>.</w:t>
      </w:r>
    </w:p>
  </w:footnote>
  <w:footnote w:id="7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7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ما يرث الكبير من الولد،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7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997</w:t>
      </w:r>
    </w:p>
  </w:footnote>
  <w:footnote w:id="7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تهذيب الأحكام،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991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992</w:t>
      </w:r>
      <w:r>
        <w:rPr>
          <w:rFonts w:eastAsia="IRNazanin" w:cs="IRNazanin"/>
          <w:b w:val="false"/>
          <w:bCs w:val="false"/>
          <w:i w:val="false"/>
          <w:iCs w:val="false"/>
          <w:color w:val="333333"/>
          <w:sz w:val="20"/>
          <w:szCs w:val="20"/>
          <w:rtl w:val="true"/>
        </w:rPr>
        <w:t>.</w:t>
      </w:r>
    </w:p>
  </w:footnote>
  <w:footnote w:id="7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995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999</w:t>
      </w:r>
      <w:r>
        <w:rPr>
          <w:rFonts w:eastAsia="IRNazanin" w:cs="IRNazanin"/>
          <w:b w:val="false"/>
          <w:bCs w:val="false"/>
          <w:i w:val="false"/>
          <w:iCs w:val="false"/>
          <w:color w:val="333333"/>
          <w:sz w:val="20"/>
          <w:szCs w:val="20"/>
          <w:rtl w:val="true"/>
        </w:rPr>
        <w:t>.</w:t>
      </w:r>
    </w:p>
  </w:footnote>
  <w:footnote w:id="7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المقنعة، ص </w:t>
      </w:r>
      <w:r>
        <w:rPr>
          <w:rFonts w:eastAsia="IRNazanin" w:cs="IRNazanin"/>
          <w:b w:val="false"/>
          <w:bCs w:val="false"/>
          <w:i w:val="false"/>
          <w:iCs w:val="false"/>
          <w:color w:val="333333"/>
          <w:sz w:val="20"/>
          <w:szCs w:val="20"/>
        </w:rPr>
        <w:t>484</w:t>
      </w:r>
      <w:r>
        <w:rPr>
          <w:rFonts w:ascii="IRNazanin" w:hAnsi="IRNazanin" w:eastAsia="IRNazanin"/>
          <w:b w:val="false"/>
          <w:b w:val="false"/>
          <w:bCs w:val="false"/>
          <w:i w:val="false"/>
          <w:i w:val="false"/>
          <w:iCs w:val="false"/>
          <w:color w:val="333333"/>
          <w:sz w:val="20"/>
          <w:sz w:val="20"/>
          <w:szCs w:val="20"/>
          <w:rtl w:val="true"/>
        </w:rPr>
        <w:t xml:space="preserve">؛ النهاية، ص </w:t>
      </w:r>
      <w:r>
        <w:rPr>
          <w:rFonts w:eastAsia="IRNazanin" w:cs="IRNazanin"/>
          <w:b w:val="false"/>
          <w:bCs w:val="false"/>
          <w:i w:val="false"/>
          <w:iCs w:val="false"/>
          <w:color w:val="333333"/>
          <w:sz w:val="20"/>
          <w:szCs w:val="20"/>
        </w:rPr>
        <w:t>633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المهذب،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132</w:t>
      </w:r>
    </w:p>
  </w:footnote>
  <w:footnote w:id="7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الدروس الشرعية،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 موسوعة الشهيد الأول،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7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198</w:t>
      </w:r>
      <w:r>
        <w:rPr>
          <w:rFonts w:ascii="IRNazanin" w:hAnsi="IRNazanin" w:eastAsia="IRNazanin"/>
          <w:b w:val="false"/>
          <w:b w:val="false"/>
          <w:bCs w:val="false"/>
          <w:i w:val="false"/>
          <w:i w:val="false"/>
          <w:iCs w:val="false"/>
          <w:color w:val="333333"/>
          <w:sz w:val="20"/>
          <w:sz w:val="20"/>
          <w:szCs w:val="20"/>
          <w:rtl w:val="true"/>
        </w:rPr>
        <w:t xml:space="preserve">، کتاب الصلاة وص </w:t>
      </w:r>
      <w:r>
        <w:rPr>
          <w:rFonts w:eastAsia="IRNazanin" w:cs="IRNazanin"/>
          <w:b w:val="false"/>
          <w:bCs w:val="false"/>
          <w:i w:val="false"/>
          <w:iCs w:val="false"/>
          <w:color w:val="333333"/>
          <w:sz w:val="20"/>
          <w:szCs w:val="20"/>
        </w:rPr>
        <w:t>285</w:t>
      </w:r>
      <w:r>
        <w:rPr>
          <w:rFonts w:ascii="IRNazanin" w:hAnsi="IRNazanin" w:eastAsia="IRNazanin"/>
          <w:b w:val="false"/>
          <w:b w:val="false"/>
          <w:bCs w:val="false"/>
          <w:i w:val="false"/>
          <w:i w:val="false"/>
          <w:iCs w:val="false"/>
          <w:color w:val="333333"/>
          <w:sz w:val="20"/>
          <w:sz w:val="20"/>
          <w:szCs w:val="20"/>
          <w:rtl w:val="true"/>
        </w:rPr>
        <w:t>، كتاب الصوم</w:t>
      </w:r>
      <w:r>
        <w:rPr>
          <w:rFonts w:eastAsia="IRNazanin" w:cs="IRNazanin"/>
          <w:b w:val="false"/>
          <w:bCs w:val="false"/>
          <w:i w:val="false"/>
          <w:iCs w:val="false"/>
          <w:color w:val="333333"/>
          <w:sz w:val="20"/>
          <w:szCs w:val="20"/>
          <w:rtl w:val="true"/>
        </w:rPr>
        <w:t>.</w:t>
      </w:r>
    </w:p>
  </w:footnote>
  <w:footnote w:id="7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w:t>
      </w:r>
    </w:p>
  </w:footnote>
  <w:footnote w:id="7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الوسيلة، ص </w:t>
      </w:r>
      <w:r>
        <w:rPr>
          <w:rFonts w:eastAsia="IRNazanin" w:cs="IRNazanin"/>
          <w:b w:val="false"/>
          <w:bCs w:val="false"/>
          <w:i w:val="false"/>
          <w:iCs w:val="false"/>
          <w:color w:val="333333"/>
          <w:sz w:val="20"/>
          <w:szCs w:val="20"/>
        </w:rPr>
        <w:t>387</w:t>
      </w:r>
    </w:p>
  </w:footnote>
  <w:footnote w:id="7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المحقق في شرائع الإسلام،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xml:space="preserve">؛ وابن سعيد في الجامع للشرائع، ص </w:t>
      </w:r>
      <w:r>
        <w:rPr>
          <w:rFonts w:eastAsia="IRNazanin" w:cs="IRNazanin"/>
          <w:b w:val="false"/>
          <w:bCs w:val="false"/>
          <w:i w:val="false"/>
          <w:iCs w:val="false"/>
          <w:color w:val="333333"/>
          <w:sz w:val="20"/>
          <w:szCs w:val="20"/>
        </w:rPr>
        <w:t>509</w:t>
      </w:r>
      <w:r>
        <w:rPr>
          <w:rFonts w:ascii="IRNazanin" w:hAnsi="IRNazanin" w:eastAsia="IRNazanin"/>
          <w:b w:val="false"/>
          <w:b w:val="false"/>
          <w:bCs w:val="false"/>
          <w:i w:val="false"/>
          <w:i w:val="false"/>
          <w:iCs w:val="false"/>
          <w:color w:val="333333"/>
          <w:sz w:val="20"/>
          <w:sz w:val="20"/>
          <w:szCs w:val="20"/>
          <w:rtl w:val="true"/>
        </w:rPr>
        <w:t xml:space="preserve">؛ والعلّامة في قواعد الأحكام،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362</w:t>
      </w:r>
      <w:r>
        <w:rPr>
          <w:rFonts w:eastAsia="IRNazanin" w:cs="IRNazanin"/>
          <w:b w:val="false"/>
          <w:bCs w:val="false"/>
          <w:i w:val="false"/>
          <w:iCs w:val="false"/>
          <w:color w:val="333333"/>
          <w:sz w:val="20"/>
          <w:szCs w:val="20"/>
          <w:rtl w:val="true"/>
        </w:rPr>
        <w:t>.</w:t>
      </w:r>
    </w:p>
  </w:footnote>
  <w:footnote w:id="7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الدروس الشرعية،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 موسوعة الشهيد الأول،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7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مختلف الشيعة،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7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حكاه عنه العلّامة في مختلف الشيعة،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7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الشيخ في النهاية ، ص </w:t>
      </w:r>
      <w:r>
        <w:rPr>
          <w:rFonts w:eastAsia="IRNazanin" w:cs="IRNazanin"/>
          <w:b w:val="false"/>
          <w:bCs w:val="false"/>
          <w:i w:val="false"/>
          <w:iCs w:val="false"/>
          <w:color w:val="333333"/>
          <w:sz w:val="20"/>
          <w:szCs w:val="20"/>
        </w:rPr>
        <w:t>633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وابن البراج في المهذب،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وابن حمزة في الوسيلة ،</w:t>
      </w:r>
    </w:p>
  </w:footnote>
  <w:footnote w:id="7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86</w:t>
      </w:r>
      <w:r>
        <w:rPr>
          <w:rFonts w:ascii="IRNazanin" w:hAnsi="IRNazanin" w:eastAsia="IRNazanin"/>
          <w:b w:val="false"/>
          <w:b w:val="false"/>
          <w:bCs w:val="false"/>
          <w:i w:val="false"/>
          <w:i w:val="false"/>
          <w:iCs w:val="false"/>
          <w:color w:val="333333"/>
          <w:sz w:val="20"/>
          <w:sz w:val="20"/>
          <w:szCs w:val="20"/>
          <w:rtl w:val="true"/>
        </w:rPr>
        <w:t xml:space="preserve">، باب ما يرث الكبير من الولد دون غيره،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7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حكاه عنه العلامة في مختلف الشيعة،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120</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7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حكاه عنه العلامة في مختلف الشيعة،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119</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7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مختلف الشيعة،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المسألة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7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مختلف الشيعة،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المسألة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7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تخريجه في الهامش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7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به العلّامة في قواعد الأحكام،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361</w:t>
      </w:r>
      <w:r>
        <w:rPr>
          <w:rFonts w:eastAsia="IRNazanin" w:cs="IRNazanin"/>
          <w:b w:val="false"/>
          <w:bCs w:val="false"/>
          <w:i w:val="false"/>
          <w:iCs w:val="false"/>
          <w:color w:val="333333"/>
          <w:sz w:val="20"/>
          <w:szCs w:val="20"/>
          <w:rtl w:val="true"/>
        </w:rPr>
        <w:t>.</w:t>
      </w:r>
    </w:p>
  </w:footnote>
  <w:footnote w:id="7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وسائل الشيعة، ج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143</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ميراث الأبوين والأولاد</w:t>
      </w:r>
      <w:r>
        <w:rPr>
          <w:rFonts w:eastAsia="IRNazanin" w:cs="IRNazanin"/>
          <w:b w:val="false"/>
          <w:bCs w:val="false"/>
          <w:i w:val="false"/>
          <w:iCs w:val="false"/>
          <w:color w:val="333333"/>
          <w:sz w:val="20"/>
          <w:szCs w:val="20"/>
          <w:rtl w:val="true"/>
        </w:rPr>
        <w:t>.</w:t>
      </w:r>
    </w:p>
  </w:footnote>
  <w:footnote w:id="7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المقنع، ص </w:t>
      </w:r>
      <w:r>
        <w:rPr>
          <w:rFonts w:eastAsia="IRNazanin" w:cs="IRNazanin"/>
          <w:b w:val="false"/>
          <w:bCs w:val="false"/>
          <w:i w:val="false"/>
          <w:iCs w:val="false"/>
          <w:color w:val="333333"/>
          <w:sz w:val="20"/>
          <w:szCs w:val="20"/>
        </w:rPr>
        <w:t>500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501</w:t>
      </w:r>
      <w:r>
        <w:rPr>
          <w:rFonts w:ascii="IRNazanin" w:hAnsi="IRNazanin" w:eastAsia="IRNazanin"/>
          <w:b w:val="false"/>
          <w:b w:val="false"/>
          <w:bCs w:val="false"/>
          <w:i w:val="false"/>
          <w:i w:val="false"/>
          <w:iCs w:val="false"/>
          <w:color w:val="333333"/>
          <w:sz w:val="20"/>
          <w:sz w:val="20"/>
          <w:szCs w:val="20"/>
          <w:rtl w:val="true"/>
        </w:rPr>
        <w:t xml:space="preserve">، ولكن عبارته لا تويد نسب إليه ؛ وأيضاً حكاه عنه العلّامة في مختلف الشيعة،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المسألة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7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حكاه عن الفضل بن شاذان الشهيد في الدروس الشرعية،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 موسوعة الشهيد الأول،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7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نسبه إلى ابن أبي عقيل العلّامة في مختلف الشيعة،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7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ص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w:t>
      </w:r>
    </w:p>
  </w:footnote>
  <w:footnote w:id="7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حكاه عنه الشهيد في الدروس الشرعية،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 موسوعة الشهيد الأول،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7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حكاه عنه العلامة في مختلف الشيعة،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63</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7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قاله المفيد في المقنعة، ص </w:t>
      </w:r>
      <w:r>
        <w:rPr>
          <w:rFonts w:eastAsia="IRNazanin" w:cs="IRNazanin"/>
          <w:b w:val="false"/>
          <w:bCs w:val="false"/>
          <w:i w:val="false"/>
          <w:iCs w:val="false"/>
          <w:color w:val="333333"/>
          <w:sz w:val="20"/>
          <w:szCs w:val="20"/>
        </w:rPr>
        <w:t>690</w:t>
      </w:r>
      <w:r>
        <w:rPr>
          <w:rFonts w:ascii="IRNazanin" w:hAnsi="IRNazanin" w:eastAsia="IRNazanin"/>
          <w:b w:val="false"/>
          <w:b w:val="false"/>
          <w:bCs w:val="false"/>
          <w:i w:val="false"/>
          <w:i w:val="false"/>
          <w:iCs w:val="false"/>
          <w:color w:val="333333"/>
          <w:sz w:val="20"/>
          <w:sz w:val="20"/>
          <w:szCs w:val="20"/>
          <w:rtl w:val="true"/>
        </w:rPr>
        <w:t xml:space="preserve">؛ والشيخ في النهاية، ص </w:t>
      </w:r>
      <w:r>
        <w:rPr>
          <w:rFonts w:eastAsia="IRNazanin" w:cs="IRNazanin"/>
          <w:b w:val="false"/>
          <w:bCs w:val="false"/>
          <w:i w:val="false"/>
          <w:iCs w:val="false"/>
          <w:color w:val="333333"/>
          <w:sz w:val="20"/>
          <w:szCs w:val="20"/>
        </w:rPr>
        <w:t>638</w:t>
      </w:r>
      <w:r>
        <w:rPr>
          <w:rFonts w:eastAsia="IRNazanin" w:cs="IRNazanin"/>
          <w:b w:val="false"/>
          <w:bCs w:val="false"/>
          <w:i w:val="false"/>
          <w:iCs w:val="false"/>
          <w:color w:val="333333"/>
          <w:sz w:val="20"/>
          <w:szCs w:val="20"/>
          <w:rtl w:val="true"/>
        </w:rPr>
        <w:t>.</w:t>
      </w:r>
    </w:p>
  </w:footnote>
  <w:footnote w:id="7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كابن البراج في المهذب،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وأبي الصلاح في الكافي في الفقه، ص </w:t>
      </w:r>
      <w:r>
        <w:rPr>
          <w:rFonts w:eastAsia="IRNazanin" w:cs="IRNazanin"/>
          <w:b w:val="false"/>
          <w:bCs w:val="false"/>
          <w:i w:val="false"/>
          <w:iCs w:val="false"/>
          <w:color w:val="333333"/>
          <w:sz w:val="20"/>
          <w:szCs w:val="20"/>
        </w:rPr>
        <w:t>371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372</w:t>
      </w:r>
      <w:r>
        <w:rPr>
          <w:rFonts w:ascii="IRNazanin" w:hAnsi="IRNazanin" w:eastAsia="IRNazanin"/>
          <w:b w:val="false"/>
          <w:b w:val="false"/>
          <w:bCs w:val="false"/>
          <w:i w:val="false"/>
          <w:i w:val="false"/>
          <w:iCs w:val="false"/>
          <w:color w:val="333333"/>
          <w:sz w:val="20"/>
          <w:sz w:val="20"/>
          <w:szCs w:val="20"/>
          <w:rtl w:val="true"/>
        </w:rPr>
        <w:t xml:space="preserve">؛ وابن حمزة في الوسيلة، ص </w:t>
      </w:r>
      <w:r>
        <w:rPr>
          <w:rFonts w:eastAsia="IRNazanin" w:cs="IRNazanin"/>
          <w:b w:val="false"/>
          <w:bCs w:val="false"/>
          <w:i w:val="false"/>
          <w:iCs w:val="false"/>
          <w:color w:val="333333"/>
          <w:sz w:val="20"/>
          <w:szCs w:val="20"/>
        </w:rPr>
        <w:t>388</w:t>
      </w:r>
    </w:p>
  </w:footnote>
  <w:footnote w:id="7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1157</w:t>
      </w:r>
      <w:r>
        <w:rPr>
          <w:rFonts w:eastAsia="IRNazanin" w:cs="IRNazanin"/>
          <w:b w:val="false"/>
          <w:bCs w:val="false"/>
          <w:i w:val="false"/>
          <w:iCs w:val="false"/>
          <w:color w:val="333333"/>
          <w:sz w:val="20"/>
          <w:szCs w:val="20"/>
          <w:rtl w:val="true"/>
        </w:rPr>
        <w:t>.</w:t>
      </w:r>
    </w:p>
  </w:footnote>
  <w:footnote w:id="7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1157</w:t>
      </w:r>
      <w:r>
        <w:rPr>
          <w:rFonts w:eastAsia="IRNazanin" w:cs="IRNazanin"/>
          <w:b w:val="false"/>
          <w:bCs w:val="false"/>
          <w:i w:val="false"/>
          <w:iCs w:val="false"/>
          <w:color w:val="333333"/>
          <w:sz w:val="20"/>
          <w:szCs w:val="20"/>
          <w:rtl w:val="true"/>
        </w:rPr>
        <w:t>.</w:t>
      </w:r>
    </w:p>
  </w:footnote>
  <w:footnote w:id="7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285</w:t>
      </w:r>
    </w:p>
  </w:footnote>
  <w:footnote w:id="7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w:t>
      </w:r>
    </w:p>
  </w:footnote>
  <w:footnote w:id="8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شرائع الإسلام،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المختصر النافع، ص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w:t>
      </w:r>
    </w:p>
  </w:footnote>
  <w:footnote w:id="8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تحرير الأحكام الشرعية ،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6290</w:t>
      </w:r>
      <w:r>
        <w:rPr>
          <w:rFonts w:eastAsia="IRNazanin" w:cs="IRNazanin"/>
          <w:b w:val="false"/>
          <w:bCs w:val="false"/>
          <w:i w:val="false"/>
          <w:iCs w:val="false"/>
          <w:color w:val="333333"/>
          <w:sz w:val="20"/>
          <w:szCs w:val="20"/>
          <w:rtl w:val="true"/>
        </w:rPr>
        <w:t>.</w:t>
      </w:r>
    </w:p>
  </w:footnote>
  <w:footnote w:id="8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المتقدمة آنفاً في الهامش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8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غاية المراد،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ضمن موسوعة الشهيد الأول،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8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ذكوراً كانوا أم إناثاً أم بالتفريق</w:t>
      </w:r>
    </w:p>
  </w:footnote>
  <w:footnote w:id="8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الفقيه،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5642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5646</w:t>
      </w:r>
      <w:r>
        <w:rPr>
          <w:rFonts w:eastAsia="IRNazanin" w:cs="IRNazanin"/>
          <w:b w:val="false"/>
          <w:bCs w:val="false"/>
          <w:i w:val="false"/>
          <w:iCs w:val="false"/>
          <w:color w:val="333333"/>
          <w:sz w:val="20"/>
          <w:szCs w:val="20"/>
          <w:rtl w:val="true"/>
        </w:rPr>
        <w:t>.</w:t>
      </w:r>
    </w:p>
  </w:footnote>
  <w:footnote w:id="8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حكاه عنه الكليني في الكافي،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107</w:t>
      </w:r>
      <w:r>
        <w:rPr>
          <w:rFonts w:ascii="IRNazanin" w:hAnsi="IRNazanin" w:eastAsia="IRNazanin"/>
          <w:b w:val="false"/>
          <w:b w:val="false"/>
          <w:bCs w:val="false"/>
          <w:i w:val="false"/>
          <w:i w:val="false"/>
          <w:iCs w:val="false"/>
          <w:color w:val="333333"/>
          <w:sz w:val="20"/>
          <w:sz w:val="20"/>
          <w:szCs w:val="20"/>
          <w:rtl w:val="true"/>
        </w:rPr>
        <w:t>، باب ميراث الإخوة والأخوات مع الولد</w:t>
      </w:r>
      <w:r>
        <w:rPr>
          <w:rFonts w:eastAsia="IRNazanin" w:cs="IRNazanin"/>
          <w:b w:val="false"/>
          <w:bCs w:val="false"/>
          <w:i w:val="false"/>
          <w:iCs w:val="false"/>
          <w:color w:val="333333"/>
          <w:sz w:val="20"/>
          <w:szCs w:val="20"/>
          <w:rtl w:val="true"/>
        </w:rPr>
        <w:t>.</w:t>
      </w:r>
    </w:p>
  </w:footnote>
  <w:footnote w:id="8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النهاية، ص </w:t>
      </w:r>
      <w:r>
        <w:rPr>
          <w:rFonts w:eastAsia="IRNazanin" w:cs="IRNazanin"/>
          <w:b w:val="false"/>
          <w:bCs w:val="false"/>
          <w:i w:val="false"/>
          <w:iCs w:val="false"/>
          <w:color w:val="333333"/>
          <w:sz w:val="20"/>
          <w:szCs w:val="20"/>
        </w:rPr>
        <w:t>649</w:t>
      </w:r>
      <w:r>
        <w:rPr>
          <w:rFonts w:eastAsia="IRNazanin" w:cs="IRNazanin"/>
          <w:b w:val="false"/>
          <w:bCs w:val="false"/>
          <w:i w:val="false"/>
          <w:iCs w:val="false"/>
          <w:color w:val="333333"/>
          <w:sz w:val="20"/>
          <w:szCs w:val="20"/>
          <w:rtl w:val="true"/>
        </w:rPr>
        <w:t>.</w:t>
      </w:r>
    </w:p>
  </w:footnote>
  <w:footnote w:id="8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مختلف الشيعة،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المسألة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8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حكاه عنه الشهيد في الدروس الشرعية،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 موسوعة الشهيد الأول،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8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حكاه عنه الشهيد في الدروس الشرعية،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 موسوعة الشهيد الأول،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8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الأنفال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الأحزاب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p>
  </w:footnote>
  <w:footnote w:id="8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حكاه عنه الشهيد في الدروس الشرعية،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 موسوعة الشهيد الأوّل،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8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8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1162</w:t>
      </w:r>
      <w:r>
        <w:rPr>
          <w:rFonts w:eastAsia="IRNazanin" w:cs="IRNazanin"/>
          <w:b w:val="false"/>
          <w:bCs w:val="false"/>
          <w:i w:val="false"/>
          <w:iCs w:val="false"/>
          <w:color w:val="333333"/>
          <w:sz w:val="20"/>
          <w:szCs w:val="20"/>
          <w:rtl w:val="true"/>
        </w:rPr>
        <w:t>.</w:t>
      </w:r>
    </w:p>
  </w:footnote>
  <w:footnote w:id="8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1170</w:t>
      </w:r>
      <w:r>
        <w:rPr>
          <w:rFonts w:eastAsia="IRNazanin" w:cs="IRNazanin"/>
          <w:b w:val="false"/>
          <w:bCs w:val="false"/>
          <w:i w:val="false"/>
          <w:iCs w:val="false"/>
          <w:color w:val="333333"/>
          <w:sz w:val="20"/>
          <w:szCs w:val="20"/>
          <w:rtl w:val="true"/>
        </w:rPr>
        <w:t>.</w:t>
      </w:r>
    </w:p>
  </w:footnote>
  <w:footnote w:id="8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حكاه عنه العلّامة في مختلف الشيعة،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50</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8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ص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 xml:space="preserve"> .</w:t>
      </w:r>
    </w:p>
  </w:footnote>
  <w:footnote w:id="8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 في ص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 xml:space="preserve"> .</w:t>
      </w:r>
    </w:p>
  </w:footnote>
  <w:footnote w:id="8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ص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المسألة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8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الدروس الشرعية،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 موسوعة الشهيد الأول،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8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للشارح هنا عبارات شطب عليها الشارح في نسخته وهي هكذا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تنزيلاً لخالِ الأُمِّ منزلةَ الخُؤولة حيث تقرّب بالأُمِّ وخالِ الأب منزلةَ العُمومة حيث تقرب به، وهذا القول لم يذكره المصنف في الدروس ولا العلّامة حيث نقل الخلاف</w:t>
      </w:r>
      <w:r>
        <w:rPr>
          <w:rFonts w:eastAsia="IRNazanin" w:cs="IRNazanin"/>
          <w:b w:val="false"/>
          <w:bCs w:val="false"/>
          <w:i w:val="false"/>
          <w:iCs w:val="false"/>
          <w:color w:val="333333"/>
          <w:sz w:val="20"/>
          <w:szCs w:val="20"/>
          <w:rtl w:val="true"/>
        </w:rPr>
        <w:t>».</w:t>
      </w:r>
    </w:p>
  </w:footnote>
  <w:footnote w:id="8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حكاه العلّامة في تحرير الأحكام الشرعية،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6311</w:t>
      </w:r>
      <w:r>
        <w:rPr>
          <w:rFonts w:eastAsia="IRNazanin" w:cs="IRNazanin"/>
          <w:b w:val="false"/>
          <w:bCs w:val="false"/>
          <w:i w:val="false"/>
          <w:iCs w:val="false"/>
          <w:color w:val="333333"/>
          <w:sz w:val="20"/>
          <w:szCs w:val="20"/>
          <w:rtl w:val="true"/>
        </w:rPr>
        <w:t xml:space="preserve"> .</w:t>
      </w:r>
    </w:p>
  </w:footnote>
  <w:footnote w:id="8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الدروس الشرعية،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 موسوعة الشهيد الأول،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8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قواعد الأحكام،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371</w:t>
      </w:r>
      <w:r>
        <w:rPr>
          <w:rFonts w:ascii="IRNazanin" w:hAnsi="IRNazanin" w:eastAsia="IRNazanin"/>
          <w:b w:val="false"/>
          <w:b w:val="false"/>
          <w:bCs w:val="false"/>
          <w:i w:val="false"/>
          <w:i w:val="false"/>
          <w:iCs w:val="false"/>
          <w:color w:val="333333"/>
          <w:sz w:val="20"/>
          <w:sz w:val="20"/>
          <w:szCs w:val="20"/>
          <w:rtl w:val="true"/>
        </w:rPr>
        <w:t xml:space="preserve">؛ تحرير الأحكام الشرعية،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6311</w:t>
      </w:r>
      <w:r>
        <w:rPr>
          <w:rFonts w:eastAsia="IRNazanin" w:cs="IRNazanin"/>
          <w:b w:val="false"/>
          <w:bCs w:val="false"/>
          <w:i w:val="false"/>
          <w:iCs w:val="false"/>
          <w:color w:val="333333"/>
          <w:sz w:val="20"/>
          <w:szCs w:val="20"/>
          <w:rtl w:val="true"/>
        </w:rPr>
        <w:t>.</w:t>
      </w:r>
    </w:p>
  </w:footnote>
  <w:footnote w:id="8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الدروس الشرعية،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 موسوعة الشهيد الأوّل،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8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قواعد الأحكام،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371</w:t>
      </w:r>
    </w:p>
  </w:footnote>
  <w:footnote w:id="8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إيضاح الفوائد،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 xml:space="preserve"> .</w:t>
      </w:r>
    </w:p>
  </w:footnote>
  <w:footnote w:id="8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نسبه إلى المحقق نصير الدين الطوسي فخر المحققين في إيضاح الفوائد،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w:t>
      </w:r>
    </w:p>
  </w:footnote>
  <w:footnote w:id="8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ص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w:t>
      </w:r>
    </w:p>
  </w:footnote>
  <w:footnote w:id="8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به العلّامة في قواعد الأحكام،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372</w:t>
      </w:r>
    </w:p>
  </w:footnote>
  <w:footnote w:id="8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ص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w:t>
      </w:r>
    </w:p>
  </w:footnote>
  <w:footnote w:id="8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ص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w:t>
      </w:r>
    </w:p>
  </w:footnote>
  <w:footnote w:id="8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الأنفال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w:t>
      </w:r>
      <w:r>
        <w:rPr>
          <w:rFonts w:ascii="IRNazanin" w:hAnsi="IRNazanin" w:eastAsia="IRNazanin"/>
          <w:b w:val="false"/>
          <w:b w:val="false"/>
          <w:bCs w:val="false"/>
          <w:i w:val="false"/>
          <w:i w:val="false"/>
          <w:iCs w:val="false"/>
          <w:color w:val="333333"/>
          <w:sz w:val="20"/>
          <w:sz w:val="20"/>
          <w:szCs w:val="20"/>
          <w:rtl w:val="true"/>
        </w:rPr>
        <w:t xml:space="preserve">؛ الأحزاب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8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1179</w:t>
      </w:r>
    </w:p>
  </w:footnote>
  <w:footnote w:id="8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1104</w:t>
      </w:r>
      <w:r>
        <w:rPr>
          <w:rFonts w:eastAsia="IRNazanin" w:cs="IRNazanin"/>
          <w:b w:val="false"/>
          <w:bCs w:val="false"/>
          <w:i w:val="false"/>
          <w:iCs w:val="false"/>
          <w:color w:val="333333"/>
          <w:sz w:val="20"/>
          <w:szCs w:val="20"/>
          <w:rtl w:val="true"/>
        </w:rPr>
        <w:t>.</w:t>
      </w:r>
    </w:p>
  </w:footnote>
  <w:footnote w:id="8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1106</w:t>
      </w:r>
      <w:r>
        <w:rPr>
          <w:rFonts w:eastAsia="IRNazanin" w:cs="IRNazanin"/>
          <w:b w:val="false"/>
          <w:bCs w:val="false"/>
          <w:i w:val="false"/>
          <w:iCs w:val="false"/>
          <w:color w:val="333333"/>
          <w:sz w:val="20"/>
          <w:szCs w:val="20"/>
          <w:rtl w:val="true"/>
        </w:rPr>
        <w:t>.</w:t>
      </w:r>
    </w:p>
  </w:footnote>
  <w:footnote w:id="8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288</w:t>
      </w:r>
    </w:p>
  </w:footnote>
  <w:footnote w:id="8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المحقق في شرائع الإسلام،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xml:space="preserve">؛ وابن سعيد في الجامع للشرائع، ص </w:t>
      </w:r>
      <w:r>
        <w:rPr>
          <w:rFonts w:eastAsia="IRNazanin" w:cs="IRNazanin"/>
          <w:b w:val="false"/>
          <w:bCs w:val="false"/>
          <w:i w:val="false"/>
          <w:iCs w:val="false"/>
          <w:color w:val="333333"/>
          <w:sz w:val="20"/>
          <w:szCs w:val="20"/>
        </w:rPr>
        <w:t>509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والعلامة في قواعد الأحكام،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376</w:t>
      </w:r>
      <w:r>
        <w:rPr>
          <w:rFonts w:eastAsia="IRNazanin" w:cs="IRNazanin"/>
          <w:b w:val="false"/>
          <w:bCs w:val="false"/>
          <w:i w:val="false"/>
          <w:iCs w:val="false"/>
          <w:color w:val="333333"/>
          <w:sz w:val="20"/>
          <w:szCs w:val="20"/>
          <w:rtl w:val="true"/>
        </w:rPr>
        <w:t>.</w:t>
      </w:r>
    </w:p>
  </w:footnote>
  <w:footnote w:id="8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هذه تستحق في قيمة الآلات والأبنية محلولة لا مستحقة للإبقاء ؛ إذ لا حق لها في الأرض</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زين رحمه الله</w:t>
      </w:r>
      <w:r>
        <w:rPr>
          <w:rFonts w:eastAsia="IRNazanin" w:cs="IRNazanin"/>
          <w:b w:val="false"/>
          <w:bCs w:val="false"/>
          <w:i w:val="false"/>
          <w:iCs w:val="false"/>
          <w:color w:val="333333"/>
          <w:sz w:val="20"/>
          <w:szCs w:val="20"/>
          <w:rtl w:val="true"/>
        </w:rPr>
        <w:t>)</w:t>
      </w:r>
    </w:p>
  </w:footnote>
  <w:footnote w:id="8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لتوضيح الأقوال راجع مختلف الشيعة،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وغاية المراد،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 موسوعة الشهيد الأول،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8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شرائع الإسلام،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مختلف الشيعة،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54</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8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كابن فهد الحلّي في المقتصر في شرح المختصر، ص </w:t>
      </w:r>
      <w:r>
        <w:rPr>
          <w:rFonts w:eastAsia="IRNazanin" w:cs="IRNazanin"/>
          <w:b w:val="false"/>
          <w:bCs w:val="false"/>
          <w:i w:val="false"/>
          <w:iCs w:val="false"/>
          <w:color w:val="333333"/>
          <w:sz w:val="20"/>
          <w:szCs w:val="20"/>
        </w:rPr>
        <w:t>365</w:t>
      </w:r>
      <w:r>
        <w:rPr>
          <w:rFonts w:ascii="IRNazanin" w:hAnsi="IRNazanin" w:eastAsia="IRNazanin"/>
          <w:b w:val="false"/>
          <w:b w:val="false"/>
          <w:bCs w:val="false"/>
          <w:i w:val="false"/>
          <w:i w:val="false"/>
          <w:iCs w:val="false"/>
          <w:color w:val="333333"/>
          <w:sz w:val="20"/>
          <w:sz w:val="20"/>
          <w:szCs w:val="20"/>
          <w:rtl w:val="true"/>
        </w:rPr>
        <w:t xml:space="preserve">؛ والمهذب البارع،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402</w:t>
      </w:r>
      <w:r>
        <w:rPr>
          <w:rFonts w:eastAsia="IRNazanin" w:cs="IRNazanin"/>
          <w:b w:val="false"/>
          <w:bCs w:val="false"/>
          <w:i w:val="false"/>
          <w:iCs w:val="false"/>
          <w:color w:val="333333"/>
          <w:sz w:val="20"/>
          <w:szCs w:val="20"/>
          <w:rtl w:val="true"/>
        </w:rPr>
        <w:t>.</w:t>
      </w:r>
    </w:p>
  </w:footnote>
  <w:footnote w:id="8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النهاية، ص </w:t>
      </w:r>
      <w:r>
        <w:rPr>
          <w:rFonts w:eastAsia="IRNazanin" w:cs="IRNazanin"/>
          <w:b w:val="false"/>
          <w:bCs w:val="false"/>
          <w:i w:val="false"/>
          <w:iCs w:val="false"/>
          <w:color w:val="333333"/>
          <w:sz w:val="20"/>
          <w:szCs w:val="20"/>
        </w:rPr>
        <w:t>642</w:t>
      </w:r>
      <w:r>
        <w:rPr>
          <w:rFonts w:eastAsia="IRNazanin" w:cs="IRNazanin"/>
          <w:b w:val="false"/>
          <w:bCs w:val="false"/>
          <w:i w:val="false"/>
          <w:iCs w:val="false"/>
          <w:color w:val="333333"/>
          <w:sz w:val="20"/>
          <w:szCs w:val="20"/>
          <w:rtl w:val="true"/>
        </w:rPr>
        <w:t>.</w:t>
      </w:r>
    </w:p>
  </w:footnote>
  <w:footnote w:id="8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الدروس الشرعية،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 موسوعة الشهيد الأول،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8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كالعلّامة في قواعد الأحكام،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376</w:t>
      </w:r>
      <w:r>
        <w:rPr>
          <w:rFonts w:ascii="IRNazanin" w:hAnsi="IRNazanin" w:eastAsia="IRNazanin"/>
          <w:b w:val="false"/>
          <w:b w:val="false"/>
          <w:bCs w:val="false"/>
          <w:i w:val="false"/>
          <w:i w:val="false"/>
          <w:iCs w:val="false"/>
          <w:color w:val="333333"/>
          <w:sz w:val="20"/>
          <w:sz w:val="20"/>
          <w:szCs w:val="20"/>
          <w:rtl w:val="true"/>
        </w:rPr>
        <w:t xml:space="preserve">؛ والفاضل المقداد في التنقيح الرائع،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192</w:t>
      </w:r>
      <w:r>
        <w:rPr>
          <w:rFonts w:ascii="IRNazanin" w:hAnsi="IRNazanin" w:eastAsia="IRNazanin"/>
          <w:b w:val="false"/>
          <w:b w:val="false"/>
          <w:bCs w:val="false"/>
          <w:i w:val="false"/>
          <w:i w:val="false"/>
          <w:iCs w:val="false"/>
          <w:color w:val="333333"/>
          <w:sz w:val="20"/>
          <w:sz w:val="20"/>
          <w:szCs w:val="20"/>
          <w:rtl w:val="true"/>
        </w:rPr>
        <w:t xml:space="preserve">؛ وابن فهد الحلي في المهذب البارع،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402</w:t>
      </w:r>
      <w:r>
        <w:rPr>
          <w:rFonts w:eastAsia="IRNazanin" w:cs="IRNazanin"/>
          <w:b w:val="false"/>
          <w:bCs w:val="false"/>
          <w:i w:val="false"/>
          <w:iCs w:val="false"/>
          <w:color w:val="333333"/>
          <w:sz w:val="20"/>
          <w:szCs w:val="20"/>
          <w:rtl w:val="true"/>
        </w:rPr>
        <w:t>.</w:t>
      </w:r>
    </w:p>
  </w:footnote>
  <w:footnote w:id="8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وسائل الشيعة، ج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212</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ميراث الأزواج</w:t>
      </w:r>
      <w:r>
        <w:rPr>
          <w:rFonts w:eastAsia="IRNazanin" w:cs="IRNazanin"/>
          <w:b w:val="false"/>
          <w:bCs w:val="false"/>
          <w:i w:val="false"/>
          <w:iCs w:val="false"/>
          <w:color w:val="333333"/>
          <w:sz w:val="20"/>
          <w:szCs w:val="20"/>
          <w:rtl w:val="true"/>
        </w:rPr>
        <w:t>.</w:t>
      </w:r>
    </w:p>
  </w:footnote>
  <w:footnote w:id="8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1067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1069</w:t>
      </w:r>
      <w:r>
        <w:rPr>
          <w:rFonts w:eastAsia="IRNazanin" w:cs="IRNazanin"/>
          <w:b w:val="false"/>
          <w:bCs w:val="false"/>
          <w:i w:val="false"/>
          <w:iCs w:val="false"/>
          <w:color w:val="333333"/>
          <w:sz w:val="20"/>
          <w:szCs w:val="20"/>
          <w:rtl w:val="true"/>
        </w:rPr>
        <w:t>.</w:t>
      </w:r>
    </w:p>
  </w:footnote>
  <w:footnote w:id="8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تهذيب الأحكام،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302</w:t>
      </w:r>
      <w:r>
        <w:rPr>
          <w:rFonts w:ascii="IRNazanin" w:hAnsi="IRNazanin" w:eastAsia="IRNazanin"/>
          <w:b w:val="false"/>
          <w:b w:val="false"/>
          <w:bCs w:val="false"/>
          <w:i w:val="false"/>
          <w:i w:val="false"/>
          <w:iCs w:val="false"/>
          <w:color w:val="333333"/>
          <w:sz w:val="20"/>
          <w:sz w:val="20"/>
          <w:szCs w:val="20"/>
          <w:rtl w:val="true"/>
        </w:rPr>
        <w:t>، باب ميراث الأزواج</w:t>
      </w:r>
      <w:r>
        <w:rPr>
          <w:rFonts w:eastAsia="IRNazanin" w:cs="IRNazanin"/>
          <w:b w:val="false"/>
          <w:bCs w:val="false"/>
          <w:i w:val="false"/>
          <w:iCs w:val="false"/>
          <w:color w:val="333333"/>
          <w:sz w:val="20"/>
          <w:szCs w:val="20"/>
          <w:rtl w:val="true"/>
        </w:rPr>
        <w:t>.</w:t>
      </w:r>
    </w:p>
  </w:footnote>
  <w:footnote w:id="8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كالشيخ المفيد في المقنعة، ص </w:t>
      </w:r>
      <w:r>
        <w:rPr>
          <w:rFonts w:eastAsia="IRNazanin" w:cs="IRNazanin"/>
          <w:b w:val="false"/>
          <w:bCs w:val="false"/>
          <w:i w:val="false"/>
          <w:iCs w:val="false"/>
          <w:color w:val="333333"/>
          <w:sz w:val="20"/>
          <w:szCs w:val="20"/>
        </w:rPr>
        <w:t>687</w:t>
      </w:r>
      <w:r>
        <w:rPr>
          <w:rFonts w:ascii="IRNazanin" w:hAnsi="IRNazanin" w:eastAsia="IRNazanin"/>
          <w:b w:val="false"/>
          <w:b w:val="false"/>
          <w:bCs w:val="false"/>
          <w:i w:val="false"/>
          <w:i w:val="false"/>
          <w:iCs w:val="false"/>
          <w:color w:val="333333"/>
          <w:sz w:val="20"/>
          <w:sz w:val="20"/>
          <w:szCs w:val="20"/>
          <w:rtl w:val="true"/>
        </w:rPr>
        <w:t xml:space="preserve">؛ والسيّد المرتضى في الانتصار، ص </w:t>
      </w:r>
      <w:r>
        <w:rPr>
          <w:rFonts w:eastAsia="IRNazanin" w:cs="IRNazanin"/>
          <w:b w:val="false"/>
          <w:bCs w:val="false"/>
          <w:i w:val="false"/>
          <w:iCs w:val="false"/>
          <w:color w:val="333333"/>
          <w:sz w:val="20"/>
          <w:szCs w:val="20"/>
        </w:rPr>
        <w:t>585</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319</w:t>
      </w:r>
      <w:r>
        <w:rPr>
          <w:rFonts w:ascii="IRNazanin" w:hAnsi="IRNazanin" w:eastAsia="IRNazanin"/>
          <w:b w:val="false"/>
          <w:b w:val="false"/>
          <w:bCs w:val="false"/>
          <w:i w:val="false"/>
          <w:i w:val="false"/>
          <w:iCs w:val="false"/>
          <w:color w:val="333333"/>
          <w:sz w:val="20"/>
          <w:sz w:val="20"/>
          <w:szCs w:val="20"/>
          <w:rtl w:val="true"/>
        </w:rPr>
        <w:t xml:space="preserve">؛ والشيخ في الاستبصار،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w:t>
      </w:r>
    </w:p>
  </w:footnote>
  <w:footnote w:id="8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1068</w:t>
      </w:r>
      <w:r>
        <w:rPr>
          <w:rFonts w:eastAsia="IRNazanin" w:cs="IRNazanin"/>
          <w:b w:val="false"/>
          <w:bCs w:val="false"/>
          <w:i w:val="false"/>
          <w:iCs w:val="false"/>
          <w:color w:val="333333"/>
          <w:sz w:val="20"/>
          <w:szCs w:val="20"/>
          <w:rtl w:val="true"/>
        </w:rPr>
        <w:t>.</w:t>
      </w:r>
    </w:p>
  </w:footnote>
  <w:footnote w:id="8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1076</w:t>
      </w:r>
      <w:r>
        <w:rPr>
          <w:rFonts w:eastAsia="IRNazanin" w:cs="IRNazanin"/>
          <w:b w:val="false"/>
          <w:bCs w:val="false"/>
          <w:i w:val="false"/>
          <w:iCs w:val="false"/>
          <w:color w:val="333333"/>
          <w:sz w:val="20"/>
          <w:szCs w:val="20"/>
          <w:rtl w:val="true"/>
        </w:rPr>
        <w:t>.</w:t>
      </w:r>
    </w:p>
  </w:footnote>
  <w:footnote w:id="8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1065</w:t>
      </w:r>
      <w:r>
        <w:rPr>
          <w:rFonts w:eastAsia="IRNazanin" w:cs="IRNazanin"/>
          <w:b w:val="false"/>
          <w:bCs w:val="false"/>
          <w:i w:val="false"/>
          <w:iCs w:val="false"/>
          <w:color w:val="333333"/>
          <w:sz w:val="20"/>
          <w:szCs w:val="20"/>
          <w:rtl w:val="true"/>
        </w:rPr>
        <w:t>.</w:t>
      </w:r>
    </w:p>
  </w:footnote>
  <w:footnote w:id="8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1064</w:t>
      </w:r>
      <w:r>
        <w:rPr>
          <w:rFonts w:eastAsia="IRNazanin" w:cs="IRNazanin"/>
          <w:b w:val="false"/>
          <w:bCs w:val="false"/>
          <w:i w:val="false"/>
          <w:iCs w:val="false"/>
          <w:color w:val="333333"/>
          <w:sz w:val="20"/>
          <w:szCs w:val="20"/>
          <w:rtl w:val="true"/>
        </w:rPr>
        <w:t>.</w:t>
      </w:r>
    </w:p>
  </w:footnote>
  <w:footnote w:id="8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p>
  </w:footnote>
  <w:footnote w:id="8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ميراث الزوجة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ضمن الموسوعة،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الرسائل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8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301</w:t>
      </w:r>
    </w:p>
  </w:footnote>
  <w:footnote w:id="8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319</w:t>
      </w:r>
    </w:p>
  </w:footnote>
  <w:footnote w:id="8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نعثر عليه في السرائر حكاه عنه الفاضل الآبي في كشف الرموز،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464</w:t>
      </w:r>
      <w:r>
        <w:rPr>
          <w:rFonts w:ascii="IRNazanin" w:hAnsi="IRNazanin" w:eastAsia="IRNazanin"/>
          <w:b w:val="false"/>
          <w:b w:val="false"/>
          <w:bCs w:val="false"/>
          <w:i w:val="false"/>
          <w:i w:val="false"/>
          <w:iCs w:val="false"/>
          <w:color w:val="333333"/>
          <w:sz w:val="20"/>
          <w:sz w:val="20"/>
          <w:szCs w:val="20"/>
          <w:rtl w:val="true"/>
        </w:rPr>
        <w:t xml:space="preserve">؛ والشهيد في غاية المراد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والدروس الشرعية،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ضمن موسوعة الشهيد الأول،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8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نعثر عليه في السرائر حكاه عنه الفاضل الآبي في كشف الرموز،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464</w:t>
      </w:r>
      <w:r>
        <w:rPr>
          <w:rFonts w:ascii="IRNazanin" w:hAnsi="IRNazanin" w:eastAsia="IRNazanin"/>
          <w:b w:val="false"/>
          <w:b w:val="false"/>
          <w:bCs w:val="false"/>
          <w:i w:val="false"/>
          <w:i w:val="false"/>
          <w:iCs w:val="false"/>
          <w:color w:val="333333"/>
          <w:sz w:val="20"/>
          <w:sz w:val="20"/>
          <w:szCs w:val="20"/>
          <w:rtl w:val="true"/>
        </w:rPr>
        <w:t xml:space="preserve">؛ والشهيد في غاية المراد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والدروس الشرعية،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ضمن موسوعة الشهيد الأول،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8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3392</w:t>
      </w:r>
      <w:r>
        <w:rPr>
          <w:rFonts w:ascii="IRNazanin" w:hAnsi="IRNazanin" w:eastAsia="IRNazanin"/>
          <w:b w:val="false"/>
          <w:b w:val="false"/>
          <w:bCs w:val="false"/>
          <w:i w:val="false"/>
          <w:i w:val="false"/>
          <w:iCs w:val="false"/>
          <w:color w:val="333333"/>
          <w:sz w:val="20"/>
          <w:sz w:val="20"/>
          <w:szCs w:val="20"/>
          <w:rtl w:val="true"/>
        </w:rPr>
        <w:t xml:space="preserve">؛ تهذيب الأحكام،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970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970</w:t>
      </w:r>
    </w:p>
  </w:footnote>
  <w:footnote w:id="8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نسخة الشهيد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الثاني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وهو سهو من قلمه الشريف</w:t>
      </w:r>
      <w:r>
        <w:rPr>
          <w:rFonts w:eastAsia="IRNazanin" w:cs="IRNazanin"/>
          <w:b w:val="false"/>
          <w:bCs w:val="false"/>
          <w:i w:val="false"/>
          <w:iCs w:val="false"/>
          <w:color w:val="333333"/>
          <w:sz w:val="20"/>
          <w:szCs w:val="20"/>
          <w:rtl w:val="true"/>
        </w:rPr>
        <w:t>.</w:t>
      </w:r>
    </w:p>
  </w:footnote>
  <w:footnote w:id="8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سبق في ص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w:t>
      </w:r>
    </w:p>
  </w:footnote>
  <w:footnote w:id="8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اعتبر ابن إدريس الفورية في التبرّي من ضمان الجريرة، وأكثر الأصحاب أطلقوا ذلك، ويقبل قوله بغير بينة إن كان لم يجن بعد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أما بعد الجناية فلا بد من البينة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زين رحمه الله</w:t>
      </w:r>
      <w:r>
        <w:rPr>
          <w:rFonts w:eastAsia="IRNazanin" w:cs="IRNazanin"/>
          <w:b w:val="false"/>
          <w:bCs w:val="false"/>
          <w:i w:val="false"/>
          <w:iCs w:val="false"/>
          <w:color w:val="333333"/>
          <w:sz w:val="20"/>
          <w:szCs w:val="20"/>
          <w:rtl w:val="true"/>
        </w:rPr>
        <w:t>)</w:t>
      </w:r>
    </w:p>
  </w:footnote>
  <w:footnote w:id="8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النهاية في غريب الحديث والأثر،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سيب</w:t>
      </w:r>
      <w:r>
        <w:rPr>
          <w:rFonts w:eastAsia="IRNazanin" w:cs="IRNazanin"/>
          <w:b w:val="false"/>
          <w:bCs w:val="false"/>
          <w:i w:val="false"/>
          <w:iCs w:val="false"/>
          <w:color w:val="333333"/>
          <w:sz w:val="20"/>
          <w:szCs w:val="20"/>
          <w:rtl w:val="true"/>
        </w:rPr>
        <w:t>».</w:t>
      </w:r>
    </w:p>
  </w:footnote>
  <w:footnote w:id="8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القول الأول للشيخ في المبسوط،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والقول الثاني لابن إدريس في السرائر،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8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القول الأول للمحقق في شرائع الإسلام،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xml:space="preserve">؛ والقول الثاني للعلّامة في قواعد الأحكام،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w:t>
      </w:r>
    </w:p>
  </w:footnote>
  <w:footnote w:id="8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النهاية، ص </w:t>
      </w:r>
      <w:r>
        <w:rPr>
          <w:rFonts w:eastAsia="IRNazanin" w:cs="IRNazanin"/>
          <w:b w:val="false"/>
          <w:bCs w:val="false"/>
          <w:i w:val="false"/>
          <w:iCs w:val="false"/>
          <w:color w:val="333333"/>
          <w:sz w:val="20"/>
          <w:szCs w:val="20"/>
        </w:rPr>
        <w:t>669</w:t>
      </w:r>
    </w:p>
  </w:footnote>
  <w:footnote w:id="8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الصدوق في المقنع، ص </w:t>
      </w:r>
      <w:r>
        <w:rPr>
          <w:rFonts w:eastAsia="IRNazanin" w:cs="IRNazanin"/>
          <w:b w:val="false"/>
          <w:bCs w:val="false"/>
          <w:i w:val="false"/>
          <w:iCs w:val="false"/>
          <w:color w:val="333333"/>
          <w:sz w:val="20"/>
          <w:szCs w:val="20"/>
        </w:rPr>
        <w:t>461</w:t>
      </w:r>
      <w:r>
        <w:rPr>
          <w:rFonts w:ascii="IRNazanin" w:hAnsi="IRNazanin" w:eastAsia="IRNazanin"/>
          <w:b w:val="false"/>
          <w:b w:val="false"/>
          <w:bCs w:val="false"/>
          <w:i w:val="false"/>
          <w:i w:val="false"/>
          <w:iCs w:val="false"/>
          <w:color w:val="333333"/>
          <w:sz w:val="20"/>
          <w:sz w:val="20"/>
          <w:szCs w:val="20"/>
          <w:rtl w:val="true"/>
        </w:rPr>
        <w:t xml:space="preserve">؛ والقاضي في المهذب،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364</w:t>
      </w:r>
      <w:r>
        <w:rPr>
          <w:rFonts w:ascii="IRNazanin" w:hAnsi="IRNazanin" w:eastAsia="IRNazanin"/>
          <w:b w:val="false"/>
          <w:b w:val="false"/>
          <w:bCs w:val="false"/>
          <w:i w:val="false"/>
          <w:i w:val="false"/>
          <w:iCs w:val="false"/>
          <w:color w:val="333333"/>
          <w:sz w:val="20"/>
          <w:sz w:val="20"/>
          <w:szCs w:val="20"/>
          <w:rtl w:val="true"/>
        </w:rPr>
        <w:t xml:space="preserve">؛ وابن إدريس في السرائر،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8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928</w:t>
      </w:r>
      <w:r>
        <w:rPr>
          <w:rFonts w:eastAsia="IRNazanin" w:cs="IRNazanin"/>
          <w:b w:val="false"/>
          <w:bCs w:val="false"/>
          <w:i w:val="false"/>
          <w:iCs w:val="false"/>
          <w:color w:val="333333"/>
          <w:sz w:val="20"/>
          <w:szCs w:val="20"/>
          <w:rtl w:val="true"/>
        </w:rPr>
        <w:t>.</w:t>
      </w:r>
    </w:p>
  </w:footnote>
  <w:footnote w:id="8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929</w:t>
      </w:r>
    </w:p>
  </w:footnote>
  <w:footnote w:id="8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به ابن حمزة في الوسيلة، ص </w:t>
      </w:r>
      <w:r>
        <w:rPr>
          <w:rFonts w:eastAsia="IRNazanin" w:cs="IRNazanin"/>
          <w:b w:val="false"/>
          <w:bCs w:val="false"/>
          <w:i w:val="false"/>
          <w:iCs w:val="false"/>
          <w:color w:val="333333"/>
          <w:sz w:val="20"/>
          <w:szCs w:val="20"/>
        </w:rPr>
        <w:t>340</w:t>
      </w:r>
      <w:r>
        <w:rPr>
          <w:rFonts w:eastAsia="IRNazanin" w:cs="IRNazanin"/>
          <w:b w:val="false"/>
          <w:bCs w:val="false"/>
          <w:i w:val="false"/>
          <w:iCs w:val="false"/>
          <w:color w:val="333333"/>
          <w:sz w:val="20"/>
          <w:szCs w:val="20"/>
          <w:rtl w:val="true"/>
        </w:rPr>
        <w:t>.</w:t>
      </w:r>
    </w:p>
  </w:footnote>
  <w:footnote w:id="8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0905</w:t>
      </w:r>
    </w:p>
  </w:footnote>
  <w:footnote w:id="8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926</w:t>
      </w:r>
      <w:r>
        <w:rPr>
          <w:rFonts w:eastAsia="IRNazanin" w:cs="IRNazanin"/>
          <w:b w:val="false"/>
          <w:bCs w:val="false"/>
          <w:i w:val="false"/>
          <w:iCs w:val="false"/>
          <w:color w:val="333333"/>
          <w:sz w:val="20"/>
          <w:szCs w:val="20"/>
          <w:rtl w:val="true"/>
        </w:rPr>
        <w:t>.</w:t>
      </w:r>
    </w:p>
  </w:footnote>
  <w:footnote w:id="8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غاية المراد،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 موسوعة الشهيد الأول،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8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306</w:t>
      </w:r>
      <w:r>
        <w:rPr>
          <w:rFonts w:ascii="IRNazanin" w:hAnsi="IRNazanin" w:eastAsia="IRNazanin"/>
          <w:b w:val="false"/>
          <w:b w:val="false"/>
          <w:bCs w:val="false"/>
          <w:i w:val="false"/>
          <w:i w:val="false"/>
          <w:iCs w:val="false"/>
          <w:color w:val="333333"/>
          <w:sz w:val="20"/>
          <w:sz w:val="20"/>
          <w:szCs w:val="20"/>
          <w:rtl w:val="true"/>
        </w:rPr>
        <w:t>، باب ميراث الموالي</w:t>
      </w:r>
      <w:r>
        <w:rPr>
          <w:rFonts w:eastAsia="IRNazanin" w:cs="IRNazanin"/>
          <w:b w:val="false"/>
          <w:bCs w:val="false"/>
          <w:i w:val="false"/>
          <w:iCs w:val="false"/>
          <w:color w:val="333333"/>
          <w:sz w:val="20"/>
          <w:szCs w:val="20"/>
          <w:rtl w:val="true"/>
        </w:rPr>
        <w:t>.</w:t>
      </w:r>
    </w:p>
  </w:footnote>
  <w:footnote w:id="8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258</w:t>
      </w:r>
      <w:r>
        <w:rPr>
          <w:rFonts w:ascii="IRNazanin" w:hAnsi="IRNazanin" w:eastAsia="IRNazanin"/>
          <w:b w:val="false"/>
          <w:b w:val="false"/>
          <w:bCs w:val="false"/>
          <w:i w:val="false"/>
          <w:i w:val="false"/>
          <w:iCs w:val="false"/>
          <w:color w:val="333333"/>
          <w:sz w:val="20"/>
          <w:sz w:val="20"/>
          <w:szCs w:val="20"/>
          <w:rtl w:val="true"/>
        </w:rPr>
        <w:t>، باب العتق وأحكامه</w:t>
      </w:r>
      <w:r>
        <w:rPr>
          <w:rFonts w:eastAsia="IRNazanin" w:cs="IRNazanin"/>
          <w:b w:val="false"/>
          <w:bCs w:val="false"/>
          <w:i w:val="false"/>
          <w:iCs w:val="false"/>
          <w:color w:val="333333"/>
          <w:sz w:val="20"/>
          <w:szCs w:val="20"/>
          <w:rtl w:val="true"/>
        </w:rPr>
        <w:t>.</w:t>
      </w:r>
    </w:p>
  </w:footnote>
  <w:footnote w:id="8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النهاية، ص </w:t>
      </w:r>
      <w:r>
        <w:rPr>
          <w:rFonts w:eastAsia="IRNazanin" w:cs="IRNazanin"/>
          <w:b w:val="false"/>
          <w:bCs w:val="false"/>
          <w:i w:val="false"/>
          <w:iCs w:val="false"/>
          <w:color w:val="333333"/>
          <w:sz w:val="20"/>
          <w:szCs w:val="20"/>
        </w:rPr>
        <w:t>547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548</w:t>
      </w:r>
      <w:r>
        <w:rPr>
          <w:rFonts w:eastAsia="IRNazanin" w:cs="IRNazanin"/>
          <w:b w:val="false"/>
          <w:bCs w:val="false"/>
          <w:i w:val="false"/>
          <w:iCs w:val="false"/>
          <w:color w:val="333333"/>
          <w:sz w:val="20"/>
          <w:szCs w:val="20"/>
          <w:rtl w:val="true"/>
        </w:rPr>
        <w:t>.</w:t>
      </w:r>
    </w:p>
  </w:footnote>
  <w:footnote w:id="8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القاضي في المهذب،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364</w:t>
      </w:r>
      <w:r>
        <w:rPr>
          <w:rFonts w:ascii="IRNazanin" w:hAnsi="IRNazanin" w:eastAsia="IRNazanin"/>
          <w:b w:val="false"/>
          <w:b w:val="false"/>
          <w:bCs w:val="false"/>
          <w:i w:val="false"/>
          <w:i w:val="false"/>
          <w:iCs w:val="false"/>
          <w:color w:val="333333"/>
          <w:sz w:val="20"/>
          <w:sz w:val="20"/>
          <w:szCs w:val="20"/>
          <w:rtl w:val="true"/>
        </w:rPr>
        <w:t xml:space="preserve">؛ وابن حمزة في الوسيلة، ص </w:t>
      </w:r>
      <w:r>
        <w:rPr>
          <w:rFonts w:eastAsia="IRNazanin" w:cs="IRNazanin"/>
          <w:b w:val="false"/>
          <w:bCs w:val="false"/>
          <w:i w:val="false"/>
          <w:iCs w:val="false"/>
          <w:color w:val="333333"/>
          <w:sz w:val="20"/>
          <w:szCs w:val="20"/>
        </w:rPr>
        <w:t>344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397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398</w:t>
      </w:r>
      <w:r>
        <w:rPr>
          <w:rFonts w:ascii="IRNazanin" w:hAnsi="IRNazanin" w:eastAsia="IRNazanin"/>
          <w:b w:val="false"/>
          <w:b w:val="false"/>
          <w:bCs w:val="false"/>
          <w:i w:val="false"/>
          <w:i w:val="false"/>
          <w:iCs w:val="false"/>
          <w:color w:val="333333"/>
          <w:sz w:val="20"/>
          <w:sz w:val="20"/>
          <w:szCs w:val="20"/>
          <w:rtl w:val="true"/>
        </w:rPr>
        <w:t xml:space="preserve">؛ والمحقق في المختصر النافع، ص </w:t>
      </w:r>
      <w:r>
        <w:rPr>
          <w:rFonts w:eastAsia="IRNazanin" w:cs="IRNazanin"/>
          <w:b w:val="false"/>
          <w:bCs w:val="false"/>
          <w:i w:val="false"/>
          <w:iCs w:val="false"/>
          <w:color w:val="333333"/>
          <w:sz w:val="20"/>
          <w:szCs w:val="20"/>
        </w:rPr>
        <w:t>394</w:t>
      </w:r>
      <w:r>
        <w:rPr>
          <w:rFonts w:eastAsia="IRNazanin" w:cs="IRNazanin"/>
          <w:b w:val="false"/>
          <w:bCs w:val="false"/>
          <w:i w:val="false"/>
          <w:iCs w:val="false"/>
          <w:color w:val="333333"/>
          <w:sz w:val="20"/>
          <w:szCs w:val="20"/>
          <w:rtl w:val="true"/>
        </w:rPr>
        <w:t>.</w:t>
      </w:r>
    </w:p>
  </w:footnote>
  <w:footnote w:id="8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الدروس الشرعية،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 موسوعة الشهيد الأول،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8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المسألة </w:t>
      </w:r>
      <w:r>
        <w:rPr>
          <w:rFonts w:eastAsia="IRNazanin" w:cs="IRNazanin"/>
          <w:b w:val="false"/>
          <w:bCs w:val="false"/>
          <w:i w:val="false"/>
          <w:iCs w:val="false"/>
          <w:color w:val="333333"/>
          <w:sz w:val="20"/>
          <w:szCs w:val="20"/>
        </w:rPr>
        <w:t>84</w:t>
      </w:r>
    </w:p>
  </w:footnote>
  <w:footnote w:id="8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النهاية، ص </w:t>
      </w:r>
      <w:r>
        <w:rPr>
          <w:rFonts w:eastAsia="IRNazanin" w:cs="IRNazanin"/>
          <w:b w:val="false"/>
          <w:bCs w:val="false"/>
          <w:i w:val="false"/>
          <w:iCs w:val="false"/>
          <w:color w:val="333333"/>
          <w:sz w:val="20"/>
          <w:szCs w:val="20"/>
        </w:rPr>
        <w:t>547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548</w:t>
      </w:r>
      <w:r>
        <w:rPr>
          <w:rFonts w:eastAsia="IRNazanin" w:cs="IRNazanin"/>
          <w:b w:val="false"/>
          <w:bCs w:val="false"/>
          <w:i w:val="false"/>
          <w:iCs w:val="false"/>
          <w:color w:val="333333"/>
          <w:sz w:val="20"/>
          <w:szCs w:val="20"/>
          <w:rtl w:val="true"/>
        </w:rPr>
        <w:t>.</w:t>
      </w:r>
    </w:p>
  </w:footnote>
  <w:footnote w:id="8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1191</w:t>
      </w:r>
    </w:p>
  </w:footnote>
  <w:footnote w:id="8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ص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الهامش </w:t>
      </w:r>
      <w:r>
        <w:rPr>
          <w:rFonts w:eastAsia="IRNazanin" w:cs="IRNazanin"/>
          <w:b w:val="false"/>
          <w:bCs w:val="false"/>
          <w:i w:val="false"/>
          <w:iCs w:val="false"/>
          <w:color w:val="333333"/>
          <w:sz w:val="20"/>
          <w:szCs w:val="20"/>
        </w:rPr>
        <w:t>8</w:t>
      </w:r>
    </w:p>
  </w:footnote>
  <w:footnote w:id="8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الدروس الشرعية،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ضمن موسوعة الشهيد الأول،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305</w:t>
      </w:r>
    </w:p>
  </w:footnote>
  <w:footnote w:id="8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تهذيب الأحكام،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وما بعدها، باب ميراث الموالي مع ذوي الرحم</w:t>
      </w:r>
      <w:r>
        <w:rPr>
          <w:rFonts w:eastAsia="IRNazanin" w:cs="IRNazanin"/>
          <w:b w:val="false"/>
          <w:bCs w:val="false"/>
          <w:i w:val="false"/>
          <w:iCs w:val="false"/>
          <w:color w:val="333333"/>
          <w:sz w:val="20"/>
          <w:szCs w:val="20"/>
          <w:rtl w:val="true"/>
        </w:rPr>
        <w:t>.</w:t>
      </w:r>
    </w:p>
  </w:footnote>
  <w:footnote w:id="8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نقله عن ابن الجنيد العلّامة في مختلف الشيعة،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83</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37</w:t>
      </w:r>
    </w:p>
  </w:footnote>
  <w:footnote w:id="8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ص </w:t>
      </w:r>
      <w:r>
        <w:rPr>
          <w:rFonts w:eastAsia="IRNazanin" w:cs="IRNazanin"/>
          <w:b w:val="false"/>
          <w:bCs w:val="false"/>
          <w:i w:val="false"/>
          <w:iCs w:val="false"/>
          <w:color w:val="333333"/>
          <w:sz w:val="20"/>
          <w:szCs w:val="20"/>
        </w:rPr>
        <w:t>227</w:t>
      </w:r>
      <w:r>
        <w:rPr>
          <w:rFonts w:ascii="IRNazanin" w:hAnsi="IRNazanin" w:eastAsia="IRNazanin"/>
          <w:b w:val="false"/>
          <w:b w:val="false"/>
          <w:bCs w:val="false"/>
          <w:i w:val="false"/>
          <w:i w:val="false"/>
          <w:iCs w:val="false"/>
          <w:color w:val="333333"/>
          <w:sz w:val="20"/>
          <w:sz w:val="20"/>
          <w:szCs w:val="20"/>
          <w:rtl w:val="true"/>
        </w:rPr>
        <w:t xml:space="preserve">، الهامش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8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تهذيب الأحكام،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258</w:t>
      </w:r>
      <w:r>
        <w:rPr>
          <w:rFonts w:ascii="IRNazanin" w:hAnsi="IRNazanin" w:eastAsia="IRNazanin"/>
          <w:b w:val="false"/>
          <w:b w:val="false"/>
          <w:bCs w:val="false"/>
          <w:i w:val="false"/>
          <w:i w:val="false"/>
          <w:iCs w:val="false"/>
          <w:color w:val="333333"/>
          <w:sz w:val="20"/>
          <w:sz w:val="20"/>
          <w:szCs w:val="20"/>
          <w:rtl w:val="true"/>
        </w:rPr>
        <w:t>، باب العتق وأحكامه</w:t>
      </w:r>
      <w:r>
        <w:rPr>
          <w:rFonts w:eastAsia="IRNazanin" w:cs="IRNazanin"/>
          <w:b w:val="false"/>
          <w:bCs w:val="false"/>
          <w:i w:val="false"/>
          <w:iCs w:val="false"/>
          <w:color w:val="333333"/>
          <w:sz w:val="20"/>
          <w:szCs w:val="20"/>
          <w:rtl w:val="true"/>
        </w:rPr>
        <w:t>.</w:t>
      </w:r>
    </w:p>
  </w:footnote>
  <w:footnote w:id="8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923</w:t>
      </w:r>
      <w:r>
        <w:rPr>
          <w:rFonts w:eastAsia="IRNazanin" w:cs="IRNazanin"/>
          <w:b w:val="false"/>
          <w:bCs w:val="false"/>
          <w:i w:val="false"/>
          <w:iCs w:val="false"/>
          <w:color w:val="333333"/>
          <w:sz w:val="20"/>
          <w:szCs w:val="20"/>
          <w:rtl w:val="true"/>
        </w:rPr>
        <w:t>.</w:t>
      </w:r>
    </w:p>
  </w:footnote>
  <w:footnote w:id="8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1382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1383</w:t>
      </w:r>
      <w:r>
        <w:rPr>
          <w:rFonts w:eastAsia="IRNazanin" w:cs="IRNazanin"/>
          <w:b w:val="false"/>
          <w:bCs w:val="false"/>
          <w:i w:val="false"/>
          <w:iCs w:val="false"/>
          <w:color w:val="333333"/>
          <w:sz w:val="20"/>
          <w:szCs w:val="20"/>
          <w:rtl w:val="true"/>
        </w:rPr>
        <w:t>.</w:t>
      </w:r>
    </w:p>
  </w:footnote>
  <w:footnote w:id="8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1382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1383</w:t>
      </w:r>
      <w:r>
        <w:rPr>
          <w:rFonts w:eastAsia="IRNazanin" w:cs="IRNazanin"/>
          <w:b w:val="false"/>
          <w:bCs w:val="false"/>
          <w:i w:val="false"/>
          <w:iCs w:val="false"/>
          <w:color w:val="333333"/>
          <w:sz w:val="20"/>
          <w:szCs w:val="20"/>
          <w:rtl w:val="true"/>
        </w:rPr>
        <w:t>.</w:t>
      </w:r>
    </w:p>
  </w:footnote>
  <w:footnote w:id="8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1379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1381</w:t>
      </w:r>
      <w:r>
        <w:rPr>
          <w:rFonts w:eastAsia="IRNazanin" w:cs="IRNazanin"/>
          <w:b w:val="false"/>
          <w:bCs w:val="false"/>
          <w:i w:val="false"/>
          <w:iCs w:val="false"/>
          <w:color w:val="333333"/>
          <w:sz w:val="20"/>
          <w:szCs w:val="20"/>
          <w:rtl w:val="true"/>
        </w:rPr>
        <w:t>.</w:t>
      </w:r>
    </w:p>
  </w:footnote>
  <w:footnote w:id="8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المفيد في المقنعة، ص </w:t>
      </w:r>
      <w:r>
        <w:rPr>
          <w:rFonts w:eastAsia="IRNazanin" w:cs="IRNazanin"/>
          <w:b w:val="false"/>
          <w:bCs w:val="false"/>
          <w:i w:val="false"/>
          <w:iCs w:val="false"/>
          <w:color w:val="333333"/>
          <w:sz w:val="20"/>
          <w:szCs w:val="20"/>
        </w:rPr>
        <w:t>706</w:t>
      </w:r>
      <w:r>
        <w:rPr>
          <w:rFonts w:ascii="IRNazanin" w:hAnsi="IRNazanin" w:eastAsia="IRNazanin"/>
          <w:b w:val="false"/>
          <w:b w:val="false"/>
          <w:bCs w:val="false"/>
          <w:i w:val="false"/>
          <w:i w:val="false"/>
          <w:iCs w:val="false"/>
          <w:color w:val="333333"/>
          <w:sz w:val="20"/>
          <w:sz w:val="20"/>
          <w:szCs w:val="20"/>
          <w:rtl w:val="true"/>
        </w:rPr>
        <w:t xml:space="preserve">؛ والشيخ في النهاية، ص </w:t>
      </w:r>
      <w:r>
        <w:rPr>
          <w:rFonts w:eastAsia="IRNazanin" w:cs="IRNazanin"/>
          <w:b w:val="false"/>
          <w:bCs w:val="false"/>
          <w:i w:val="false"/>
          <w:iCs w:val="false"/>
          <w:color w:val="333333"/>
          <w:sz w:val="20"/>
          <w:szCs w:val="20"/>
        </w:rPr>
        <w:t>671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والقاضي في المهذب،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w:t>
      </w:r>
    </w:p>
  </w:footnote>
  <w:footnote w:id="8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الدروس الشرعية،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ضمن موسوعة الشهيد الأول،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8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به الشيخ في الخلاف،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8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نسخة الأصل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الثالث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وهو سهو من قلمه الشريف</w:t>
      </w:r>
      <w:r>
        <w:rPr>
          <w:rFonts w:eastAsia="IRNazanin" w:cs="IRNazanin"/>
          <w:b w:val="false"/>
          <w:bCs w:val="false"/>
          <w:i w:val="false"/>
          <w:iCs w:val="false"/>
          <w:color w:val="333333"/>
          <w:sz w:val="20"/>
          <w:szCs w:val="20"/>
          <w:rtl w:val="true"/>
        </w:rPr>
        <w:t>.</w:t>
      </w:r>
    </w:p>
  </w:footnote>
  <w:footnote w:id="8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به الشيخ المفيد في الإعلام، ص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 مصنّفات الشيخ المفيد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والسيد المرتضى في الانتصار، ص </w:t>
      </w:r>
      <w:r>
        <w:rPr>
          <w:rFonts w:eastAsia="IRNazanin" w:cs="IRNazanin"/>
          <w:b w:val="false"/>
          <w:bCs w:val="false"/>
          <w:i w:val="false"/>
          <w:iCs w:val="false"/>
          <w:color w:val="333333"/>
          <w:sz w:val="20"/>
          <w:szCs w:val="20"/>
        </w:rPr>
        <w:t>594</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 xml:space="preserve"> .</w:t>
      </w:r>
    </w:p>
  </w:footnote>
  <w:footnote w:id="8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به القاضي في المهذب،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w:t>
      </w:r>
    </w:p>
  </w:footnote>
  <w:footnote w:id="8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نقله عن ابن الجنيد العلامة في مختلف الشيعة،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95</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9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1271</w:t>
      </w:r>
      <w:r>
        <w:rPr>
          <w:rFonts w:eastAsia="IRNazanin" w:cs="IRNazanin"/>
          <w:b w:val="false"/>
          <w:bCs w:val="false"/>
          <w:i w:val="false"/>
          <w:iCs w:val="false"/>
          <w:color w:val="333333"/>
          <w:sz w:val="20"/>
          <w:szCs w:val="20"/>
          <w:rtl w:val="true"/>
        </w:rPr>
        <w:t>.</w:t>
      </w:r>
    </w:p>
  </w:footnote>
  <w:footnote w:id="9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الشورى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w:t>
      </w:r>
    </w:p>
  </w:footnote>
  <w:footnote w:id="9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به الشيخ في الخلاف،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106</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w:t>
      </w:r>
    </w:p>
  </w:footnote>
  <w:footnote w:id="9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1269</w:t>
      </w:r>
      <w:r>
        <w:rPr>
          <w:rFonts w:eastAsia="IRNazanin" w:cs="IRNazanin"/>
          <w:b w:val="false"/>
          <w:bCs w:val="false"/>
          <w:i w:val="false"/>
          <w:iCs w:val="false"/>
          <w:color w:val="333333"/>
          <w:sz w:val="20"/>
          <w:szCs w:val="20"/>
          <w:rtl w:val="true"/>
        </w:rPr>
        <w:t>.</w:t>
      </w:r>
    </w:p>
  </w:footnote>
  <w:footnote w:id="9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الشهيد في الدروس الشرعية،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 موسوعة الشهيد الأول،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9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588</w:t>
      </w:r>
    </w:p>
  </w:footnote>
  <w:footnote w:id="9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1277</w:t>
      </w:r>
      <w:r>
        <w:rPr>
          <w:rFonts w:eastAsia="IRNazanin" w:cs="IRNazanin"/>
          <w:b w:val="false"/>
          <w:bCs w:val="false"/>
          <w:i w:val="false"/>
          <w:iCs w:val="false"/>
          <w:color w:val="333333"/>
          <w:sz w:val="20"/>
          <w:szCs w:val="20"/>
          <w:rtl w:val="true"/>
        </w:rPr>
        <w:t>.</w:t>
      </w:r>
    </w:p>
  </w:footnote>
  <w:footnote w:id="9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حكاه عنه العلامة في مختلف الشيعة،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102</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9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1278</w:t>
      </w:r>
    </w:p>
  </w:footnote>
  <w:footnote w:id="9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1397</w:t>
      </w:r>
      <w:r>
        <w:rPr>
          <w:rFonts w:eastAsia="IRNazanin" w:cs="IRNazanin"/>
          <w:b w:val="false"/>
          <w:bCs w:val="false"/>
          <w:i w:val="false"/>
          <w:iCs w:val="false"/>
          <w:color w:val="333333"/>
          <w:sz w:val="20"/>
          <w:szCs w:val="20"/>
          <w:rtl w:val="true"/>
        </w:rPr>
        <w:t>.</w:t>
      </w:r>
    </w:p>
  </w:footnote>
  <w:footnote w:id="9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ص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w:t>
      </w:r>
    </w:p>
  </w:footnote>
  <w:footnote w:id="9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ذهب إليه العلّامة في قواعد الأحكام،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382</w:t>
      </w:r>
    </w:p>
  </w:footnote>
  <w:footnote w:id="9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1239</w:t>
      </w:r>
    </w:p>
  </w:footnote>
  <w:footnote w:id="9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المقنع، ص </w:t>
      </w:r>
      <w:r>
        <w:rPr>
          <w:rFonts w:eastAsia="IRNazanin" w:cs="IRNazanin"/>
          <w:b w:val="false"/>
          <w:bCs w:val="false"/>
          <w:i w:val="false"/>
          <w:iCs w:val="false"/>
          <w:color w:val="333333"/>
          <w:sz w:val="20"/>
          <w:szCs w:val="20"/>
        </w:rPr>
        <w:t>504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505</w:t>
      </w:r>
      <w:r>
        <w:rPr>
          <w:rFonts w:eastAsia="IRNazanin" w:cs="IRNazanin"/>
          <w:b w:val="false"/>
          <w:bCs w:val="false"/>
          <w:i w:val="false"/>
          <w:iCs w:val="false"/>
          <w:color w:val="333333"/>
          <w:sz w:val="20"/>
          <w:szCs w:val="20"/>
          <w:rtl w:val="true"/>
        </w:rPr>
        <w:t>.</w:t>
      </w:r>
    </w:p>
  </w:footnote>
  <w:footnote w:id="9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في الفقه، ص </w:t>
      </w:r>
      <w:r>
        <w:rPr>
          <w:rFonts w:eastAsia="IRNazanin" w:cs="IRNazanin"/>
          <w:b w:val="false"/>
          <w:bCs w:val="false"/>
          <w:i w:val="false"/>
          <w:iCs w:val="false"/>
          <w:color w:val="333333"/>
          <w:sz w:val="20"/>
          <w:szCs w:val="20"/>
        </w:rPr>
        <w:t>377</w:t>
      </w:r>
      <w:r>
        <w:rPr>
          <w:rFonts w:eastAsia="IRNazanin" w:cs="IRNazanin"/>
          <w:b w:val="false"/>
          <w:bCs w:val="false"/>
          <w:i w:val="false"/>
          <w:iCs w:val="false"/>
          <w:color w:val="333333"/>
          <w:sz w:val="20"/>
          <w:szCs w:val="20"/>
          <w:rtl w:val="true"/>
        </w:rPr>
        <w:t>.</w:t>
      </w:r>
    </w:p>
  </w:footnote>
  <w:footnote w:id="9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حكاه عنه العلّامة في مختلف الشيعة،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93</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9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345</w:t>
      </w:r>
      <w:r>
        <w:rPr>
          <w:rFonts w:ascii="IRNazanin" w:hAnsi="IRNazanin" w:eastAsia="IRNazanin"/>
          <w:b w:val="false"/>
          <w:b w:val="false"/>
          <w:bCs w:val="false"/>
          <w:i w:val="false"/>
          <w:i w:val="false"/>
          <w:iCs w:val="false"/>
          <w:color w:val="333333"/>
          <w:sz w:val="20"/>
          <w:sz w:val="20"/>
          <w:szCs w:val="20"/>
          <w:rtl w:val="true"/>
        </w:rPr>
        <w:t xml:space="preserve">، ذيل الحديث </w:t>
      </w:r>
      <w:r>
        <w:rPr>
          <w:rFonts w:eastAsia="IRNazanin" w:cs="IRNazanin"/>
          <w:b w:val="false"/>
          <w:bCs w:val="false"/>
          <w:i w:val="false"/>
          <w:iCs w:val="false"/>
          <w:color w:val="333333"/>
          <w:sz w:val="20"/>
          <w:szCs w:val="20"/>
        </w:rPr>
        <w:t>1239</w:t>
      </w:r>
      <w:r>
        <w:rPr>
          <w:rFonts w:eastAsia="IRNazanin" w:cs="IRNazanin"/>
          <w:b w:val="false"/>
          <w:bCs w:val="false"/>
          <w:i w:val="false"/>
          <w:iCs w:val="false"/>
          <w:color w:val="333333"/>
          <w:sz w:val="20"/>
          <w:szCs w:val="20"/>
          <w:rtl w:val="true"/>
        </w:rPr>
        <w:t>.</w:t>
      </w:r>
    </w:p>
  </w:footnote>
  <w:footnote w:id="9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الأنفال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الأحزاب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9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النهاية، ص </w:t>
      </w:r>
      <w:r>
        <w:rPr>
          <w:rFonts w:eastAsia="IRNazanin" w:cs="IRNazanin"/>
          <w:b w:val="false"/>
          <w:bCs w:val="false"/>
          <w:i w:val="false"/>
          <w:iCs w:val="false"/>
          <w:color w:val="333333"/>
          <w:sz w:val="20"/>
          <w:szCs w:val="20"/>
        </w:rPr>
        <w:t>682</w:t>
      </w:r>
      <w:r>
        <w:rPr>
          <w:rFonts w:eastAsia="IRNazanin" w:cs="IRNazanin"/>
          <w:b w:val="false"/>
          <w:bCs w:val="false"/>
          <w:i w:val="false"/>
          <w:iCs w:val="false"/>
          <w:color w:val="333333"/>
          <w:sz w:val="20"/>
          <w:szCs w:val="20"/>
          <w:rtl w:val="true"/>
        </w:rPr>
        <w:t>.</w:t>
      </w:r>
    </w:p>
  </w:footnote>
  <w:footnote w:id="9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المهذب،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w:t>
      </w:r>
    </w:p>
  </w:footnote>
  <w:footnote w:id="9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1253</w:t>
      </w:r>
      <w:r>
        <w:rPr>
          <w:rFonts w:eastAsia="IRNazanin" w:cs="IRNazanin"/>
          <w:b w:val="false"/>
          <w:bCs w:val="false"/>
          <w:i w:val="false"/>
          <w:iCs w:val="false"/>
          <w:color w:val="333333"/>
          <w:sz w:val="20"/>
          <w:szCs w:val="20"/>
          <w:rtl w:val="true"/>
        </w:rPr>
        <w:t>.</w:t>
      </w:r>
    </w:p>
  </w:footnote>
  <w:footnote w:id="9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المسائل الحائرية، ضمن الرسائل العشر، ص </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 xml:space="preserve"> .</w:t>
      </w:r>
    </w:p>
  </w:footnote>
  <w:footnote w:id="9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1288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1294</w:t>
      </w:r>
      <w:r>
        <w:rPr>
          <w:rFonts w:eastAsia="IRNazanin" w:cs="IRNazanin"/>
          <w:b w:val="false"/>
          <w:bCs w:val="false"/>
          <w:i w:val="false"/>
          <w:iCs w:val="false"/>
          <w:color w:val="333333"/>
          <w:sz w:val="20"/>
          <w:szCs w:val="20"/>
          <w:rtl w:val="true"/>
        </w:rPr>
        <w:t>.</w:t>
      </w:r>
    </w:p>
  </w:footnote>
  <w:footnote w:id="9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أورده ابن فهد الحلّي في المهذب البارع،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434</w:t>
      </w:r>
    </w:p>
  </w:footnote>
  <w:footnote w:id="9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فخر المحققين في إيضاح الفوائد،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w:t>
      </w:r>
    </w:p>
  </w:footnote>
  <w:footnote w:id="9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1286</w:t>
      </w:r>
      <w:r>
        <w:rPr>
          <w:rFonts w:eastAsia="IRNazanin" w:cs="IRNazanin"/>
          <w:b w:val="false"/>
          <w:bCs w:val="false"/>
          <w:i w:val="false"/>
          <w:iCs w:val="false"/>
          <w:color w:val="333333"/>
          <w:sz w:val="20"/>
          <w:szCs w:val="20"/>
          <w:rtl w:val="true"/>
        </w:rPr>
        <w:t>.</w:t>
      </w:r>
    </w:p>
  </w:footnote>
  <w:footnote w:id="9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1294</w:t>
      </w:r>
      <w:r>
        <w:rPr>
          <w:rFonts w:eastAsia="IRNazanin" w:cs="IRNazanin"/>
          <w:b w:val="false"/>
          <w:bCs w:val="false"/>
          <w:i w:val="false"/>
          <w:iCs w:val="false"/>
          <w:color w:val="333333"/>
          <w:sz w:val="20"/>
          <w:szCs w:val="20"/>
          <w:rtl w:val="true"/>
        </w:rPr>
        <w:t>.</w:t>
      </w:r>
    </w:p>
  </w:footnote>
  <w:footnote w:id="9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المقنعة</w:t>
      </w:r>
    </w:p>
  </w:footnote>
  <w:footnote w:id="9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تهذيب الأحكام،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363</w:t>
      </w:r>
      <w:r>
        <w:rPr>
          <w:rFonts w:ascii="IRNazanin" w:hAnsi="IRNazanin" w:eastAsia="IRNazanin"/>
          <w:b w:val="false"/>
          <w:b w:val="false"/>
          <w:bCs w:val="false"/>
          <w:i w:val="false"/>
          <w:i w:val="false"/>
          <w:iCs w:val="false"/>
          <w:color w:val="333333"/>
          <w:sz w:val="20"/>
          <w:sz w:val="20"/>
          <w:szCs w:val="20"/>
          <w:rtl w:val="true"/>
        </w:rPr>
        <w:t>، باب ميراث الغرقى</w:t>
      </w:r>
      <w:r>
        <w:rPr>
          <w:rFonts w:eastAsia="IRNazanin" w:cs="IRNazanin"/>
          <w:b w:val="false"/>
          <w:bCs w:val="false"/>
          <w:i w:val="false"/>
          <w:iCs w:val="false"/>
          <w:color w:val="333333"/>
          <w:sz w:val="20"/>
          <w:szCs w:val="20"/>
          <w:rtl w:val="true"/>
        </w:rPr>
        <w:t>.... .</w:t>
      </w:r>
    </w:p>
  </w:footnote>
  <w:footnote w:id="9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1291</w:t>
      </w:r>
    </w:p>
  </w:footnote>
  <w:footnote w:id="9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الدروس الشرعيّة،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 موسوعة الشهيد الأول،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9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ذهب إليه الحلبي في الكافي في الفقه، ص </w:t>
      </w:r>
      <w:r>
        <w:rPr>
          <w:rFonts w:eastAsia="IRNazanin" w:cs="IRNazanin"/>
          <w:b w:val="false"/>
          <w:bCs w:val="false"/>
          <w:i w:val="false"/>
          <w:iCs w:val="false"/>
          <w:color w:val="333333"/>
          <w:sz w:val="20"/>
          <w:szCs w:val="20"/>
        </w:rPr>
        <w:t>376</w:t>
      </w:r>
      <w:r>
        <w:rPr>
          <w:rFonts w:ascii="IRNazanin" w:hAnsi="IRNazanin" w:eastAsia="IRNazanin"/>
          <w:b w:val="false"/>
          <w:b w:val="false"/>
          <w:bCs w:val="false"/>
          <w:i w:val="false"/>
          <w:i w:val="false"/>
          <w:iCs w:val="false"/>
          <w:color w:val="333333"/>
          <w:sz w:val="20"/>
          <w:sz w:val="20"/>
          <w:szCs w:val="20"/>
          <w:rtl w:val="true"/>
        </w:rPr>
        <w:t xml:space="preserve">؛ وابن حمزة في الوسيلة، ص </w:t>
      </w:r>
      <w:r>
        <w:rPr>
          <w:rFonts w:eastAsia="IRNazanin" w:cs="IRNazanin"/>
          <w:b w:val="false"/>
          <w:bCs w:val="false"/>
          <w:i w:val="false"/>
          <w:iCs w:val="false"/>
          <w:color w:val="333333"/>
          <w:sz w:val="20"/>
          <w:szCs w:val="20"/>
        </w:rPr>
        <w:t>400</w:t>
      </w:r>
      <w:r>
        <w:rPr>
          <w:rFonts w:ascii="IRNazanin" w:hAnsi="IRNazanin" w:eastAsia="IRNazanin"/>
          <w:b w:val="false"/>
          <w:b w:val="false"/>
          <w:bCs w:val="false"/>
          <w:i w:val="false"/>
          <w:i w:val="false"/>
          <w:iCs w:val="false"/>
          <w:color w:val="333333"/>
          <w:sz w:val="20"/>
          <w:sz w:val="20"/>
          <w:szCs w:val="20"/>
          <w:rtl w:val="true"/>
        </w:rPr>
        <w:t xml:space="preserve">؛ والعلّامة في قواعد الأحكام،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400</w:t>
      </w:r>
      <w:r>
        <w:rPr>
          <w:rFonts w:eastAsia="IRNazanin" w:cs="IRNazanin"/>
          <w:b w:val="false"/>
          <w:bCs w:val="false"/>
          <w:i w:val="false"/>
          <w:iCs w:val="false"/>
          <w:color w:val="333333"/>
          <w:sz w:val="20"/>
          <w:szCs w:val="20"/>
          <w:rtl w:val="true"/>
        </w:rPr>
        <w:t>.</w:t>
      </w:r>
    </w:p>
  </w:footnote>
  <w:footnote w:id="9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الغرقى والمهدوم عليه</w:t>
      </w:r>
      <w:r>
        <w:rPr>
          <w:rFonts w:eastAsia="IRNazanin" w:cs="IRNazanin"/>
          <w:b w:val="false"/>
          <w:bCs w:val="false"/>
          <w:i w:val="false"/>
          <w:iCs w:val="false"/>
          <w:color w:val="333333"/>
          <w:sz w:val="20"/>
          <w:szCs w:val="20"/>
          <w:rtl w:val="true"/>
        </w:rPr>
        <w:t>.</w:t>
      </w:r>
    </w:p>
  </w:footnote>
  <w:footnote w:id="9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حكاه عنه الشيخ في تهذيب الأحكام،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369</w:t>
      </w:r>
      <w:r>
        <w:rPr>
          <w:rFonts w:ascii="IRNazanin" w:hAnsi="IRNazanin" w:eastAsia="IRNazanin"/>
          <w:b w:val="false"/>
          <w:b w:val="false"/>
          <w:bCs w:val="false"/>
          <w:i w:val="false"/>
          <w:i w:val="false"/>
          <w:iCs w:val="false"/>
          <w:color w:val="333333"/>
          <w:sz w:val="20"/>
          <w:sz w:val="20"/>
          <w:szCs w:val="20"/>
          <w:rtl w:val="true"/>
        </w:rPr>
        <w:t xml:space="preserve">، ذيل الحديث </w:t>
      </w:r>
      <w:r>
        <w:rPr>
          <w:rFonts w:eastAsia="IRNazanin" w:cs="IRNazanin"/>
          <w:b w:val="false"/>
          <w:bCs w:val="false"/>
          <w:i w:val="false"/>
          <w:iCs w:val="false"/>
          <w:color w:val="333333"/>
          <w:sz w:val="20"/>
          <w:szCs w:val="20"/>
        </w:rPr>
        <w:t>1299</w:t>
      </w:r>
      <w:r>
        <w:rPr>
          <w:rFonts w:eastAsia="IRNazanin" w:cs="IRNazanin"/>
          <w:b w:val="false"/>
          <w:bCs w:val="false"/>
          <w:i w:val="false"/>
          <w:iCs w:val="false"/>
          <w:color w:val="333333"/>
          <w:sz w:val="20"/>
          <w:szCs w:val="20"/>
          <w:rtl w:val="true"/>
        </w:rPr>
        <w:t>.</w:t>
      </w:r>
    </w:p>
  </w:footnote>
  <w:footnote w:id="9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في الفقه، ص </w:t>
      </w:r>
      <w:r>
        <w:rPr>
          <w:rFonts w:eastAsia="IRNazanin" w:cs="IRNazanin"/>
          <w:b w:val="false"/>
          <w:bCs w:val="false"/>
          <w:i w:val="false"/>
          <w:iCs w:val="false"/>
          <w:color w:val="333333"/>
          <w:sz w:val="20"/>
          <w:szCs w:val="20"/>
        </w:rPr>
        <w:t>376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377</w:t>
      </w:r>
    </w:p>
  </w:footnote>
  <w:footnote w:id="9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w:t>
      </w:r>
    </w:p>
  </w:footnote>
  <w:footnote w:id="9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335</w:t>
      </w:r>
      <w:r>
        <w:rPr>
          <w:rFonts w:eastAsia="IRNazanin" w:cs="IRNazanin"/>
          <w:b w:val="false"/>
          <w:bCs w:val="false"/>
          <w:i w:val="false"/>
          <w:iCs w:val="false"/>
          <w:color w:val="333333"/>
          <w:sz w:val="20"/>
          <w:szCs w:val="20"/>
          <w:rtl w:val="true"/>
        </w:rPr>
        <w:t>.</w:t>
      </w:r>
    </w:p>
  </w:footnote>
  <w:footnote w:id="9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ابن البراج في المهذب،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170</w:t>
      </w:r>
      <w:r>
        <w:rPr>
          <w:rFonts w:ascii="IRNazanin" w:hAnsi="IRNazanin" w:eastAsia="IRNazanin"/>
          <w:b w:val="false"/>
          <w:b w:val="false"/>
          <w:bCs w:val="false"/>
          <w:i w:val="false"/>
          <w:i w:val="false"/>
          <w:iCs w:val="false"/>
          <w:color w:val="333333"/>
          <w:sz w:val="20"/>
          <w:sz w:val="20"/>
          <w:szCs w:val="20"/>
          <w:rtl w:val="true"/>
        </w:rPr>
        <w:t xml:space="preserve">؛ وابن حمزة في الوسيلة، ص </w:t>
      </w:r>
      <w:r>
        <w:rPr>
          <w:rFonts w:eastAsia="IRNazanin" w:cs="IRNazanin"/>
          <w:b w:val="false"/>
          <w:bCs w:val="false"/>
          <w:i w:val="false"/>
          <w:iCs w:val="false"/>
          <w:color w:val="333333"/>
          <w:sz w:val="20"/>
          <w:szCs w:val="20"/>
        </w:rPr>
        <w:t>403</w:t>
      </w:r>
      <w:r>
        <w:rPr>
          <w:rFonts w:ascii="IRNazanin" w:hAnsi="IRNazanin" w:eastAsia="IRNazanin"/>
          <w:b w:val="false"/>
          <w:b w:val="false"/>
          <w:bCs w:val="false"/>
          <w:i w:val="false"/>
          <w:i w:val="false"/>
          <w:iCs w:val="false"/>
          <w:color w:val="333333"/>
          <w:sz w:val="20"/>
          <w:sz w:val="20"/>
          <w:szCs w:val="20"/>
          <w:rtl w:val="true"/>
        </w:rPr>
        <w:t xml:space="preserve">؛ وسلار في المراسم، ص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w:t>
      </w:r>
    </w:p>
  </w:footnote>
  <w:footnote w:id="9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1299</w:t>
      </w:r>
      <w:r>
        <w:rPr>
          <w:rFonts w:eastAsia="IRNazanin" w:cs="IRNazanin"/>
          <w:b w:val="false"/>
          <w:bCs w:val="false"/>
          <w:i w:val="false"/>
          <w:iCs w:val="false"/>
          <w:color w:val="333333"/>
          <w:sz w:val="20"/>
          <w:szCs w:val="20"/>
          <w:rtl w:val="true"/>
        </w:rPr>
        <w:t>.</w:t>
      </w:r>
    </w:p>
  </w:footnote>
  <w:footnote w:id="9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1300</w:t>
      </w:r>
      <w:r>
        <w:rPr>
          <w:rFonts w:eastAsia="IRNazanin" w:cs="IRNazanin"/>
          <w:b w:val="false"/>
          <w:bCs w:val="false"/>
          <w:i w:val="false"/>
          <w:iCs w:val="false"/>
          <w:color w:val="333333"/>
          <w:sz w:val="20"/>
          <w:szCs w:val="20"/>
          <w:rtl w:val="true"/>
        </w:rPr>
        <w:t>.</w:t>
      </w:r>
    </w:p>
  </w:footnote>
  <w:footnote w:id="9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1301</w:t>
      </w:r>
      <w:r>
        <w:rPr>
          <w:rFonts w:eastAsia="IRNazanin" w:cs="IRNazanin"/>
          <w:b w:val="false"/>
          <w:bCs w:val="false"/>
          <w:i w:val="false"/>
          <w:iCs w:val="false"/>
          <w:color w:val="333333"/>
          <w:sz w:val="20"/>
          <w:szCs w:val="20"/>
          <w:rtl w:val="true"/>
        </w:rPr>
        <w:t>.</w:t>
      </w:r>
    </w:p>
  </w:footnote>
  <w:footnote w:id="9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حكاه عنه الشيخ في تهذيب الأحكام،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364</w:t>
      </w:r>
      <w:r>
        <w:rPr>
          <w:rFonts w:ascii="IRNazanin" w:hAnsi="IRNazanin" w:eastAsia="IRNazanin"/>
          <w:b w:val="false"/>
          <w:b w:val="false"/>
          <w:bCs w:val="false"/>
          <w:i w:val="false"/>
          <w:i w:val="false"/>
          <w:iCs w:val="false"/>
          <w:color w:val="333333"/>
          <w:sz w:val="20"/>
          <w:sz w:val="20"/>
          <w:szCs w:val="20"/>
          <w:rtl w:val="true"/>
        </w:rPr>
        <w:t xml:space="preserve">، ذيل الحديث </w:t>
      </w:r>
      <w:r>
        <w:rPr>
          <w:rFonts w:eastAsia="IRNazanin" w:cs="IRNazanin"/>
          <w:b w:val="false"/>
          <w:bCs w:val="false"/>
          <w:i w:val="false"/>
          <w:iCs w:val="false"/>
          <w:color w:val="333333"/>
          <w:sz w:val="20"/>
          <w:szCs w:val="20"/>
        </w:rPr>
        <w:t>1299</w:t>
      </w:r>
      <w:r>
        <w:rPr>
          <w:rFonts w:eastAsia="IRNazanin" w:cs="IRNazanin"/>
          <w:b w:val="false"/>
          <w:bCs w:val="false"/>
          <w:i w:val="false"/>
          <w:iCs w:val="false"/>
          <w:color w:val="333333"/>
          <w:sz w:val="20"/>
          <w:szCs w:val="20"/>
          <w:rtl w:val="true"/>
        </w:rPr>
        <w:t>.</w:t>
      </w:r>
    </w:p>
  </w:footnote>
  <w:footnote w:id="9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المحقق في المختصر النافع، ص </w:t>
      </w:r>
      <w:r>
        <w:rPr>
          <w:rFonts w:eastAsia="IRNazanin" w:cs="IRNazanin"/>
          <w:b w:val="false"/>
          <w:bCs w:val="false"/>
          <w:i w:val="false"/>
          <w:iCs w:val="false"/>
          <w:color w:val="333333"/>
          <w:sz w:val="20"/>
          <w:szCs w:val="20"/>
        </w:rPr>
        <w:t>276</w:t>
      </w:r>
      <w:r>
        <w:rPr>
          <w:rFonts w:ascii="IRNazanin" w:hAnsi="IRNazanin" w:eastAsia="IRNazanin"/>
          <w:b w:val="false"/>
          <w:b w:val="false"/>
          <w:bCs w:val="false"/>
          <w:i w:val="false"/>
          <w:i w:val="false"/>
          <w:iCs w:val="false"/>
          <w:color w:val="333333"/>
          <w:sz w:val="20"/>
          <w:sz w:val="20"/>
          <w:szCs w:val="20"/>
          <w:rtl w:val="true"/>
        </w:rPr>
        <w:t xml:space="preserve">؛ والفاضل الآبي في كشف الرموز،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483</w:t>
      </w:r>
      <w:r>
        <w:rPr>
          <w:rFonts w:ascii="IRNazanin" w:hAnsi="IRNazanin" w:eastAsia="IRNazanin"/>
          <w:b w:val="false"/>
          <w:b w:val="false"/>
          <w:bCs w:val="false"/>
          <w:i w:val="false"/>
          <w:i w:val="false"/>
          <w:iCs w:val="false"/>
          <w:color w:val="333333"/>
          <w:sz w:val="20"/>
          <w:sz w:val="20"/>
          <w:szCs w:val="20"/>
          <w:rtl w:val="true"/>
        </w:rPr>
        <w:t xml:space="preserve">؛ والعلّامة في قواعد الأحكام،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399</w:t>
      </w:r>
      <w:r>
        <w:rPr>
          <w:rFonts w:eastAsia="IRNazanin" w:cs="IRNazanin"/>
          <w:b w:val="false"/>
          <w:bCs w:val="false"/>
          <w:i w:val="false"/>
          <w:iCs w:val="false"/>
          <w:color w:val="333333"/>
          <w:sz w:val="20"/>
          <w:szCs w:val="20"/>
          <w:rtl w:val="true"/>
        </w:rPr>
        <w:t>.</w:t>
      </w:r>
    </w:p>
  </w:footnote>
  <w:footnote w:id="9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غاية المراد،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ضمن موسوعة الشهيد الأول،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9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المائدة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w:t>
      </w:r>
    </w:p>
  </w:footnote>
  <w:footnote w:id="9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الكهف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29</w:t>
      </w:r>
    </w:p>
  </w:footnote>
  <w:footnote w:id="9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المائدة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p>
  </w:footnote>
  <w:footnote w:id="9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288</w:t>
      </w:r>
    </w:p>
  </w:footnote>
  <w:footnote w:id="9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ص </w:t>
      </w:r>
      <w:r>
        <w:rPr>
          <w:rFonts w:eastAsia="IRNazanin" w:cs="IRNazanin"/>
          <w:b w:val="false"/>
          <w:bCs w:val="false"/>
          <w:i w:val="false"/>
          <w:iCs w:val="false"/>
          <w:color w:val="333333"/>
          <w:sz w:val="20"/>
          <w:szCs w:val="20"/>
        </w:rPr>
        <w:t>239</w:t>
      </w:r>
      <w:r>
        <w:rPr>
          <w:rFonts w:ascii="IRNazanin" w:hAnsi="IRNazanin" w:eastAsia="IRNazanin"/>
          <w:b w:val="false"/>
          <w:b w:val="false"/>
          <w:bCs w:val="false"/>
          <w:i w:val="false"/>
          <w:i w:val="false"/>
          <w:iCs w:val="false"/>
          <w:color w:val="333333"/>
          <w:sz w:val="20"/>
          <w:sz w:val="20"/>
          <w:szCs w:val="20"/>
          <w:rtl w:val="true"/>
        </w:rPr>
        <w:t xml:space="preserve">، الهامش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9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تجزيه في الهامش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ص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w:t>
      </w:r>
    </w:p>
  </w:footnote>
  <w:footnote w:id="9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972</w:t>
      </w:r>
    </w:p>
  </w:footnote>
  <w:footnote w:id="9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الصحاح،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فرج</w:t>
      </w:r>
      <w:r>
        <w:rPr>
          <w:rFonts w:eastAsia="IRNazanin" w:cs="IRNazanin"/>
          <w:b w:val="false"/>
          <w:bCs w:val="false"/>
          <w:i w:val="false"/>
          <w:iCs w:val="false"/>
          <w:color w:val="333333"/>
          <w:sz w:val="20"/>
          <w:szCs w:val="20"/>
          <w:rtl w:val="true"/>
        </w:rPr>
        <w:t>».</w:t>
      </w:r>
    </w:p>
  </w:footnote>
  <w:footnote w:id="9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المغني المطبوع مع الشرح الكبير،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7164</w:t>
      </w:r>
      <w:r>
        <w:rPr>
          <w:rFonts w:ascii="IRNazanin" w:hAnsi="IRNazanin" w:eastAsia="IRNazanin"/>
          <w:b w:val="false"/>
          <w:b w:val="false"/>
          <w:bCs w:val="false"/>
          <w:i w:val="false"/>
          <w:i w:val="false"/>
          <w:iCs w:val="false"/>
          <w:color w:val="333333"/>
          <w:sz w:val="20"/>
          <w:sz w:val="20"/>
          <w:szCs w:val="20"/>
          <w:rtl w:val="true"/>
        </w:rPr>
        <w:t xml:space="preserve">، و ص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7201</w:t>
      </w:r>
    </w:p>
  </w:footnote>
  <w:footnote w:id="9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القول الأوّل للعلّامة في تحرير الأحكام الشرعية،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6732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والصيمري في غاية المرام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312</w:t>
      </w:r>
      <w:r>
        <w:rPr>
          <w:rFonts w:ascii="IRNazanin" w:hAnsi="IRNazanin" w:eastAsia="IRNazanin"/>
          <w:b w:val="false"/>
          <w:b w:val="false"/>
          <w:bCs w:val="false"/>
          <w:i w:val="false"/>
          <w:i w:val="false"/>
          <w:iCs w:val="false"/>
          <w:color w:val="333333"/>
          <w:sz w:val="20"/>
          <w:sz w:val="20"/>
          <w:szCs w:val="20"/>
          <w:rtl w:val="true"/>
        </w:rPr>
        <w:t xml:space="preserve">؛ والقول الثاني لابن زهرة في غنية النزوع،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424</w:t>
      </w:r>
      <w:r>
        <w:rPr>
          <w:rFonts w:ascii="IRNazanin" w:hAnsi="IRNazanin" w:eastAsia="IRNazanin"/>
          <w:b w:val="false"/>
          <w:b w:val="false"/>
          <w:bCs w:val="false"/>
          <w:i w:val="false"/>
          <w:i w:val="false"/>
          <w:iCs w:val="false"/>
          <w:color w:val="333333"/>
          <w:sz w:val="20"/>
          <w:sz w:val="20"/>
          <w:szCs w:val="20"/>
          <w:rtl w:val="true"/>
        </w:rPr>
        <w:t xml:space="preserve">؛ والكيذري في إصباح الشيعة ص </w:t>
      </w:r>
      <w:r>
        <w:rPr>
          <w:rFonts w:eastAsia="IRNazanin" w:cs="IRNazanin"/>
          <w:b w:val="false"/>
          <w:bCs w:val="false"/>
          <w:i w:val="false"/>
          <w:iCs w:val="false"/>
          <w:color w:val="333333"/>
          <w:sz w:val="20"/>
          <w:szCs w:val="20"/>
        </w:rPr>
        <w:t>514</w:t>
      </w:r>
      <w:r>
        <w:rPr>
          <w:rFonts w:eastAsia="IRNazanin" w:cs="IRNazanin"/>
          <w:b w:val="false"/>
          <w:bCs w:val="false"/>
          <w:i w:val="false"/>
          <w:iCs w:val="false"/>
          <w:color w:val="333333"/>
          <w:sz w:val="20"/>
          <w:szCs w:val="20"/>
          <w:rtl w:val="true"/>
        </w:rPr>
        <w:t xml:space="preserve"> .</w:t>
      </w:r>
    </w:p>
  </w:footnote>
  <w:footnote w:id="9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سبق في باب الطلاق في الروضة البهية،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 الموسوعة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9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النور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9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في نسخة الشهيد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رحمه الله ولكن في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شطب على عبارة بنحو وطء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والذهن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وجاءت بدلها عبارة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بفرد خاص كالقاصد ونحوه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والعبارة في سائر النسخ كما في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p>
  </w:footnote>
  <w:footnote w:id="9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5149</w:t>
      </w:r>
      <w:r>
        <w:rPr>
          <w:rFonts w:eastAsia="IRNazanin" w:cs="IRNazanin"/>
          <w:b w:val="false"/>
          <w:bCs w:val="false"/>
          <w:i w:val="false"/>
          <w:iCs w:val="false"/>
          <w:color w:val="333333"/>
          <w:sz w:val="20"/>
          <w:szCs w:val="20"/>
          <w:rtl w:val="true"/>
        </w:rPr>
        <w:t xml:space="preserve"> .</w:t>
      </w:r>
    </w:p>
  </w:footnote>
  <w:footnote w:id="9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المغني المطبوع مع الشرح الكبير،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152</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7164</w:t>
      </w:r>
      <w:r>
        <w:rPr>
          <w:rFonts w:ascii="IRNazanin" w:hAnsi="IRNazanin" w:eastAsia="IRNazanin"/>
          <w:b w:val="false"/>
          <w:b w:val="false"/>
          <w:bCs w:val="false"/>
          <w:i w:val="false"/>
          <w:i w:val="false"/>
          <w:iCs w:val="false"/>
          <w:color w:val="333333"/>
          <w:sz w:val="20"/>
          <w:sz w:val="20"/>
          <w:szCs w:val="20"/>
          <w:rtl w:val="true"/>
        </w:rPr>
        <w:t xml:space="preserve">، وص </w:t>
      </w:r>
      <w:r>
        <w:rPr>
          <w:rFonts w:eastAsia="IRNazanin" w:cs="IRNazanin"/>
          <w:b w:val="false"/>
          <w:bCs w:val="false"/>
          <w:i w:val="false"/>
          <w:iCs w:val="false"/>
          <w:color w:val="333333"/>
          <w:sz w:val="20"/>
          <w:szCs w:val="20"/>
        </w:rPr>
        <w:t>186</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7201</w:t>
      </w:r>
      <w:r>
        <w:rPr>
          <w:rFonts w:eastAsia="IRNazanin" w:cs="IRNazanin"/>
          <w:b w:val="false"/>
          <w:bCs w:val="false"/>
          <w:i w:val="false"/>
          <w:iCs w:val="false"/>
          <w:color w:val="333333"/>
          <w:sz w:val="20"/>
          <w:szCs w:val="20"/>
          <w:rtl w:val="true"/>
        </w:rPr>
        <w:t>.</w:t>
      </w:r>
    </w:p>
  </w:footnote>
  <w:footnote w:id="9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والقول الأول للشيخ المفيد في المقنعة، ص </w:t>
      </w:r>
      <w:r>
        <w:rPr>
          <w:rFonts w:eastAsia="IRNazanin" w:cs="IRNazanin"/>
          <w:b w:val="false"/>
          <w:bCs w:val="false"/>
          <w:i w:val="false"/>
          <w:iCs w:val="false"/>
          <w:color w:val="333333"/>
          <w:sz w:val="20"/>
          <w:szCs w:val="20"/>
        </w:rPr>
        <w:t>784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والعلّامة في تحرير الأحكام الشرعية،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6733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والقول الثاني لابن زهرة في غنية النزوع،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424</w:t>
      </w:r>
      <w:r>
        <w:rPr>
          <w:rFonts w:ascii="IRNazanin" w:hAnsi="IRNazanin" w:eastAsia="IRNazanin"/>
          <w:b w:val="false"/>
          <w:b w:val="false"/>
          <w:bCs w:val="false"/>
          <w:i w:val="false"/>
          <w:i w:val="false"/>
          <w:iCs w:val="false"/>
          <w:color w:val="333333"/>
          <w:sz w:val="20"/>
          <w:sz w:val="20"/>
          <w:szCs w:val="20"/>
          <w:rtl w:val="true"/>
        </w:rPr>
        <w:t xml:space="preserve">؛ والكيدري في إصباح الشيعة، ص </w:t>
      </w:r>
      <w:r>
        <w:rPr>
          <w:rFonts w:eastAsia="IRNazanin" w:cs="IRNazanin"/>
          <w:b w:val="false"/>
          <w:bCs w:val="false"/>
          <w:i w:val="false"/>
          <w:iCs w:val="false"/>
          <w:color w:val="333333"/>
          <w:sz w:val="20"/>
          <w:szCs w:val="20"/>
        </w:rPr>
        <w:t>514</w:t>
      </w:r>
      <w:r>
        <w:rPr>
          <w:rFonts w:eastAsia="IRNazanin" w:cs="IRNazanin"/>
          <w:b w:val="false"/>
          <w:bCs w:val="false"/>
          <w:i w:val="false"/>
          <w:iCs w:val="false"/>
          <w:color w:val="333333"/>
          <w:sz w:val="20"/>
          <w:szCs w:val="20"/>
          <w:rtl w:val="true"/>
        </w:rPr>
        <w:t>.</w:t>
      </w:r>
    </w:p>
  </w:footnote>
  <w:footnote w:id="9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به العلّامة في مختلف الشيعة،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174</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29</w:t>
      </w:r>
    </w:p>
  </w:footnote>
  <w:footnote w:id="9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القول الأول للمفيد في المقنعة، ص </w:t>
      </w:r>
      <w:r>
        <w:rPr>
          <w:rFonts w:eastAsia="IRNazanin" w:cs="IRNazanin"/>
          <w:b w:val="false"/>
          <w:bCs w:val="false"/>
          <w:i w:val="false"/>
          <w:iCs w:val="false"/>
          <w:color w:val="333333"/>
          <w:sz w:val="20"/>
          <w:szCs w:val="20"/>
        </w:rPr>
        <w:t>774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775</w:t>
      </w:r>
      <w:r>
        <w:rPr>
          <w:rFonts w:ascii="IRNazanin" w:hAnsi="IRNazanin" w:eastAsia="IRNazanin"/>
          <w:b w:val="false"/>
          <w:b w:val="false"/>
          <w:bCs w:val="false"/>
          <w:i w:val="false"/>
          <w:i w:val="false"/>
          <w:iCs w:val="false"/>
          <w:color w:val="333333"/>
          <w:sz w:val="20"/>
          <w:sz w:val="20"/>
          <w:szCs w:val="20"/>
          <w:rtl w:val="true"/>
        </w:rPr>
        <w:t xml:space="preserve">؛ والشيخ في النهاية، ص </w:t>
      </w:r>
      <w:r>
        <w:rPr>
          <w:rFonts w:eastAsia="IRNazanin" w:cs="IRNazanin"/>
          <w:b w:val="false"/>
          <w:bCs w:val="false"/>
          <w:i w:val="false"/>
          <w:iCs w:val="false"/>
          <w:color w:val="333333"/>
          <w:sz w:val="20"/>
          <w:szCs w:val="20"/>
        </w:rPr>
        <w:t>689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والقول الثاني للشيخ في المبسوط،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337</w:t>
      </w:r>
      <w:r>
        <w:rPr>
          <w:rFonts w:ascii="IRNazanin" w:hAnsi="IRNazanin" w:eastAsia="IRNazanin"/>
          <w:b w:val="false"/>
          <w:b w:val="false"/>
          <w:bCs w:val="false"/>
          <w:i w:val="false"/>
          <w:i w:val="false"/>
          <w:iCs w:val="false"/>
          <w:color w:val="333333"/>
          <w:sz w:val="20"/>
          <w:sz w:val="20"/>
          <w:szCs w:val="20"/>
          <w:rtl w:val="true"/>
        </w:rPr>
        <w:t xml:space="preserve">؛ والخلاف،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377</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16</w:t>
      </w:r>
    </w:p>
  </w:footnote>
  <w:footnote w:id="9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p>
  </w:footnote>
  <w:footnote w:id="9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به الشيخ في المبسوط،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337</w:t>
      </w:r>
      <w:r>
        <w:rPr>
          <w:rFonts w:ascii="IRNazanin" w:hAnsi="IRNazanin" w:eastAsia="IRNazanin"/>
          <w:b w:val="false"/>
          <w:b w:val="false"/>
          <w:bCs w:val="false"/>
          <w:i w:val="false"/>
          <w:i w:val="false"/>
          <w:iCs w:val="false"/>
          <w:color w:val="333333"/>
          <w:sz w:val="20"/>
          <w:sz w:val="20"/>
          <w:szCs w:val="20"/>
          <w:rtl w:val="true"/>
        </w:rPr>
        <w:t xml:space="preserve">؛ والخلاف،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المسألة </w:t>
      </w:r>
      <w:r>
        <w:rPr>
          <w:rFonts w:eastAsia="IRNazanin" w:cs="IRNazanin"/>
          <w:b w:val="false"/>
          <w:bCs w:val="false"/>
          <w:i w:val="false"/>
          <w:iCs w:val="false"/>
          <w:color w:val="333333"/>
          <w:sz w:val="20"/>
          <w:szCs w:val="20"/>
        </w:rPr>
        <w:t>16</w:t>
      </w:r>
    </w:p>
  </w:footnote>
  <w:footnote w:id="9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تهذيب الأحكام،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 ونقل نصه الشهيد في غاية المراد،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ضمن موسوعة الشهيد الأول،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9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غاية المراد،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 موسوعة الشهيد الأول،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9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النور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p>
  </w:footnote>
  <w:footnote w:id="9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178</w:t>
      </w:r>
    </w:p>
  </w:footnote>
  <w:footnote w:id="9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النور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9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ص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الهامش </w:t>
      </w:r>
      <w:r>
        <w:rPr>
          <w:rFonts w:eastAsia="IRNazanin" w:cs="IRNazanin"/>
          <w:b w:val="false"/>
          <w:bCs w:val="false"/>
          <w:i w:val="false"/>
          <w:iCs w:val="false"/>
          <w:color w:val="333333"/>
          <w:sz w:val="20"/>
          <w:szCs w:val="20"/>
        </w:rPr>
        <w:t>3</w:t>
      </w:r>
    </w:p>
  </w:footnote>
  <w:footnote w:id="9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9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كالمحقق في شرائع الإسلام،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والعلّامة في قواعد الأحكام،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524</w:t>
      </w:r>
      <w:r>
        <w:rPr>
          <w:rFonts w:eastAsia="IRNazanin" w:cs="IRNazanin"/>
          <w:b w:val="false"/>
          <w:bCs w:val="false"/>
          <w:i w:val="false"/>
          <w:iCs w:val="false"/>
          <w:color w:val="333333"/>
          <w:sz w:val="20"/>
          <w:szCs w:val="20"/>
          <w:rtl w:val="true"/>
        </w:rPr>
        <w:t>.</w:t>
      </w:r>
    </w:p>
  </w:footnote>
  <w:footnote w:id="9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تهذيب الأحكام،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ومابعدها، باب حدود الزني</w:t>
      </w:r>
      <w:r>
        <w:rPr>
          <w:rFonts w:eastAsia="IRNazanin" w:cs="IRNazanin"/>
          <w:b w:val="false"/>
          <w:bCs w:val="false"/>
          <w:i w:val="false"/>
          <w:iCs w:val="false"/>
          <w:color w:val="333333"/>
          <w:sz w:val="20"/>
          <w:szCs w:val="20"/>
          <w:rtl w:val="true"/>
        </w:rPr>
        <w:t>.</w:t>
      </w:r>
    </w:p>
  </w:footnote>
  <w:footnote w:id="9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بعض النسخ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تراخي</w:t>
      </w:r>
      <w:r>
        <w:rPr>
          <w:rFonts w:eastAsia="IRNazanin" w:cs="IRNazanin"/>
          <w:b w:val="false"/>
          <w:bCs w:val="false"/>
          <w:i w:val="false"/>
          <w:iCs w:val="false"/>
          <w:color w:val="333333"/>
          <w:sz w:val="20"/>
          <w:szCs w:val="20"/>
          <w:rtl w:val="true"/>
        </w:rPr>
        <w:t>».</w:t>
      </w:r>
    </w:p>
  </w:footnote>
  <w:footnote w:id="9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185</w:t>
      </w:r>
      <w:r>
        <w:rPr>
          <w:rFonts w:ascii="IRNazanin" w:hAnsi="IRNazanin" w:eastAsia="IRNazanin"/>
          <w:b w:val="false"/>
          <w:b w:val="false"/>
          <w:bCs w:val="false"/>
          <w:i w:val="false"/>
          <w:i w:val="false"/>
          <w:iCs w:val="false"/>
          <w:color w:val="333333"/>
          <w:sz w:val="20"/>
          <w:sz w:val="20"/>
          <w:szCs w:val="20"/>
          <w:rtl w:val="true"/>
        </w:rPr>
        <w:t xml:space="preserve">، وص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w:t>
      </w:r>
    </w:p>
  </w:footnote>
  <w:footnote w:id="9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قواعد الأحكام،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525</w:t>
      </w:r>
    </w:p>
  </w:footnote>
  <w:footnote w:id="9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تحرير الأحكام الشرعية ،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310</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6747</w:t>
      </w:r>
      <w:r>
        <w:rPr>
          <w:rFonts w:eastAsia="IRNazanin" w:cs="IRNazanin"/>
          <w:b w:val="false"/>
          <w:bCs w:val="false"/>
          <w:i w:val="false"/>
          <w:iCs w:val="false"/>
          <w:color w:val="333333"/>
          <w:sz w:val="20"/>
          <w:szCs w:val="20"/>
          <w:rtl w:val="true"/>
        </w:rPr>
        <w:t>.</w:t>
      </w:r>
    </w:p>
  </w:footnote>
  <w:footnote w:id="9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نعثر عليه في الجوامع الحديثية، ولكن رواه الشيخ في المبسوط ،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347</w:t>
      </w:r>
    </w:p>
  </w:footnote>
  <w:footnote w:id="9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به الشيخ المفيد في المقنعة، ص </w:t>
      </w:r>
      <w:r>
        <w:rPr>
          <w:rFonts w:eastAsia="IRNazanin" w:cs="IRNazanin"/>
          <w:b w:val="false"/>
          <w:bCs w:val="false"/>
          <w:i w:val="false"/>
          <w:iCs w:val="false"/>
          <w:color w:val="333333"/>
          <w:sz w:val="20"/>
          <w:szCs w:val="20"/>
        </w:rPr>
        <w:t>777</w:t>
      </w:r>
      <w:r>
        <w:rPr>
          <w:rFonts w:ascii="IRNazanin" w:hAnsi="IRNazanin" w:eastAsia="IRNazanin"/>
          <w:b w:val="false"/>
          <w:b w:val="false"/>
          <w:bCs w:val="false"/>
          <w:i w:val="false"/>
          <w:i w:val="false"/>
          <w:iCs w:val="false"/>
          <w:color w:val="333333"/>
          <w:sz w:val="20"/>
          <w:sz w:val="20"/>
          <w:szCs w:val="20"/>
          <w:rtl w:val="true"/>
        </w:rPr>
        <w:t xml:space="preserve">؛ والحلبي في الكافي في الفقه، ص </w:t>
      </w:r>
      <w:r>
        <w:rPr>
          <w:rFonts w:eastAsia="IRNazanin" w:cs="IRNazanin"/>
          <w:b w:val="false"/>
          <w:bCs w:val="false"/>
          <w:i w:val="false"/>
          <w:iCs w:val="false"/>
          <w:color w:val="333333"/>
          <w:sz w:val="20"/>
          <w:szCs w:val="20"/>
        </w:rPr>
        <w:t>407</w:t>
      </w:r>
      <w:r>
        <w:rPr>
          <w:rFonts w:eastAsia="IRNazanin" w:cs="IRNazanin"/>
          <w:b w:val="false"/>
          <w:bCs w:val="false"/>
          <w:i w:val="false"/>
          <w:iCs w:val="false"/>
          <w:color w:val="333333"/>
          <w:sz w:val="20"/>
          <w:szCs w:val="20"/>
          <w:rtl w:val="true"/>
        </w:rPr>
        <w:t>.</w:t>
      </w:r>
    </w:p>
  </w:footnote>
  <w:footnote w:id="9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9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292</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1222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1227</w:t>
      </w:r>
    </w:p>
  </w:footnote>
  <w:footnote w:id="9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القول الأول للشيخ في النهاية، ص </w:t>
      </w:r>
      <w:r>
        <w:rPr>
          <w:rFonts w:eastAsia="IRNazanin" w:cs="IRNazanin"/>
          <w:b w:val="false"/>
          <w:bCs w:val="false"/>
          <w:i w:val="false"/>
          <w:iCs w:val="false"/>
          <w:color w:val="333333"/>
          <w:sz w:val="20"/>
          <w:szCs w:val="20"/>
        </w:rPr>
        <w:t>693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والقاضي في المهذب،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519</w:t>
      </w:r>
      <w:r>
        <w:rPr>
          <w:rFonts w:ascii="IRNazanin" w:hAnsi="IRNazanin" w:eastAsia="IRNazanin"/>
          <w:b w:val="false"/>
          <w:b w:val="false"/>
          <w:bCs w:val="false"/>
          <w:i w:val="false"/>
          <w:i w:val="false"/>
          <w:iCs w:val="false"/>
          <w:color w:val="333333"/>
          <w:sz w:val="20"/>
          <w:sz w:val="20"/>
          <w:szCs w:val="20"/>
          <w:rtl w:val="true"/>
        </w:rPr>
        <w:t xml:space="preserve">؛ والقول الثاني للمفيد في المقنعة، ص </w:t>
      </w:r>
      <w:r>
        <w:rPr>
          <w:rFonts w:eastAsia="IRNazanin" w:cs="IRNazanin"/>
          <w:b w:val="false"/>
          <w:bCs w:val="false"/>
          <w:i w:val="false"/>
          <w:iCs w:val="false"/>
          <w:color w:val="333333"/>
          <w:sz w:val="20"/>
          <w:szCs w:val="20"/>
        </w:rPr>
        <w:t>781</w:t>
      </w:r>
      <w:r>
        <w:rPr>
          <w:rFonts w:ascii="IRNazanin" w:hAnsi="IRNazanin" w:eastAsia="IRNazanin"/>
          <w:b w:val="false"/>
          <w:b w:val="false"/>
          <w:bCs w:val="false"/>
          <w:i w:val="false"/>
          <w:i w:val="false"/>
          <w:iCs w:val="false"/>
          <w:color w:val="333333"/>
          <w:sz w:val="20"/>
          <w:sz w:val="20"/>
          <w:szCs w:val="20"/>
          <w:rtl w:val="true"/>
        </w:rPr>
        <w:t xml:space="preserve">؛ وابن إدريس في السرائر،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438</w:t>
      </w:r>
    </w:p>
  </w:footnote>
  <w:footnote w:id="9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9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w:t>
      </w:r>
    </w:p>
  </w:footnote>
  <w:footnote w:id="9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9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النور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p>
  </w:footnote>
  <w:footnote w:id="9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438</w:t>
      </w:r>
    </w:p>
  </w:footnote>
  <w:footnote w:id="9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بمعنى إن غدا صار إليه الظهر، وإن راح وصل إليه الغروب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زين رحمه الله</w:t>
      </w:r>
      <w:r>
        <w:rPr>
          <w:rFonts w:eastAsia="IRNazanin" w:cs="IRNazanin"/>
          <w:b w:val="false"/>
          <w:bCs w:val="false"/>
          <w:i w:val="false"/>
          <w:iCs w:val="false"/>
          <w:color w:val="333333"/>
          <w:sz w:val="20"/>
          <w:szCs w:val="20"/>
          <w:rtl w:val="true"/>
        </w:rPr>
        <w:t>)</w:t>
      </w:r>
    </w:p>
  </w:footnote>
  <w:footnote w:id="9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النور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p>
  </w:footnote>
  <w:footnote w:id="9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النور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9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9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والقول بالتفصيل للشيخ أيضاً في النهاية، وكتابي الحديث، وأتباعه، وجماعة؛ لرواية عبد الله بن طلحة وابن سنان عن أبي عبد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إذا زنى الشيخ والعجوز جلدا ثم رجما عقوبة لهما، وإذا زنى النصف من الرجال رجم ولم يجلد إذا كان قد أحصن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وإذا زنى الشاب الحديث السنّ جلد ونفي سنة من مصره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والرواية مع ضعف سندها لا تدلّ على حكم الشاب إذا كان محصناً، فلا تنافي غيرها مما دلّ على العموم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زين رحمه الله</w:t>
      </w:r>
      <w:r>
        <w:rPr>
          <w:rFonts w:eastAsia="IRNazanin" w:cs="IRNazanin"/>
          <w:b w:val="false"/>
          <w:bCs w:val="false"/>
          <w:i w:val="false"/>
          <w:iCs w:val="false"/>
          <w:color w:val="333333"/>
          <w:sz w:val="20"/>
          <w:szCs w:val="20"/>
          <w:rtl w:val="true"/>
        </w:rPr>
        <w:t>)</w:t>
      </w:r>
    </w:p>
  </w:footnote>
  <w:footnote w:id="9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به الشيخ في النهاية، ص </w:t>
      </w:r>
      <w:r>
        <w:rPr>
          <w:rFonts w:eastAsia="IRNazanin" w:cs="IRNazanin"/>
          <w:b w:val="false"/>
          <w:bCs w:val="false"/>
          <w:i w:val="false"/>
          <w:iCs w:val="false"/>
          <w:color w:val="333333"/>
          <w:sz w:val="20"/>
          <w:szCs w:val="20"/>
        </w:rPr>
        <w:t>693</w:t>
      </w:r>
      <w:r>
        <w:rPr>
          <w:rFonts w:eastAsia="IRNazanin" w:cs="IRNazanin"/>
          <w:b w:val="false"/>
          <w:bCs w:val="false"/>
          <w:i w:val="false"/>
          <w:iCs w:val="false"/>
          <w:color w:val="333333"/>
          <w:sz w:val="20"/>
          <w:szCs w:val="20"/>
          <w:rtl w:val="true"/>
        </w:rPr>
        <w:t>.</w:t>
      </w:r>
    </w:p>
  </w:footnote>
  <w:footnote w:id="9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نقله عن ابن أبي عقيل العلّامة في مختلف الشيعة،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147</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8</w:t>
      </w:r>
    </w:p>
  </w:footnote>
  <w:footnote w:id="9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9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الدارقطني ،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138</w:t>
      </w:r>
      <w:r>
        <w:rPr>
          <w:rFonts w:ascii="IRNazanin" w:hAnsi="IRNazanin" w:eastAsia="IRNazanin"/>
          <w:b w:val="false"/>
          <w:b w:val="false"/>
          <w:bCs w:val="false"/>
          <w:i w:val="false"/>
          <w:i w:val="false"/>
          <w:iCs w:val="false"/>
          <w:color w:val="333333"/>
          <w:sz w:val="20"/>
          <w:sz w:val="20"/>
          <w:szCs w:val="20"/>
          <w:rtl w:val="true"/>
        </w:rPr>
        <w:t xml:space="preserve">؛ عوالي اللآلي،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0552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9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9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إذا اجتمع للمكلف حدان فصاعداً، فإن أمكن الجمع بينهما من غير منافات، كما لو زني غير محصن وقذف تخيّر المستوفي في البداءة، وكذا لو سرق معهما وإن تنافت بأن كان فيها قتل أو نفي وجب البداءة بما لا يفوت؛ جمعاً بين الحقوق الواجب تحصيلها، فيبدأ بالجلد قبل الرجم والقتل، وبالقطع قبل القتل وهكذا، وقد دلّ على وجوب مراعاة ذلك روايات كثيرة منها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رواية محمد بن مسلم عن أبي عبد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 رجل يؤخذ وعليه حدود أحدها القتل فقال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كان علي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يقيم الحدود ثم يقتله، ولا تخالف عليّاً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ومثلها حسنة حماد بن عثمان وعبد الله بن سنان عن أبي عبد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إذا تقرر ذلك، فالواجب من ذلك ما يحصل به الجمع، ولا يجب التأخير زيادة عليه؛ للأصل، ولأنه لا تأخير في حد؛ ولما روي أن علياً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جلد المرأة يوم الخميس ورجمها يوم الجمعة، ولأن القصد الإتلاف، فلا وجه للتأخير، وذهب الشيخان والأتباع إلى وجوب تأخيره إلى أن يبرأ جلده تأكيداً في الزجر، ومنعوا من كون الواجب الإتلاف مطلقاً، بل جاز أن يكون بعض الغرض والبعض قصد التعذيب، ولا يخفى أنّ إثبات هذا الحكم المخالف للأصل يتوقف على مستند صالح و مجرد ما ذكر غير كافٍ فيه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زين رحمه الله</w:t>
      </w:r>
      <w:r>
        <w:rPr>
          <w:rFonts w:eastAsia="IRNazanin" w:cs="IRNazanin"/>
          <w:b w:val="false"/>
          <w:bCs w:val="false"/>
          <w:i w:val="false"/>
          <w:iCs w:val="false"/>
          <w:color w:val="333333"/>
          <w:sz w:val="20"/>
          <w:szCs w:val="20"/>
          <w:rtl w:val="true"/>
        </w:rPr>
        <w:t>)</w:t>
      </w:r>
    </w:p>
  </w:footnote>
  <w:footnote w:id="10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ص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الهامش </w:t>
      </w:r>
      <w:r>
        <w:rPr>
          <w:rFonts w:eastAsia="IRNazanin" w:cs="IRNazanin"/>
          <w:b w:val="false"/>
          <w:bCs w:val="false"/>
          <w:i w:val="false"/>
          <w:iCs w:val="false"/>
          <w:color w:val="333333"/>
          <w:sz w:val="20"/>
          <w:szCs w:val="20"/>
        </w:rPr>
        <w:t>7</w:t>
      </w:r>
    </w:p>
  </w:footnote>
  <w:footnote w:id="10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116</w:t>
      </w:r>
      <w:r>
        <w:rPr>
          <w:rFonts w:ascii="IRNazanin" w:hAnsi="IRNazanin" w:eastAsia="IRNazanin"/>
          <w:b w:val="false"/>
          <w:b w:val="false"/>
          <w:bCs w:val="false"/>
          <w:i w:val="false"/>
          <w:i w:val="false"/>
          <w:iCs w:val="false"/>
          <w:color w:val="333333"/>
          <w:sz w:val="20"/>
          <w:sz w:val="20"/>
          <w:szCs w:val="20"/>
          <w:rtl w:val="true"/>
        </w:rPr>
        <w:t xml:space="preserve">؛ الكافي،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188</w:t>
      </w:r>
      <w:r>
        <w:rPr>
          <w:rFonts w:ascii="IRNazanin" w:hAnsi="IRNazanin" w:eastAsia="IRNazanin"/>
          <w:b w:val="false"/>
          <w:b w:val="false"/>
          <w:bCs w:val="false"/>
          <w:i w:val="false"/>
          <w:i w:val="false"/>
          <w:iCs w:val="false"/>
          <w:color w:val="333333"/>
          <w:sz w:val="20"/>
          <w:sz w:val="20"/>
          <w:szCs w:val="20"/>
          <w:rtl w:val="true"/>
        </w:rPr>
        <w:t xml:space="preserve">، باب آخر من صفة الرجم،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0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w:t>
      </w:r>
    </w:p>
  </w:footnote>
  <w:footnote w:id="10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مختلف الشيعة،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28</w:t>
      </w:r>
    </w:p>
  </w:footnote>
  <w:footnote w:id="10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النهاية، ص </w:t>
      </w:r>
      <w:r>
        <w:rPr>
          <w:rFonts w:eastAsia="IRNazanin" w:cs="IRNazanin"/>
          <w:b w:val="false"/>
          <w:bCs w:val="false"/>
          <w:i w:val="false"/>
          <w:iCs w:val="false"/>
          <w:color w:val="333333"/>
          <w:sz w:val="20"/>
          <w:szCs w:val="20"/>
        </w:rPr>
        <w:t>700</w:t>
      </w:r>
      <w:r>
        <w:rPr>
          <w:rFonts w:eastAsia="IRNazanin" w:cs="IRNazanin"/>
          <w:b w:val="false"/>
          <w:bCs w:val="false"/>
          <w:i w:val="false"/>
          <w:iCs w:val="false"/>
          <w:color w:val="333333"/>
          <w:sz w:val="20"/>
          <w:szCs w:val="20"/>
          <w:rtl w:val="true"/>
        </w:rPr>
        <w:t>.</w:t>
      </w:r>
    </w:p>
  </w:footnote>
  <w:footnote w:id="10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المهذب،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527</w:t>
      </w:r>
      <w:r>
        <w:rPr>
          <w:rFonts w:eastAsia="IRNazanin" w:cs="IRNazanin"/>
          <w:b w:val="false"/>
          <w:bCs w:val="false"/>
          <w:i w:val="false"/>
          <w:iCs w:val="false"/>
          <w:color w:val="333333"/>
          <w:sz w:val="20"/>
          <w:szCs w:val="20"/>
          <w:rtl w:val="true"/>
        </w:rPr>
        <w:t>.</w:t>
      </w:r>
    </w:p>
  </w:footnote>
  <w:footnote w:id="10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185</w:t>
      </w:r>
      <w:r>
        <w:rPr>
          <w:rFonts w:ascii="IRNazanin" w:hAnsi="IRNazanin" w:eastAsia="IRNazanin"/>
          <w:b w:val="false"/>
          <w:b w:val="false"/>
          <w:bCs w:val="false"/>
          <w:i w:val="false"/>
          <w:i w:val="false"/>
          <w:iCs w:val="false"/>
          <w:color w:val="333333"/>
          <w:sz w:val="20"/>
          <w:sz w:val="20"/>
          <w:szCs w:val="20"/>
          <w:rtl w:val="true"/>
        </w:rPr>
        <w:t xml:space="preserve">، باب صفة الرجم ،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0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185</w:t>
      </w:r>
      <w:r>
        <w:rPr>
          <w:rFonts w:ascii="IRNazanin" w:hAnsi="IRNazanin" w:eastAsia="IRNazanin"/>
          <w:b w:val="false"/>
          <w:b w:val="false"/>
          <w:bCs w:val="false"/>
          <w:i w:val="false"/>
          <w:i w:val="false"/>
          <w:iCs w:val="false"/>
          <w:color w:val="333333"/>
          <w:sz w:val="20"/>
          <w:sz w:val="20"/>
          <w:szCs w:val="20"/>
          <w:rtl w:val="true"/>
        </w:rPr>
        <w:t xml:space="preserve">، باب صفة الرجم ،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0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النور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0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453</w:t>
      </w:r>
      <w:r>
        <w:rPr>
          <w:rFonts w:eastAsia="IRNazanin" w:cs="IRNazanin"/>
          <w:b w:val="false"/>
          <w:bCs w:val="false"/>
          <w:i w:val="false"/>
          <w:iCs w:val="false"/>
          <w:color w:val="333333"/>
          <w:sz w:val="20"/>
          <w:szCs w:val="20"/>
          <w:rtl w:val="true"/>
        </w:rPr>
        <w:t>.</w:t>
      </w:r>
    </w:p>
  </w:footnote>
  <w:footnote w:id="10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مختلف الشيعة،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170</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10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المفيد في المقنعة، ص </w:t>
      </w:r>
      <w:r>
        <w:rPr>
          <w:rFonts w:eastAsia="IRNazanin" w:cs="IRNazanin"/>
          <w:b w:val="false"/>
          <w:bCs w:val="false"/>
          <w:i w:val="false"/>
          <w:iCs w:val="false"/>
          <w:color w:val="333333"/>
          <w:sz w:val="20"/>
          <w:szCs w:val="20"/>
        </w:rPr>
        <w:t>780</w:t>
      </w:r>
      <w:r>
        <w:rPr>
          <w:rFonts w:ascii="IRNazanin" w:hAnsi="IRNazanin" w:eastAsia="IRNazanin"/>
          <w:b w:val="false"/>
          <w:b w:val="false"/>
          <w:bCs w:val="false"/>
          <w:i w:val="false"/>
          <w:i w:val="false"/>
          <w:iCs w:val="false"/>
          <w:color w:val="333333"/>
          <w:sz w:val="20"/>
          <w:sz w:val="20"/>
          <w:szCs w:val="20"/>
          <w:rtl w:val="true"/>
        </w:rPr>
        <w:t xml:space="preserve">؛ والشيخ في الخلاف،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المسألة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وابن البراج في المهذب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528</w:t>
      </w:r>
      <w:r>
        <w:rPr>
          <w:rFonts w:eastAsia="IRNazanin" w:cs="IRNazanin"/>
          <w:b w:val="false"/>
          <w:bCs w:val="false"/>
          <w:i w:val="false"/>
          <w:iCs w:val="false"/>
          <w:color w:val="333333"/>
          <w:sz w:val="20"/>
          <w:szCs w:val="20"/>
          <w:rtl w:val="true"/>
        </w:rPr>
        <w:t>.</w:t>
      </w:r>
    </w:p>
  </w:footnote>
  <w:footnote w:id="10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قواعد الأحكام،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529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530</w:t>
      </w:r>
      <w:r>
        <w:rPr>
          <w:rFonts w:eastAsia="IRNazanin" w:cs="IRNazanin"/>
          <w:b w:val="false"/>
          <w:bCs w:val="false"/>
          <w:i w:val="false"/>
          <w:iCs w:val="false"/>
          <w:color w:val="333333"/>
          <w:sz w:val="20"/>
          <w:szCs w:val="20"/>
          <w:rtl w:val="true"/>
        </w:rPr>
        <w:t>.</w:t>
      </w:r>
    </w:p>
  </w:footnote>
  <w:footnote w:id="10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النهاية، ص </w:t>
      </w:r>
      <w:r>
        <w:rPr>
          <w:rFonts w:eastAsia="IRNazanin" w:cs="IRNazanin"/>
          <w:b w:val="false"/>
          <w:bCs w:val="false"/>
          <w:i w:val="false"/>
          <w:iCs w:val="false"/>
          <w:color w:val="333333"/>
          <w:sz w:val="20"/>
          <w:szCs w:val="20"/>
        </w:rPr>
        <w:t>701</w:t>
      </w:r>
      <w:r>
        <w:rPr>
          <w:rFonts w:eastAsia="IRNazanin" w:cs="IRNazanin"/>
          <w:b w:val="false"/>
          <w:bCs w:val="false"/>
          <w:i w:val="false"/>
          <w:iCs w:val="false"/>
          <w:color w:val="333333"/>
          <w:sz w:val="20"/>
          <w:szCs w:val="20"/>
          <w:rtl w:val="true"/>
        </w:rPr>
        <w:t>.</w:t>
      </w:r>
    </w:p>
  </w:footnote>
  <w:footnote w:id="10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المحيط ،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طوف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الطائفة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الواحد فصاعداً</w:t>
      </w:r>
      <w:r>
        <w:rPr>
          <w:rFonts w:eastAsia="IRNazanin" w:cs="IRNazanin"/>
          <w:b w:val="false"/>
          <w:bCs w:val="false"/>
          <w:i w:val="false"/>
          <w:iCs w:val="false"/>
          <w:color w:val="333333"/>
          <w:sz w:val="20"/>
          <w:szCs w:val="20"/>
          <w:rtl w:val="true"/>
        </w:rPr>
        <w:t>.</w:t>
      </w:r>
    </w:p>
  </w:footnote>
  <w:footnote w:id="10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454</w:t>
      </w:r>
      <w:r>
        <w:rPr>
          <w:rFonts w:eastAsia="IRNazanin" w:cs="IRNazanin"/>
          <w:b w:val="false"/>
          <w:bCs w:val="false"/>
          <w:i w:val="false"/>
          <w:iCs w:val="false"/>
          <w:color w:val="333333"/>
          <w:sz w:val="20"/>
          <w:szCs w:val="20"/>
          <w:rtl w:val="true"/>
        </w:rPr>
        <w:t>.</w:t>
      </w:r>
    </w:p>
  </w:footnote>
  <w:footnote w:id="10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التوبة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122</w:t>
      </w:r>
    </w:p>
  </w:footnote>
  <w:footnote w:id="10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374</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0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به المفيد في المقنعة، ص </w:t>
      </w:r>
      <w:r>
        <w:rPr>
          <w:rFonts w:eastAsia="IRNazanin" w:cs="IRNazanin"/>
          <w:b w:val="false"/>
          <w:bCs w:val="false"/>
          <w:i w:val="false"/>
          <w:iCs w:val="false"/>
          <w:color w:val="333333"/>
          <w:sz w:val="20"/>
          <w:szCs w:val="20"/>
        </w:rPr>
        <w:t>781</w:t>
      </w:r>
      <w:r>
        <w:rPr>
          <w:rFonts w:ascii="IRNazanin" w:hAnsi="IRNazanin" w:eastAsia="IRNazanin"/>
          <w:b w:val="false"/>
          <w:b w:val="false"/>
          <w:bCs w:val="false"/>
          <w:i w:val="false"/>
          <w:i w:val="false"/>
          <w:iCs w:val="false"/>
          <w:color w:val="333333"/>
          <w:sz w:val="20"/>
          <w:sz w:val="20"/>
          <w:szCs w:val="20"/>
          <w:rtl w:val="true"/>
        </w:rPr>
        <w:t xml:space="preserve">؛ والشيخ في النهاية، ص </w:t>
      </w:r>
      <w:r>
        <w:rPr>
          <w:rFonts w:eastAsia="IRNazanin" w:cs="IRNazanin"/>
          <w:b w:val="false"/>
          <w:bCs w:val="false"/>
          <w:i w:val="false"/>
          <w:iCs w:val="false"/>
          <w:color w:val="333333"/>
          <w:sz w:val="20"/>
          <w:szCs w:val="20"/>
        </w:rPr>
        <w:t>701</w:t>
      </w:r>
      <w:r>
        <w:rPr>
          <w:rFonts w:eastAsia="IRNazanin" w:cs="IRNazanin"/>
          <w:b w:val="false"/>
          <w:bCs w:val="false"/>
          <w:i w:val="false"/>
          <w:iCs w:val="false"/>
          <w:color w:val="333333"/>
          <w:sz w:val="20"/>
          <w:szCs w:val="20"/>
          <w:rtl w:val="true"/>
        </w:rPr>
        <w:t>.</w:t>
      </w:r>
    </w:p>
  </w:footnote>
  <w:footnote w:id="10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ذيل الحديث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10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10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هنا وفي غيره أضفنا ما بين المعقوفتين من مصادر الرواية</w:t>
      </w:r>
      <w:r>
        <w:rPr>
          <w:rFonts w:eastAsia="IRNazanin" w:cs="IRNazanin"/>
          <w:b w:val="false"/>
          <w:bCs w:val="false"/>
          <w:i w:val="false"/>
          <w:iCs w:val="false"/>
          <w:color w:val="333333"/>
          <w:sz w:val="20"/>
          <w:szCs w:val="20"/>
          <w:rtl w:val="true"/>
        </w:rPr>
        <w:t>.</w:t>
      </w:r>
    </w:p>
  </w:footnote>
  <w:footnote w:id="10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ص </w:t>
      </w:r>
      <w:r>
        <w:rPr>
          <w:rFonts w:eastAsia="IRNazanin" w:cs="IRNazanin"/>
          <w:b w:val="false"/>
          <w:bCs w:val="false"/>
          <w:i w:val="false"/>
          <w:iCs w:val="false"/>
          <w:color w:val="333333"/>
          <w:sz w:val="20"/>
          <w:szCs w:val="20"/>
        </w:rPr>
        <w:t>267</w:t>
      </w:r>
      <w:r>
        <w:rPr>
          <w:rFonts w:ascii="IRNazanin" w:hAnsi="IRNazanin" w:eastAsia="IRNazanin"/>
          <w:b w:val="false"/>
          <w:b w:val="false"/>
          <w:bCs w:val="false"/>
          <w:i w:val="false"/>
          <w:i w:val="false"/>
          <w:iCs w:val="false"/>
          <w:color w:val="333333"/>
          <w:sz w:val="20"/>
          <w:sz w:val="20"/>
          <w:szCs w:val="20"/>
          <w:rtl w:val="true"/>
        </w:rPr>
        <w:t xml:space="preserve">، الهامش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0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وسائل الشيعة، ج </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مقدمات الحدود </w:t>
      </w:r>
      <w:r>
        <w:rPr>
          <w:rFonts w:eastAsia="IRNazanin" w:cs="IRNazanin"/>
          <w:b w:val="false"/>
          <w:bCs w:val="false"/>
          <w:i w:val="false"/>
          <w:iCs w:val="false"/>
          <w:color w:val="333333"/>
          <w:sz w:val="20"/>
          <w:szCs w:val="20"/>
          <w:rtl w:val="true"/>
        </w:rPr>
        <w:t>....</w:t>
      </w:r>
    </w:p>
  </w:footnote>
  <w:footnote w:id="10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كالصدوق في المقنع، ص </w:t>
      </w:r>
      <w:r>
        <w:rPr>
          <w:rFonts w:eastAsia="IRNazanin" w:cs="IRNazanin"/>
          <w:b w:val="false"/>
          <w:bCs w:val="false"/>
          <w:i w:val="false"/>
          <w:iCs w:val="false"/>
          <w:color w:val="333333"/>
          <w:sz w:val="20"/>
          <w:szCs w:val="20"/>
        </w:rPr>
        <w:t>431</w:t>
      </w:r>
      <w:r>
        <w:rPr>
          <w:rFonts w:ascii="IRNazanin" w:hAnsi="IRNazanin" w:eastAsia="IRNazanin"/>
          <w:b w:val="false"/>
          <w:b w:val="false"/>
          <w:bCs w:val="false"/>
          <w:i w:val="false"/>
          <w:i w:val="false"/>
          <w:iCs w:val="false"/>
          <w:color w:val="333333"/>
          <w:sz w:val="20"/>
          <w:sz w:val="20"/>
          <w:szCs w:val="20"/>
          <w:rtl w:val="true"/>
        </w:rPr>
        <w:t xml:space="preserve">؛ والمفيد في المقنعة، ص </w:t>
      </w:r>
      <w:r>
        <w:rPr>
          <w:rFonts w:eastAsia="IRNazanin" w:cs="IRNazanin"/>
          <w:b w:val="false"/>
          <w:bCs w:val="false"/>
          <w:i w:val="false"/>
          <w:iCs w:val="false"/>
          <w:color w:val="333333"/>
          <w:sz w:val="20"/>
          <w:szCs w:val="20"/>
        </w:rPr>
        <w:t>777</w:t>
      </w:r>
      <w:r>
        <w:rPr>
          <w:rFonts w:ascii="IRNazanin" w:hAnsi="IRNazanin" w:eastAsia="IRNazanin"/>
          <w:b w:val="false"/>
          <w:b w:val="false"/>
          <w:bCs w:val="false"/>
          <w:i w:val="false"/>
          <w:i w:val="false"/>
          <w:iCs w:val="false"/>
          <w:color w:val="333333"/>
          <w:sz w:val="20"/>
          <w:sz w:val="20"/>
          <w:szCs w:val="20"/>
          <w:rtl w:val="true"/>
        </w:rPr>
        <w:t xml:space="preserve">؛ والشيخ في النهاية، ص </w:t>
      </w:r>
      <w:r>
        <w:rPr>
          <w:rFonts w:eastAsia="IRNazanin" w:cs="IRNazanin"/>
          <w:b w:val="false"/>
          <w:bCs w:val="false"/>
          <w:i w:val="false"/>
          <w:iCs w:val="false"/>
          <w:color w:val="333333"/>
          <w:sz w:val="20"/>
          <w:szCs w:val="20"/>
        </w:rPr>
        <w:t>696</w:t>
      </w:r>
      <w:r>
        <w:rPr>
          <w:rFonts w:eastAsia="IRNazanin" w:cs="IRNazanin"/>
          <w:b w:val="false"/>
          <w:bCs w:val="false"/>
          <w:i w:val="false"/>
          <w:iCs w:val="false"/>
          <w:color w:val="333333"/>
          <w:sz w:val="20"/>
          <w:szCs w:val="20"/>
          <w:rtl w:val="true"/>
        </w:rPr>
        <w:t>.</w:t>
      </w:r>
    </w:p>
  </w:footnote>
  <w:footnote w:id="10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978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979</w:t>
      </w:r>
    </w:p>
  </w:footnote>
  <w:footnote w:id="10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كالصدوق في المقنع، ص </w:t>
      </w:r>
      <w:r>
        <w:rPr>
          <w:rFonts w:eastAsia="IRNazanin" w:cs="IRNazanin"/>
          <w:b w:val="false"/>
          <w:bCs w:val="false"/>
          <w:i w:val="false"/>
          <w:iCs w:val="false"/>
          <w:color w:val="333333"/>
          <w:sz w:val="20"/>
          <w:szCs w:val="20"/>
        </w:rPr>
        <w:t>63</w:t>
      </w:r>
      <w:r>
        <w:rPr>
          <w:rFonts w:ascii="IRNazanin" w:hAnsi="IRNazanin" w:eastAsia="IRNazanin"/>
          <w:b w:val="false"/>
          <w:b w:val="false"/>
          <w:bCs w:val="false"/>
          <w:i w:val="false"/>
          <w:i w:val="false"/>
          <w:iCs w:val="false"/>
          <w:color w:val="333333"/>
          <w:sz w:val="20"/>
          <w:sz w:val="20"/>
          <w:szCs w:val="20"/>
          <w:rtl w:val="true"/>
        </w:rPr>
        <w:t xml:space="preserve">؛ والشيخ في الخلاف،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521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وابن حمزة في الوسيل ص </w:t>
      </w:r>
      <w:r>
        <w:rPr>
          <w:rFonts w:eastAsia="IRNazanin" w:cs="IRNazanin"/>
          <w:b w:val="false"/>
          <w:bCs w:val="false"/>
          <w:i w:val="false"/>
          <w:iCs w:val="false"/>
          <w:color w:val="333333"/>
          <w:sz w:val="20"/>
          <w:szCs w:val="20"/>
        </w:rPr>
        <w:t>411</w:t>
      </w:r>
      <w:r>
        <w:rPr>
          <w:rFonts w:eastAsia="IRNazanin" w:cs="IRNazanin"/>
          <w:b w:val="false"/>
          <w:bCs w:val="false"/>
          <w:i w:val="false"/>
          <w:iCs w:val="false"/>
          <w:color w:val="333333"/>
          <w:sz w:val="20"/>
          <w:szCs w:val="20"/>
          <w:rtl w:val="true"/>
        </w:rPr>
        <w:t>.</w:t>
      </w:r>
    </w:p>
  </w:footnote>
  <w:footnote w:id="10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10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191</w:t>
      </w:r>
      <w:r>
        <w:rPr>
          <w:rFonts w:ascii="IRNazanin" w:hAnsi="IRNazanin" w:eastAsia="IRNazanin"/>
          <w:b w:val="false"/>
          <w:b w:val="false"/>
          <w:bCs w:val="false"/>
          <w:i w:val="false"/>
          <w:i w:val="false"/>
          <w:iCs w:val="false"/>
          <w:color w:val="333333"/>
          <w:sz w:val="20"/>
          <w:sz w:val="20"/>
          <w:szCs w:val="20"/>
          <w:rtl w:val="true"/>
        </w:rPr>
        <w:t xml:space="preserve">، باب المجنون والمجنونة يزنيان،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0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حكاه عن ابن الجنيد العلّامة في مختلف الشيعة،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ذهب إليه ابن إدريس في السرائر،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444</w:t>
      </w:r>
      <w:r>
        <w:rPr>
          <w:rFonts w:eastAsia="IRNazanin" w:cs="IRNazanin"/>
          <w:b w:val="false"/>
          <w:bCs w:val="false"/>
          <w:i w:val="false"/>
          <w:iCs w:val="false"/>
          <w:color w:val="333333"/>
          <w:sz w:val="20"/>
          <w:szCs w:val="20"/>
          <w:rtl w:val="true"/>
        </w:rPr>
        <w:t>.</w:t>
      </w:r>
    </w:p>
  </w:footnote>
  <w:footnote w:id="10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المقنعة، ص </w:t>
      </w:r>
      <w:r>
        <w:rPr>
          <w:rFonts w:eastAsia="IRNazanin" w:cs="IRNazanin"/>
          <w:b w:val="false"/>
          <w:bCs w:val="false"/>
          <w:i w:val="false"/>
          <w:iCs w:val="false"/>
          <w:color w:val="333333"/>
          <w:sz w:val="20"/>
          <w:szCs w:val="20"/>
        </w:rPr>
        <w:t>779</w:t>
      </w:r>
      <w:r>
        <w:rPr>
          <w:rFonts w:ascii="IRNazanin" w:hAnsi="IRNazanin" w:eastAsia="IRNazanin"/>
          <w:b w:val="false"/>
          <w:b w:val="false"/>
          <w:bCs w:val="false"/>
          <w:i w:val="false"/>
          <w:i w:val="false"/>
          <w:iCs w:val="false"/>
          <w:color w:val="333333"/>
          <w:sz w:val="20"/>
          <w:sz w:val="20"/>
          <w:szCs w:val="20"/>
          <w:rtl w:val="true"/>
        </w:rPr>
        <w:t xml:space="preserve">؛ النهاية، ص </w:t>
      </w:r>
      <w:r>
        <w:rPr>
          <w:rFonts w:eastAsia="IRNazanin" w:cs="IRNazanin"/>
          <w:b w:val="false"/>
          <w:bCs w:val="false"/>
          <w:i w:val="false"/>
          <w:iCs w:val="false"/>
          <w:color w:val="333333"/>
          <w:sz w:val="20"/>
          <w:szCs w:val="20"/>
        </w:rPr>
        <w:t>696</w:t>
      </w:r>
      <w:r>
        <w:rPr>
          <w:rFonts w:eastAsia="IRNazanin" w:cs="IRNazanin"/>
          <w:b w:val="false"/>
          <w:bCs w:val="false"/>
          <w:i w:val="false"/>
          <w:iCs w:val="false"/>
          <w:color w:val="333333"/>
          <w:sz w:val="20"/>
          <w:szCs w:val="20"/>
          <w:rtl w:val="true"/>
        </w:rPr>
        <w:t>.</w:t>
      </w:r>
    </w:p>
  </w:footnote>
  <w:footnote w:id="10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المهذب،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521</w:t>
      </w:r>
      <w:r>
        <w:rPr>
          <w:rFonts w:eastAsia="IRNazanin" w:cs="IRNazanin"/>
          <w:b w:val="false"/>
          <w:bCs w:val="false"/>
          <w:i w:val="false"/>
          <w:iCs w:val="false"/>
          <w:color w:val="333333"/>
          <w:sz w:val="20"/>
          <w:szCs w:val="20"/>
          <w:rtl w:val="true"/>
        </w:rPr>
        <w:t>.</w:t>
      </w:r>
    </w:p>
  </w:footnote>
  <w:footnote w:id="10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10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النور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0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10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w:t>
      </w:r>
    </w:p>
  </w:footnote>
  <w:footnote w:id="10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10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ص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w:t>
      </w:r>
    </w:p>
  </w:footnote>
  <w:footnote w:id="10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الصدوق في المقنع، ص </w:t>
      </w:r>
      <w:r>
        <w:rPr>
          <w:rFonts w:eastAsia="IRNazanin" w:cs="IRNazanin"/>
          <w:b w:val="false"/>
          <w:bCs w:val="false"/>
          <w:i w:val="false"/>
          <w:iCs w:val="false"/>
          <w:color w:val="333333"/>
          <w:sz w:val="20"/>
          <w:szCs w:val="20"/>
        </w:rPr>
        <w:t>427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والشيخ في الخلاف،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375</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والمحقق في المختصر النافع، ص </w:t>
      </w:r>
      <w:r>
        <w:rPr>
          <w:rFonts w:eastAsia="IRNazanin" w:cs="IRNazanin"/>
          <w:b w:val="false"/>
          <w:bCs w:val="false"/>
          <w:i w:val="false"/>
          <w:iCs w:val="false"/>
          <w:color w:val="333333"/>
          <w:sz w:val="20"/>
          <w:szCs w:val="20"/>
        </w:rPr>
        <w:t>425</w:t>
      </w:r>
      <w:r>
        <w:rPr>
          <w:rFonts w:eastAsia="IRNazanin" w:cs="IRNazanin"/>
          <w:b w:val="false"/>
          <w:bCs w:val="false"/>
          <w:i w:val="false"/>
          <w:iCs w:val="false"/>
          <w:color w:val="333333"/>
          <w:sz w:val="20"/>
          <w:szCs w:val="20"/>
          <w:rtl w:val="true"/>
        </w:rPr>
        <w:t>.</w:t>
      </w:r>
    </w:p>
  </w:footnote>
  <w:footnote w:id="10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w:t>
      </w:r>
    </w:p>
  </w:footnote>
  <w:footnote w:id="10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النهاية، ص </w:t>
      </w:r>
      <w:r>
        <w:rPr>
          <w:rFonts w:eastAsia="IRNazanin" w:cs="IRNazanin"/>
          <w:b w:val="false"/>
          <w:bCs w:val="false"/>
          <w:i w:val="false"/>
          <w:iCs w:val="false"/>
          <w:color w:val="333333"/>
          <w:sz w:val="20"/>
          <w:szCs w:val="20"/>
        </w:rPr>
        <w:t>700</w:t>
      </w:r>
    </w:p>
  </w:footnote>
  <w:footnote w:id="10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الشيخ الصدوق في المقنع، ص </w:t>
      </w:r>
      <w:r>
        <w:rPr>
          <w:rFonts w:eastAsia="IRNazanin" w:cs="IRNazanin"/>
          <w:b w:val="false"/>
          <w:bCs w:val="false"/>
          <w:i w:val="false"/>
          <w:iCs w:val="false"/>
          <w:color w:val="333333"/>
          <w:sz w:val="20"/>
          <w:szCs w:val="20"/>
        </w:rPr>
        <w:t>428</w:t>
      </w:r>
      <w:r>
        <w:rPr>
          <w:rFonts w:ascii="IRNazanin" w:hAnsi="IRNazanin" w:eastAsia="IRNazanin"/>
          <w:b w:val="false"/>
          <w:b w:val="false"/>
          <w:bCs w:val="false"/>
          <w:i w:val="false"/>
          <w:i w:val="false"/>
          <w:iCs w:val="false"/>
          <w:color w:val="333333"/>
          <w:sz w:val="20"/>
          <w:sz w:val="20"/>
          <w:szCs w:val="20"/>
          <w:rtl w:val="true"/>
        </w:rPr>
        <w:t xml:space="preserve">؛ وأبو الصلاح الحلبي في الكافي في الفقه، ص </w:t>
      </w:r>
      <w:r>
        <w:rPr>
          <w:rFonts w:eastAsia="IRNazanin" w:cs="IRNazanin"/>
          <w:b w:val="false"/>
          <w:bCs w:val="false"/>
          <w:i w:val="false"/>
          <w:iCs w:val="false"/>
          <w:color w:val="333333"/>
          <w:sz w:val="20"/>
          <w:szCs w:val="20"/>
        </w:rPr>
        <w:t>407</w:t>
      </w:r>
      <w:r>
        <w:rPr>
          <w:rFonts w:ascii="IRNazanin" w:hAnsi="IRNazanin" w:eastAsia="IRNazanin"/>
          <w:b w:val="false"/>
          <w:b w:val="false"/>
          <w:bCs w:val="false"/>
          <w:i w:val="false"/>
          <w:i w:val="false"/>
          <w:iCs w:val="false"/>
          <w:color w:val="333333"/>
          <w:sz w:val="20"/>
          <w:sz w:val="20"/>
          <w:szCs w:val="20"/>
          <w:rtl w:val="true"/>
        </w:rPr>
        <w:t xml:space="preserve">؛ وابن زهرة في غنية النزوع،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519</w:t>
      </w:r>
      <w:r>
        <w:rPr>
          <w:rFonts w:eastAsia="IRNazanin" w:cs="IRNazanin"/>
          <w:b w:val="false"/>
          <w:bCs w:val="false"/>
          <w:i w:val="false"/>
          <w:iCs w:val="false"/>
          <w:color w:val="333333"/>
          <w:sz w:val="20"/>
          <w:szCs w:val="20"/>
          <w:rtl w:val="true"/>
        </w:rPr>
        <w:t>.</w:t>
      </w:r>
    </w:p>
  </w:footnote>
  <w:footnote w:id="10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ليس فيه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وحلق رأسه</w:t>
      </w:r>
      <w:r>
        <w:rPr>
          <w:rFonts w:eastAsia="IRNazanin" w:cs="IRNazanin"/>
          <w:b w:val="false"/>
          <w:bCs w:val="false"/>
          <w:i w:val="false"/>
          <w:iCs w:val="false"/>
          <w:color w:val="333333"/>
          <w:sz w:val="20"/>
          <w:szCs w:val="20"/>
          <w:rtl w:val="true"/>
        </w:rPr>
        <w:t>».</w:t>
      </w:r>
    </w:p>
  </w:footnote>
  <w:footnote w:id="10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النهاية، ص </w:t>
      </w:r>
      <w:r>
        <w:rPr>
          <w:rFonts w:eastAsia="IRNazanin" w:cs="IRNazanin"/>
          <w:b w:val="false"/>
          <w:bCs w:val="false"/>
          <w:i w:val="false"/>
          <w:iCs w:val="false"/>
          <w:color w:val="333333"/>
          <w:sz w:val="20"/>
          <w:szCs w:val="20"/>
        </w:rPr>
        <w:t>694</w:t>
      </w:r>
      <w:r>
        <w:rPr>
          <w:rFonts w:eastAsia="IRNazanin" w:cs="IRNazanin"/>
          <w:b w:val="false"/>
          <w:bCs w:val="false"/>
          <w:i w:val="false"/>
          <w:iCs w:val="false"/>
          <w:color w:val="333333"/>
          <w:sz w:val="20"/>
          <w:szCs w:val="20"/>
          <w:rtl w:val="true"/>
        </w:rPr>
        <w:t>.</w:t>
      </w:r>
    </w:p>
  </w:footnote>
  <w:footnote w:id="10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القاضي في المهذب،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وابن زهرة في غنية النزوع،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424</w:t>
      </w:r>
      <w:r>
        <w:rPr>
          <w:rFonts w:ascii="IRNazanin" w:hAnsi="IRNazanin" w:eastAsia="IRNazanin"/>
          <w:b w:val="false"/>
          <w:b w:val="false"/>
          <w:bCs w:val="false"/>
          <w:i w:val="false"/>
          <w:i w:val="false"/>
          <w:iCs w:val="false"/>
          <w:color w:val="333333"/>
          <w:sz w:val="20"/>
          <w:sz w:val="20"/>
          <w:szCs w:val="20"/>
          <w:rtl w:val="true"/>
        </w:rPr>
        <w:t xml:space="preserve">؛ والكيذري في إصباح الشيعة، ص </w:t>
      </w:r>
      <w:r>
        <w:rPr>
          <w:rFonts w:eastAsia="IRNazanin" w:cs="IRNazanin"/>
          <w:b w:val="false"/>
          <w:bCs w:val="false"/>
          <w:i w:val="false"/>
          <w:iCs w:val="false"/>
          <w:color w:val="333333"/>
          <w:sz w:val="20"/>
          <w:szCs w:val="20"/>
        </w:rPr>
        <w:t>514</w:t>
      </w:r>
    </w:p>
  </w:footnote>
  <w:footnote w:id="10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p>
  </w:footnote>
  <w:footnote w:id="10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0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المسألة </w:t>
      </w:r>
      <w:r>
        <w:rPr>
          <w:rFonts w:eastAsia="IRNazanin" w:cs="IRNazanin"/>
          <w:b w:val="false"/>
          <w:bCs w:val="false"/>
          <w:i w:val="false"/>
          <w:iCs w:val="false"/>
          <w:color w:val="333333"/>
          <w:sz w:val="20"/>
          <w:szCs w:val="20"/>
        </w:rPr>
        <w:t>3</w:t>
      </w:r>
    </w:p>
  </w:footnote>
  <w:footnote w:id="10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368</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0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حكاه عنه العلّامة في مختلف الشيعة،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147</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0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آنفاً</w:t>
      </w:r>
      <w:r>
        <w:rPr>
          <w:rFonts w:eastAsia="IRNazanin" w:cs="IRNazanin"/>
          <w:b w:val="false"/>
          <w:bCs w:val="false"/>
          <w:i w:val="false"/>
          <w:iCs w:val="false"/>
          <w:color w:val="333333"/>
          <w:sz w:val="20"/>
          <w:szCs w:val="20"/>
          <w:rtl w:val="true"/>
        </w:rPr>
        <w:t>.</w:t>
      </w:r>
    </w:p>
  </w:footnote>
  <w:footnote w:id="10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السنن الكبرى البيهقي ،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17102</w:t>
      </w:r>
      <w:r>
        <w:rPr>
          <w:rFonts w:eastAsia="IRNazanin" w:cs="IRNazanin"/>
          <w:b w:val="false"/>
          <w:bCs w:val="false"/>
          <w:i w:val="false"/>
          <w:iCs w:val="false"/>
          <w:color w:val="333333"/>
          <w:sz w:val="20"/>
          <w:szCs w:val="20"/>
          <w:rtl w:val="true"/>
        </w:rPr>
        <w:t>.</w:t>
      </w:r>
    </w:p>
  </w:footnote>
  <w:footnote w:id="10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p>
  </w:footnote>
  <w:footnote w:id="10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لسان العرب،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شمرخ</w:t>
      </w:r>
      <w:r>
        <w:rPr>
          <w:rFonts w:eastAsia="IRNazanin" w:cs="IRNazanin"/>
          <w:b w:val="false"/>
          <w:bCs w:val="false"/>
          <w:i w:val="false"/>
          <w:iCs w:val="false"/>
          <w:color w:val="333333"/>
          <w:sz w:val="20"/>
          <w:szCs w:val="20"/>
          <w:rtl w:val="true"/>
        </w:rPr>
        <w:t>».</w:t>
      </w:r>
    </w:p>
  </w:footnote>
  <w:footnote w:id="10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w:t>
      </w:r>
    </w:p>
  </w:footnote>
  <w:footnote w:id="10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p>
  </w:footnote>
  <w:footnote w:id="10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النهاية، ص </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w:t>
      </w:r>
    </w:p>
  </w:footnote>
  <w:footnote w:id="10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النور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p>
  </w:footnote>
  <w:footnote w:id="10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المائدة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p>
  </w:footnote>
  <w:footnote w:id="10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حكاه عنه العلّامة في مختلف الشيعة،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401</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0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نقله الشهيد في الدروس الشرعية،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 موسوعة الشهيد الأول،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0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0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نعثر على قائله</w:t>
      </w:r>
      <w:r>
        <w:rPr>
          <w:rFonts w:eastAsia="IRNazanin" w:cs="IRNazanin"/>
          <w:b w:val="false"/>
          <w:bCs w:val="false"/>
          <w:i w:val="false"/>
          <w:iCs w:val="false"/>
          <w:color w:val="333333"/>
          <w:sz w:val="20"/>
          <w:szCs w:val="20"/>
          <w:rtl w:val="true"/>
        </w:rPr>
        <w:t>.</w:t>
      </w:r>
    </w:p>
  </w:footnote>
  <w:footnote w:id="10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w:t>
      </w:r>
    </w:p>
  </w:footnote>
  <w:footnote w:id="10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به ابن إدريس في السرائر،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449</w:t>
      </w:r>
      <w:r>
        <w:rPr>
          <w:rFonts w:eastAsia="IRNazanin" w:cs="IRNazanin"/>
          <w:b w:val="false"/>
          <w:bCs w:val="false"/>
          <w:i w:val="false"/>
          <w:iCs w:val="false"/>
          <w:color w:val="333333"/>
          <w:sz w:val="20"/>
          <w:szCs w:val="20"/>
          <w:rtl w:val="true"/>
        </w:rPr>
        <w:t>.</w:t>
      </w:r>
    </w:p>
  </w:footnote>
  <w:footnote w:id="10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الصدوق في المقنع ص </w:t>
      </w:r>
      <w:r>
        <w:rPr>
          <w:rFonts w:eastAsia="IRNazanin" w:cs="IRNazanin"/>
          <w:b w:val="false"/>
          <w:bCs w:val="false"/>
          <w:i w:val="false"/>
          <w:iCs w:val="false"/>
          <w:color w:val="333333"/>
          <w:sz w:val="20"/>
          <w:szCs w:val="20"/>
        </w:rPr>
        <w:t>432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وابن حمزة في الوسيلة، ص </w:t>
      </w:r>
      <w:r>
        <w:rPr>
          <w:rFonts w:eastAsia="IRNazanin" w:cs="IRNazanin"/>
          <w:b w:val="false"/>
          <w:bCs w:val="false"/>
          <w:i w:val="false"/>
          <w:iCs w:val="false"/>
          <w:color w:val="333333"/>
          <w:sz w:val="20"/>
          <w:szCs w:val="20"/>
        </w:rPr>
        <w:t>411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وابن سعيد في الجامع للشرائع ص </w:t>
      </w:r>
      <w:r>
        <w:rPr>
          <w:rFonts w:eastAsia="IRNazanin" w:cs="IRNazanin"/>
          <w:b w:val="false"/>
          <w:bCs w:val="false"/>
          <w:i w:val="false"/>
          <w:iCs w:val="false"/>
          <w:color w:val="333333"/>
          <w:sz w:val="20"/>
          <w:szCs w:val="20"/>
        </w:rPr>
        <w:t>554</w:t>
      </w:r>
    </w:p>
  </w:footnote>
  <w:footnote w:id="10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به الشيخ المفيد في المقنعة، ص </w:t>
      </w:r>
      <w:r>
        <w:rPr>
          <w:rFonts w:eastAsia="IRNazanin" w:cs="IRNazanin"/>
          <w:b w:val="false"/>
          <w:bCs w:val="false"/>
          <w:i w:val="false"/>
          <w:iCs w:val="false"/>
          <w:color w:val="333333"/>
          <w:sz w:val="20"/>
          <w:szCs w:val="20"/>
        </w:rPr>
        <w:t>785</w:t>
      </w:r>
      <w:r>
        <w:rPr>
          <w:rFonts w:ascii="IRNazanin" w:hAnsi="IRNazanin" w:eastAsia="IRNazanin"/>
          <w:b w:val="false"/>
          <w:b w:val="false"/>
          <w:bCs w:val="false"/>
          <w:i w:val="false"/>
          <w:i w:val="false"/>
          <w:iCs w:val="false"/>
          <w:color w:val="333333"/>
          <w:sz w:val="20"/>
          <w:sz w:val="20"/>
          <w:szCs w:val="20"/>
          <w:rtl w:val="true"/>
        </w:rPr>
        <w:t xml:space="preserve">؛ وسلار في المراسم، ص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w:t>
      </w:r>
    </w:p>
  </w:footnote>
  <w:footnote w:id="10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منهم الشيخ في النهاية، ص </w:t>
      </w:r>
      <w:r>
        <w:rPr>
          <w:rFonts w:eastAsia="IRNazanin" w:cs="IRNazanin"/>
          <w:b w:val="false"/>
          <w:bCs w:val="false"/>
          <w:i w:val="false"/>
          <w:iCs w:val="false"/>
          <w:color w:val="333333"/>
          <w:sz w:val="20"/>
          <w:szCs w:val="20"/>
        </w:rPr>
        <w:t>699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وابن إدريس في السرائر،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449</w:t>
      </w:r>
      <w:r>
        <w:rPr>
          <w:rFonts w:ascii="IRNazanin" w:hAnsi="IRNazanin" w:eastAsia="IRNazanin"/>
          <w:b w:val="false"/>
          <w:b w:val="false"/>
          <w:bCs w:val="false"/>
          <w:i w:val="false"/>
          <w:i w:val="false"/>
          <w:iCs w:val="false"/>
          <w:color w:val="333333"/>
          <w:sz w:val="20"/>
          <w:sz w:val="20"/>
          <w:szCs w:val="20"/>
          <w:rtl w:val="true"/>
        </w:rPr>
        <w:t xml:space="preserve">؛ والكيدري في إصباح الشيعة، ص </w:t>
      </w:r>
      <w:r>
        <w:rPr>
          <w:rFonts w:eastAsia="IRNazanin" w:cs="IRNazanin"/>
          <w:b w:val="false"/>
          <w:bCs w:val="false"/>
          <w:i w:val="false"/>
          <w:iCs w:val="false"/>
          <w:color w:val="333333"/>
          <w:sz w:val="20"/>
          <w:szCs w:val="20"/>
        </w:rPr>
        <w:t>516</w:t>
      </w:r>
    </w:p>
  </w:footnote>
  <w:footnote w:id="10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172</w:t>
      </w:r>
    </w:p>
  </w:footnote>
  <w:footnote w:id="10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173</w:t>
      </w:r>
    </w:p>
  </w:footnote>
  <w:footnote w:id="10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 اختلاف يسير</w:t>
      </w:r>
      <w:r>
        <w:rPr>
          <w:rFonts w:eastAsia="IRNazanin" w:cs="IRNazanin"/>
          <w:b w:val="false"/>
          <w:bCs w:val="false"/>
          <w:i w:val="false"/>
          <w:iCs w:val="false"/>
          <w:color w:val="333333"/>
          <w:sz w:val="20"/>
          <w:szCs w:val="20"/>
          <w:rtl w:val="true"/>
        </w:rPr>
        <w:t>.</w:t>
      </w:r>
    </w:p>
  </w:footnote>
  <w:footnote w:id="10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النهاية، ص </w:t>
      </w:r>
      <w:r>
        <w:rPr>
          <w:rFonts w:eastAsia="IRNazanin" w:cs="IRNazanin"/>
          <w:b w:val="false"/>
          <w:bCs w:val="false"/>
          <w:i w:val="false"/>
          <w:iCs w:val="false"/>
          <w:color w:val="333333"/>
          <w:sz w:val="20"/>
          <w:szCs w:val="20"/>
        </w:rPr>
        <w:t>702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703</w:t>
      </w:r>
    </w:p>
  </w:footnote>
  <w:footnote w:id="10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منهم القاضي في المهذب،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وابن سعيد في الجامع للشرائع، ص </w:t>
      </w:r>
      <w:r>
        <w:rPr>
          <w:rFonts w:eastAsia="IRNazanin" w:cs="IRNazanin"/>
          <w:b w:val="false"/>
          <w:bCs w:val="false"/>
          <w:i w:val="false"/>
          <w:iCs w:val="false"/>
          <w:color w:val="333333"/>
          <w:sz w:val="20"/>
          <w:szCs w:val="20"/>
        </w:rPr>
        <w:t>554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والعلامة في مختلف الشيعة،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10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455</w:t>
      </w:r>
    </w:p>
  </w:footnote>
  <w:footnote w:id="10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تقدما آنفاً</w:t>
      </w:r>
      <w:r>
        <w:rPr>
          <w:rFonts w:eastAsia="IRNazanin" w:cs="IRNazanin"/>
          <w:b w:val="false"/>
          <w:bCs w:val="false"/>
          <w:i w:val="false"/>
          <w:iCs w:val="false"/>
          <w:color w:val="333333"/>
          <w:sz w:val="20"/>
          <w:szCs w:val="20"/>
          <w:rtl w:val="true"/>
        </w:rPr>
        <w:t>.</w:t>
      </w:r>
    </w:p>
  </w:footnote>
  <w:footnote w:id="10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تقدما آنفاً</w:t>
      </w:r>
      <w:r>
        <w:rPr>
          <w:rFonts w:eastAsia="IRNazanin" w:cs="IRNazanin"/>
          <w:b w:val="false"/>
          <w:bCs w:val="false"/>
          <w:i w:val="false"/>
          <w:iCs w:val="false"/>
          <w:color w:val="333333"/>
          <w:sz w:val="20"/>
          <w:szCs w:val="20"/>
          <w:rtl w:val="true"/>
        </w:rPr>
        <w:t>.</w:t>
      </w:r>
    </w:p>
  </w:footnote>
  <w:footnote w:id="10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كلّ ما له عقوبة مقدر يسمّى حداً وليس كذلك يستى تعزيراً، وتقدير الحد شرعاً واقع في جميع أفراده، كما أشرنا إليه سابقاً، وأما التعزير، فالحاصل فيه عدم التقدير والأغلب في أفراده كذلك، قد وردت الروايات بتقدير بعض أفراده، وذلك في خمسة مواضع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تعزير المجامع زوجته في نهار رمضان مقدرة بخمسة وعشرين سوطاً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الثاني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تزوّج أمةً على حرّة ودخل بها قبل الإذن ضرب اثني عشر سوطاً ونصفاً، ثمن حد الزاني الثالث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المجتمعان تحت إزار واحد مجرّدين مقدّر بثلاثين إلى تسعة وتسعين على قول الرابع من افتض بكراً بإصبعه قال الشيخ يجلد من ثلاثين إلى سبعة وسبعين، وقال المفيد من ثلاثين إلى ثمانين، وقال ابن إدريس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ثلاثين إلى تسعة وتسعين قاله المفيد وأطلق الشيخ التعزير، وقال في الخلاف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روى أصحابنا فيه الجلد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ولقائل أن يقول ليس من هذه مقدر سوى الأولين والباقي يرجع فيما بين الطرفين إلى رأي الحاكم، كما يرجع إليه في تقدير غيره وإن لم يتحدّد في طرفيه بما ذكر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زين رحمه الله</w:t>
      </w:r>
      <w:r>
        <w:rPr>
          <w:rFonts w:eastAsia="IRNazanin" w:cs="IRNazanin"/>
          <w:b w:val="false"/>
          <w:bCs w:val="false"/>
          <w:i w:val="false"/>
          <w:iCs w:val="false"/>
          <w:color w:val="333333"/>
          <w:sz w:val="20"/>
          <w:szCs w:val="20"/>
          <w:rtl w:val="true"/>
        </w:rPr>
        <w:t>)</w:t>
      </w:r>
    </w:p>
  </w:footnote>
  <w:footnote w:id="10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w:t>
      </w:r>
    </w:p>
  </w:footnote>
  <w:footnote w:id="10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w:t>
      </w:r>
    </w:p>
  </w:footnote>
  <w:footnote w:id="10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w:t>
      </w:r>
    </w:p>
  </w:footnote>
  <w:footnote w:id="10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القول بالإلحاق لفخر المحققين في إيضاح الفوائد،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473</w:t>
      </w:r>
      <w:r>
        <w:rPr>
          <w:rFonts w:ascii="IRNazanin" w:hAnsi="IRNazanin" w:eastAsia="IRNazanin"/>
          <w:b w:val="false"/>
          <w:b w:val="false"/>
          <w:bCs w:val="false"/>
          <w:i w:val="false"/>
          <w:i w:val="false"/>
          <w:iCs w:val="false"/>
          <w:color w:val="333333"/>
          <w:sz w:val="20"/>
          <w:sz w:val="20"/>
          <w:szCs w:val="20"/>
          <w:rtl w:val="true"/>
        </w:rPr>
        <w:t xml:space="preserve">؛ والآخر لابن إدريس في السرائر،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455</w:t>
      </w:r>
    </w:p>
  </w:footnote>
  <w:footnote w:id="10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444</w:t>
      </w:r>
      <w:r>
        <w:rPr>
          <w:rFonts w:eastAsia="IRNazanin" w:cs="IRNazanin"/>
          <w:b w:val="false"/>
          <w:bCs w:val="false"/>
          <w:i w:val="false"/>
          <w:iCs w:val="false"/>
          <w:color w:val="333333"/>
          <w:sz w:val="20"/>
          <w:szCs w:val="20"/>
          <w:rtl w:val="true"/>
        </w:rPr>
        <w:t>.</w:t>
      </w:r>
    </w:p>
  </w:footnote>
  <w:footnote w:id="10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577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579</w:t>
      </w:r>
      <w:r>
        <w:rPr>
          <w:rFonts w:eastAsia="IRNazanin" w:cs="IRNazanin"/>
          <w:b w:val="false"/>
          <w:bCs w:val="false"/>
          <w:i w:val="false"/>
          <w:iCs w:val="false"/>
          <w:color w:val="333333"/>
          <w:sz w:val="20"/>
          <w:szCs w:val="20"/>
          <w:rtl w:val="true"/>
        </w:rPr>
        <w:t xml:space="preserve"> .</w:t>
      </w:r>
    </w:p>
  </w:footnote>
  <w:footnote w:id="10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يأتي في ص </w:t>
      </w:r>
      <w:r>
        <w:rPr>
          <w:rFonts w:eastAsia="IRNazanin" w:cs="IRNazanin"/>
          <w:b w:val="false"/>
          <w:bCs w:val="false"/>
          <w:i w:val="false"/>
          <w:iCs w:val="false"/>
          <w:color w:val="333333"/>
          <w:sz w:val="20"/>
          <w:szCs w:val="20"/>
        </w:rPr>
        <w:t>285</w:t>
      </w:r>
    </w:p>
  </w:footnote>
  <w:footnote w:id="10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يأتي في ص </w:t>
      </w:r>
      <w:r>
        <w:rPr>
          <w:rFonts w:eastAsia="IRNazanin" w:cs="IRNazanin"/>
          <w:b w:val="false"/>
          <w:bCs w:val="false"/>
          <w:i w:val="false"/>
          <w:iCs w:val="false"/>
          <w:color w:val="333333"/>
          <w:sz w:val="20"/>
          <w:szCs w:val="20"/>
        </w:rPr>
        <w:t>294</w:t>
      </w:r>
    </w:p>
  </w:footnote>
  <w:footnote w:id="10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كتب الشيخ علي حفيد الشارح في حاشية النسخة التي بيده جده الشارح</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الظاهر بينهما وإن أمكن إرادة الهمزة والياء بتكلف؛ لأنه يكون بعدهما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أضاف هناك</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في نسخة السيّد علي الصائغ المقروءة على المصنف رحمهما الله مضروب على 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بفتح الهمزة إلى 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بعدهما</w:t>
      </w:r>
      <w:r>
        <w:rPr>
          <w:rFonts w:eastAsia="IRNazanin" w:cs="IRNazanin"/>
          <w:b w:val="false"/>
          <w:bCs w:val="false"/>
          <w:i w:val="false"/>
          <w:iCs w:val="false"/>
          <w:color w:val="333333"/>
          <w:sz w:val="20"/>
          <w:szCs w:val="20"/>
          <w:rtl w:val="true"/>
        </w:rPr>
        <w:t>».</w:t>
      </w:r>
    </w:p>
  </w:footnote>
  <w:footnote w:id="10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w:t>
      </w:r>
    </w:p>
  </w:footnote>
  <w:footnote w:id="10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به الشيخ في النهاية، ص </w:t>
      </w:r>
      <w:r>
        <w:rPr>
          <w:rFonts w:eastAsia="IRNazanin" w:cs="IRNazanin"/>
          <w:b w:val="false"/>
          <w:bCs w:val="false"/>
          <w:i w:val="false"/>
          <w:iCs w:val="false"/>
          <w:color w:val="333333"/>
          <w:sz w:val="20"/>
          <w:szCs w:val="20"/>
        </w:rPr>
        <w:t>704</w:t>
      </w:r>
      <w:r>
        <w:rPr>
          <w:rFonts w:eastAsia="IRNazanin" w:cs="IRNazanin"/>
          <w:b w:val="false"/>
          <w:bCs w:val="false"/>
          <w:i w:val="false"/>
          <w:iCs w:val="false"/>
          <w:color w:val="333333"/>
          <w:sz w:val="20"/>
          <w:szCs w:val="20"/>
          <w:rtl w:val="true"/>
        </w:rPr>
        <w:t>.</w:t>
      </w:r>
    </w:p>
  </w:footnote>
  <w:footnote w:id="10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في المصادر وفي جميع النسخ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الفضل</w:t>
      </w:r>
      <w:r>
        <w:rPr>
          <w:rFonts w:eastAsia="IRNazanin" w:cs="IRNazanin"/>
          <w:b w:val="false"/>
          <w:bCs w:val="false"/>
          <w:i w:val="false"/>
          <w:iCs w:val="false"/>
          <w:color w:val="333333"/>
          <w:sz w:val="20"/>
          <w:szCs w:val="20"/>
          <w:rtl w:val="true"/>
        </w:rPr>
        <w:t>».</w:t>
      </w:r>
    </w:p>
  </w:footnote>
  <w:footnote w:id="10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w:t>
      </w:r>
    </w:p>
  </w:footnote>
  <w:footnote w:id="10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w:t>
      </w:r>
    </w:p>
  </w:footnote>
  <w:footnote w:id="10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به الشيخ الصدوق في المقنع، ص </w:t>
      </w:r>
      <w:r>
        <w:rPr>
          <w:rFonts w:eastAsia="IRNazanin" w:cs="IRNazanin"/>
          <w:b w:val="false"/>
          <w:bCs w:val="false"/>
          <w:i w:val="false"/>
          <w:iCs w:val="false"/>
          <w:color w:val="333333"/>
          <w:sz w:val="20"/>
          <w:szCs w:val="20"/>
        </w:rPr>
        <w:t>430</w:t>
      </w:r>
      <w:r>
        <w:rPr>
          <w:rFonts w:ascii="IRNazanin" w:hAnsi="IRNazanin" w:eastAsia="IRNazanin"/>
          <w:b w:val="false"/>
          <w:b w:val="false"/>
          <w:bCs w:val="false"/>
          <w:i w:val="false"/>
          <w:i w:val="false"/>
          <w:iCs w:val="false"/>
          <w:color w:val="333333"/>
          <w:sz w:val="20"/>
          <w:sz w:val="20"/>
          <w:szCs w:val="20"/>
          <w:rtl w:val="true"/>
        </w:rPr>
        <w:t xml:space="preserve">؛ ونقله عن ابن الجنيد العلّامة في مختلف الشيعة،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المسألة </w:t>
      </w:r>
      <w:r>
        <w:rPr>
          <w:rFonts w:eastAsia="IRNazanin" w:cs="IRNazanin"/>
          <w:b w:val="false"/>
          <w:bCs w:val="false"/>
          <w:i w:val="false"/>
          <w:iCs w:val="false"/>
          <w:color w:val="333333"/>
          <w:sz w:val="20"/>
          <w:szCs w:val="20"/>
        </w:rPr>
        <w:t>46</w:t>
      </w:r>
    </w:p>
  </w:footnote>
  <w:footnote w:id="10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130</w:t>
      </w:r>
    </w:p>
  </w:footnote>
  <w:footnote w:id="10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غاية المراد،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ضمن موسوعة الشهيد الأول،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0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w:t>
      </w:r>
    </w:p>
  </w:footnote>
  <w:footnote w:id="10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فقه الرضا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أورده الشهيد الثاني في مسالك الأفهام،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412</w:t>
      </w:r>
      <w:r>
        <w:rPr>
          <w:rFonts w:eastAsia="IRNazanin" w:cs="IRNazanin"/>
          <w:b w:val="false"/>
          <w:bCs w:val="false"/>
          <w:i w:val="false"/>
          <w:iCs w:val="false"/>
          <w:color w:val="333333"/>
          <w:sz w:val="20"/>
          <w:szCs w:val="20"/>
          <w:rtl w:val="true"/>
        </w:rPr>
        <w:t>.</w:t>
      </w:r>
    </w:p>
  </w:footnote>
  <w:footnote w:id="10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548</w:t>
      </w:r>
      <w:r>
        <w:rPr>
          <w:rFonts w:ascii="IRNazanin" w:hAnsi="IRNazanin" w:eastAsia="IRNazanin"/>
          <w:b w:val="false"/>
          <w:b w:val="false"/>
          <w:bCs w:val="false"/>
          <w:i w:val="false"/>
          <w:i w:val="false"/>
          <w:iCs w:val="false"/>
          <w:color w:val="333333"/>
          <w:sz w:val="20"/>
          <w:sz w:val="20"/>
          <w:szCs w:val="20"/>
          <w:rtl w:val="true"/>
        </w:rPr>
        <w:t xml:space="preserve">، باب اللواط، 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0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w:t>
      </w:r>
    </w:p>
  </w:footnote>
  <w:footnote w:id="10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w:t>
      </w:r>
    </w:p>
  </w:footnote>
  <w:footnote w:id="10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w:t>
      </w:r>
    </w:p>
  </w:footnote>
  <w:footnote w:id="1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w:t>
      </w:r>
    </w:p>
  </w:footnote>
  <w:footnote w:id="1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المفيد في المقنعة، ص </w:t>
      </w:r>
      <w:r>
        <w:rPr>
          <w:rFonts w:eastAsia="IRNazanin" w:cs="IRNazanin"/>
          <w:b w:val="false"/>
          <w:bCs w:val="false"/>
          <w:i w:val="false"/>
          <w:iCs w:val="false"/>
          <w:color w:val="333333"/>
          <w:sz w:val="20"/>
          <w:szCs w:val="20"/>
        </w:rPr>
        <w:t>785</w:t>
      </w:r>
      <w:r>
        <w:rPr>
          <w:rFonts w:ascii="IRNazanin" w:hAnsi="IRNazanin" w:eastAsia="IRNazanin"/>
          <w:b w:val="false"/>
          <w:b w:val="false"/>
          <w:bCs w:val="false"/>
          <w:i w:val="false"/>
          <w:i w:val="false"/>
          <w:iCs w:val="false"/>
          <w:color w:val="333333"/>
          <w:sz w:val="20"/>
          <w:sz w:val="20"/>
          <w:szCs w:val="20"/>
          <w:rtl w:val="true"/>
        </w:rPr>
        <w:t xml:space="preserve">؛ والشيخ في النهاية، ص </w:t>
      </w:r>
      <w:r>
        <w:rPr>
          <w:rFonts w:eastAsia="IRNazanin" w:cs="IRNazanin"/>
          <w:b w:val="false"/>
          <w:bCs w:val="false"/>
          <w:i w:val="false"/>
          <w:iCs w:val="false"/>
          <w:color w:val="333333"/>
          <w:sz w:val="20"/>
          <w:szCs w:val="20"/>
        </w:rPr>
        <w:t>705</w:t>
      </w:r>
      <w:r>
        <w:rPr>
          <w:rFonts w:ascii="IRNazanin" w:hAnsi="IRNazanin" w:eastAsia="IRNazanin"/>
          <w:b w:val="false"/>
          <w:b w:val="false"/>
          <w:bCs w:val="false"/>
          <w:i w:val="false"/>
          <w:i w:val="false"/>
          <w:iCs w:val="false"/>
          <w:color w:val="333333"/>
          <w:sz w:val="20"/>
          <w:sz w:val="20"/>
          <w:szCs w:val="20"/>
          <w:rtl w:val="true"/>
        </w:rPr>
        <w:t xml:space="preserve">؛ والمحقق في شرائع الإسلام،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w:t>
      </w:r>
    </w:p>
  </w:footnote>
  <w:footnote w:id="1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الهامش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به الشيخ في النهاية، ص </w:t>
      </w:r>
      <w:r>
        <w:rPr>
          <w:rFonts w:eastAsia="IRNazanin" w:cs="IRNazanin"/>
          <w:b w:val="false"/>
          <w:bCs w:val="false"/>
          <w:i w:val="false"/>
          <w:iCs w:val="false"/>
          <w:color w:val="333333"/>
          <w:sz w:val="20"/>
          <w:szCs w:val="20"/>
        </w:rPr>
        <w:t>706</w:t>
      </w:r>
      <w:r>
        <w:rPr>
          <w:rFonts w:eastAsia="IRNazanin" w:cs="IRNazanin"/>
          <w:b w:val="false"/>
          <w:bCs w:val="false"/>
          <w:i w:val="false"/>
          <w:iCs w:val="false"/>
          <w:color w:val="333333"/>
          <w:sz w:val="20"/>
          <w:szCs w:val="20"/>
          <w:rtl w:val="true"/>
        </w:rPr>
        <w:t>.</w:t>
      </w:r>
    </w:p>
  </w:footnote>
  <w:footnote w:id="1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w:t>
      </w:r>
    </w:p>
  </w:footnote>
  <w:footnote w:id="1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غاية المراد،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 موسوعة الشهيد الأول،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به ابن إدريس في السرائر،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467</w:t>
      </w:r>
      <w:r>
        <w:rPr>
          <w:rFonts w:eastAsia="IRNazanin" w:cs="IRNazanin"/>
          <w:b w:val="false"/>
          <w:bCs w:val="false"/>
          <w:i w:val="false"/>
          <w:iCs w:val="false"/>
          <w:color w:val="333333"/>
          <w:sz w:val="20"/>
          <w:szCs w:val="20"/>
          <w:rtl w:val="true"/>
        </w:rPr>
        <w:t>.</w:t>
      </w:r>
    </w:p>
  </w:footnote>
  <w:footnote w:id="1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به الشيخ في النهاية، ص </w:t>
      </w:r>
      <w:r>
        <w:rPr>
          <w:rFonts w:eastAsia="IRNazanin" w:cs="IRNazanin"/>
          <w:b w:val="false"/>
          <w:bCs w:val="false"/>
          <w:i w:val="false"/>
          <w:iCs w:val="false"/>
          <w:color w:val="333333"/>
          <w:sz w:val="20"/>
          <w:szCs w:val="20"/>
        </w:rPr>
        <w:t>707</w:t>
      </w:r>
    </w:p>
  </w:footnote>
  <w:footnote w:id="1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ص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w:t>
      </w:r>
    </w:p>
  </w:footnote>
  <w:footnote w:id="1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به الشيخ في النهاية، ص </w:t>
      </w:r>
      <w:r>
        <w:rPr>
          <w:rFonts w:eastAsia="IRNazanin" w:cs="IRNazanin"/>
          <w:b w:val="false"/>
          <w:bCs w:val="false"/>
          <w:i w:val="false"/>
          <w:iCs w:val="false"/>
          <w:color w:val="333333"/>
          <w:sz w:val="20"/>
          <w:szCs w:val="20"/>
        </w:rPr>
        <w:t>707</w:t>
      </w:r>
      <w:r>
        <w:rPr>
          <w:rFonts w:eastAsia="IRNazanin" w:cs="IRNazanin"/>
          <w:b w:val="false"/>
          <w:bCs w:val="false"/>
          <w:i w:val="false"/>
          <w:iCs w:val="false"/>
          <w:color w:val="333333"/>
          <w:sz w:val="20"/>
          <w:szCs w:val="20"/>
          <w:rtl w:val="true"/>
        </w:rPr>
        <w:t>.</w:t>
      </w:r>
    </w:p>
  </w:footnote>
  <w:footnote w:id="1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59</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w:t>
      </w:r>
    </w:p>
  </w:footnote>
  <w:footnote w:id="1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w:t>
      </w:r>
    </w:p>
  </w:footnote>
  <w:footnote w:id="1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465</w:t>
      </w:r>
      <w:r>
        <w:rPr>
          <w:rFonts w:eastAsia="IRNazanin" w:cs="IRNazanin"/>
          <w:b w:val="false"/>
          <w:bCs w:val="false"/>
          <w:i w:val="false"/>
          <w:iCs w:val="false"/>
          <w:color w:val="333333"/>
          <w:sz w:val="20"/>
          <w:szCs w:val="20"/>
          <w:rtl w:val="true"/>
        </w:rPr>
        <w:t>.</w:t>
      </w:r>
    </w:p>
  </w:footnote>
  <w:footnote w:id="1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النهاية، ص </w:t>
      </w:r>
      <w:r>
        <w:rPr>
          <w:rFonts w:eastAsia="IRNazanin" w:cs="IRNazanin"/>
          <w:b w:val="false"/>
          <w:bCs w:val="false"/>
          <w:i w:val="false"/>
          <w:iCs w:val="false"/>
          <w:color w:val="333333"/>
          <w:sz w:val="20"/>
          <w:szCs w:val="20"/>
        </w:rPr>
        <w:t>710</w:t>
      </w:r>
      <w:r>
        <w:rPr>
          <w:rFonts w:eastAsia="IRNazanin" w:cs="IRNazanin"/>
          <w:b w:val="false"/>
          <w:bCs w:val="false"/>
          <w:i w:val="false"/>
          <w:iCs w:val="false"/>
          <w:color w:val="333333"/>
          <w:sz w:val="20"/>
          <w:szCs w:val="20"/>
          <w:rtl w:val="true"/>
        </w:rPr>
        <w:t>.</w:t>
      </w:r>
    </w:p>
  </w:footnote>
  <w:footnote w:id="1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w:t>
      </w:r>
    </w:p>
  </w:footnote>
  <w:footnote w:id="1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المقنعة، ص </w:t>
      </w:r>
      <w:r>
        <w:rPr>
          <w:rFonts w:eastAsia="IRNazanin" w:cs="IRNazanin"/>
          <w:b w:val="false"/>
          <w:bCs w:val="false"/>
          <w:i w:val="false"/>
          <w:iCs w:val="false"/>
          <w:color w:val="333333"/>
          <w:sz w:val="20"/>
          <w:szCs w:val="20"/>
        </w:rPr>
        <w:t>791</w:t>
      </w:r>
    </w:p>
  </w:footnote>
  <w:footnote w:id="1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499</w:t>
      </w:r>
    </w:p>
  </w:footnote>
  <w:footnote w:id="1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المصادر وفي النسخ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أحداً</w:t>
      </w:r>
      <w:r>
        <w:rPr>
          <w:rFonts w:eastAsia="IRNazanin" w:cs="IRNazanin"/>
          <w:b w:val="false"/>
          <w:bCs w:val="false"/>
          <w:i w:val="false"/>
          <w:iCs w:val="false"/>
          <w:color w:val="333333"/>
          <w:sz w:val="20"/>
          <w:szCs w:val="20"/>
          <w:rtl w:val="true"/>
        </w:rPr>
        <w:t>».</w:t>
      </w:r>
    </w:p>
  </w:footnote>
  <w:footnote w:id="1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498</w:t>
      </w:r>
      <w:r>
        <w:rPr>
          <w:rFonts w:eastAsia="IRNazanin" w:cs="IRNazanin"/>
          <w:b w:val="false"/>
          <w:bCs w:val="false"/>
          <w:i w:val="false"/>
          <w:iCs w:val="false"/>
          <w:color w:val="333333"/>
          <w:sz w:val="20"/>
          <w:szCs w:val="20"/>
          <w:rtl w:val="true"/>
        </w:rPr>
        <w:t>.</w:t>
      </w:r>
    </w:p>
  </w:footnote>
  <w:footnote w:id="1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في نحوه،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يأتي في ص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w:t>
      </w:r>
    </w:p>
  </w:footnote>
  <w:footnote w:id="1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به الشيخ المفيد في المقنعة، ص </w:t>
      </w:r>
      <w:r>
        <w:rPr>
          <w:rFonts w:eastAsia="IRNazanin" w:cs="IRNazanin"/>
          <w:b w:val="false"/>
          <w:bCs w:val="false"/>
          <w:i w:val="false"/>
          <w:iCs w:val="false"/>
          <w:color w:val="333333"/>
          <w:sz w:val="20"/>
          <w:szCs w:val="20"/>
        </w:rPr>
        <w:t>794</w:t>
      </w:r>
      <w:r>
        <w:rPr>
          <w:rFonts w:eastAsia="IRNazanin" w:cs="IRNazanin"/>
          <w:b w:val="false"/>
          <w:bCs w:val="false"/>
          <w:i w:val="false"/>
          <w:iCs w:val="false"/>
          <w:color w:val="333333"/>
          <w:sz w:val="20"/>
          <w:szCs w:val="20"/>
          <w:rtl w:val="true"/>
        </w:rPr>
        <w:t>.</w:t>
      </w:r>
    </w:p>
  </w:footnote>
  <w:footnote w:id="1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به المحقق في شرائع الإسلام،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w:t>
      </w:r>
    </w:p>
  </w:footnote>
  <w:footnote w:id="1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ص </w:t>
      </w:r>
      <w:r>
        <w:rPr>
          <w:rFonts w:eastAsia="IRNazanin" w:cs="IRNazanin"/>
          <w:b w:val="false"/>
          <w:bCs w:val="false"/>
          <w:i w:val="false"/>
          <w:iCs w:val="false"/>
          <w:color w:val="333333"/>
          <w:sz w:val="20"/>
          <w:szCs w:val="20"/>
        </w:rPr>
        <w:t>255</w:t>
      </w:r>
    </w:p>
  </w:footnote>
  <w:footnote w:id="1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w:t>
      </w:r>
    </w:p>
  </w:footnote>
  <w:footnote w:id="1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الصحاح،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دیث</w:t>
      </w:r>
      <w:r>
        <w:rPr>
          <w:rFonts w:eastAsia="IRNazanin" w:cs="IRNazanin"/>
          <w:b w:val="false"/>
          <w:bCs w:val="false"/>
          <w:i w:val="false"/>
          <w:iCs w:val="false"/>
          <w:color w:val="333333"/>
          <w:sz w:val="20"/>
          <w:szCs w:val="20"/>
          <w:rtl w:val="true"/>
        </w:rPr>
        <w:t>».</w:t>
      </w:r>
    </w:p>
  </w:footnote>
  <w:footnote w:id="1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نقله ابن قدامة في المغني المطبوع مع الشرح الكبير،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207</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7224</w:t>
      </w:r>
      <w:r>
        <w:rPr>
          <w:rFonts w:ascii="IRNazanin" w:hAnsi="IRNazanin" w:eastAsia="IRNazanin"/>
          <w:b w:val="false"/>
          <w:b w:val="false"/>
          <w:bCs w:val="false"/>
          <w:i w:val="false"/>
          <w:i w:val="false"/>
          <w:iCs w:val="false"/>
          <w:color w:val="333333"/>
          <w:sz w:val="20"/>
          <w:sz w:val="20"/>
          <w:szCs w:val="20"/>
          <w:rtl w:val="true"/>
        </w:rPr>
        <w:t xml:space="preserve">؛ وابن فهد الحلي في المهذب البارع،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71</w:t>
      </w:r>
    </w:p>
  </w:footnote>
  <w:footnote w:id="1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نقله ابن قدامة في المغني المطبوع مع الشرح الكبير،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207</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7224</w:t>
      </w:r>
      <w:r>
        <w:rPr>
          <w:rFonts w:ascii="IRNazanin" w:hAnsi="IRNazanin" w:eastAsia="IRNazanin"/>
          <w:b w:val="false"/>
          <w:b w:val="false"/>
          <w:bCs w:val="false"/>
          <w:i w:val="false"/>
          <w:i w:val="false"/>
          <w:iCs w:val="false"/>
          <w:color w:val="333333"/>
          <w:sz w:val="20"/>
          <w:sz w:val="20"/>
          <w:szCs w:val="20"/>
          <w:rtl w:val="true"/>
        </w:rPr>
        <w:t xml:space="preserve">؛ وابن فهد الحلي في المهذب البارع،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71</w:t>
      </w:r>
    </w:p>
  </w:footnote>
  <w:footnote w:id="1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نقله ابن قدامة في المغني المطبوع مع الشرح الكبير،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207</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7224</w:t>
      </w:r>
      <w:r>
        <w:rPr>
          <w:rFonts w:ascii="IRNazanin" w:hAnsi="IRNazanin" w:eastAsia="IRNazanin"/>
          <w:b w:val="false"/>
          <w:b w:val="false"/>
          <w:bCs w:val="false"/>
          <w:i w:val="false"/>
          <w:i w:val="false"/>
          <w:iCs w:val="false"/>
          <w:color w:val="333333"/>
          <w:sz w:val="20"/>
          <w:sz w:val="20"/>
          <w:szCs w:val="20"/>
          <w:rtl w:val="true"/>
        </w:rPr>
        <w:t xml:space="preserve">؛ وابن فهد الحلي في المهذب البارع،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71</w:t>
      </w:r>
    </w:p>
  </w:footnote>
  <w:footnote w:id="1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المعجم الوسيط، ص </w:t>
      </w:r>
      <w:r>
        <w:rPr>
          <w:rFonts w:eastAsia="IRNazanin" w:cs="IRNazanin"/>
          <w:b w:val="false"/>
          <w:bCs w:val="false"/>
          <w:i w:val="false"/>
          <w:iCs w:val="false"/>
          <w:color w:val="333333"/>
          <w:sz w:val="20"/>
          <w:szCs w:val="20"/>
        </w:rPr>
        <w:t>916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نزو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نزو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وثب</w:t>
      </w:r>
      <w:r>
        <w:rPr>
          <w:rFonts w:eastAsia="IRNazanin" w:cs="IRNazanin"/>
          <w:b w:val="false"/>
          <w:bCs w:val="false"/>
          <w:i w:val="false"/>
          <w:iCs w:val="false"/>
          <w:color w:val="333333"/>
          <w:sz w:val="20"/>
          <w:szCs w:val="20"/>
          <w:rtl w:val="true"/>
        </w:rPr>
        <w:t>.</w:t>
      </w:r>
    </w:p>
  </w:footnote>
  <w:footnote w:id="1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المعجم الوسيط، ص </w:t>
      </w:r>
      <w:r>
        <w:rPr>
          <w:rFonts w:eastAsia="IRNazanin" w:cs="IRNazanin"/>
          <w:b w:val="false"/>
          <w:bCs w:val="false"/>
          <w:i w:val="false"/>
          <w:iCs w:val="false"/>
          <w:color w:val="333333"/>
          <w:sz w:val="20"/>
          <w:szCs w:val="20"/>
        </w:rPr>
        <w:t>168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حرقص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الحرُقُوص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دويبة نحو البرغوث</w:t>
      </w:r>
      <w:r>
        <w:rPr>
          <w:rFonts w:eastAsia="IRNazanin" w:cs="IRNazanin"/>
          <w:b w:val="false"/>
          <w:bCs w:val="false"/>
          <w:i w:val="false"/>
          <w:iCs w:val="false"/>
          <w:color w:val="333333"/>
          <w:sz w:val="20"/>
          <w:szCs w:val="20"/>
          <w:rtl w:val="true"/>
        </w:rPr>
        <w:t>.</w:t>
      </w:r>
    </w:p>
  </w:footnote>
  <w:footnote w:id="1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689</w:t>
      </w:r>
      <w:r>
        <w:rPr>
          <w:rFonts w:eastAsia="IRNazanin" w:cs="IRNazanin"/>
          <w:b w:val="false"/>
          <w:bCs w:val="false"/>
          <w:i w:val="false"/>
          <w:iCs w:val="false"/>
          <w:color w:val="333333"/>
          <w:sz w:val="20"/>
          <w:szCs w:val="20"/>
          <w:rtl w:val="true"/>
        </w:rPr>
        <w:t>.</w:t>
      </w:r>
    </w:p>
  </w:footnote>
  <w:footnote w:id="1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690</w:t>
      </w:r>
      <w:r>
        <w:rPr>
          <w:rFonts w:eastAsia="IRNazanin" w:cs="IRNazanin"/>
          <w:b w:val="false"/>
          <w:bCs w:val="false"/>
          <w:i w:val="false"/>
          <w:iCs w:val="false"/>
          <w:color w:val="333333"/>
          <w:sz w:val="20"/>
          <w:szCs w:val="20"/>
          <w:rtl w:val="true"/>
        </w:rPr>
        <w:t>.</w:t>
      </w:r>
    </w:p>
  </w:footnote>
  <w:footnote w:id="1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الأمالي الصدوق، ص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المجلس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المقنعة، ص </w:t>
      </w:r>
      <w:r>
        <w:rPr>
          <w:rFonts w:eastAsia="IRNazanin" w:cs="IRNazanin"/>
          <w:b w:val="false"/>
          <w:bCs w:val="false"/>
          <w:i w:val="false"/>
          <w:iCs w:val="false"/>
          <w:color w:val="333333"/>
          <w:sz w:val="20"/>
          <w:szCs w:val="20"/>
        </w:rPr>
        <w:t>796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قواعد الأحكام،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544</w:t>
      </w:r>
      <w:r>
        <w:rPr>
          <w:rFonts w:eastAsia="IRNazanin" w:cs="IRNazanin"/>
          <w:b w:val="false"/>
          <w:bCs w:val="false"/>
          <w:i w:val="false"/>
          <w:iCs w:val="false"/>
          <w:color w:val="333333"/>
          <w:sz w:val="20"/>
          <w:szCs w:val="20"/>
          <w:rtl w:val="true"/>
        </w:rPr>
        <w:t>.</w:t>
      </w:r>
    </w:p>
  </w:footnote>
  <w:footnote w:id="1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القول الأقوى للشيخ في النهاية، ص </w:t>
      </w:r>
      <w:r>
        <w:rPr>
          <w:rFonts w:eastAsia="IRNazanin" w:cs="IRNazanin"/>
          <w:b w:val="false"/>
          <w:bCs w:val="false"/>
          <w:i w:val="false"/>
          <w:iCs w:val="false"/>
          <w:color w:val="333333"/>
          <w:sz w:val="20"/>
          <w:szCs w:val="20"/>
        </w:rPr>
        <w:t>722</w:t>
      </w:r>
      <w:r>
        <w:rPr>
          <w:rFonts w:eastAsia="IRNazanin" w:cs="IRNazanin"/>
          <w:b w:val="false"/>
          <w:bCs w:val="false"/>
          <w:i w:val="false"/>
          <w:iCs w:val="false"/>
          <w:color w:val="333333"/>
          <w:sz w:val="20"/>
          <w:szCs w:val="20"/>
          <w:rtl w:val="true"/>
        </w:rPr>
        <w:t>.</w:t>
      </w:r>
    </w:p>
  </w:footnote>
  <w:footnote w:id="1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النور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270</w:t>
      </w:r>
    </w:p>
  </w:footnote>
  <w:footnote w:id="1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وما بعدها</w:t>
      </w:r>
      <w:r>
        <w:rPr>
          <w:rFonts w:eastAsia="IRNazanin" w:cs="IRNazanin"/>
          <w:b w:val="false"/>
          <w:bCs w:val="false"/>
          <w:i w:val="false"/>
          <w:iCs w:val="false"/>
          <w:color w:val="333333"/>
          <w:sz w:val="20"/>
          <w:szCs w:val="20"/>
          <w:rtl w:val="true"/>
        </w:rPr>
        <w:t>.</w:t>
      </w:r>
    </w:p>
  </w:footnote>
  <w:footnote w:id="1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350</w:t>
      </w:r>
      <w:r>
        <w:rPr>
          <w:rFonts w:eastAsia="IRNazanin" w:cs="IRNazanin"/>
          <w:b w:val="false"/>
          <w:bCs w:val="false"/>
          <w:i w:val="false"/>
          <w:iCs w:val="false"/>
          <w:color w:val="333333"/>
          <w:sz w:val="20"/>
          <w:szCs w:val="20"/>
          <w:rtl w:val="true"/>
        </w:rPr>
        <w:t>.</w:t>
      </w:r>
    </w:p>
  </w:footnote>
  <w:footnote w:id="1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p>
  </w:footnote>
  <w:footnote w:id="1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278</w:t>
      </w:r>
    </w:p>
  </w:footnote>
  <w:footnote w:id="11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القمي،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144</w:t>
      </w:r>
      <w:r>
        <w:rPr>
          <w:rFonts w:ascii="IRNazanin" w:hAnsi="IRNazanin" w:eastAsia="IRNazanin"/>
          <w:b w:val="false"/>
          <w:b w:val="false"/>
          <w:bCs w:val="false"/>
          <w:i w:val="false"/>
          <w:i w:val="false"/>
          <w:iCs w:val="false"/>
          <w:color w:val="333333"/>
          <w:sz w:val="20"/>
          <w:sz w:val="20"/>
          <w:szCs w:val="20"/>
          <w:rtl w:val="true"/>
        </w:rPr>
        <w:t xml:space="preserve">؛ تفسير البيضاوي،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337</w:t>
      </w:r>
      <w:r>
        <w:rPr>
          <w:rFonts w:ascii="IRNazanin" w:hAnsi="IRNazanin" w:eastAsia="IRNazanin"/>
          <w:b w:val="false"/>
          <w:b w:val="false"/>
          <w:bCs w:val="false"/>
          <w:i w:val="false"/>
          <w:i w:val="false"/>
          <w:iCs w:val="false"/>
          <w:color w:val="333333"/>
          <w:sz w:val="20"/>
          <w:sz w:val="20"/>
          <w:szCs w:val="20"/>
          <w:rtl w:val="true"/>
        </w:rPr>
        <w:t xml:space="preserve">؛ تفسير العياشي،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ذيل الآية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النساء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آنفاً</w:t>
      </w:r>
      <w:r>
        <w:rPr>
          <w:rFonts w:eastAsia="IRNazanin" w:cs="IRNazanin"/>
          <w:b w:val="false"/>
          <w:bCs w:val="false"/>
          <w:i w:val="false"/>
          <w:iCs w:val="false"/>
          <w:color w:val="333333"/>
          <w:sz w:val="20"/>
          <w:szCs w:val="20"/>
          <w:rtl w:val="true"/>
        </w:rPr>
        <w:t>.</w:t>
      </w:r>
    </w:p>
  </w:footnote>
  <w:footnote w:id="1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غاية المراد،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 موسوعة الشهيد الأول،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منهم ابن زهرة في غنية النزوع،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428</w:t>
      </w:r>
      <w:r>
        <w:rPr>
          <w:rFonts w:eastAsia="IRNazanin" w:cs="IRNazanin"/>
          <w:b w:val="false"/>
          <w:bCs w:val="false"/>
          <w:i w:val="false"/>
          <w:iCs w:val="false"/>
          <w:color w:val="333333"/>
          <w:sz w:val="20"/>
          <w:szCs w:val="20"/>
          <w:rtl w:val="true"/>
        </w:rPr>
        <w:t>.</w:t>
      </w:r>
    </w:p>
  </w:footnote>
  <w:footnote w:id="1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غاية المراد،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ضمن موسوعة الشهيد الأول،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p>
  </w:footnote>
  <w:footnote w:id="1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p>
  </w:footnote>
  <w:footnote w:id="1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p>
  </w:footnote>
  <w:footnote w:id="1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نقله الشيخ في التبيان،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171</w:t>
      </w:r>
    </w:p>
  </w:footnote>
  <w:footnote w:id="1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p>
  </w:footnote>
  <w:footnote w:id="1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المائدة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p>
  </w:footnote>
  <w:footnote w:id="1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سعيد في الجامع للشرائع، ص </w:t>
      </w:r>
      <w:r>
        <w:rPr>
          <w:rFonts w:eastAsia="IRNazanin" w:cs="IRNazanin"/>
          <w:b w:val="false"/>
          <w:bCs w:val="false"/>
          <w:i w:val="false"/>
          <w:iCs w:val="false"/>
          <w:color w:val="333333"/>
          <w:sz w:val="20"/>
          <w:szCs w:val="20"/>
        </w:rPr>
        <w:t>564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والعلّامة في قواعد الأحكام،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545</w:t>
      </w:r>
      <w:r>
        <w:rPr>
          <w:rFonts w:ascii="IRNazanin" w:hAnsi="IRNazanin" w:eastAsia="IRNazanin"/>
          <w:b w:val="false"/>
          <w:b w:val="false"/>
          <w:bCs w:val="false"/>
          <w:i w:val="false"/>
          <w:i w:val="false"/>
          <w:iCs w:val="false"/>
          <w:color w:val="333333"/>
          <w:sz w:val="20"/>
          <w:sz w:val="20"/>
          <w:szCs w:val="20"/>
          <w:rtl w:val="true"/>
        </w:rPr>
        <w:t xml:space="preserve">؛ وابن حمزة في الوسيلة، ص </w:t>
      </w:r>
      <w:r>
        <w:rPr>
          <w:rFonts w:eastAsia="IRNazanin" w:cs="IRNazanin"/>
          <w:b w:val="false"/>
          <w:bCs w:val="false"/>
          <w:i w:val="false"/>
          <w:iCs w:val="false"/>
          <w:color w:val="333333"/>
          <w:sz w:val="20"/>
          <w:szCs w:val="20"/>
        </w:rPr>
        <w:t>421</w:t>
      </w:r>
      <w:r>
        <w:rPr>
          <w:rFonts w:eastAsia="IRNazanin" w:cs="IRNazanin"/>
          <w:b w:val="false"/>
          <w:bCs w:val="false"/>
          <w:i w:val="false"/>
          <w:iCs w:val="false"/>
          <w:color w:val="333333"/>
          <w:sz w:val="20"/>
          <w:szCs w:val="20"/>
          <w:rtl w:val="true"/>
        </w:rPr>
        <w:t>.</w:t>
      </w:r>
    </w:p>
  </w:footnote>
  <w:footnote w:id="1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القواعد والفوائد، ص </w:t>
      </w:r>
      <w:r>
        <w:rPr>
          <w:rFonts w:eastAsia="IRNazanin" w:cs="IRNazanin"/>
          <w:b w:val="false"/>
          <w:bCs w:val="false"/>
          <w:i w:val="false"/>
          <w:iCs w:val="false"/>
          <w:color w:val="333333"/>
          <w:sz w:val="20"/>
          <w:szCs w:val="20"/>
        </w:rPr>
        <w:t>355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ضمن موسوعة الشهيد الأول، 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1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الأمالي الصدوق، ص </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 xml:space="preserve">، المجلس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أورده ابن إدريس في مستطرفات السرائر،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644</w:t>
      </w:r>
      <w:r>
        <w:rPr>
          <w:rFonts w:eastAsia="IRNazanin" w:cs="IRNazanin"/>
          <w:b w:val="false"/>
          <w:bCs w:val="false"/>
          <w:i w:val="false"/>
          <w:iCs w:val="false"/>
          <w:color w:val="333333"/>
          <w:sz w:val="20"/>
          <w:szCs w:val="20"/>
          <w:rtl w:val="true"/>
        </w:rPr>
        <w:t>.</w:t>
      </w:r>
    </w:p>
  </w:footnote>
  <w:footnote w:id="1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المقنع، ص </w:t>
      </w:r>
      <w:r>
        <w:rPr>
          <w:rFonts w:eastAsia="IRNazanin" w:cs="IRNazanin"/>
          <w:b w:val="false"/>
          <w:bCs w:val="false"/>
          <w:i w:val="false"/>
          <w:iCs w:val="false"/>
          <w:color w:val="333333"/>
          <w:sz w:val="20"/>
          <w:szCs w:val="20"/>
        </w:rPr>
        <w:t>508</w:t>
      </w:r>
    </w:p>
  </w:footnote>
  <w:footnote w:id="1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نقله عن ابن الجنيد العلامة في مختلف الشيعة،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121</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1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قواعد الأحكام،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545</w:t>
      </w:r>
      <w:r>
        <w:rPr>
          <w:rFonts w:eastAsia="IRNazanin" w:cs="IRNazanin"/>
          <w:b w:val="false"/>
          <w:bCs w:val="false"/>
          <w:i w:val="false"/>
          <w:iCs w:val="false"/>
          <w:color w:val="333333"/>
          <w:sz w:val="20"/>
          <w:szCs w:val="20"/>
          <w:rtl w:val="true"/>
        </w:rPr>
        <w:t>.</w:t>
      </w:r>
    </w:p>
  </w:footnote>
  <w:footnote w:id="1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w:t>
      </w:r>
    </w:p>
  </w:footnote>
  <w:footnote w:id="1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w:t>
      </w:r>
    </w:p>
  </w:footnote>
  <w:footnote w:id="1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w:t>
      </w:r>
    </w:p>
  </w:footnote>
  <w:footnote w:id="1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حكاه عنه العلّامة في مختلف الشيعة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269</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w:t>
      </w:r>
    </w:p>
  </w:footnote>
  <w:footnote w:id="1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مختلف الشيعة،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270</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w:t>
      </w:r>
    </w:p>
  </w:footnote>
  <w:footnote w:id="1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535</w:t>
      </w:r>
    </w:p>
  </w:footnote>
  <w:footnote w:id="1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النور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p>
  </w:footnote>
  <w:footnote w:id="1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تقدما في ص </w:t>
      </w:r>
      <w:r>
        <w:rPr>
          <w:rFonts w:eastAsia="IRNazanin" w:cs="IRNazanin"/>
          <w:b w:val="false"/>
          <w:bCs w:val="false"/>
          <w:i w:val="false"/>
          <w:iCs w:val="false"/>
          <w:color w:val="333333"/>
          <w:sz w:val="20"/>
          <w:szCs w:val="20"/>
        </w:rPr>
        <w:t>290</w:t>
      </w:r>
      <w:r>
        <w:rPr>
          <w:rFonts w:ascii="IRNazanin" w:hAnsi="IRNazanin" w:eastAsia="IRNazanin"/>
          <w:b w:val="false"/>
          <w:b w:val="false"/>
          <w:bCs w:val="false"/>
          <w:i w:val="false"/>
          <w:i w:val="false"/>
          <w:iCs w:val="false"/>
          <w:color w:val="333333"/>
          <w:sz w:val="20"/>
          <w:sz w:val="20"/>
          <w:szCs w:val="20"/>
          <w:rtl w:val="true"/>
        </w:rPr>
        <w:t xml:space="preserve">، الهامش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العلامة في قواعد الأحكام،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548</w:t>
      </w:r>
      <w:r>
        <w:rPr>
          <w:rFonts w:ascii="IRNazanin" w:hAnsi="IRNazanin" w:eastAsia="IRNazanin"/>
          <w:b w:val="false"/>
          <w:b w:val="false"/>
          <w:bCs w:val="false"/>
          <w:i w:val="false"/>
          <w:i w:val="false"/>
          <w:iCs w:val="false"/>
          <w:color w:val="333333"/>
          <w:sz w:val="20"/>
          <w:sz w:val="20"/>
          <w:szCs w:val="20"/>
          <w:rtl w:val="true"/>
        </w:rPr>
        <w:t xml:space="preserve">؛ وتحرير الأحكام الشرعية،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407</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6961</w:t>
      </w:r>
      <w:r>
        <w:rPr>
          <w:rFonts w:eastAsia="IRNazanin" w:cs="IRNazanin"/>
          <w:b w:val="false"/>
          <w:bCs w:val="false"/>
          <w:i w:val="false"/>
          <w:iCs w:val="false"/>
          <w:color w:val="333333"/>
          <w:sz w:val="20"/>
          <w:szCs w:val="20"/>
          <w:rtl w:val="true"/>
        </w:rPr>
        <w:t>.</w:t>
      </w:r>
    </w:p>
  </w:footnote>
  <w:footnote w:id="1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ص </w:t>
      </w:r>
      <w:r>
        <w:rPr>
          <w:rFonts w:eastAsia="IRNazanin" w:cs="IRNazanin"/>
          <w:b w:val="false"/>
          <w:bCs w:val="false"/>
          <w:i w:val="false"/>
          <w:iCs w:val="false"/>
          <w:color w:val="333333"/>
          <w:sz w:val="20"/>
          <w:szCs w:val="20"/>
        </w:rPr>
        <w:t>281</w:t>
      </w:r>
    </w:p>
  </w:footnote>
  <w:footnote w:id="1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شرائع الإسلام،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154</w:t>
      </w:r>
    </w:p>
  </w:footnote>
  <w:footnote w:id="1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نبه بالمشهور على أن مستند الحكم رواية عمار وهي مع ما يعلم من حاله مقطوعة لكن لا نعلم مخالفاً في ذلك</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منه رحمه الله </w:t>
      </w:r>
      <w:r>
        <w:rPr>
          <w:rFonts w:eastAsia="IRNazanin" w:cs="IRNazanin"/>
          <w:b w:val="false"/>
          <w:bCs w:val="false"/>
          <w:i w:val="false"/>
          <w:iCs w:val="false"/>
          <w:color w:val="333333"/>
          <w:sz w:val="20"/>
          <w:szCs w:val="20"/>
          <w:rtl w:val="true"/>
        </w:rPr>
        <w:t>)</w:t>
      </w:r>
    </w:p>
  </w:footnote>
  <w:footnote w:id="1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المقنع، ص </w:t>
      </w:r>
      <w:r>
        <w:rPr>
          <w:rFonts w:eastAsia="IRNazanin" w:cs="IRNazanin"/>
          <w:b w:val="false"/>
          <w:bCs w:val="false"/>
          <w:i w:val="false"/>
          <w:iCs w:val="false"/>
          <w:color w:val="333333"/>
          <w:sz w:val="20"/>
          <w:szCs w:val="20"/>
        </w:rPr>
        <w:t>442</w:t>
      </w:r>
      <w:r>
        <w:rPr>
          <w:rFonts w:eastAsia="IRNazanin" w:cs="IRNazanin"/>
          <w:b w:val="false"/>
          <w:bCs w:val="false"/>
          <w:i w:val="false"/>
          <w:iCs w:val="false"/>
          <w:color w:val="333333"/>
          <w:sz w:val="20"/>
          <w:szCs w:val="20"/>
          <w:rtl w:val="true"/>
        </w:rPr>
        <w:t>.</w:t>
      </w:r>
    </w:p>
  </w:footnote>
  <w:footnote w:id="1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519</w:t>
      </w:r>
      <w:r>
        <w:rPr>
          <w:rFonts w:eastAsia="IRNazanin" w:cs="IRNazanin"/>
          <w:b w:val="false"/>
          <w:bCs w:val="false"/>
          <w:i w:val="false"/>
          <w:iCs w:val="false"/>
          <w:color w:val="333333"/>
          <w:sz w:val="20"/>
          <w:szCs w:val="20"/>
          <w:rtl w:val="true"/>
        </w:rPr>
        <w:t>.</w:t>
      </w:r>
    </w:p>
  </w:footnote>
  <w:footnote w:id="1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ص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 xml:space="preserve"> .</w:t>
      </w:r>
    </w:p>
  </w:footnote>
  <w:footnote w:id="1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ص </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 xml:space="preserve"> .</w:t>
      </w:r>
    </w:p>
  </w:footnote>
  <w:footnote w:id="11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التنابز بالألقاب التداعي بها إذا كانت مشتملة على الذم والقول بعدم تعزيرهم على ذلك مع أن المسلم يستحق التعزير به هو المشهور بين الأصحاب، بل لم يذكر كثير منهم فيه خلافاً، وكأن وجهه تكافؤ السبب والهجاء من الجانبين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كما يسقط الحد عن المسلمين بالتقاذف لذلك، ولجواز الإعراض عنهم في الحدود والأحكام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فهاهنا أولى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نعم، لو خشي وقوع فتنة بينهم بسبب ذلك فله حسمها بما يراه الحاكم من ضربهم أو بعضهم دفعاً للفتنة ولفعلهم المحرّم، ونسب في الشرائع الحكم إلى القيل مؤذناً بعدم قبوله ، ووجهه أنّ ذلك فعل محرم يستحق فاعله التعزير، والأصل عدم سقوطه بمقابلة الآخر بمثله، بل يجب على كلّ منهما ما اقتضى فعله، فسقوطه يحتاج إلى دليل كما يسقط الحدّ عن المتقاذفين بالنص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زين رحمه الله </w:t>
      </w:r>
      <w:r>
        <w:rPr>
          <w:rFonts w:eastAsia="IRNazanin" w:cs="IRNazanin"/>
          <w:b w:val="false"/>
          <w:bCs w:val="false"/>
          <w:i w:val="false"/>
          <w:iCs w:val="false"/>
          <w:color w:val="333333"/>
          <w:sz w:val="20"/>
          <w:szCs w:val="20"/>
          <w:rtl w:val="true"/>
        </w:rPr>
        <w:t>)</w:t>
      </w:r>
    </w:p>
  </w:footnote>
  <w:footnote w:id="11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وفي رواية حماد بن عثمان قال قلت لأبي عبد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 أدب الصبي والمملوك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خمسة أو ستة فأرفق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وبمضمونها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غير الشيخ في النهاية ولم يذكر بلوغ العشرة وعن أمير المؤمنين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أن صبيان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الكتاب القوا ألواحهم بين يديه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ليخبر بينهم فقال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إنها حكومة والجور فيها كالجور في الحكم، أبلغوا معلّمكم أنّ ضربكم فوق ثلاث ضربات في الأدب اقتص منه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منه رحمه الله</w:t>
      </w:r>
      <w:r>
        <w:rPr>
          <w:rFonts w:eastAsia="IRNazanin" w:cs="IRNazanin"/>
          <w:b w:val="false"/>
          <w:bCs w:val="false"/>
          <w:i w:val="false"/>
          <w:iCs w:val="false"/>
          <w:color w:val="333333"/>
          <w:sz w:val="20"/>
          <w:szCs w:val="20"/>
          <w:rtl w:val="true"/>
        </w:rPr>
        <w:t>)</w:t>
      </w:r>
    </w:p>
  </w:footnote>
  <w:footnote w:id="11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599</w:t>
      </w:r>
      <w:r>
        <w:rPr>
          <w:rFonts w:eastAsia="IRNazanin" w:cs="IRNazanin"/>
          <w:b w:val="false"/>
          <w:bCs w:val="false"/>
          <w:i w:val="false"/>
          <w:iCs w:val="false"/>
          <w:color w:val="333333"/>
          <w:sz w:val="20"/>
          <w:szCs w:val="20"/>
          <w:rtl w:val="true"/>
        </w:rPr>
        <w:t>.</w:t>
      </w:r>
    </w:p>
  </w:footnote>
  <w:footnote w:id="11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331</w:t>
      </w:r>
    </w:p>
  </w:footnote>
  <w:footnote w:id="11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335</w:t>
      </w:r>
      <w:r>
        <w:rPr>
          <w:rFonts w:eastAsia="IRNazanin" w:cs="IRNazanin"/>
          <w:b w:val="false"/>
          <w:bCs w:val="false"/>
          <w:i w:val="false"/>
          <w:iCs w:val="false"/>
          <w:color w:val="333333"/>
          <w:sz w:val="20"/>
          <w:szCs w:val="20"/>
          <w:rtl w:val="true"/>
        </w:rPr>
        <w:t>.</w:t>
      </w:r>
    </w:p>
  </w:footnote>
  <w:footnote w:id="11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أورد السيد عليّ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على هذا أن الدليل غير مطابق للدعوى، وأراد به أن سابّ النبي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وآله وسلم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والأئمة يلحق به سابّ الأنبياء والساب الأوّل غير مختص بالمسلم والتعليل مختص بالمسلم</w:t>
      </w:r>
      <w:r>
        <w:rPr>
          <w:rFonts w:eastAsia="IRNazanin" w:cs="IRNazanin"/>
          <w:b w:val="false"/>
          <w:bCs w:val="false"/>
          <w:i w:val="false"/>
          <w:iCs w:val="false"/>
          <w:color w:val="333333"/>
          <w:sz w:val="20"/>
          <w:szCs w:val="20"/>
          <w:rtl w:val="true"/>
        </w:rPr>
        <w:t>.</w:t>
      </w:r>
    </w:p>
  </w:footnote>
  <w:footnote w:id="11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583</w:t>
      </w:r>
      <w:r>
        <w:rPr>
          <w:rFonts w:eastAsia="IRNazanin" w:cs="IRNazanin"/>
          <w:b w:val="false"/>
          <w:bCs w:val="false"/>
          <w:i w:val="false"/>
          <w:iCs w:val="false"/>
          <w:color w:val="333333"/>
          <w:sz w:val="20"/>
          <w:szCs w:val="20"/>
          <w:rtl w:val="true"/>
        </w:rPr>
        <w:t>.</w:t>
      </w:r>
    </w:p>
  </w:footnote>
  <w:footnote w:id="11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586</w:t>
      </w:r>
      <w:r>
        <w:rPr>
          <w:rFonts w:eastAsia="IRNazanin" w:cs="IRNazanin"/>
          <w:b w:val="false"/>
          <w:bCs w:val="false"/>
          <w:i w:val="false"/>
          <w:iCs w:val="false"/>
          <w:color w:val="333333"/>
          <w:sz w:val="20"/>
          <w:szCs w:val="20"/>
          <w:rtl w:val="true"/>
        </w:rPr>
        <w:t>.</w:t>
      </w:r>
    </w:p>
  </w:footnote>
  <w:footnote w:id="11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تهذيب الأحكام،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w:t>
      </w:r>
    </w:p>
  </w:footnote>
  <w:footnote w:id="11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شرائع الإسلام،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قواعد الأحكام،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548</w:t>
      </w:r>
      <w:r>
        <w:rPr>
          <w:rFonts w:eastAsia="IRNazanin" w:cs="IRNazanin"/>
          <w:b w:val="false"/>
          <w:bCs w:val="false"/>
          <w:i w:val="false"/>
          <w:iCs w:val="false"/>
          <w:color w:val="333333"/>
          <w:sz w:val="20"/>
          <w:szCs w:val="20"/>
          <w:rtl w:val="true"/>
        </w:rPr>
        <w:t>.</w:t>
      </w:r>
    </w:p>
  </w:footnote>
  <w:footnote w:id="11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544</w:t>
      </w:r>
      <w:r>
        <w:rPr>
          <w:rFonts w:eastAsia="IRNazanin" w:cs="IRNazanin"/>
          <w:b w:val="false"/>
          <w:bCs w:val="false"/>
          <w:i w:val="false"/>
          <w:iCs w:val="false"/>
          <w:color w:val="333333"/>
          <w:sz w:val="20"/>
          <w:szCs w:val="20"/>
          <w:rtl w:val="true"/>
        </w:rPr>
        <w:t>.</w:t>
      </w:r>
    </w:p>
  </w:footnote>
  <w:footnote w:id="11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خميرة </w:t>
      </w:r>
      <w:r>
        <w:rPr>
          <w:rFonts w:eastAsia="IRNazanin" w:cs="IRNazanin"/>
          <w:b w:val="false"/>
          <w:bCs w:val="false"/>
          <w:i w:val="false"/>
          <w:iCs w:val="false"/>
          <w:color w:val="333333"/>
          <w:sz w:val="20"/>
          <w:szCs w:val="20"/>
          <w:rtl w:val="true"/>
        </w:rPr>
        <w:t>».</w:t>
      </w:r>
    </w:p>
  </w:footnote>
  <w:footnote w:id="11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515</w:t>
      </w:r>
      <w:r>
        <w:rPr>
          <w:rFonts w:eastAsia="IRNazanin" w:cs="IRNazanin"/>
          <w:b w:val="false"/>
          <w:bCs w:val="false"/>
          <w:i w:val="false"/>
          <w:iCs w:val="false"/>
          <w:color w:val="333333"/>
          <w:sz w:val="20"/>
          <w:szCs w:val="20"/>
          <w:rtl w:val="true"/>
        </w:rPr>
        <w:t>.</w:t>
      </w:r>
    </w:p>
  </w:footnote>
  <w:footnote w:id="11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منهم الشيخ في النهاية، ص </w:t>
      </w:r>
      <w:r>
        <w:rPr>
          <w:rFonts w:eastAsia="IRNazanin" w:cs="IRNazanin"/>
          <w:b w:val="false"/>
          <w:bCs w:val="false"/>
          <w:i w:val="false"/>
          <w:iCs w:val="false"/>
          <w:color w:val="333333"/>
          <w:sz w:val="20"/>
          <w:szCs w:val="20"/>
        </w:rPr>
        <w:t>591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وابن البراج في المهذب،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433</w:t>
      </w:r>
      <w:r>
        <w:rPr>
          <w:rFonts w:ascii="IRNazanin" w:hAnsi="IRNazanin" w:eastAsia="IRNazanin"/>
          <w:b w:val="false"/>
          <w:b w:val="false"/>
          <w:bCs w:val="false"/>
          <w:i w:val="false"/>
          <w:i w:val="false"/>
          <w:iCs w:val="false"/>
          <w:color w:val="333333"/>
          <w:sz w:val="20"/>
          <w:sz w:val="20"/>
          <w:szCs w:val="20"/>
          <w:rtl w:val="true"/>
        </w:rPr>
        <w:t xml:space="preserve">؛ والعلّامة في قواعد الأحكام،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550</w:t>
      </w:r>
    </w:p>
  </w:footnote>
  <w:footnote w:id="11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ص </w:t>
      </w:r>
      <w:r>
        <w:rPr>
          <w:rFonts w:eastAsia="IRNazanin" w:cs="IRNazanin"/>
          <w:b w:val="false"/>
          <w:bCs w:val="false"/>
          <w:i w:val="false"/>
          <w:iCs w:val="false"/>
          <w:color w:val="333333"/>
          <w:sz w:val="20"/>
          <w:szCs w:val="20"/>
        </w:rPr>
        <w:t>154</w:t>
      </w:r>
      <w:r>
        <w:rPr>
          <w:rFonts w:ascii="IRNazanin" w:hAnsi="IRNazanin" w:eastAsia="IRNazanin"/>
          <w:b w:val="false"/>
          <w:b w:val="false"/>
          <w:bCs w:val="false"/>
          <w:i w:val="false"/>
          <w:i w:val="false"/>
          <w:iCs w:val="false"/>
          <w:color w:val="333333"/>
          <w:sz w:val="20"/>
          <w:sz w:val="20"/>
          <w:szCs w:val="20"/>
          <w:rtl w:val="true"/>
        </w:rPr>
        <w:t>، كتاب الأطعمة والأشربة</w:t>
      </w:r>
      <w:r>
        <w:rPr>
          <w:rFonts w:eastAsia="IRNazanin" w:cs="IRNazanin"/>
          <w:b w:val="false"/>
          <w:bCs w:val="false"/>
          <w:i w:val="false"/>
          <w:iCs w:val="false"/>
          <w:color w:val="333333"/>
          <w:sz w:val="20"/>
          <w:szCs w:val="20"/>
          <w:rtl w:val="true"/>
        </w:rPr>
        <w:t>.</w:t>
      </w:r>
    </w:p>
  </w:footnote>
  <w:footnote w:id="11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ذكرى الشيعة،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ضمن موسوعة الشهيد الأول،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1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آنفاً </w:t>
      </w:r>
      <w:r>
        <w:rPr>
          <w:rFonts w:eastAsia="IRNazanin" w:cs="IRNazanin"/>
          <w:b w:val="false"/>
          <w:bCs w:val="false"/>
          <w:i w:val="false"/>
          <w:iCs w:val="false"/>
          <w:color w:val="333333"/>
          <w:sz w:val="20"/>
          <w:szCs w:val="20"/>
          <w:rtl w:val="true"/>
        </w:rPr>
        <w:t>.</w:t>
      </w:r>
    </w:p>
  </w:footnote>
  <w:footnote w:id="11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الدروس الشرعية،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xml:space="preserve">؛ البيان، ص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 موسوعة الشهيد الأول، 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11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المحقق في شرائع الإسلام،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xml:space="preserve">؛ والمعتبر،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424</w:t>
      </w:r>
      <w:r>
        <w:rPr>
          <w:rFonts w:eastAsia="IRNazanin" w:cs="IRNazanin"/>
          <w:b w:val="false"/>
          <w:bCs w:val="false"/>
          <w:i w:val="false"/>
          <w:iCs w:val="false"/>
          <w:color w:val="333333"/>
          <w:sz w:val="20"/>
          <w:szCs w:val="20"/>
          <w:rtl w:val="true"/>
        </w:rPr>
        <w:t>.</w:t>
      </w:r>
    </w:p>
  </w:footnote>
  <w:footnote w:id="11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منهم الشيخ في النهاية، ص </w:t>
      </w:r>
      <w:r>
        <w:rPr>
          <w:rFonts w:eastAsia="IRNazanin" w:cs="IRNazanin"/>
          <w:b w:val="false"/>
          <w:bCs w:val="false"/>
          <w:i w:val="false"/>
          <w:iCs w:val="false"/>
          <w:color w:val="333333"/>
          <w:sz w:val="20"/>
          <w:szCs w:val="20"/>
        </w:rPr>
        <w:t>591</w:t>
      </w:r>
      <w:r>
        <w:rPr>
          <w:rFonts w:ascii="IRNazanin" w:hAnsi="IRNazanin" w:eastAsia="IRNazanin"/>
          <w:b w:val="false"/>
          <w:b w:val="false"/>
          <w:bCs w:val="false"/>
          <w:i w:val="false"/>
          <w:i w:val="false"/>
          <w:iCs w:val="false"/>
          <w:color w:val="333333"/>
          <w:sz w:val="20"/>
          <w:sz w:val="20"/>
          <w:szCs w:val="20"/>
          <w:rtl w:val="true"/>
        </w:rPr>
        <w:t xml:space="preserve">؛ والمحقق في شرائع الإسلام،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177</w:t>
      </w:r>
      <w:r>
        <w:rPr>
          <w:rFonts w:ascii="IRNazanin" w:hAnsi="IRNazanin" w:eastAsia="IRNazanin"/>
          <w:b w:val="false"/>
          <w:b w:val="false"/>
          <w:bCs w:val="false"/>
          <w:i w:val="false"/>
          <w:i w:val="false"/>
          <w:iCs w:val="false"/>
          <w:color w:val="333333"/>
          <w:sz w:val="20"/>
          <w:sz w:val="20"/>
          <w:szCs w:val="20"/>
          <w:rtl w:val="true"/>
        </w:rPr>
        <w:t xml:space="preserve">؛ والعلّامة في قواعد الأحكام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550</w:t>
      </w:r>
    </w:p>
  </w:footnote>
  <w:footnote w:id="11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البيان، ص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ضمن موسوعة الشهيد الأول، 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11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520</w:t>
      </w:r>
      <w:r>
        <w:rPr>
          <w:rFonts w:eastAsia="IRNazanin" w:cs="IRNazanin"/>
          <w:b w:val="false"/>
          <w:bCs w:val="false"/>
          <w:i w:val="false"/>
          <w:iCs w:val="false"/>
          <w:color w:val="333333"/>
          <w:sz w:val="20"/>
          <w:szCs w:val="20"/>
          <w:rtl w:val="true"/>
        </w:rPr>
        <w:t>.</w:t>
      </w:r>
    </w:p>
  </w:footnote>
  <w:footnote w:id="11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به العلّامة في قواعد الأحكام،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322</w:t>
      </w:r>
    </w:p>
  </w:footnote>
  <w:footnote w:id="11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354</w:t>
      </w:r>
      <w:r>
        <w:rPr>
          <w:rFonts w:eastAsia="IRNazanin" w:cs="IRNazanin"/>
          <w:b w:val="false"/>
          <w:bCs w:val="false"/>
          <w:i w:val="false"/>
          <w:iCs w:val="false"/>
          <w:color w:val="333333"/>
          <w:sz w:val="20"/>
          <w:szCs w:val="20"/>
          <w:rtl w:val="true"/>
        </w:rPr>
        <w:t>.</w:t>
      </w:r>
    </w:p>
  </w:footnote>
  <w:footnote w:id="12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348</w:t>
      </w:r>
      <w:r>
        <w:rPr>
          <w:rFonts w:eastAsia="IRNazanin" w:cs="IRNazanin"/>
          <w:b w:val="false"/>
          <w:bCs w:val="false"/>
          <w:i w:val="false"/>
          <w:iCs w:val="false"/>
          <w:color w:val="333333"/>
          <w:sz w:val="20"/>
          <w:szCs w:val="20"/>
          <w:rtl w:val="true"/>
        </w:rPr>
        <w:t>.</w:t>
      </w:r>
    </w:p>
  </w:footnote>
  <w:footnote w:id="12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زرارة عن أبي جعفر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w:t>
      </w:r>
    </w:p>
  </w:footnote>
  <w:footnote w:id="12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المقنع، ص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الفقيه،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56</w:t>
      </w:r>
      <w:r>
        <w:rPr>
          <w:rFonts w:ascii="IRNazanin" w:hAnsi="IRNazanin" w:eastAsia="IRNazanin"/>
          <w:b w:val="false"/>
          <w:b w:val="false"/>
          <w:bCs w:val="false"/>
          <w:i w:val="false"/>
          <w:i w:val="false"/>
          <w:iCs w:val="false"/>
          <w:color w:val="333333"/>
          <w:sz w:val="20"/>
          <w:sz w:val="20"/>
          <w:szCs w:val="20"/>
          <w:rtl w:val="true"/>
        </w:rPr>
        <w:t xml:space="preserve">، ذيل الحديث </w:t>
      </w:r>
      <w:r>
        <w:rPr>
          <w:rFonts w:eastAsia="IRNazanin" w:cs="IRNazanin"/>
          <w:b w:val="false"/>
          <w:bCs w:val="false"/>
          <w:i w:val="false"/>
          <w:iCs w:val="false"/>
          <w:color w:val="333333"/>
          <w:sz w:val="20"/>
          <w:szCs w:val="20"/>
        </w:rPr>
        <w:t>5092</w:t>
      </w:r>
      <w:r>
        <w:rPr>
          <w:rFonts w:eastAsia="IRNazanin" w:cs="IRNazanin"/>
          <w:b w:val="false"/>
          <w:bCs w:val="false"/>
          <w:i w:val="false"/>
          <w:iCs w:val="false"/>
          <w:color w:val="333333"/>
          <w:sz w:val="20"/>
          <w:szCs w:val="20"/>
          <w:rtl w:val="true"/>
        </w:rPr>
        <w:t>.</w:t>
      </w:r>
    </w:p>
  </w:footnote>
  <w:footnote w:id="12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مختلف الشيعة،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211</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71</w:t>
      </w:r>
    </w:p>
  </w:footnote>
  <w:footnote w:id="12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حاشية القواعد، ص </w:t>
      </w:r>
      <w:r>
        <w:rPr>
          <w:rFonts w:eastAsia="IRNazanin" w:cs="IRNazanin"/>
          <w:b w:val="false"/>
          <w:bCs w:val="false"/>
          <w:i w:val="false"/>
          <w:iCs w:val="false"/>
          <w:color w:val="333333"/>
          <w:sz w:val="20"/>
          <w:szCs w:val="20"/>
        </w:rPr>
        <w:t>607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 موسوعة الشهيد الأول، 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12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275</w:t>
      </w:r>
      <w:r>
        <w:rPr>
          <w:rFonts w:ascii="IRNazanin" w:hAnsi="IRNazanin" w:eastAsia="IRNazanin"/>
          <w:b w:val="false"/>
          <w:b w:val="false"/>
          <w:bCs w:val="false"/>
          <w:i w:val="false"/>
          <w:i w:val="false"/>
          <w:iCs w:val="false"/>
          <w:color w:val="333333"/>
          <w:sz w:val="20"/>
          <w:sz w:val="20"/>
          <w:szCs w:val="20"/>
          <w:rtl w:val="true"/>
        </w:rPr>
        <w:t xml:space="preserve">، وص </w:t>
      </w:r>
      <w:r>
        <w:rPr>
          <w:rFonts w:eastAsia="IRNazanin" w:cs="IRNazanin"/>
          <w:b w:val="false"/>
          <w:bCs w:val="false"/>
          <w:i w:val="false"/>
          <w:iCs w:val="false"/>
          <w:color w:val="333333"/>
          <w:sz w:val="20"/>
          <w:szCs w:val="20"/>
        </w:rPr>
        <w:t>92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357</w:t>
      </w:r>
      <w:r>
        <w:rPr>
          <w:rFonts w:eastAsia="IRNazanin" w:cs="IRNazanin"/>
          <w:b w:val="false"/>
          <w:bCs w:val="false"/>
          <w:i w:val="false"/>
          <w:iCs w:val="false"/>
          <w:color w:val="333333"/>
          <w:sz w:val="20"/>
          <w:szCs w:val="20"/>
          <w:rtl w:val="true"/>
        </w:rPr>
        <w:t>.</w:t>
      </w:r>
    </w:p>
  </w:footnote>
  <w:footnote w:id="12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ذيل الحديث </w:t>
      </w:r>
      <w:r>
        <w:rPr>
          <w:rFonts w:eastAsia="IRNazanin" w:cs="IRNazanin"/>
          <w:b w:val="false"/>
          <w:bCs w:val="false"/>
          <w:i w:val="false"/>
          <w:iCs w:val="false"/>
          <w:color w:val="333333"/>
          <w:sz w:val="20"/>
          <w:szCs w:val="20"/>
        </w:rPr>
        <w:t>356</w:t>
      </w:r>
      <w:r>
        <w:rPr>
          <w:rFonts w:ascii="IRNazanin" w:hAnsi="IRNazanin" w:eastAsia="IRNazanin"/>
          <w:b w:val="false"/>
          <w:b w:val="false"/>
          <w:bCs w:val="false"/>
          <w:i w:val="false"/>
          <w:i w:val="false"/>
          <w:iCs w:val="false"/>
          <w:color w:val="333333"/>
          <w:sz w:val="20"/>
          <w:sz w:val="20"/>
          <w:szCs w:val="20"/>
          <w:rtl w:val="true"/>
        </w:rPr>
        <w:t xml:space="preserve">؛ الاستبصار،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237</w:t>
      </w:r>
      <w:r>
        <w:rPr>
          <w:rFonts w:ascii="IRNazanin" w:hAnsi="IRNazanin" w:eastAsia="IRNazanin"/>
          <w:b w:val="false"/>
          <w:b w:val="false"/>
          <w:bCs w:val="false"/>
          <w:i w:val="false"/>
          <w:i w:val="false"/>
          <w:iCs w:val="false"/>
          <w:color w:val="333333"/>
          <w:sz w:val="20"/>
          <w:sz w:val="20"/>
          <w:szCs w:val="20"/>
          <w:rtl w:val="true"/>
        </w:rPr>
        <w:t xml:space="preserve">، ذيل الحديث </w:t>
      </w:r>
      <w:r>
        <w:rPr>
          <w:rFonts w:eastAsia="IRNazanin" w:cs="IRNazanin"/>
          <w:b w:val="false"/>
          <w:bCs w:val="false"/>
          <w:i w:val="false"/>
          <w:iCs w:val="false"/>
          <w:color w:val="333333"/>
          <w:sz w:val="20"/>
          <w:szCs w:val="20"/>
        </w:rPr>
        <w:t>894</w:t>
      </w:r>
    </w:p>
  </w:footnote>
  <w:footnote w:id="12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358</w:t>
      </w:r>
    </w:p>
  </w:footnote>
  <w:footnote w:id="12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ذيل الحديث </w:t>
      </w:r>
      <w:r>
        <w:rPr>
          <w:rFonts w:eastAsia="IRNazanin" w:cs="IRNazanin"/>
          <w:b w:val="false"/>
          <w:bCs w:val="false"/>
          <w:i w:val="false"/>
          <w:iCs w:val="false"/>
          <w:color w:val="333333"/>
          <w:sz w:val="20"/>
          <w:szCs w:val="20"/>
        </w:rPr>
        <w:t>5092</w:t>
      </w:r>
    </w:p>
  </w:footnote>
  <w:footnote w:id="12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المفيد في المقنعة، ص </w:t>
      </w:r>
      <w:r>
        <w:rPr>
          <w:rFonts w:eastAsia="IRNazanin" w:cs="IRNazanin"/>
          <w:b w:val="false"/>
          <w:bCs w:val="false"/>
          <w:i w:val="false"/>
          <w:iCs w:val="false"/>
          <w:color w:val="333333"/>
          <w:sz w:val="20"/>
          <w:szCs w:val="20"/>
        </w:rPr>
        <w:t>801</w:t>
      </w:r>
      <w:r>
        <w:rPr>
          <w:rFonts w:ascii="IRNazanin" w:hAnsi="IRNazanin" w:eastAsia="IRNazanin"/>
          <w:b w:val="false"/>
          <w:b w:val="false"/>
          <w:bCs w:val="false"/>
          <w:i w:val="false"/>
          <w:i w:val="false"/>
          <w:iCs w:val="false"/>
          <w:color w:val="333333"/>
          <w:sz w:val="20"/>
          <w:sz w:val="20"/>
          <w:szCs w:val="20"/>
          <w:rtl w:val="true"/>
        </w:rPr>
        <w:t xml:space="preserve">؛ والشيخ في النهاية، ص </w:t>
      </w:r>
      <w:r>
        <w:rPr>
          <w:rFonts w:eastAsia="IRNazanin" w:cs="IRNazanin"/>
          <w:b w:val="false"/>
          <w:bCs w:val="false"/>
          <w:i w:val="false"/>
          <w:iCs w:val="false"/>
          <w:color w:val="333333"/>
          <w:sz w:val="20"/>
          <w:szCs w:val="20"/>
        </w:rPr>
        <w:t>712</w:t>
      </w:r>
      <w:r>
        <w:rPr>
          <w:rFonts w:ascii="IRNazanin" w:hAnsi="IRNazanin" w:eastAsia="IRNazanin"/>
          <w:b w:val="false"/>
          <w:b w:val="false"/>
          <w:bCs w:val="false"/>
          <w:i w:val="false"/>
          <w:i w:val="false"/>
          <w:iCs w:val="false"/>
          <w:color w:val="333333"/>
          <w:sz w:val="20"/>
          <w:sz w:val="20"/>
          <w:szCs w:val="20"/>
          <w:rtl w:val="true"/>
        </w:rPr>
        <w:t xml:space="preserve">؛ والقاضي في المهذب،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536</w:t>
      </w:r>
      <w:r>
        <w:rPr>
          <w:rFonts w:eastAsia="IRNazanin" w:cs="IRNazanin"/>
          <w:b w:val="false"/>
          <w:bCs w:val="false"/>
          <w:i w:val="false"/>
          <w:iCs w:val="false"/>
          <w:color w:val="333333"/>
          <w:sz w:val="20"/>
          <w:szCs w:val="20"/>
          <w:rtl w:val="true"/>
        </w:rPr>
        <w:t>.</w:t>
      </w:r>
    </w:p>
  </w:footnote>
  <w:footnote w:id="12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361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373</w:t>
      </w:r>
      <w:r>
        <w:rPr>
          <w:rFonts w:eastAsia="IRNazanin" w:cs="IRNazanin"/>
          <w:b w:val="false"/>
          <w:bCs w:val="false"/>
          <w:i w:val="false"/>
          <w:iCs w:val="false"/>
          <w:color w:val="333333"/>
          <w:sz w:val="20"/>
          <w:szCs w:val="20"/>
          <w:rtl w:val="true"/>
        </w:rPr>
        <w:t>.</w:t>
      </w:r>
    </w:p>
  </w:footnote>
  <w:footnote w:id="12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369</w:t>
      </w:r>
      <w:r>
        <w:rPr>
          <w:rFonts w:eastAsia="IRNazanin" w:cs="IRNazanin"/>
          <w:b w:val="false"/>
          <w:bCs w:val="false"/>
          <w:i w:val="false"/>
          <w:iCs w:val="false"/>
          <w:color w:val="333333"/>
          <w:sz w:val="20"/>
          <w:szCs w:val="20"/>
          <w:rtl w:val="true"/>
        </w:rPr>
        <w:t>.</w:t>
      </w:r>
    </w:p>
  </w:footnote>
  <w:footnote w:id="12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ص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w:t>
      </w:r>
    </w:p>
  </w:footnote>
  <w:footnote w:id="12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المقنعة، ص </w:t>
      </w:r>
      <w:r>
        <w:rPr>
          <w:rFonts w:eastAsia="IRNazanin" w:cs="IRNazanin"/>
          <w:b w:val="false"/>
          <w:bCs w:val="false"/>
          <w:i w:val="false"/>
          <w:iCs w:val="false"/>
          <w:color w:val="333333"/>
          <w:sz w:val="20"/>
          <w:szCs w:val="20"/>
        </w:rPr>
        <w:t>799</w:t>
      </w:r>
      <w:r>
        <w:rPr>
          <w:rFonts w:ascii="IRNazanin" w:hAnsi="IRNazanin" w:eastAsia="IRNazanin"/>
          <w:b w:val="false"/>
          <w:b w:val="false"/>
          <w:bCs w:val="false"/>
          <w:i w:val="false"/>
          <w:i w:val="false"/>
          <w:iCs w:val="false"/>
          <w:color w:val="333333"/>
          <w:sz w:val="20"/>
          <w:sz w:val="20"/>
          <w:szCs w:val="20"/>
          <w:rtl w:val="true"/>
        </w:rPr>
        <w:t xml:space="preserve">؛ النهاية، ص </w:t>
      </w:r>
      <w:r>
        <w:rPr>
          <w:rFonts w:eastAsia="IRNazanin" w:cs="IRNazanin"/>
          <w:b w:val="false"/>
          <w:bCs w:val="false"/>
          <w:i w:val="false"/>
          <w:iCs w:val="false"/>
          <w:color w:val="333333"/>
          <w:sz w:val="20"/>
          <w:szCs w:val="20"/>
        </w:rPr>
        <w:t>711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712</w:t>
      </w:r>
      <w:r>
        <w:rPr>
          <w:rFonts w:eastAsia="IRNazanin" w:cs="IRNazanin"/>
          <w:b w:val="false"/>
          <w:bCs w:val="false"/>
          <w:i w:val="false"/>
          <w:iCs w:val="false"/>
          <w:color w:val="333333"/>
          <w:sz w:val="20"/>
          <w:szCs w:val="20"/>
          <w:rtl w:val="true"/>
        </w:rPr>
        <w:t>.</w:t>
      </w:r>
    </w:p>
  </w:footnote>
  <w:footnote w:id="12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كالقاضي ابن البراج في المهذب،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والمحقق في شرائع الإسلام،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w:t>
      </w:r>
    </w:p>
  </w:footnote>
  <w:footnote w:id="12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به أبو الصلاح في الكافي في الفقه، ص </w:t>
      </w:r>
      <w:r>
        <w:rPr>
          <w:rFonts w:eastAsia="IRNazanin" w:cs="IRNazanin"/>
          <w:b w:val="false"/>
          <w:bCs w:val="false"/>
          <w:i w:val="false"/>
          <w:iCs w:val="false"/>
          <w:color w:val="333333"/>
          <w:sz w:val="20"/>
          <w:szCs w:val="20"/>
        </w:rPr>
        <w:t>413</w:t>
      </w:r>
      <w:r>
        <w:rPr>
          <w:rFonts w:eastAsia="IRNazanin" w:cs="IRNazanin"/>
          <w:b w:val="false"/>
          <w:bCs w:val="false"/>
          <w:i w:val="false"/>
          <w:iCs w:val="false"/>
          <w:color w:val="333333"/>
          <w:sz w:val="20"/>
          <w:szCs w:val="20"/>
          <w:rtl w:val="true"/>
        </w:rPr>
        <w:t>.</w:t>
      </w:r>
    </w:p>
  </w:footnote>
  <w:footnote w:id="12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به ابن إدريس في السرائر،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479</w:t>
      </w:r>
      <w:r>
        <w:rPr>
          <w:rFonts w:eastAsia="IRNazanin" w:cs="IRNazanin"/>
          <w:b w:val="false"/>
          <w:bCs w:val="false"/>
          <w:i w:val="false"/>
          <w:iCs w:val="false"/>
          <w:color w:val="333333"/>
          <w:sz w:val="20"/>
          <w:szCs w:val="20"/>
          <w:rtl w:val="true"/>
        </w:rPr>
        <w:t>.</w:t>
      </w:r>
    </w:p>
  </w:footnote>
  <w:footnote w:id="12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به المحقق في شرائع الإسلام،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157</w:t>
      </w:r>
    </w:p>
  </w:footnote>
  <w:footnote w:id="12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772</w:t>
      </w:r>
    </w:p>
  </w:footnote>
  <w:footnote w:id="12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غاية المراد،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 موسوعة الشهيد الأول،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2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حكاه عنه الشهيد في غاية المراد،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 موسوعة الشهيد الأول،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2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قواعد الأحكام،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553</w:t>
      </w:r>
    </w:p>
  </w:footnote>
  <w:footnote w:id="12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475</w:t>
      </w:r>
    </w:p>
  </w:footnote>
  <w:footnote w:id="12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360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372</w:t>
      </w:r>
      <w:r>
        <w:rPr>
          <w:rFonts w:eastAsia="IRNazanin" w:cs="IRNazanin"/>
          <w:b w:val="false"/>
          <w:bCs w:val="false"/>
          <w:i w:val="false"/>
          <w:iCs w:val="false"/>
          <w:color w:val="333333"/>
          <w:sz w:val="20"/>
          <w:szCs w:val="20"/>
          <w:rtl w:val="true"/>
        </w:rPr>
        <w:t xml:space="preserve"> .</w:t>
      </w:r>
    </w:p>
  </w:footnote>
  <w:footnote w:id="12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في النسخ وهو مهموزاً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النشء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اسم مصدر ومصدره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النشوء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نسخة كلانتر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أو نشوئه</w:t>
      </w:r>
      <w:r>
        <w:rPr>
          <w:rFonts w:eastAsia="IRNazanin" w:cs="IRNazanin"/>
          <w:b w:val="false"/>
          <w:bCs w:val="false"/>
          <w:i w:val="false"/>
          <w:iCs w:val="false"/>
          <w:color w:val="333333"/>
          <w:sz w:val="20"/>
          <w:szCs w:val="20"/>
          <w:rtl w:val="true"/>
        </w:rPr>
        <w:t>».</w:t>
      </w:r>
    </w:p>
  </w:footnote>
  <w:footnote w:id="12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منهم الشيخ في النهاية، ص </w:t>
      </w:r>
      <w:r>
        <w:rPr>
          <w:rFonts w:eastAsia="IRNazanin" w:cs="IRNazanin"/>
          <w:b w:val="false"/>
          <w:bCs w:val="false"/>
          <w:i w:val="false"/>
          <w:iCs w:val="false"/>
          <w:color w:val="333333"/>
          <w:sz w:val="20"/>
          <w:szCs w:val="20"/>
        </w:rPr>
        <w:t>713</w:t>
      </w:r>
      <w:r>
        <w:rPr>
          <w:rFonts w:ascii="IRNazanin" w:hAnsi="IRNazanin" w:eastAsia="IRNazanin"/>
          <w:b w:val="false"/>
          <w:b w:val="false"/>
          <w:bCs w:val="false"/>
          <w:i w:val="false"/>
          <w:i w:val="false"/>
          <w:iCs w:val="false"/>
          <w:color w:val="333333"/>
          <w:sz w:val="20"/>
          <w:sz w:val="20"/>
          <w:szCs w:val="20"/>
          <w:rtl w:val="true"/>
        </w:rPr>
        <w:t xml:space="preserve">؛ والمحقق في شرائع الإسلام،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157</w:t>
      </w:r>
      <w:r>
        <w:rPr>
          <w:rFonts w:ascii="IRNazanin" w:hAnsi="IRNazanin" w:eastAsia="IRNazanin"/>
          <w:b w:val="false"/>
          <w:b w:val="false"/>
          <w:bCs w:val="false"/>
          <w:i w:val="false"/>
          <w:i w:val="false"/>
          <w:iCs w:val="false"/>
          <w:color w:val="333333"/>
          <w:sz w:val="20"/>
          <w:sz w:val="20"/>
          <w:szCs w:val="20"/>
          <w:rtl w:val="true"/>
        </w:rPr>
        <w:t>؛ والعلّامة في قواعد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553</w:t>
      </w:r>
      <w:r>
        <w:rPr>
          <w:rFonts w:eastAsia="IRNazanin" w:cs="IRNazanin"/>
          <w:b w:val="false"/>
          <w:bCs w:val="false"/>
          <w:i w:val="false"/>
          <w:iCs w:val="false"/>
          <w:color w:val="333333"/>
          <w:sz w:val="20"/>
          <w:szCs w:val="20"/>
          <w:rtl w:val="true"/>
        </w:rPr>
        <w:t>.</w:t>
      </w:r>
    </w:p>
  </w:footnote>
  <w:footnote w:id="12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الإرشاد، المفيد،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ضمن مصنفات الشيخ المفيد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2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الإرشاد، المفيد،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 مصنّفات الشيخ المفيد، 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2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813</w:t>
      </w:r>
    </w:p>
  </w:footnote>
  <w:footnote w:id="12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حكاه عن أبي علي الجبائي السيد المرتضى في الذريعة إلى أُصول الشريعة،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w:t>
      </w:r>
    </w:p>
  </w:footnote>
  <w:footnote w:id="12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به الشيخ في الاستبصار،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ذيل الحديث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12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المقنعة، ص </w:t>
      </w:r>
      <w:r>
        <w:rPr>
          <w:rFonts w:eastAsia="IRNazanin" w:cs="IRNazanin"/>
          <w:b w:val="false"/>
          <w:bCs w:val="false"/>
          <w:i w:val="false"/>
          <w:iCs w:val="false"/>
          <w:color w:val="333333"/>
          <w:sz w:val="20"/>
          <w:szCs w:val="20"/>
        </w:rPr>
        <w:t>743</w:t>
      </w:r>
    </w:p>
  </w:footnote>
  <w:footnote w:id="12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292</w:t>
      </w:r>
      <w:r>
        <w:rPr>
          <w:rFonts w:ascii="IRNazanin" w:hAnsi="IRNazanin" w:eastAsia="IRNazanin"/>
          <w:b w:val="false"/>
          <w:b w:val="false"/>
          <w:bCs w:val="false"/>
          <w:i w:val="false"/>
          <w:i w:val="false"/>
          <w:iCs w:val="false"/>
          <w:color w:val="333333"/>
          <w:sz w:val="20"/>
          <w:sz w:val="20"/>
          <w:szCs w:val="20"/>
          <w:rtl w:val="true"/>
        </w:rPr>
        <w:t xml:space="preserve">، باب من لا دية له، 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2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الاستبصار،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ذیل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p>
  </w:footnote>
  <w:footnote w:id="12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405</w:t>
      </w:r>
    </w:p>
  </w:footnote>
  <w:footnote w:id="12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صرّح به فخر المحققين في إيضاح الفوائد،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516</w:t>
      </w:r>
      <w:r>
        <w:rPr>
          <w:rFonts w:eastAsia="IRNazanin" w:cs="IRNazanin"/>
          <w:b w:val="false"/>
          <w:bCs w:val="false"/>
          <w:i w:val="false"/>
          <w:iCs w:val="false"/>
          <w:color w:val="333333"/>
          <w:sz w:val="20"/>
          <w:szCs w:val="20"/>
          <w:rtl w:val="true"/>
        </w:rPr>
        <w:t>.</w:t>
      </w:r>
    </w:p>
  </w:footnote>
  <w:footnote w:id="12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الهامش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2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سَرَقا</w:t>
      </w:r>
      <w:r>
        <w:rPr>
          <w:rFonts w:eastAsia="IRNazanin" w:cs="IRNazanin"/>
          <w:b w:val="false"/>
          <w:bCs w:val="false"/>
          <w:i w:val="false"/>
          <w:iCs w:val="false"/>
          <w:color w:val="333333"/>
          <w:sz w:val="20"/>
          <w:szCs w:val="20"/>
          <w:rtl w:val="true"/>
        </w:rPr>
        <w:t>».</w:t>
      </w:r>
    </w:p>
  </w:footnote>
  <w:footnote w:id="12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به الشيخ في النهاية، ص </w:t>
      </w:r>
      <w:r>
        <w:rPr>
          <w:rFonts w:eastAsia="IRNazanin" w:cs="IRNazanin"/>
          <w:b w:val="false"/>
          <w:bCs w:val="false"/>
          <w:i w:val="false"/>
          <w:iCs w:val="false"/>
          <w:color w:val="333333"/>
          <w:sz w:val="20"/>
          <w:szCs w:val="20"/>
        </w:rPr>
        <w:t>716</w:t>
      </w:r>
      <w:r>
        <w:rPr>
          <w:rFonts w:ascii="IRNazanin" w:hAnsi="IRNazanin" w:eastAsia="IRNazanin"/>
          <w:b w:val="false"/>
          <w:b w:val="false"/>
          <w:bCs w:val="false"/>
          <w:i w:val="false"/>
          <w:i w:val="false"/>
          <w:iCs w:val="false"/>
          <w:color w:val="333333"/>
          <w:sz w:val="20"/>
          <w:sz w:val="20"/>
          <w:szCs w:val="20"/>
          <w:rtl w:val="true"/>
        </w:rPr>
        <w:t xml:space="preserve">؛ وابن حمزة في الوسيلة، ص </w:t>
      </w:r>
      <w:r>
        <w:rPr>
          <w:rFonts w:eastAsia="IRNazanin" w:cs="IRNazanin"/>
          <w:b w:val="false"/>
          <w:bCs w:val="false"/>
          <w:i w:val="false"/>
          <w:iCs w:val="false"/>
          <w:color w:val="333333"/>
          <w:sz w:val="20"/>
          <w:szCs w:val="20"/>
        </w:rPr>
        <w:t>418</w:t>
      </w:r>
      <w:r>
        <w:rPr>
          <w:rFonts w:ascii="IRNazanin" w:hAnsi="IRNazanin" w:eastAsia="IRNazanin"/>
          <w:b w:val="false"/>
          <w:b w:val="false"/>
          <w:bCs w:val="false"/>
          <w:i w:val="false"/>
          <w:i w:val="false"/>
          <w:iCs w:val="false"/>
          <w:color w:val="333333"/>
          <w:sz w:val="20"/>
          <w:sz w:val="20"/>
          <w:szCs w:val="20"/>
          <w:rtl w:val="true"/>
        </w:rPr>
        <w:t xml:space="preserve">؛ والعلامة في مختلف الشيعة،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218</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76</w:t>
      </w:r>
    </w:p>
  </w:footnote>
  <w:footnote w:id="12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تهذيب الأحكام،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472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477</w:t>
      </w:r>
      <w:r>
        <w:rPr>
          <w:rFonts w:eastAsia="IRNazanin" w:cs="IRNazanin"/>
          <w:b w:val="false"/>
          <w:bCs w:val="false"/>
          <w:i w:val="false"/>
          <w:iCs w:val="false"/>
          <w:color w:val="333333"/>
          <w:sz w:val="20"/>
          <w:szCs w:val="20"/>
          <w:rtl w:val="true"/>
        </w:rPr>
        <w:t>.</w:t>
      </w:r>
    </w:p>
  </w:footnote>
  <w:footnote w:id="12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به المفيد في المقنعة، ص </w:t>
      </w:r>
      <w:r>
        <w:rPr>
          <w:rFonts w:eastAsia="IRNazanin" w:cs="IRNazanin"/>
          <w:b w:val="false"/>
          <w:bCs w:val="false"/>
          <w:i w:val="false"/>
          <w:iCs w:val="false"/>
          <w:color w:val="333333"/>
          <w:sz w:val="20"/>
          <w:szCs w:val="20"/>
        </w:rPr>
        <w:t>804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والسيد المرتضى في الانتصار، ص </w:t>
      </w:r>
      <w:r>
        <w:rPr>
          <w:rFonts w:eastAsia="IRNazanin" w:cs="IRNazanin"/>
          <w:b w:val="false"/>
          <w:bCs w:val="false"/>
          <w:i w:val="false"/>
          <w:iCs w:val="false"/>
          <w:color w:val="333333"/>
          <w:sz w:val="20"/>
          <w:szCs w:val="20"/>
        </w:rPr>
        <w:t>531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المسألة </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والشيخ في</w:t>
      </w:r>
    </w:p>
  </w:footnote>
  <w:footnote w:id="12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406</w:t>
      </w:r>
      <w:r>
        <w:rPr>
          <w:rFonts w:eastAsia="IRNazanin" w:cs="IRNazanin"/>
          <w:b w:val="false"/>
          <w:bCs w:val="false"/>
          <w:i w:val="false"/>
          <w:iCs w:val="false"/>
          <w:color w:val="333333"/>
          <w:sz w:val="20"/>
          <w:szCs w:val="20"/>
          <w:rtl w:val="true"/>
        </w:rPr>
        <w:t>.</w:t>
      </w:r>
    </w:p>
  </w:footnote>
  <w:footnote w:id="12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408</w:t>
      </w:r>
      <w:r>
        <w:rPr>
          <w:rFonts w:eastAsia="IRNazanin" w:cs="IRNazanin"/>
          <w:b w:val="false"/>
          <w:bCs w:val="false"/>
          <w:i w:val="false"/>
          <w:iCs w:val="false"/>
          <w:color w:val="333333"/>
          <w:sz w:val="20"/>
          <w:szCs w:val="20"/>
          <w:rtl w:val="true"/>
        </w:rPr>
        <w:t>.</w:t>
      </w:r>
    </w:p>
  </w:footnote>
  <w:footnote w:id="12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410</w:t>
      </w:r>
      <w:r>
        <w:rPr>
          <w:rFonts w:eastAsia="IRNazanin" w:cs="IRNazanin"/>
          <w:b w:val="false"/>
          <w:bCs w:val="false"/>
          <w:i w:val="false"/>
          <w:iCs w:val="false"/>
          <w:color w:val="333333"/>
          <w:sz w:val="20"/>
          <w:szCs w:val="20"/>
          <w:rtl w:val="true"/>
        </w:rPr>
        <w:t>.</w:t>
      </w:r>
    </w:p>
  </w:footnote>
  <w:footnote w:id="12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قواعد الأحكام،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558</w:t>
      </w:r>
      <w:r>
        <w:rPr>
          <w:rFonts w:eastAsia="IRNazanin" w:cs="IRNazanin"/>
          <w:b w:val="false"/>
          <w:bCs w:val="false"/>
          <w:i w:val="false"/>
          <w:iCs w:val="false"/>
          <w:color w:val="333333"/>
          <w:sz w:val="20"/>
          <w:szCs w:val="20"/>
          <w:rtl w:val="true"/>
        </w:rPr>
        <w:t>.</w:t>
      </w:r>
    </w:p>
  </w:footnote>
  <w:footnote w:id="12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حكاه عن ابن أبي عقيل العلّامة في مختلف الشيعة،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227</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12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به الشيخ الصدوق في المقنع، ص </w:t>
      </w:r>
      <w:r>
        <w:rPr>
          <w:rFonts w:eastAsia="IRNazanin" w:cs="IRNazanin"/>
          <w:b w:val="false"/>
          <w:bCs w:val="false"/>
          <w:i w:val="false"/>
          <w:iCs w:val="false"/>
          <w:color w:val="333333"/>
          <w:sz w:val="20"/>
          <w:szCs w:val="20"/>
        </w:rPr>
        <w:t>444</w:t>
      </w:r>
      <w:r>
        <w:rPr>
          <w:rFonts w:eastAsia="IRNazanin" w:cs="IRNazanin"/>
          <w:b w:val="false"/>
          <w:bCs w:val="false"/>
          <w:i w:val="false"/>
          <w:iCs w:val="false"/>
          <w:color w:val="333333"/>
          <w:sz w:val="20"/>
          <w:szCs w:val="20"/>
          <w:rtl w:val="true"/>
        </w:rPr>
        <w:t>.</w:t>
      </w:r>
    </w:p>
  </w:footnote>
  <w:footnote w:id="12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حكاه العلامة في مختلف الشيعة،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227</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12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384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394</w:t>
      </w:r>
      <w:r>
        <w:rPr>
          <w:rFonts w:eastAsia="IRNazanin" w:cs="IRNazanin"/>
          <w:b w:val="false"/>
          <w:bCs w:val="false"/>
          <w:i w:val="false"/>
          <w:iCs w:val="false"/>
          <w:color w:val="333333"/>
          <w:sz w:val="20"/>
          <w:szCs w:val="20"/>
          <w:rtl w:val="true"/>
        </w:rPr>
        <w:t>.</w:t>
      </w:r>
    </w:p>
  </w:footnote>
  <w:footnote w:id="12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بعض النسخ إضافة ففي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 ، 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ولم يبلغ قيمة المضروب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ولم يبلغ قيمته الضروب</w:t>
      </w:r>
      <w:r>
        <w:rPr>
          <w:rFonts w:eastAsia="IRNazanin" w:cs="IRNazanin"/>
          <w:b w:val="false"/>
          <w:bCs w:val="false"/>
          <w:i w:val="false"/>
          <w:iCs w:val="false"/>
          <w:color w:val="333333"/>
          <w:sz w:val="20"/>
          <w:szCs w:val="20"/>
          <w:rtl w:val="true"/>
        </w:rPr>
        <w:t>».</w:t>
      </w:r>
    </w:p>
  </w:footnote>
  <w:footnote w:id="12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به القاضي في المهذب،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541</w:t>
      </w:r>
      <w:r>
        <w:rPr>
          <w:rFonts w:eastAsia="IRNazanin" w:cs="IRNazanin"/>
          <w:b w:val="false"/>
          <w:bCs w:val="false"/>
          <w:i w:val="false"/>
          <w:iCs w:val="false"/>
          <w:color w:val="333333"/>
          <w:sz w:val="20"/>
          <w:szCs w:val="20"/>
          <w:rtl w:val="true"/>
        </w:rPr>
        <w:t>.</w:t>
      </w:r>
    </w:p>
  </w:footnote>
  <w:footnote w:id="12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في الفقه، ص </w:t>
      </w:r>
      <w:r>
        <w:rPr>
          <w:rFonts w:eastAsia="IRNazanin" w:cs="IRNazanin"/>
          <w:b w:val="false"/>
          <w:bCs w:val="false"/>
          <w:i w:val="false"/>
          <w:iCs w:val="false"/>
          <w:color w:val="333333"/>
          <w:sz w:val="20"/>
          <w:szCs w:val="20"/>
        </w:rPr>
        <w:t>411</w:t>
      </w:r>
      <w:r>
        <w:rPr>
          <w:rFonts w:eastAsia="IRNazanin" w:cs="IRNazanin"/>
          <w:b w:val="false"/>
          <w:bCs w:val="false"/>
          <w:i w:val="false"/>
          <w:iCs w:val="false"/>
          <w:color w:val="333333"/>
          <w:sz w:val="20"/>
          <w:szCs w:val="20"/>
          <w:rtl w:val="true"/>
        </w:rPr>
        <w:t>.</w:t>
      </w:r>
    </w:p>
  </w:footnote>
  <w:footnote w:id="12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مختلف الشيعة،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المسألة </w:t>
      </w:r>
      <w:r>
        <w:rPr>
          <w:rFonts w:eastAsia="IRNazanin" w:cs="IRNazanin"/>
          <w:b w:val="false"/>
          <w:bCs w:val="false"/>
          <w:i w:val="false"/>
          <w:iCs w:val="false"/>
          <w:color w:val="333333"/>
          <w:sz w:val="20"/>
          <w:szCs w:val="20"/>
        </w:rPr>
        <w:t>96</w:t>
      </w:r>
    </w:p>
  </w:footnote>
  <w:footnote w:id="12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442</w:t>
      </w:r>
    </w:p>
  </w:footnote>
  <w:footnote w:id="12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444</w:t>
      </w:r>
      <w:r>
        <w:rPr>
          <w:rFonts w:eastAsia="IRNazanin" w:cs="IRNazanin"/>
          <w:b w:val="false"/>
          <w:bCs w:val="false"/>
          <w:i w:val="false"/>
          <w:iCs w:val="false"/>
          <w:color w:val="333333"/>
          <w:sz w:val="20"/>
          <w:szCs w:val="20"/>
          <w:rtl w:val="true"/>
        </w:rPr>
        <w:t>.</w:t>
      </w:r>
    </w:p>
  </w:footnote>
  <w:footnote w:id="12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القاضي في المهذب،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والمحقق في شرائع الإسلام،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165</w:t>
      </w:r>
      <w:r>
        <w:rPr>
          <w:rFonts w:ascii="IRNazanin" w:hAnsi="IRNazanin" w:eastAsia="IRNazanin"/>
          <w:b w:val="false"/>
          <w:b w:val="false"/>
          <w:bCs w:val="false"/>
          <w:i w:val="false"/>
          <w:i w:val="false"/>
          <w:iCs w:val="false"/>
          <w:color w:val="333333"/>
          <w:sz w:val="20"/>
          <w:sz w:val="20"/>
          <w:szCs w:val="20"/>
          <w:rtl w:val="true"/>
        </w:rPr>
        <w:t xml:space="preserve">؛ والعلامة في قواعد الأحكام،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561</w:t>
      </w:r>
      <w:r>
        <w:rPr>
          <w:rFonts w:eastAsia="IRNazanin" w:cs="IRNazanin"/>
          <w:b w:val="false"/>
          <w:bCs w:val="false"/>
          <w:i w:val="false"/>
          <w:iCs w:val="false"/>
          <w:color w:val="333333"/>
          <w:sz w:val="20"/>
          <w:szCs w:val="20"/>
          <w:rtl w:val="true"/>
        </w:rPr>
        <w:t>.</w:t>
      </w:r>
    </w:p>
  </w:footnote>
  <w:footnote w:id="12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به الشيخ في المبسوط،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371</w:t>
      </w:r>
      <w:r>
        <w:rPr>
          <w:rFonts w:eastAsia="IRNazanin" w:cs="IRNazanin"/>
          <w:b w:val="false"/>
          <w:bCs w:val="false"/>
          <w:i w:val="false"/>
          <w:iCs w:val="false"/>
          <w:color w:val="333333"/>
          <w:sz w:val="20"/>
          <w:szCs w:val="20"/>
          <w:rtl w:val="true"/>
        </w:rPr>
        <w:t>.</w:t>
      </w:r>
    </w:p>
  </w:footnote>
  <w:footnote w:id="12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به الشيخ في النهاية، ص </w:t>
      </w:r>
      <w:r>
        <w:rPr>
          <w:rFonts w:eastAsia="IRNazanin" w:cs="IRNazanin"/>
          <w:b w:val="false"/>
          <w:bCs w:val="false"/>
          <w:i w:val="false"/>
          <w:iCs w:val="false"/>
          <w:color w:val="333333"/>
          <w:sz w:val="20"/>
          <w:szCs w:val="20"/>
        </w:rPr>
        <w:t>717</w:t>
      </w:r>
      <w:r>
        <w:rPr>
          <w:rFonts w:ascii="IRNazanin" w:hAnsi="IRNazanin" w:eastAsia="IRNazanin"/>
          <w:b w:val="false"/>
          <w:b w:val="false"/>
          <w:bCs w:val="false"/>
          <w:i w:val="false"/>
          <w:i w:val="false"/>
          <w:iCs w:val="false"/>
          <w:color w:val="333333"/>
          <w:sz w:val="20"/>
          <w:sz w:val="20"/>
          <w:szCs w:val="20"/>
          <w:rtl w:val="true"/>
        </w:rPr>
        <w:t xml:space="preserve">؛ والصدوق في المقنع، ص </w:t>
      </w:r>
      <w:r>
        <w:rPr>
          <w:rFonts w:eastAsia="IRNazanin" w:cs="IRNazanin"/>
          <w:b w:val="false"/>
          <w:bCs w:val="false"/>
          <w:i w:val="false"/>
          <w:iCs w:val="false"/>
          <w:color w:val="333333"/>
          <w:sz w:val="20"/>
          <w:szCs w:val="20"/>
        </w:rPr>
        <w:t>447</w:t>
      </w:r>
      <w:r>
        <w:rPr>
          <w:rFonts w:ascii="IRNazanin" w:hAnsi="IRNazanin" w:eastAsia="IRNazanin"/>
          <w:b w:val="false"/>
          <w:b w:val="false"/>
          <w:bCs w:val="false"/>
          <w:i w:val="false"/>
          <w:i w:val="false"/>
          <w:iCs w:val="false"/>
          <w:color w:val="333333"/>
          <w:sz w:val="20"/>
          <w:sz w:val="20"/>
          <w:szCs w:val="20"/>
          <w:rtl w:val="true"/>
        </w:rPr>
        <w:t xml:space="preserve">؛ وحكاه عن ابن الجنيد العلامة في مختلف الشيعة،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219</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77</w:t>
      </w:r>
    </w:p>
  </w:footnote>
  <w:footnote w:id="12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وسائل الشيعة، ج </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حد السرقة </w:t>
      </w:r>
      <w:r>
        <w:rPr>
          <w:rFonts w:eastAsia="IRNazanin" w:cs="IRNazanin"/>
          <w:b w:val="false"/>
          <w:bCs w:val="false"/>
          <w:i w:val="false"/>
          <w:iCs w:val="false"/>
          <w:color w:val="333333"/>
          <w:sz w:val="20"/>
          <w:szCs w:val="20"/>
          <w:rtl w:val="true"/>
        </w:rPr>
        <w:t>.</w:t>
      </w:r>
    </w:p>
  </w:footnote>
  <w:footnote w:id="12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به الشيخ في المبسوط،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382</w:t>
      </w:r>
      <w:r>
        <w:rPr>
          <w:rFonts w:eastAsia="IRNazanin" w:cs="IRNazanin"/>
          <w:b w:val="false"/>
          <w:bCs w:val="false"/>
          <w:i w:val="false"/>
          <w:iCs w:val="false"/>
          <w:color w:val="333333"/>
          <w:sz w:val="20"/>
          <w:szCs w:val="20"/>
          <w:rtl w:val="true"/>
        </w:rPr>
        <w:t>.</w:t>
      </w:r>
    </w:p>
  </w:footnote>
  <w:footnote w:id="12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إدريس في السرائر،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483</w:t>
      </w:r>
      <w:r>
        <w:rPr>
          <w:rFonts w:ascii="IRNazanin" w:hAnsi="IRNazanin" w:eastAsia="IRNazanin"/>
          <w:b w:val="false"/>
          <w:b w:val="false"/>
          <w:bCs w:val="false"/>
          <w:i w:val="false"/>
          <w:i w:val="false"/>
          <w:iCs w:val="false"/>
          <w:color w:val="333333"/>
          <w:sz w:val="20"/>
          <w:sz w:val="20"/>
          <w:szCs w:val="20"/>
          <w:rtl w:val="true"/>
        </w:rPr>
        <w:t xml:space="preserve">؛ والمحقق في المختصر النافع، ص </w:t>
      </w:r>
      <w:r>
        <w:rPr>
          <w:rFonts w:eastAsia="IRNazanin" w:cs="IRNazanin"/>
          <w:b w:val="false"/>
          <w:bCs w:val="false"/>
          <w:i w:val="false"/>
          <w:iCs w:val="false"/>
          <w:color w:val="333333"/>
          <w:sz w:val="20"/>
          <w:szCs w:val="20"/>
        </w:rPr>
        <w:t>436</w:t>
      </w:r>
      <w:r>
        <w:rPr>
          <w:rFonts w:ascii="IRNazanin" w:hAnsi="IRNazanin" w:eastAsia="IRNazanin"/>
          <w:b w:val="false"/>
          <w:b w:val="false"/>
          <w:bCs w:val="false"/>
          <w:i w:val="false"/>
          <w:i w:val="false"/>
          <w:iCs w:val="false"/>
          <w:color w:val="333333"/>
          <w:sz w:val="20"/>
          <w:sz w:val="20"/>
          <w:szCs w:val="20"/>
          <w:rtl w:val="true"/>
        </w:rPr>
        <w:t xml:space="preserve">؛ والعلامة في مختلف الشيعة،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222</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77</w:t>
      </w:r>
    </w:p>
  </w:footnote>
  <w:footnote w:id="12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423</w:t>
      </w:r>
      <w:r>
        <w:rPr>
          <w:rFonts w:eastAsia="IRNazanin" w:cs="IRNazanin"/>
          <w:b w:val="false"/>
          <w:bCs w:val="false"/>
          <w:i w:val="false"/>
          <w:iCs w:val="false"/>
          <w:color w:val="333333"/>
          <w:sz w:val="20"/>
          <w:szCs w:val="20"/>
          <w:rtl w:val="true"/>
        </w:rPr>
        <w:t>.</w:t>
      </w:r>
    </w:p>
  </w:footnote>
  <w:footnote w:id="12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النهاية، ص </w:t>
      </w:r>
      <w:r>
        <w:rPr>
          <w:rFonts w:eastAsia="IRNazanin" w:cs="IRNazanin"/>
          <w:b w:val="false"/>
          <w:bCs w:val="false"/>
          <w:i w:val="false"/>
          <w:iCs w:val="false"/>
          <w:color w:val="333333"/>
          <w:sz w:val="20"/>
          <w:szCs w:val="20"/>
        </w:rPr>
        <w:t>417</w:t>
      </w:r>
    </w:p>
  </w:footnote>
  <w:footnote w:id="12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به العلامة في قواعد الأحكام،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560</w:t>
      </w:r>
    </w:p>
  </w:footnote>
  <w:footnote w:id="12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الوسيلة، ص </w:t>
      </w:r>
      <w:r>
        <w:rPr>
          <w:rFonts w:eastAsia="IRNazanin" w:cs="IRNazanin"/>
          <w:b w:val="false"/>
          <w:bCs w:val="false"/>
          <w:i w:val="false"/>
          <w:iCs w:val="false"/>
          <w:color w:val="333333"/>
          <w:sz w:val="20"/>
          <w:szCs w:val="20"/>
        </w:rPr>
        <w:t>419</w:t>
      </w:r>
      <w:r>
        <w:rPr>
          <w:rFonts w:ascii="IRNazanin" w:hAnsi="IRNazanin" w:eastAsia="IRNazanin"/>
          <w:b w:val="false"/>
          <w:b w:val="false"/>
          <w:bCs w:val="false"/>
          <w:i w:val="false"/>
          <w:i w:val="false"/>
          <w:iCs w:val="false"/>
          <w:color w:val="333333"/>
          <w:sz w:val="20"/>
          <w:sz w:val="20"/>
          <w:szCs w:val="20"/>
          <w:rtl w:val="true"/>
        </w:rPr>
        <w:t xml:space="preserve">؛ ومختلف الشيعة،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247</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99</w:t>
      </w:r>
    </w:p>
  </w:footnote>
  <w:footnote w:id="12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في المصدر وأكثر النسخ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أم</w:t>
      </w:r>
      <w:r>
        <w:rPr>
          <w:rFonts w:eastAsia="IRNazanin" w:cs="IRNazanin"/>
          <w:b w:val="false"/>
          <w:bCs w:val="false"/>
          <w:i w:val="false"/>
          <w:iCs w:val="false"/>
          <w:color w:val="333333"/>
          <w:sz w:val="20"/>
          <w:szCs w:val="20"/>
          <w:rtl w:val="true"/>
        </w:rPr>
        <w:t>».</w:t>
      </w:r>
    </w:p>
  </w:footnote>
  <w:footnote w:id="12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51</w:t>
      </w:r>
    </w:p>
  </w:footnote>
  <w:footnote w:id="12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383</w:t>
      </w:r>
    </w:p>
  </w:footnote>
  <w:footnote w:id="12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456</w:t>
      </w:r>
      <w:r>
        <w:rPr>
          <w:rFonts w:eastAsia="IRNazanin" w:cs="IRNazanin"/>
          <w:b w:val="false"/>
          <w:bCs w:val="false"/>
          <w:i w:val="false"/>
          <w:iCs w:val="false"/>
          <w:color w:val="333333"/>
          <w:sz w:val="20"/>
          <w:szCs w:val="20"/>
          <w:rtl w:val="true"/>
        </w:rPr>
        <w:t>.</w:t>
      </w:r>
    </w:p>
  </w:footnote>
  <w:footnote w:id="12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مختلف الشيعة،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المسألة </w:t>
      </w:r>
      <w:r>
        <w:rPr>
          <w:rFonts w:eastAsia="IRNazanin" w:cs="IRNazanin"/>
          <w:b w:val="false"/>
          <w:bCs w:val="false"/>
          <w:i w:val="false"/>
          <w:iCs w:val="false"/>
          <w:color w:val="333333"/>
          <w:sz w:val="20"/>
          <w:szCs w:val="20"/>
        </w:rPr>
        <w:t>99</w:t>
      </w:r>
    </w:p>
  </w:footnote>
  <w:footnote w:id="12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130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521</w:t>
      </w:r>
      <w:r>
        <w:rPr>
          <w:rFonts w:eastAsia="IRNazanin" w:cs="IRNazanin"/>
          <w:b w:val="false"/>
          <w:bCs w:val="false"/>
          <w:i w:val="false"/>
          <w:iCs w:val="false"/>
          <w:color w:val="333333"/>
          <w:sz w:val="20"/>
          <w:szCs w:val="20"/>
          <w:rtl w:val="true"/>
        </w:rPr>
        <w:t>.</w:t>
      </w:r>
    </w:p>
  </w:footnote>
  <w:footnote w:id="12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قواعد الأحكام،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إيضاح الفوائد،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531</w:t>
      </w:r>
    </w:p>
  </w:footnote>
  <w:footnote w:id="12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422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429</w:t>
      </w:r>
      <w:r>
        <w:rPr>
          <w:rFonts w:eastAsia="IRNazanin" w:cs="IRNazanin"/>
          <w:b w:val="false"/>
          <w:bCs w:val="false"/>
          <w:i w:val="false"/>
          <w:iCs w:val="false"/>
          <w:color w:val="333333"/>
          <w:sz w:val="20"/>
          <w:szCs w:val="20"/>
          <w:rtl w:val="true"/>
        </w:rPr>
        <w:t>.</w:t>
      </w:r>
    </w:p>
  </w:footnote>
  <w:footnote w:id="12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النهاية، ص </w:t>
      </w:r>
      <w:r>
        <w:rPr>
          <w:rFonts w:eastAsia="IRNazanin" w:cs="IRNazanin"/>
          <w:b w:val="false"/>
          <w:bCs w:val="false"/>
          <w:i w:val="false"/>
          <w:iCs w:val="false"/>
          <w:color w:val="333333"/>
          <w:sz w:val="20"/>
          <w:szCs w:val="20"/>
        </w:rPr>
        <w:t>722</w:t>
      </w:r>
    </w:p>
  </w:footnote>
  <w:footnote w:id="12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مختلف الشيعة،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249</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102</w:t>
      </w:r>
    </w:p>
  </w:footnote>
  <w:footnote w:id="12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نسبه إلى المشهور العلّامة في مختلف الشيعة،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249</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12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458</w:t>
      </w:r>
      <w:r>
        <w:rPr>
          <w:rFonts w:eastAsia="IRNazanin" w:cs="IRNazanin"/>
          <w:b w:val="false"/>
          <w:bCs w:val="false"/>
          <w:i w:val="false"/>
          <w:iCs w:val="false"/>
          <w:color w:val="333333"/>
          <w:sz w:val="20"/>
          <w:szCs w:val="20"/>
          <w:rtl w:val="true"/>
        </w:rPr>
        <w:t>.</w:t>
      </w:r>
    </w:p>
  </w:footnote>
  <w:footnote w:id="12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457</w:t>
      </w:r>
      <w:r>
        <w:rPr>
          <w:rFonts w:eastAsia="IRNazanin" w:cs="IRNazanin"/>
          <w:b w:val="false"/>
          <w:bCs w:val="false"/>
          <w:i w:val="false"/>
          <w:iCs w:val="false"/>
          <w:color w:val="333333"/>
          <w:sz w:val="20"/>
          <w:szCs w:val="20"/>
          <w:rtl w:val="true"/>
        </w:rPr>
        <w:t>.</w:t>
      </w:r>
    </w:p>
  </w:footnote>
  <w:footnote w:id="12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القول الأول للمفيد في المقنعة، ص </w:t>
      </w:r>
      <w:r>
        <w:rPr>
          <w:rFonts w:eastAsia="IRNazanin" w:cs="IRNazanin"/>
          <w:b w:val="false"/>
          <w:bCs w:val="false"/>
          <w:i w:val="false"/>
          <w:iCs w:val="false"/>
          <w:color w:val="333333"/>
          <w:sz w:val="20"/>
          <w:szCs w:val="20"/>
        </w:rPr>
        <w:t>804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وسلار في المراسم ، ص </w:t>
      </w:r>
      <w:r>
        <w:rPr>
          <w:rFonts w:eastAsia="IRNazanin" w:cs="IRNazanin"/>
          <w:b w:val="false"/>
          <w:bCs w:val="false"/>
          <w:i w:val="false"/>
          <w:iCs w:val="false"/>
          <w:color w:val="333333"/>
          <w:sz w:val="20"/>
          <w:szCs w:val="20"/>
        </w:rPr>
        <w:t>260</w:t>
      </w:r>
      <w:r>
        <w:rPr>
          <w:rFonts w:ascii="IRNazanin" w:hAnsi="IRNazanin" w:eastAsia="IRNazanin"/>
          <w:b w:val="false"/>
          <w:b w:val="false"/>
          <w:bCs w:val="false"/>
          <w:i w:val="false"/>
          <w:i w:val="false"/>
          <w:iCs w:val="false"/>
          <w:color w:val="333333"/>
          <w:sz w:val="20"/>
          <w:sz w:val="20"/>
          <w:szCs w:val="20"/>
          <w:rtl w:val="true"/>
        </w:rPr>
        <w:t>؛ والقول الثاني للشيخ في النهاية</w:t>
      </w:r>
    </w:p>
  </w:footnote>
  <w:footnote w:id="12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464</w:t>
      </w:r>
      <w:r>
        <w:rPr>
          <w:rFonts w:eastAsia="IRNazanin" w:cs="IRNazanin"/>
          <w:b w:val="false"/>
          <w:bCs w:val="false"/>
          <w:i w:val="false"/>
          <w:iCs w:val="false"/>
          <w:color w:val="333333"/>
          <w:sz w:val="20"/>
          <w:szCs w:val="20"/>
          <w:rtl w:val="true"/>
        </w:rPr>
        <w:t>.</w:t>
      </w:r>
    </w:p>
  </w:footnote>
  <w:footnote w:id="12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به في أول كلامه ابن إدريس في السرائر،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512</w:t>
      </w:r>
      <w:r>
        <w:rPr>
          <w:rFonts w:eastAsia="IRNazanin" w:cs="IRNazanin"/>
          <w:b w:val="false"/>
          <w:bCs w:val="false"/>
          <w:i w:val="false"/>
          <w:iCs w:val="false"/>
          <w:color w:val="333333"/>
          <w:sz w:val="20"/>
          <w:szCs w:val="20"/>
          <w:rtl w:val="true"/>
        </w:rPr>
        <w:t>.</w:t>
      </w:r>
    </w:p>
  </w:footnote>
  <w:footnote w:id="12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470</w:t>
      </w:r>
      <w:r>
        <w:rPr>
          <w:rFonts w:eastAsia="IRNazanin" w:cs="IRNazanin"/>
          <w:b w:val="false"/>
          <w:bCs w:val="false"/>
          <w:i w:val="false"/>
          <w:iCs w:val="false"/>
          <w:color w:val="333333"/>
          <w:sz w:val="20"/>
          <w:szCs w:val="20"/>
          <w:rtl w:val="true"/>
        </w:rPr>
        <w:t>.</w:t>
      </w:r>
    </w:p>
  </w:footnote>
  <w:footnote w:id="12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تحرير الأحكام الشرعية،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364</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6861</w:t>
      </w:r>
      <w:r>
        <w:rPr>
          <w:rFonts w:eastAsia="IRNazanin" w:cs="IRNazanin"/>
          <w:b w:val="false"/>
          <w:bCs w:val="false"/>
          <w:i w:val="false"/>
          <w:iCs w:val="false"/>
          <w:color w:val="333333"/>
          <w:sz w:val="20"/>
          <w:szCs w:val="20"/>
          <w:rtl w:val="true"/>
        </w:rPr>
        <w:t>.</w:t>
      </w:r>
    </w:p>
  </w:footnote>
  <w:footnote w:id="12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854</w:t>
      </w:r>
    </w:p>
  </w:footnote>
  <w:footnote w:id="12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هذا هو المشهور بين الأصحاب، ومستندهم عليه رواية جميل ابن دراج عن بعض أصحابنا، عن أحدهما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عليهم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لا يقطع السارق حتى يقرّ بالسرقة مرتين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فإن رجع ضمن السرقة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ولم يقطع إذا لم يكن شهود؛ لأنه لا يستوفى بالإقرار مرّة كغيره من الحدود لبناء الحدّ على التخفيف ولا يخفى ضعف الأخيرين فإن توقف إثبات الحدود مطلقاً على المرتين يحتاج إلى دليل، وإلا فعموم الأدلّة يقتضي الاكتفاء بالإقرار مرة مطلقاً، ولا ما أخرجه الدليل، وبناء الحدود على التخفيف لا يدلّ بمجرّده على اشتراط تعدّد الإقرار والرواية ضعيفة السند بالإرسال، ومن ثمّة ذهب الصدوقان إلى الاكتفاء بالإقرار مرّة، لصحيحة الفضيل عن أبي عبد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إذا أقرّ الحرّ على نفسه بالسرقة مرة واحدة عند الإمام قطع</w:t>
      </w:r>
      <w:r>
        <w:rPr>
          <w:rFonts w:eastAsia="IRNazanin" w:cs="IRNazanin"/>
          <w:b w:val="false"/>
          <w:bCs w:val="false"/>
          <w:i w:val="false"/>
          <w:iCs w:val="false"/>
          <w:color w:val="333333"/>
          <w:sz w:val="20"/>
          <w:szCs w:val="20"/>
          <w:rtl w:val="true"/>
        </w:rPr>
        <w:t>».</w:t>
      </w:r>
    </w:p>
  </w:footnote>
  <w:footnote w:id="12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به الشيخ في النهاية، ص </w:t>
      </w:r>
      <w:r>
        <w:rPr>
          <w:rFonts w:eastAsia="IRNazanin" w:cs="IRNazanin"/>
          <w:b w:val="false"/>
          <w:bCs w:val="false"/>
          <w:i w:val="false"/>
          <w:iCs w:val="false"/>
          <w:color w:val="333333"/>
          <w:sz w:val="20"/>
          <w:szCs w:val="20"/>
        </w:rPr>
        <w:t>718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وابن سعيد في الجامع للشرائع، ص </w:t>
      </w:r>
      <w:r>
        <w:rPr>
          <w:rFonts w:eastAsia="IRNazanin" w:cs="IRNazanin"/>
          <w:b w:val="false"/>
          <w:bCs w:val="false"/>
          <w:i w:val="false"/>
          <w:iCs w:val="false"/>
          <w:color w:val="333333"/>
          <w:sz w:val="20"/>
          <w:szCs w:val="20"/>
        </w:rPr>
        <w:t>561</w:t>
      </w:r>
      <w:r>
        <w:rPr>
          <w:rFonts w:eastAsia="IRNazanin" w:cs="IRNazanin"/>
          <w:b w:val="false"/>
          <w:bCs w:val="false"/>
          <w:i w:val="false"/>
          <w:iCs w:val="false"/>
          <w:color w:val="333333"/>
          <w:sz w:val="20"/>
          <w:szCs w:val="20"/>
          <w:rtl w:val="true"/>
        </w:rPr>
        <w:t>.</w:t>
      </w:r>
    </w:p>
  </w:footnote>
  <w:footnote w:id="12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411</w:t>
      </w:r>
      <w:r>
        <w:rPr>
          <w:rFonts w:eastAsia="IRNazanin" w:cs="IRNazanin"/>
          <w:b w:val="false"/>
          <w:bCs w:val="false"/>
          <w:i w:val="false"/>
          <w:iCs w:val="false"/>
          <w:color w:val="333333"/>
          <w:sz w:val="20"/>
          <w:szCs w:val="20"/>
          <w:rtl w:val="true"/>
        </w:rPr>
        <w:t>.</w:t>
      </w:r>
    </w:p>
  </w:footnote>
  <w:footnote w:id="12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نعثر عليه في الكتب الحديثية ولكن نقله عن جماعة من علمائنا في كتبهم الاستدلالية الحر العاملي في وسائل الشيعة، 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133</w:t>
      </w:r>
      <w:r>
        <w:rPr>
          <w:rFonts w:ascii="IRNazanin" w:hAnsi="IRNazanin" w:eastAsia="IRNazanin"/>
          <w:b w:val="false"/>
          <w:b w:val="false"/>
          <w:bCs w:val="false"/>
          <w:i w:val="false"/>
          <w:i w:val="false"/>
          <w:iCs w:val="false"/>
          <w:color w:val="333333"/>
          <w:sz w:val="20"/>
          <w:sz w:val="20"/>
          <w:szCs w:val="20"/>
          <w:rtl w:val="true"/>
        </w:rPr>
        <w:t xml:space="preserve">، باب صحة الإقرار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منهم العلامة في مختلف الشيعة،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370</w:t>
      </w:r>
    </w:p>
  </w:footnote>
  <w:footnote w:id="12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495</w:t>
      </w:r>
      <w:r>
        <w:rPr>
          <w:rFonts w:eastAsia="IRNazanin" w:cs="IRNazanin"/>
          <w:b w:val="false"/>
          <w:bCs w:val="false"/>
          <w:i w:val="false"/>
          <w:iCs w:val="false"/>
          <w:color w:val="333333"/>
          <w:sz w:val="20"/>
          <w:szCs w:val="20"/>
          <w:rtl w:val="true"/>
        </w:rPr>
        <w:t>.</w:t>
      </w:r>
    </w:p>
  </w:footnote>
  <w:footnote w:id="12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التوبة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112</w:t>
      </w:r>
    </w:p>
  </w:footnote>
  <w:footnote w:id="12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493</w:t>
      </w:r>
    </w:p>
  </w:footnote>
  <w:footnote w:id="12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المهذب،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541</w:t>
      </w:r>
      <w:r>
        <w:rPr>
          <w:rFonts w:eastAsia="IRNazanin" w:cs="IRNazanin"/>
          <w:b w:val="false"/>
          <w:bCs w:val="false"/>
          <w:i w:val="false"/>
          <w:iCs w:val="false"/>
          <w:color w:val="333333"/>
          <w:sz w:val="20"/>
          <w:szCs w:val="20"/>
          <w:rtl w:val="true"/>
        </w:rPr>
        <w:t>.</w:t>
      </w:r>
    </w:p>
  </w:footnote>
  <w:footnote w:id="12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إرشاد الأذهان،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w:t>
      </w:r>
    </w:p>
  </w:footnote>
  <w:footnote w:id="12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128</w:t>
      </w:r>
      <w:r>
        <w:rPr>
          <w:rFonts w:ascii="IRNazanin" w:hAnsi="IRNazanin" w:eastAsia="IRNazanin"/>
          <w:b w:val="false"/>
          <w:b w:val="false"/>
          <w:bCs w:val="false"/>
          <w:i w:val="false"/>
          <w:i w:val="false"/>
          <w:iCs w:val="false"/>
          <w:color w:val="333333"/>
          <w:sz w:val="20"/>
          <w:sz w:val="20"/>
          <w:szCs w:val="20"/>
          <w:rtl w:val="true"/>
        </w:rPr>
        <w:t>، باب الحد في السرقة والخيانة</w:t>
      </w:r>
      <w:r>
        <w:rPr>
          <w:rFonts w:eastAsia="IRNazanin" w:cs="IRNazanin"/>
          <w:b w:val="false"/>
          <w:bCs w:val="false"/>
          <w:i w:val="false"/>
          <w:iCs w:val="false"/>
          <w:color w:val="333333"/>
          <w:sz w:val="20"/>
          <w:szCs w:val="20"/>
          <w:rtl w:val="true"/>
        </w:rPr>
        <w:t>...</w:t>
      </w:r>
    </w:p>
  </w:footnote>
  <w:footnote w:id="12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نعثر عليه، نعم، في سنن ابن ماجة،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862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2585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لا قطع إلا في ربع دينار</w:t>
      </w:r>
      <w:r>
        <w:rPr>
          <w:rFonts w:eastAsia="IRNazanin" w:cs="IRNazanin"/>
          <w:b w:val="false"/>
          <w:bCs w:val="false"/>
          <w:i w:val="false"/>
          <w:iCs w:val="false"/>
          <w:color w:val="333333"/>
          <w:sz w:val="20"/>
          <w:szCs w:val="20"/>
          <w:rtl w:val="true"/>
        </w:rPr>
        <w:t>».</w:t>
      </w:r>
    </w:p>
  </w:footnote>
  <w:footnote w:id="12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به ابن حمزة في الوسيلة، ص </w:t>
      </w:r>
      <w:r>
        <w:rPr>
          <w:rFonts w:eastAsia="IRNazanin" w:cs="IRNazanin"/>
          <w:b w:val="false"/>
          <w:bCs w:val="false"/>
          <w:i w:val="false"/>
          <w:iCs w:val="false"/>
          <w:color w:val="333333"/>
          <w:sz w:val="20"/>
          <w:szCs w:val="20"/>
        </w:rPr>
        <w:t>417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418</w:t>
      </w:r>
      <w:r>
        <w:rPr>
          <w:rFonts w:eastAsia="IRNazanin" w:cs="IRNazanin"/>
          <w:b w:val="false"/>
          <w:bCs w:val="false"/>
          <w:i w:val="false"/>
          <w:iCs w:val="false"/>
          <w:color w:val="333333"/>
          <w:sz w:val="20"/>
          <w:szCs w:val="20"/>
          <w:rtl w:val="true"/>
        </w:rPr>
        <w:t>.</w:t>
      </w:r>
    </w:p>
  </w:footnote>
  <w:footnote w:id="12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قواعد الأحكام،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556</w:t>
      </w:r>
    </w:p>
  </w:footnote>
  <w:footnote w:id="12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تحرير الأحكام الشرعية،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373</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6880</w:t>
      </w:r>
      <w:r>
        <w:rPr>
          <w:rFonts w:eastAsia="IRNazanin" w:cs="IRNazanin"/>
          <w:b w:val="false"/>
          <w:bCs w:val="false"/>
          <w:i w:val="false"/>
          <w:iCs w:val="false"/>
          <w:color w:val="333333"/>
          <w:sz w:val="20"/>
          <w:szCs w:val="20"/>
          <w:rtl w:val="true"/>
        </w:rPr>
        <w:t>.</w:t>
      </w:r>
    </w:p>
  </w:footnote>
  <w:footnote w:id="12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397</w:t>
      </w:r>
    </w:p>
  </w:footnote>
  <w:footnote w:id="12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398</w:t>
      </w:r>
    </w:p>
  </w:footnote>
  <w:footnote w:id="13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399</w:t>
      </w:r>
      <w:r>
        <w:rPr>
          <w:rFonts w:eastAsia="IRNazanin" w:cs="IRNazanin"/>
          <w:b w:val="false"/>
          <w:bCs w:val="false"/>
          <w:i w:val="false"/>
          <w:iCs w:val="false"/>
          <w:color w:val="333333"/>
          <w:sz w:val="20"/>
          <w:szCs w:val="20"/>
          <w:rtl w:val="true"/>
        </w:rPr>
        <w:t>.</w:t>
      </w:r>
    </w:p>
  </w:footnote>
  <w:footnote w:id="13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القول الأول للشيخ في النهاية، ص </w:t>
      </w:r>
      <w:r>
        <w:rPr>
          <w:rFonts w:eastAsia="IRNazanin" w:cs="IRNazanin"/>
          <w:b w:val="false"/>
          <w:bCs w:val="false"/>
          <w:i w:val="false"/>
          <w:iCs w:val="false"/>
          <w:color w:val="333333"/>
          <w:sz w:val="20"/>
          <w:szCs w:val="20"/>
        </w:rPr>
        <w:t>717</w:t>
      </w:r>
      <w:r>
        <w:rPr>
          <w:rFonts w:ascii="IRNazanin" w:hAnsi="IRNazanin" w:eastAsia="IRNazanin"/>
          <w:b w:val="false"/>
          <w:b w:val="false"/>
          <w:bCs w:val="false"/>
          <w:i w:val="false"/>
          <w:i w:val="false"/>
          <w:iCs w:val="false"/>
          <w:color w:val="333333"/>
          <w:sz w:val="20"/>
          <w:sz w:val="20"/>
          <w:szCs w:val="20"/>
          <w:rtl w:val="true"/>
        </w:rPr>
        <w:t xml:space="preserve">؛ وابن حمزة في الوسيلة، ص </w:t>
      </w:r>
      <w:r>
        <w:rPr>
          <w:rFonts w:eastAsia="IRNazanin" w:cs="IRNazanin"/>
          <w:b w:val="false"/>
          <w:bCs w:val="false"/>
          <w:i w:val="false"/>
          <w:iCs w:val="false"/>
          <w:color w:val="333333"/>
          <w:sz w:val="20"/>
          <w:szCs w:val="20"/>
        </w:rPr>
        <w:t>420</w:t>
      </w:r>
      <w:r>
        <w:rPr>
          <w:rFonts w:ascii="IRNazanin" w:hAnsi="IRNazanin" w:eastAsia="IRNazanin"/>
          <w:b w:val="false"/>
          <w:b w:val="false"/>
          <w:bCs w:val="false"/>
          <w:i w:val="false"/>
          <w:i w:val="false"/>
          <w:iCs w:val="false"/>
          <w:color w:val="333333"/>
          <w:sz w:val="20"/>
          <w:sz w:val="20"/>
          <w:szCs w:val="20"/>
          <w:rtl w:val="true"/>
        </w:rPr>
        <w:t>؛ والقول الثاني للشيخ في</w:t>
      </w:r>
    </w:p>
  </w:footnote>
  <w:footnote w:id="13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قواعد الأحكام،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566</w:t>
      </w:r>
      <w:r>
        <w:rPr>
          <w:rFonts w:eastAsia="IRNazanin" w:cs="IRNazanin"/>
          <w:b w:val="false"/>
          <w:bCs w:val="false"/>
          <w:i w:val="false"/>
          <w:iCs w:val="false"/>
          <w:color w:val="333333"/>
          <w:sz w:val="20"/>
          <w:szCs w:val="20"/>
          <w:rtl w:val="true"/>
        </w:rPr>
        <w:t>.</w:t>
      </w:r>
    </w:p>
  </w:footnote>
  <w:footnote w:id="13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النهاية، ص </w:t>
      </w:r>
      <w:r>
        <w:rPr>
          <w:rFonts w:eastAsia="IRNazanin" w:cs="IRNazanin"/>
          <w:b w:val="false"/>
          <w:bCs w:val="false"/>
          <w:i w:val="false"/>
          <w:iCs w:val="false"/>
          <w:color w:val="333333"/>
          <w:sz w:val="20"/>
          <w:szCs w:val="20"/>
        </w:rPr>
        <w:t>717</w:t>
      </w:r>
    </w:p>
  </w:footnote>
  <w:footnote w:id="13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421</w:t>
      </w:r>
      <w:r>
        <w:rPr>
          <w:rFonts w:eastAsia="IRNazanin" w:cs="IRNazanin"/>
          <w:b w:val="false"/>
          <w:bCs w:val="false"/>
          <w:i w:val="false"/>
          <w:iCs w:val="false"/>
          <w:color w:val="333333"/>
          <w:sz w:val="20"/>
          <w:szCs w:val="20"/>
          <w:rtl w:val="true"/>
        </w:rPr>
        <w:t>.</w:t>
      </w:r>
    </w:p>
  </w:footnote>
  <w:footnote w:id="13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401</w:t>
      </w:r>
      <w:r>
        <w:rPr>
          <w:rFonts w:eastAsia="IRNazanin" w:cs="IRNazanin"/>
          <w:b w:val="false"/>
          <w:bCs w:val="false"/>
          <w:i w:val="false"/>
          <w:iCs w:val="false"/>
          <w:color w:val="333333"/>
          <w:sz w:val="20"/>
          <w:szCs w:val="20"/>
          <w:rtl w:val="true"/>
        </w:rPr>
        <w:t>.</w:t>
      </w:r>
    </w:p>
  </w:footnote>
  <w:footnote w:id="13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القول الأول للصدوق في المقنع، ص </w:t>
      </w:r>
      <w:r>
        <w:rPr>
          <w:rFonts w:eastAsia="IRNazanin" w:cs="IRNazanin"/>
          <w:b w:val="false"/>
          <w:bCs w:val="false"/>
          <w:i w:val="false"/>
          <w:iCs w:val="false"/>
          <w:color w:val="333333"/>
          <w:sz w:val="20"/>
          <w:szCs w:val="20"/>
        </w:rPr>
        <w:t>446</w:t>
      </w:r>
      <w:r>
        <w:rPr>
          <w:rFonts w:ascii="IRNazanin" w:hAnsi="IRNazanin" w:eastAsia="IRNazanin"/>
          <w:b w:val="false"/>
          <w:b w:val="false"/>
          <w:bCs w:val="false"/>
          <w:i w:val="false"/>
          <w:i w:val="false"/>
          <w:iCs w:val="false"/>
          <w:color w:val="333333"/>
          <w:sz w:val="20"/>
          <w:sz w:val="20"/>
          <w:szCs w:val="20"/>
          <w:rtl w:val="true"/>
        </w:rPr>
        <w:t xml:space="preserve">؛ والقول الثاني للشيخ في النهاية، ص </w:t>
      </w:r>
      <w:r>
        <w:rPr>
          <w:rFonts w:eastAsia="IRNazanin" w:cs="IRNazanin"/>
          <w:b w:val="false"/>
          <w:bCs w:val="false"/>
          <w:i w:val="false"/>
          <w:iCs w:val="false"/>
          <w:color w:val="333333"/>
          <w:sz w:val="20"/>
          <w:szCs w:val="20"/>
        </w:rPr>
        <w:t>719</w:t>
      </w:r>
      <w:r>
        <w:rPr>
          <w:rFonts w:ascii="IRNazanin" w:hAnsi="IRNazanin" w:eastAsia="IRNazanin"/>
          <w:b w:val="false"/>
          <w:b w:val="false"/>
          <w:bCs w:val="false"/>
          <w:i w:val="false"/>
          <w:i w:val="false"/>
          <w:iCs w:val="false"/>
          <w:color w:val="333333"/>
          <w:sz w:val="20"/>
          <w:sz w:val="20"/>
          <w:szCs w:val="20"/>
          <w:rtl w:val="true"/>
        </w:rPr>
        <w:t xml:space="preserve">؛ وابن إدريس في السرائر،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494</w:t>
      </w:r>
    </w:p>
  </w:footnote>
  <w:footnote w:id="13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به الشيخ في الخلاف،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441</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36</w:t>
      </w:r>
    </w:p>
  </w:footnote>
  <w:footnote w:id="13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القول بالقطع للشيخ في النهاية، ص </w:t>
      </w:r>
      <w:r>
        <w:rPr>
          <w:rFonts w:eastAsia="IRNazanin" w:cs="IRNazanin"/>
          <w:b w:val="false"/>
          <w:bCs w:val="false"/>
          <w:i w:val="false"/>
          <w:iCs w:val="false"/>
          <w:color w:val="333333"/>
          <w:sz w:val="20"/>
          <w:szCs w:val="20"/>
        </w:rPr>
        <w:t>719</w:t>
      </w:r>
      <w:r>
        <w:rPr>
          <w:rFonts w:ascii="IRNazanin" w:hAnsi="IRNazanin" w:eastAsia="IRNazanin"/>
          <w:b w:val="false"/>
          <w:b w:val="false"/>
          <w:bCs w:val="false"/>
          <w:i w:val="false"/>
          <w:i w:val="false"/>
          <w:iCs w:val="false"/>
          <w:color w:val="333333"/>
          <w:sz w:val="20"/>
          <w:sz w:val="20"/>
          <w:szCs w:val="20"/>
          <w:rtl w:val="true"/>
        </w:rPr>
        <w:t xml:space="preserve">؛ والقول بعدم القطع لابن إدريس في السرائر،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494</w:t>
      </w:r>
    </w:p>
  </w:footnote>
  <w:footnote w:id="13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418</w:t>
      </w:r>
      <w:r>
        <w:rPr>
          <w:rFonts w:eastAsia="IRNazanin" w:cs="IRNazanin"/>
          <w:b w:val="false"/>
          <w:bCs w:val="false"/>
          <w:i w:val="false"/>
          <w:iCs w:val="false"/>
          <w:color w:val="333333"/>
          <w:sz w:val="20"/>
          <w:szCs w:val="20"/>
          <w:rtl w:val="true"/>
        </w:rPr>
        <w:t>.</w:t>
      </w:r>
    </w:p>
  </w:footnote>
  <w:footnote w:id="13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به العلّامة في قواعد الأحكام،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568</w:t>
      </w:r>
      <w:r>
        <w:rPr>
          <w:rFonts w:ascii="IRNazanin" w:hAnsi="IRNazanin" w:eastAsia="IRNazanin"/>
          <w:b w:val="false"/>
          <w:b w:val="false"/>
          <w:bCs w:val="false"/>
          <w:i w:val="false"/>
          <w:i w:val="false"/>
          <w:iCs w:val="false"/>
          <w:color w:val="333333"/>
          <w:sz w:val="20"/>
          <w:sz w:val="20"/>
          <w:szCs w:val="20"/>
          <w:rtl w:val="true"/>
        </w:rPr>
        <w:t xml:space="preserve">؛ ومختلف الشيعة،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258</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13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المائدة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p>
  </w:footnote>
  <w:footnote w:id="13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حكاه عنه العلّامة في مختلف الشيعة،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260</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p>
  </w:footnote>
  <w:footnote w:id="13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524</w:t>
      </w:r>
      <w:r>
        <w:rPr>
          <w:rFonts w:eastAsia="IRNazanin" w:cs="IRNazanin"/>
          <w:b w:val="false"/>
          <w:bCs w:val="false"/>
          <w:i w:val="false"/>
          <w:iCs w:val="false"/>
          <w:color w:val="333333"/>
          <w:sz w:val="20"/>
          <w:szCs w:val="20"/>
          <w:rtl w:val="true"/>
        </w:rPr>
        <w:t>.</w:t>
      </w:r>
    </w:p>
  </w:footnote>
  <w:footnote w:id="13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المقنعة ص </w:t>
      </w:r>
      <w:r>
        <w:rPr>
          <w:rFonts w:eastAsia="IRNazanin" w:cs="IRNazanin"/>
          <w:b w:val="false"/>
          <w:bCs w:val="false"/>
          <w:i w:val="false"/>
          <w:iCs w:val="false"/>
          <w:color w:val="333333"/>
          <w:sz w:val="20"/>
          <w:szCs w:val="20"/>
        </w:rPr>
        <w:t>804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النهاية، ص </w:t>
      </w:r>
      <w:r>
        <w:rPr>
          <w:rFonts w:eastAsia="IRNazanin" w:cs="IRNazanin"/>
          <w:b w:val="false"/>
          <w:bCs w:val="false"/>
          <w:i w:val="false"/>
          <w:iCs w:val="false"/>
          <w:color w:val="333333"/>
          <w:sz w:val="20"/>
          <w:szCs w:val="20"/>
        </w:rPr>
        <w:t>720</w:t>
      </w:r>
      <w:r>
        <w:rPr>
          <w:rFonts w:eastAsia="IRNazanin" w:cs="IRNazanin"/>
          <w:b w:val="false"/>
          <w:bCs w:val="false"/>
          <w:i w:val="false"/>
          <w:iCs w:val="false"/>
          <w:color w:val="333333"/>
          <w:sz w:val="20"/>
          <w:szCs w:val="20"/>
          <w:rtl w:val="true"/>
        </w:rPr>
        <w:t xml:space="preserve"> .</w:t>
      </w:r>
    </w:p>
  </w:footnote>
  <w:footnote w:id="13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حكاه عنه الشهيد في غاية المراد،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 موسوعة الشهيد الأول،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3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غاية المراد،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 موسوعة الشهيد الأول،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3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مختلف الشيعة،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259</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226</w:t>
      </w:r>
      <w:r>
        <w:rPr>
          <w:rFonts w:ascii="IRNazanin" w:hAnsi="IRNazanin" w:eastAsia="IRNazanin"/>
          <w:b w:val="false"/>
          <w:b w:val="false"/>
          <w:bCs w:val="false"/>
          <w:i w:val="false"/>
          <w:i w:val="false"/>
          <w:iCs w:val="false"/>
          <w:color w:val="333333"/>
          <w:sz w:val="20"/>
          <w:sz w:val="20"/>
          <w:szCs w:val="20"/>
          <w:rtl w:val="true"/>
        </w:rPr>
        <w:t xml:space="preserve">؛ تذكرة الفقهاء،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233</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431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إيضاح الفوائد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428</w:t>
      </w:r>
      <w:r>
        <w:rPr>
          <w:rFonts w:eastAsia="IRNazanin" w:cs="IRNazanin"/>
          <w:b w:val="false"/>
          <w:bCs w:val="false"/>
          <w:i w:val="false"/>
          <w:iCs w:val="false"/>
          <w:color w:val="333333"/>
          <w:sz w:val="20"/>
          <w:szCs w:val="20"/>
          <w:rtl w:val="true"/>
        </w:rPr>
        <w:t>.</w:t>
      </w:r>
    </w:p>
  </w:footnote>
  <w:footnote w:id="13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المائدة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p>
  </w:footnote>
  <w:footnote w:id="13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1107</w:t>
      </w:r>
    </w:p>
  </w:footnote>
  <w:footnote w:id="13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المائدة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p>
  </w:footnote>
  <w:footnote w:id="13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246</w:t>
      </w:r>
      <w:r>
        <w:rPr>
          <w:rFonts w:ascii="IRNazanin" w:hAnsi="IRNazanin" w:eastAsia="IRNazanin"/>
          <w:b w:val="false"/>
          <w:b w:val="false"/>
          <w:bCs w:val="false"/>
          <w:i w:val="false"/>
          <w:i w:val="false"/>
          <w:iCs w:val="false"/>
          <w:color w:val="333333"/>
          <w:sz w:val="20"/>
          <w:sz w:val="20"/>
          <w:szCs w:val="20"/>
          <w:rtl w:val="true"/>
        </w:rPr>
        <w:t xml:space="preserve">، باب حد المحارب،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3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529</w:t>
      </w:r>
      <w:r>
        <w:rPr>
          <w:rFonts w:eastAsia="IRNazanin" w:cs="IRNazanin"/>
          <w:b w:val="false"/>
          <w:bCs w:val="false"/>
          <w:i w:val="false"/>
          <w:iCs w:val="false"/>
          <w:color w:val="333333"/>
          <w:sz w:val="20"/>
          <w:szCs w:val="20"/>
          <w:rtl w:val="true"/>
        </w:rPr>
        <w:t>.</w:t>
      </w:r>
    </w:p>
  </w:footnote>
  <w:footnote w:id="13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الشيخ المفيد في المقنعة، ص </w:t>
      </w:r>
      <w:r>
        <w:rPr>
          <w:rFonts w:eastAsia="IRNazanin" w:cs="IRNazanin"/>
          <w:b w:val="false"/>
          <w:bCs w:val="false"/>
          <w:i w:val="false"/>
          <w:iCs w:val="false"/>
          <w:color w:val="333333"/>
          <w:sz w:val="20"/>
          <w:szCs w:val="20"/>
        </w:rPr>
        <w:t>805</w:t>
      </w:r>
      <w:r>
        <w:rPr>
          <w:rFonts w:ascii="IRNazanin" w:hAnsi="IRNazanin" w:eastAsia="IRNazanin"/>
          <w:b w:val="false"/>
          <w:b w:val="false"/>
          <w:bCs w:val="false"/>
          <w:i w:val="false"/>
          <w:i w:val="false"/>
          <w:iCs w:val="false"/>
          <w:color w:val="333333"/>
          <w:sz w:val="20"/>
          <w:sz w:val="20"/>
          <w:szCs w:val="20"/>
          <w:rtl w:val="true"/>
        </w:rPr>
        <w:t xml:space="preserve">؛ وابن إدريس في السرائر،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505</w:t>
      </w:r>
      <w:r>
        <w:rPr>
          <w:rFonts w:ascii="IRNazanin" w:hAnsi="IRNazanin" w:eastAsia="IRNazanin"/>
          <w:b w:val="false"/>
          <w:b w:val="false"/>
          <w:bCs w:val="false"/>
          <w:i w:val="false"/>
          <w:i w:val="false"/>
          <w:iCs w:val="false"/>
          <w:color w:val="333333"/>
          <w:sz w:val="20"/>
          <w:sz w:val="20"/>
          <w:szCs w:val="20"/>
          <w:rtl w:val="true"/>
        </w:rPr>
        <w:t>؛ والعلامة في مختلف</w:t>
      </w:r>
    </w:p>
  </w:footnote>
  <w:footnote w:id="13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النهاية، ص </w:t>
      </w:r>
      <w:r>
        <w:rPr>
          <w:rFonts w:eastAsia="IRNazanin" w:cs="IRNazanin"/>
          <w:b w:val="false"/>
          <w:bCs w:val="false"/>
          <w:i w:val="false"/>
          <w:iCs w:val="false"/>
          <w:color w:val="333333"/>
          <w:sz w:val="20"/>
          <w:szCs w:val="20"/>
        </w:rPr>
        <w:t>720</w:t>
      </w:r>
      <w:r>
        <w:rPr>
          <w:rFonts w:ascii="IRNazanin" w:hAnsi="IRNazanin" w:eastAsia="IRNazanin"/>
          <w:b w:val="false"/>
          <w:b w:val="false"/>
          <w:bCs w:val="false"/>
          <w:i w:val="false"/>
          <w:i w:val="false"/>
          <w:iCs w:val="false"/>
          <w:color w:val="333333"/>
          <w:sz w:val="20"/>
          <w:sz w:val="20"/>
          <w:szCs w:val="20"/>
          <w:rtl w:val="true"/>
        </w:rPr>
        <w:t xml:space="preserve">؛ الخلاف،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المسألة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3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منهم ابن إدريس في السرائر،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506</w:t>
      </w:r>
      <w:r>
        <w:rPr>
          <w:rFonts w:ascii="IRNazanin" w:hAnsi="IRNazanin" w:eastAsia="IRNazanin"/>
          <w:b w:val="false"/>
          <w:b w:val="false"/>
          <w:bCs w:val="false"/>
          <w:i w:val="false"/>
          <w:i w:val="false"/>
          <w:iCs w:val="false"/>
          <w:color w:val="333333"/>
          <w:sz w:val="20"/>
          <w:sz w:val="20"/>
          <w:szCs w:val="20"/>
          <w:rtl w:val="true"/>
        </w:rPr>
        <w:t xml:space="preserve">؛ والعلّامة في تحرير الأحكام الشرعية،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381</w:t>
      </w:r>
      <w:r>
        <w:rPr>
          <w:rFonts w:ascii="IRNazanin" w:hAnsi="IRNazanin" w:eastAsia="IRNazanin"/>
          <w:b w:val="false"/>
          <w:b w:val="false"/>
          <w:bCs w:val="false"/>
          <w:i w:val="false"/>
          <w:i w:val="false"/>
          <w:iCs w:val="false"/>
          <w:color w:val="333333"/>
          <w:sz w:val="20"/>
          <w:sz w:val="20"/>
          <w:szCs w:val="20"/>
          <w:rtl w:val="true"/>
        </w:rPr>
        <w:t>، الرقم</w:t>
      </w:r>
    </w:p>
  </w:footnote>
  <w:footnote w:id="13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523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529</w:t>
      </w:r>
      <w:r>
        <w:rPr>
          <w:rFonts w:eastAsia="IRNazanin" w:cs="IRNazanin"/>
          <w:b w:val="false"/>
          <w:bCs w:val="false"/>
          <w:i w:val="false"/>
          <w:iCs w:val="false"/>
          <w:color w:val="333333"/>
          <w:sz w:val="20"/>
          <w:szCs w:val="20"/>
          <w:rtl w:val="true"/>
        </w:rPr>
        <w:t>.</w:t>
      </w:r>
    </w:p>
  </w:footnote>
  <w:footnote w:id="13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النهاية، ص </w:t>
      </w:r>
      <w:r>
        <w:rPr>
          <w:rFonts w:eastAsia="IRNazanin" w:cs="IRNazanin"/>
          <w:b w:val="false"/>
          <w:bCs w:val="false"/>
          <w:i w:val="false"/>
          <w:iCs w:val="false"/>
          <w:color w:val="333333"/>
          <w:sz w:val="20"/>
          <w:szCs w:val="20"/>
        </w:rPr>
        <w:t>720</w:t>
      </w:r>
    </w:p>
  </w:footnote>
  <w:footnote w:id="13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458</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2</w:t>
      </w:r>
    </w:p>
  </w:footnote>
  <w:footnote w:id="13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مختلف الشيعة،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260</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112</w:t>
      </w:r>
      <w:r>
        <w:rPr>
          <w:rFonts w:ascii="IRNazanin" w:hAnsi="IRNazanin" w:eastAsia="IRNazanin"/>
          <w:b w:val="false"/>
          <w:b w:val="false"/>
          <w:bCs w:val="false"/>
          <w:i w:val="false"/>
          <w:i w:val="false"/>
          <w:iCs w:val="false"/>
          <w:color w:val="333333"/>
          <w:sz w:val="20"/>
          <w:sz w:val="20"/>
          <w:szCs w:val="20"/>
          <w:rtl w:val="true"/>
        </w:rPr>
        <w:t xml:space="preserve">؛ وتحرير الأحكام الشرعية،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381</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6896</w:t>
      </w:r>
      <w:r>
        <w:rPr>
          <w:rFonts w:eastAsia="IRNazanin" w:cs="IRNazanin"/>
          <w:b w:val="false"/>
          <w:bCs w:val="false"/>
          <w:i w:val="false"/>
          <w:iCs w:val="false"/>
          <w:color w:val="333333"/>
          <w:sz w:val="20"/>
          <w:szCs w:val="20"/>
          <w:rtl w:val="true"/>
        </w:rPr>
        <w:t>.</w:t>
      </w:r>
    </w:p>
  </w:footnote>
  <w:footnote w:id="13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 ، م ، 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غيره</w:t>
      </w:r>
      <w:r>
        <w:rPr>
          <w:rFonts w:eastAsia="IRNazanin" w:cs="IRNazanin"/>
          <w:b w:val="false"/>
          <w:bCs w:val="false"/>
          <w:i w:val="false"/>
          <w:iCs w:val="false"/>
          <w:color w:val="333333"/>
          <w:sz w:val="20"/>
          <w:szCs w:val="20"/>
          <w:rtl w:val="true"/>
        </w:rPr>
        <w:t>».</w:t>
      </w:r>
    </w:p>
  </w:footnote>
  <w:footnote w:id="13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لينتقل عنه إلى أخرى، ونفيه من الأرض كناية عن ذلك، ولا يخرج عن مجموع الأرض ولكن لما لم يقرّ على أرض كان في معنى النفي من الأرض مطلقاً، وظاهر المصنف والأكثر عدم تحديده بمدة، بل ينبغي دائماً إلى أن يتوب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وقد تقدّم في الرواية كونه سنة، وحملت على التوبة في الأثناء، وهو بعيد، وبعض العامة فسَّر النفي من الأرض بالحبس؛ لإطلاقه على الخروج من الدنيا في العرف، كما قال بعض المسجونين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خرجنا 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ونحن من أهلها فلسنا من الأحياء فيها ولا الموتى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جاء هذا من الدنيا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ولا يخفى أنه مجاز خفي، وما ذكرناه قريب مع موافقته للمروي قولاً وفعلاً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زين رحمه الله </w:t>
      </w:r>
      <w:r>
        <w:rPr>
          <w:rFonts w:eastAsia="IRNazanin" w:cs="IRNazanin"/>
          <w:b w:val="false"/>
          <w:bCs w:val="false"/>
          <w:i w:val="false"/>
          <w:iCs w:val="false"/>
          <w:color w:val="333333"/>
          <w:sz w:val="20"/>
          <w:szCs w:val="20"/>
          <w:rtl w:val="true"/>
        </w:rPr>
        <w:t>)</w:t>
      </w:r>
    </w:p>
  </w:footnote>
  <w:footnote w:id="13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وأما الحكم بمقاتلة أهل الشرك لو دخل إليهم، فتركوه فهو مروي في خبر عبد الله المدائني عن الرضا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وقد عرفت حال المستند وتحريره على قواعد أحكام الكفّار مشكل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لأنّهم إن كانوا أهل حرب فقتالهم لا يتوقف على ذلك، وإن كانوا أهل ذمة أو ذمته، فلا يقدح ذلك بمجرده في عهدهم إلا مع شرطه، وإثباته من مجرد هذا الخبر لا يتم، خصوصاً عند المصنف وغيره ممن لم يعتبر أصل الخبر، نظراً إلى ما تقدم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زين رحمه الله </w:t>
      </w:r>
      <w:r>
        <w:rPr>
          <w:rFonts w:eastAsia="IRNazanin" w:cs="IRNazanin"/>
          <w:b w:val="false"/>
          <w:bCs w:val="false"/>
          <w:i w:val="false"/>
          <w:iCs w:val="false"/>
          <w:color w:val="333333"/>
          <w:sz w:val="20"/>
          <w:szCs w:val="20"/>
          <w:rtl w:val="true"/>
        </w:rPr>
        <w:t>)</w:t>
      </w:r>
    </w:p>
  </w:footnote>
  <w:footnote w:id="13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اللص إن شهر سلاحاً وما في معناها فهو محارب حقيقة، وإن لم يكن معه سلاح بل يريد اختلاس المال والهرب فهو في معنى المحارب في جواز دفعه ولو بالقتل إذا توقف الدفع عليه، وأطلق عليه اسم المحارب مطلقاً لكونه محارباً إلى ما ذكرناه من التفصيل، لقصورها سنداً عن إفادة الحكم مطلقاً، فيرجع إلى القواعد المقررة ثم إن كان غرضه أخذ المال جاز دفعه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وينبغي تقييد ذلك بما يضره ،فوته، وإلّا اتجه الوجوب مع عدم التعزير بالنفس، وإن طلب العرض وجب دفعه مع عدم ظنّ العطب، وإن طلب النفس وجب دفعه مطلقاً؛ لوجوب حفظ النفس وغايته العطب وهو غاية عمل المفسد فيكون الدفاع أرجح، نعم، لو أمكن السلامة بالهرب كان أحد أسباب حفظ النفس، فيجب عيناً إن توقف أو تخييراً إن أمكنت به و بعيره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زین رحمه الله</w:t>
      </w:r>
      <w:r>
        <w:rPr>
          <w:rFonts w:eastAsia="IRNazanin" w:cs="IRNazanin"/>
          <w:b w:val="false"/>
          <w:bCs w:val="false"/>
          <w:i w:val="false"/>
          <w:iCs w:val="false"/>
          <w:color w:val="333333"/>
          <w:sz w:val="20"/>
          <w:szCs w:val="20"/>
          <w:rtl w:val="true"/>
        </w:rPr>
        <w:t>)</w:t>
      </w:r>
    </w:p>
  </w:footnote>
  <w:footnote w:id="13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538</w:t>
      </w:r>
    </w:p>
  </w:footnote>
  <w:footnote w:id="13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الدروس الشرعية،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 موسوعة الشهيد الأول،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3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226</w:t>
      </w:r>
      <w:r>
        <w:rPr>
          <w:rFonts w:ascii="IRNazanin" w:hAnsi="IRNazanin" w:eastAsia="IRNazanin"/>
          <w:b w:val="false"/>
          <w:b w:val="false"/>
          <w:bCs w:val="false"/>
          <w:i w:val="false"/>
          <w:i w:val="false"/>
          <w:iCs w:val="false"/>
          <w:color w:val="333333"/>
          <w:sz w:val="20"/>
          <w:sz w:val="20"/>
          <w:szCs w:val="20"/>
          <w:rtl w:val="true"/>
        </w:rPr>
        <w:t xml:space="preserve">، باب ما يجب على الطرّار والمختلس من الحد،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3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426</w:t>
      </w:r>
      <w:r>
        <w:rPr>
          <w:rFonts w:eastAsia="IRNazanin" w:cs="IRNazanin"/>
          <w:b w:val="false"/>
          <w:bCs w:val="false"/>
          <w:i w:val="false"/>
          <w:iCs w:val="false"/>
          <w:color w:val="333333"/>
          <w:sz w:val="20"/>
          <w:szCs w:val="20"/>
          <w:rtl w:val="true"/>
        </w:rPr>
        <w:t>.</w:t>
      </w:r>
    </w:p>
  </w:footnote>
  <w:footnote w:id="13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الاستبصار،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243</w:t>
      </w:r>
      <w:r>
        <w:rPr>
          <w:rFonts w:ascii="IRNazanin" w:hAnsi="IRNazanin" w:eastAsia="IRNazanin"/>
          <w:b w:val="false"/>
          <w:b w:val="false"/>
          <w:bCs w:val="false"/>
          <w:i w:val="false"/>
          <w:i w:val="false"/>
          <w:iCs w:val="false"/>
          <w:color w:val="333333"/>
          <w:sz w:val="20"/>
          <w:sz w:val="20"/>
          <w:szCs w:val="20"/>
          <w:rtl w:val="true"/>
        </w:rPr>
        <w:t xml:space="preserve">، ذيل الحديث </w:t>
      </w:r>
      <w:r>
        <w:rPr>
          <w:rFonts w:eastAsia="IRNazanin" w:cs="IRNazanin"/>
          <w:b w:val="false"/>
          <w:bCs w:val="false"/>
          <w:i w:val="false"/>
          <w:iCs w:val="false"/>
          <w:color w:val="333333"/>
          <w:sz w:val="20"/>
          <w:szCs w:val="20"/>
        </w:rPr>
        <w:t>919</w:t>
      </w:r>
      <w:r>
        <w:rPr>
          <w:rFonts w:eastAsia="IRNazanin" w:cs="IRNazanin"/>
          <w:b w:val="false"/>
          <w:bCs w:val="false"/>
          <w:i w:val="false"/>
          <w:iCs w:val="false"/>
          <w:color w:val="333333"/>
          <w:sz w:val="20"/>
          <w:szCs w:val="20"/>
          <w:rtl w:val="true"/>
        </w:rPr>
        <w:t>.</w:t>
      </w:r>
    </w:p>
  </w:footnote>
  <w:footnote w:id="13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حكاه عنه ابن منظور في لسان العرب،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بهم</w:t>
      </w:r>
      <w:r>
        <w:rPr>
          <w:rFonts w:eastAsia="IRNazanin" w:cs="IRNazanin"/>
          <w:b w:val="false"/>
          <w:bCs w:val="false"/>
          <w:i w:val="false"/>
          <w:iCs w:val="false"/>
          <w:color w:val="333333"/>
          <w:sz w:val="20"/>
          <w:szCs w:val="20"/>
          <w:rtl w:val="true"/>
        </w:rPr>
        <w:t>».</w:t>
      </w:r>
    </w:p>
  </w:footnote>
  <w:footnote w:id="13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به ابن فهد الحلّي في المهذب البارع،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w:t>
      </w:r>
    </w:p>
  </w:footnote>
  <w:footnote w:id="13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القول بالصدقة للمفيد في المقنعة، ص </w:t>
      </w:r>
      <w:r>
        <w:rPr>
          <w:rFonts w:eastAsia="IRNazanin" w:cs="IRNazanin"/>
          <w:b w:val="false"/>
          <w:bCs w:val="false"/>
          <w:i w:val="false"/>
          <w:iCs w:val="false"/>
          <w:color w:val="333333"/>
          <w:sz w:val="20"/>
          <w:szCs w:val="20"/>
        </w:rPr>
        <w:t>790</w:t>
      </w:r>
      <w:r>
        <w:rPr>
          <w:rFonts w:ascii="IRNazanin" w:hAnsi="IRNazanin" w:eastAsia="IRNazanin"/>
          <w:b w:val="false"/>
          <w:b w:val="false"/>
          <w:bCs w:val="false"/>
          <w:i w:val="false"/>
          <w:i w:val="false"/>
          <w:iCs w:val="false"/>
          <w:color w:val="333333"/>
          <w:sz w:val="20"/>
          <w:sz w:val="20"/>
          <w:szCs w:val="20"/>
          <w:rtl w:val="true"/>
        </w:rPr>
        <w:t xml:space="preserve">؛ وابن حمزة في الوسيلة، ص </w:t>
      </w:r>
      <w:r>
        <w:rPr>
          <w:rFonts w:eastAsia="IRNazanin" w:cs="IRNazanin"/>
          <w:b w:val="false"/>
          <w:bCs w:val="false"/>
          <w:i w:val="false"/>
          <w:iCs w:val="false"/>
          <w:color w:val="333333"/>
          <w:sz w:val="20"/>
          <w:szCs w:val="20"/>
        </w:rPr>
        <w:t>415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والقول بالإعادة إلى الغارم لابن إدريس في السرائر،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468</w:t>
      </w:r>
      <w:r>
        <w:rPr>
          <w:rFonts w:eastAsia="IRNazanin" w:cs="IRNazanin"/>
          <w:b w:val="false"/>
          <w:bCs w:val="false"/>
          <w:i w:val="false"/>
          <w:iCs w:val="false"/>
          <w:color w:val="333333"/>
          <w:sz w:val="20"/>
          <w:szCs w:val="20"/>
          <w:rtl w:val="true"/>
        </w:rPr>
        <w:t>.</w:t>
      </w:r>
    </w:p>
  </w:footnote>
  <w:footnote w:id="13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w:t>
      </w:r>
    </w:p>
  </w:footnote>
  <w:footnote w:id="13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w:t>
      </w:r>
    </w:p>
  </w:footnote>
  <w:footnote w:id="13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كسلار في المراسم، ص </w:t>
      </w:r>
      <w:r>
        <w:rPr>
          <w:rFonts w:eastAsia="IRNazanin" w:cs="IRNazanin"/>
          <w:b w:val="false"/>
          <w:bCs w:val="false"/>
          <w:i w:val="false"/>
          <w:iCs w:val="false"/>
          <w:color w:val="333333"/>
          <w:sz w:val="20"/>
          <w:szCs w:val="20"/>
        </w:rPr>
        <w:t>257</w:t>
      </w:r>
      <w:r>
        <w:rPr>
          <w:rFonts w:ascii="IRNazanin" w:hAnsi="IRNazanin" w:eastAsia="IRNazanin"/>
          <w:b w:val="false"/>
          <w:b w:val="false"/>
          <w:bCs w:val="false"/>
          <w:i w:val="false"/>
          <w:i w:val="false"/>
          <w:iCs w:val="false"/>
          <w:color w:val="333333"/>
          <w:sz w:val="20"/>
          <w:sz w:val="20"/>
          <w:szCs w:val="20"/>
          <w:rtl w:val="true"/>
        </w:rPr>
        <w:t xml:space="preserve">؛ وابن سعيد في الجامع للشرائع، ص </w:t>
      </w:r>
      <w:r>
        <w:rPr>
          <w:rFonts w:eastAsia="IRNazanin" w:cs="IRNazanin"/>
          <w:b w:val="false"/>
          <w:bCs w:val="false"/>
          <w:i w:val="false"/>
          <w:iCs w:val="false"/>
          <w:color w:val="333333"/>
          <w:sz w:val="20"/>
          <w:szCs w:val="20"/>
        </w:rPr>
        <w:t>556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والعلّامة في تلخيص المرام</w:t>
      </w:r>
    </w:p>
  </w:footnote>
  <w:footnote w:id="13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218</w:t>
      </w:r>
    </w:p>
  </w:footnote>
  <w:footnote w:id="13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220</w:t>
      </w:r>
    </w:p>
  </w:footnote>
  <w:footnote w:id="13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w:t>
      </w:r>
    </w:p>
  </w:footnote>
  <w:footnote w:id="13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شرائع الإسلام،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174</w:t>
      </w:r>
      <w:r>
        <w:rPr>
          <w:rFonts w:ascii="IRNazanin" w:hAnsi="IRNazanin" w:eastAsia="IRNazanin"/>
          <w:b w:val="false"/>
          <w:b w:val="false"/>
          <w:bCs w:val="false"/>
          <w:i w:val="false"/>
          <w:i w:val="false"/>
          <w:iCs w:val="false"/>
          <w:color w:val="333333"/>
          <w:sz w:val="20"/>
          <w:sz w:val="20"/>
          <w:szCs w:val="20"/>
          <w:rtl w:val="true"/>
        </w:rPr>
        <w:t xml:space="preserve">؛ وقواعد الأحكام،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541</w:t>
      </w:r>
      <w:r>
        <w:rPr>
          <w:rFonts w:ascii="IRNazanin" w:hAnsi="IRNazanin" w:eastAsia="IRNazanin"/>
          <w:b w:val="false"/>
          <w:b w:val="false"/>
          <w:bCs w:val="false"/>
          <w:i w:val="false"/>
          <w:i w:val="false"/>
          <w:iCs w:val="false"/>
          <w:color w:val="333333"/>
          <w:sz w:val="20"/>
          <w:sz w:val="20"/>
          <w:szCs w:val="20"/>
          <w:rtl w:val="true"/>
        </w:rPr>
        <w:t xml:space="preserve">؛ وغاية المراد،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 موسوعة الشهيد الأول،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3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w:t>
      </w:r>
    </w:p>
  </w:footnote>
  <w:footnote w:id="13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النهاية، ص </w:t>
      </w:r>
      <w:r>
        <w:rPr>
          <w:rFonts w:eastAsia="IRNazanin" w:cs="IRNazanin"/>
          <w:b w:val="false"/>
          <w:bCs w:val="false"/>
          <w:i w:val="false"/>
          <w:iCs w:val="false"/>
          <w:color w:val="333333"/>
          <w:sz w:val="20"/>
          <w:szCs w:val="20"/>
        </w:rPr>
        <w:t>731</w:t>
      </w:r>
    </w:p>
  </w:footnote>
  <w:footnote w:id="13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w:t>
      </w:r>
    </w:p>
  </w:footnote>
  <w:footnote w:id="13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w:t>
      </w:r>
    </w:p>
  </w:footnote>
  <w:footnote w:id="13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w:t>
      </w:r>
    </w:p>
  </w:footnote>
  <w:footnote w:id="13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به الشيخ في تهذيب الأحكام،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ذيل الحديث </w:t>
      </w:r>
      <w:r>
        <w:rPr>
          <w:rFonts w:eastAsia="IRNazanin" w:cs="IRNazanin"/>
          <w:b w:val="false"/>
          <w:bCs w:val="false"/>
          <w:i w:val="false"/>
          <w:iCs w:val="false"/>
          <w:color w:val="333333"/>
          <w:sz w:val="20"/>
          <w:szCs w:val="20"/>
        </w:rPr>
        <w:t>227</w:t>
      </w:r>
      <w:r>
        <w:rPr>
          <w:rFonts w:ascii="IRNazanin" w:hAnsi="IRNazanin" w:eastAsia="IRNazanin"/>
          <w:b w:val="false"/>
          <w:b w:val="false"/>
          <w:bCs w:val="false"/>
          <w:i w:val="false"/>
          <w:i w:val="false"/>
          <w:iCs w:val="false"/>
          <w:color w:val="333333"/>
          <w:sz w:val="20"/>
          <w:sz w:val="20"/>
          <w:szCs w:val="20"/>
          <w:rtl w:val="true"/>
        </w:rPr>
        <w:t xml:space="preserve">؛ والاستبصار،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224</w:t>
      </w:r>
      <w:r>
        <w:rPr>
          <w:rFonts w:ascii="IRNazanin" w:hAnsi="IRNazanin" w:eastAsia="IRNazanin"/>
          <w:b w:val="false"/>
          <w:b w:val="false"/>
          <w:bCs w:val="false"/>
          <w:i w:val="false"/>
          <w:i w:val="false"/>
          <w:iCs w:val="false"/>
          <w:color w:val="333333"/>
          <w:sz w:val="20"/>
          <w:sz w:val="20"/>
          <w:szCs w:val="20"/>
          <w:rtl w:val="true"/>
        </w:rPr>
        <w:t xml:space="preserve">، ذيل الحديث </w:t>
      </w:r>
      <w:r>
        <w:rPr>
          <w:rFonts w:eastAsia="IRNazanin" w:cs="IRNazanin"/>
          <w:b w:val="false"/>
          <w:bCs w:val="false"/>
          <w:i w:val="false"/>
          <w:iCs w:val="false"/>
          <w:color w:val="333333"/>
          <w:sz w:val="20"/>
          <w:szCs w:val="20"/>
        </w:rPr>
        <w:t>840</w:t>
      </w:r>
    </w:p>
  </w:footnote>
  <w:footnote w:id="13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w:t>
      </w:r>
    </w:p>
  </w:footnote>
  <w:footnote w:id="13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w:t>
      </w:r>
    </w:p>
  </w:footnote>
  <w:footnote w:id="13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به الشيخ الصدوق في المقنع، ص </w:t>
      </w:r>
      <w:r>
        <w:rPr>
          <w:rFonts w:eastAsia="IRNazanin" w:cs="IRNazanin"/>
          <w:b w:val="false"/>
          <w:bCs w:val="false"/>
          <w:i w:val="false"/>
          <w:iCs w:val="false"/>
          <w:color w:val="333333"/>
          <w:sz w:val="20"/>
          <w:szCs w:val="20"/>
        </w:rPr>
        <w:t>437</w:t>
      </w:r>
    </w:p>
  </w:footnote>
  <w:footnote w:id="13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w:t>
      </w:r>
    </w:p>
  </w:footnote>
  <w:footnote w:id="13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الاستبصار،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ذيل الحديث </w:t>
      </w:r>
      <w:r>
        <w:rPr>
          <w:rFonts w:eastAsia="IRNazanin" w:cs="IRNazanin"/>
          <w:b w:val="false"/>
          <w:bCs w:val="false"/>
          <w:i w:val="false"/>
          <w:iCs w:val="false"/>
          <w:color w:val="333333"/>
          <w:sz w:val="20"/>
          <w:szCs w:val="20"/>
        </w:rPr>
        <w:t>840</w:t>
      </w:r>
      <w:r>
        <w:rPr>
          <w:rFonts w:eastAsia="IRNazanin" w:cs="IRNazanin"/>
          <w:b w:val="false"/>
          <w:bCs w:val="false"/>
          <w:i w:val="false"/>
          <w:iCs w:val="false"/>
          <w:color w:val="333333"/>
          <w:sz w:val="20"/>
          <w:szCs w:val="20"/>
          <w:rtl w:val="true"/>
        </w:rPr>
        <w:t>.</w:t>
      </w:r>
    </w:p>
  </w:footnote>
  <w:footnote w:id="13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ص </w:t>
      </w:r>
      <w:r>
        <w:rPr>
          <w:rFonts w:eastAsia="IRNazanin" w:cs="IRNazanin"/>
          <w:b w:val="false"/>
          <w:bCs w:val="false"/>
          <w:i w:val="false"/>
          <w:iCs w:val="false"/>
          <w:color w:val="333333"/>
          <w:sz w:val="20"/>
          <w:szCs w:val="20"/>
        </w:rPr>
        <w:t>326</w:t>
      </w:r>
      <w:r>
        <w:rPr>
          <w:rFonts w:ascii="IRNazanin" w:hAnsi="IRNazanin" w:eastAsia="IRNazanin"/>
          <w:b w:val="false"/>
          <w:b w:val="false"/>
          <w:bCs w:val="false"/>
          <w:i w:val="false"/>
          <w:i w:val="false"/>
          <w:iCs w:val="false"/>
          <w:color w:val="333333"/>
          <w:sz w:val="20"/>
          <w:sz w:val="20"/>
          <w:szCs w:val="20"/>
          <w:rtl w:val="true"/>
        </w:rPr>
        <w:t xml:space="preserve">، الهامش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3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ص </w:t>
      </w:r>
      <w:r>
        <w:rPr>
          <w:rFonts w:eastAsia="IRNazanin" w:cs="IRNazanin"/>
          <w:b w:val="false"/>
          <w:bCs w:val="false"/>
          <w:i w:val="false"/>
          <w:iCs w:val="false"/>
          <w:color w:val="333333"/>
          <w:sz w:val="20"/>
          <w:szCs w:val="20"/>
        </w:rPr>
        <w:t>336</w:t>
      </w:r>
      <w:r>
        <w:rPr>
          <w:rFonts w:ascii="IRNazanin" w:hAnsi="IRNazanin" w:eastAsia="IRNazanin"/>
          <w:b w:val="false"/>
          <w:b w:val="false"/>
          <w:bCs w:val="false"/>
          <w:i w:val="false"/>
          <w:i w:val="false"/>
          <w:iCs w:val="false"/>
          <w:color w:val="333333"/>
          <w:sz w:val="20"/>
          <w:sz w:val="20"/>
          <w:szCs w:val="20"/>
          <w:rtl w:val="true"/>
        </w:rPr>
        <w:t xml:space="preserve">، الهامش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3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النور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تهذيب الأحكام،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باب حدود الزني</w:t>
      </w:r>
      <w:r>
        <w:rPr>
          <w:rFonts w:eastAsia="IRNazanin" w:cs="IRNazanin"/>
          <w:b w:val="false"/>
          <w:bCs w:val="false"/>
          <w:i w:val="false"/>
          <w:iCs w:val="false"/>
          <w:color w:val="333333"/>
          <w:sz w:val="20"/>
          <w:szCs w:val="20"/>
          <w:rtl w:val="true"/>
        </w:rPr>
        <w:t>.</w:t>
      </w:r>
    </w:p>
  </w:footnote>
  <w:footnote w:id="13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به الشيخ المفيد في المقنعة، ص </w:t>
      </w:r>
      <w:r>
        <w:rPr>
          <w:rFonts w:eastAsia="IRNazanin" w:cs="IRNazanin"/>
          <w:b w:val="false"/>
          <w:bCs w:val="false"/>
          <w:i w:val="false"/>
          <w:iCs w:val="false"/>
          <w:color w:val="333333"/>
          <w:sz w:val="20"/>
          <w:szCs w:val="20"/>
        </w:rPr>
        <w:t>790</w:t>
      </w:r>
      <w:r>
        <w:rPr>
          <w:rFonts w:ascii="IRNazanin" w:hAnsi="IRNazanin" w:eastAsia="IRNazanin"/>
          <w:b w:val="false"/>
          <w:b w:val="false"/>
          <w:bCs w:val="false"/>
          <w:i w:val="false"/>
          <w:i w:val="false"/>
          <w:iCs w:val="false"/>
          <w:color w:val="333333"/>
          <w:sz w:val="20"/>
          <w:sz w:val="20"/>
          <w:szCs w:val="20"/>
          <w:rtl w:val="true"/>
        </w:rPr>
        <w:t xml:space="preserve">؛ والشيخ في النهاية، ص </w:t>
      </w:r>
      <w:r>
        <w:rPr>
          <w:rFonts w:eastAsia="IRNazanin" w:cs="IRNazanin"/>
          <w:b w:val="false"/>
          <w:bCs w:val="false"/>
          <w:i w:val="false"/>
          <w:iCs w:val="false"/>
          <w:color w:val="333333"/>
          <w:sz w:val="20"/>
          <w:szCs w:val="20"/>
        </w:rPr>
        <w:t>708</w:t>
      </w:r>
      <w:r>
        <w:rPr>
          <w:rFonts w:eastAsia="IRNazanin" w:cs="IRNazanin"/>
          <w:b w:val="false"/>
          <w:bCs w:val="false"/>
          <w:i w:val="false"/>
          <w:iCs w:val="false"/>
          <w:color w:val="333333"/>
          <w:sz w:val="20"/>
          <w:szCs w:val="20"/>
          <w:rtl w:val="true"/>
        </w:rPr>
        <w:t>.</w:t>
      </w:r>
    </w:p>
  </w:footnote>
  <w:footnote w:id="13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وسائل الشيعة، ج </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97</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حد الزنى</w:t>
      </w:r>
      <w:r>
        <w:rPr>
          <w:rFonts w:eastAsia="IRNazanin" w:cs="IRNazanin"/>
          <w:b w:val="false"/>
          <w:bCs w:val="false"/>
          <w:i w:val="false"/>
          <w:iCs w:val="false"/>
          <w:color w:val="333333"/>
          <w:sz w:val="20"/>
          <w:szCs w:val="20"/>
          <w:rtl w:val="true"/>
        </w:rPr>
        <w:t>.</w:t>
      </w:r>
    </w:p>
  </w:footnote>
  <w:footnote w:id="13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باب البينات</w:t>
      </w:r>
      <w:r>
        <w:rPr>
          <w:rFonts w:eastAsia="IRNazanin" w:cs="IRNazanin"/>
          <w:b w:val="false"/>
          <w:bCs w:val="false"/>
          <w:i w:val="false"/>
          <w:iCs w:val="false"/>
          <w:color w:val="333333"/>
          <w:sz w:val="20"/>
          <w:szCs w:val="20"/>
          <w:rtl w:val="true"/>
        </w:rPr>
        <w:t>.</w:t>
      </w:r>
    </w:p>
  </w:footnote>
  <w:footnote w:id="13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المؤمنون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p>
  </w:footnote>
  <w:footnote w:id="13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عوالي اللآلي،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13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تذكرة الفقهاء،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 الحجرية</w:t>
      </w:r>
      <w:r>
        <w:rPr>
          <w:rFonts w:eastAsia="IRNazanin" w:cs="IRNazanin"/>
          <w:b w:val="false"/>
          <w:bCs w:val="false"/>
          <w:i w:val="false"/>
          <w:iCs w:val="false"/>
          <w:color w:val="333333"/>
          <w:sz w:val="20"/>
          <w:szCs w:val="20"/>
          <w:rtl w:val="true"/>
        </w:rPr>
        <w:t>).</w:t>
      </w:r>
    </w:p>
  </w:footnote>
  <w:footnote w:id="13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232</w:t>
      </w:r>
    </w:p>
  </w:footnote>
  <w:footnote w:id="13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 xml:space="preserve"> .</w:t>
      </w:r>
    </w:p>
  </w:footnote>
  <w:footnote w:id="13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ص </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الهامش </w:t>
      </w:r>
      <w:r>
        <w:rPr>
          <w:rFonts w:eastAsia="IRNazanin" w:cs="IRNazanin"/>
          <w:b w:val="false"/>
          <w:bCs w:val="false"/>
          <w:i w:val="false"/>
          <w:iCs w:val="false"/>
          <w:color w:val="333333"/>
          <w:sz w:val="20"/>
          <w:szCs w:val="20"/>
        </w:rPr>
        <w:t>9</w:t>
      </w:r>
    </w:p>
  </w:footnote>
  <w:footnote w:id="13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471</w:t>
      </w:r>
      <w:r>
        <w:rPr>
          <w:rFonts w:eastAsia="IRNazanin" w:cs="IRNazanin"/>
          <w:b w:val="false"/>
          <w:bCs w:val="false"/>
          <w:i w:val="false"/>
          <w:iCs w:val="false"/>
          <w:color w:val="333333"/>
          <w:sz w:val="20"/>
          <w:szCs w:val="20"/>
          <w:rtl w:val="true"/>
        </w:rPr>
        <w:t>.</w:t>
      </w:r>
    </w:p>
  </w:footnote>
  <w:footnote w:id="13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كالعلّامة في قواعد الأحكام،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553</w:t>
      </w:r>
      <w:r>
        <w:rPr>
          <w:rFonts w:eastAsia="IRNazanin" w:cs="IRNazanin"/>
          <w:b w:val="false"/>
          <w:bCs w:val="false"/>
          <w:i w:val="false"/>
          <w:iCs w:val="false"/>
          <w:color w:val="333333"/>
          <w:sz w:val="20"/>
          <w:szCs w:val="20"/>
          <w:rtl w:val="true"/>
        </w:rPr>
        <w:t>.</w:t>
      </w:r>
    </w:p>
  </w:footnote>
  <w:footnote w:id="13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كابن إدريس في السرائر،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والشهيد الأوّل في غاية المراد،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 موسوعة الشهيد الأول،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والسيوري في التنقيح الرائع،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371</w:t>
      </w:r>
      <w:r>
        <w:rPr>
          <w:rFonts w:eastAsia="IRNazanin" w:cs="IRNazanin"/>
          <w:b w:val="false"/>
          <w:bCs w:val="false"/>
          <w:i w:val="false"/>
          <w:iCs w:val="false"/>
          <w:color w:val="333333"/>
          <w:sz w:val="20"/>
          <w:szCs w:val="20"/>
          <w:rtl w:val="true"/>
        </w:rPr>
        <w:t>.</w:t>
      </w:r>
    </w:p>
  </w:footnote>
  <w:footnote w:id="13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النهاية، ص </w:t>
      </w:r>
      <w:r>
        <w:rPr>
          <w:rFonts w:eastAsia="IRNazanin" w:cs="IRNazanin"/>
          <w:b w:val="false"/>
          <w:bCs w:val="false"/>
          <w:i w:val="false"/>
          <w:iCs w:val="false"/>
          <w:color w:val="333333"/>
          <w:sz w:val="20"/>
          <w:szCs w:val="20"/>
        </w:rPr>
        <w:t>713</w:t>
      </w:r>
    </w:p>
  </w:footnote>
  <w:footnote w:id="13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ص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w:t>
      </w:r>
    </w:p>
  </w:footnote>
  <w:footnote w:id="13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البخاري،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2854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الجامع الصحيح،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1458</w:t>
      </w:r>
      <w:r>
        <w:rPr>
          <w:rFonts w:ascii="IRNazanin" w:hAnsi="IRNazanin" w:eastAsia="IRNazanin"/>
          <w:b w:val="false"/>
          <w:b w:val="false"/>
          <w:bCs w:val="false"/>
          <w:i w:val="false"/>
          <w:i w:val="false"/>
          <w:iCs w:val="false"/>
          <w:color w:val="333333"/>
          <w:sz w:val="20"/>
          <w:sz w:val="20"/>
          <w:szCs w:val="20"/>
          <w:rtl w:val="true"/>
        </w:rPr>
        <w:t xml:space="preserve">؛ سنن أبي داود،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4351</w:t>
      </w:r>
      <w:r>
        <w:rPr>
          <w:rFonts w:eastAsia="IRNazanin" w:cs="IRNazanin"/>
          <w:b w:val="false"/>
          <w:bCs w:val="false"/>
          <w:i w:val="false"/>
          <w:iCs w:val="false"/>
          <w:color w:val="333333"/>
          <w:sz w:val="20"/>
          <w:szCs w:val="20"/>
          <w:rtl w:val="true"/>
        </w:rPr>
        <w:t>.</w:t>
      </w:r>
    </w:p>
  </w:footnote>
  <w:footnote w:id="13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540</w:t>
      </w:r>
      <w:r>
        <w:rPr>
          <w:rFonts w:eastAsia="IRNazanin" w:cs="IRNazanin"/>
          <w:b w:val="false"/>
          <w:bCs w:val="false"/>
          <w:i w:val="false"/>
          <w:iCs w:val="false"/>
          <w:color w:val="333333"/>
          <w:sz w:val="20"/>
          <w:szCs w:val="20"/>
          <w:rtl w:val="true"/>
        </w:rPr>
        <w:t>.</w:t>
      </w:r>
    </w:p>
  </w:footnote>
  <w:footnote w:id="13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النسخ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يستبقيه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وما اثبتناه من المصدر</w:t>
      </w:r>
      <w:r>
        <w:rPr>
          <w:rFonts w:eastAsia="IRNazanin" w:cs="IRNazanin"/>
          <w:b w:val="false"/>
          <w:bCs w:val="false"/>
          <w:i w:val="false"/>
          <w:iCs w:val="false"/>
          <w:color w:val="333333"/>
          <w:sz w:val="20"/>
          <w:szCs w:val="20"/>
          <w:rtl w:val="true"/>
        </w:rPr>
        <w:t>.</w:t>
      </w:r>
    </w:p>
  </w:footnote>
  <w:footnote w:id="13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541</w:t>
      </w:r>
      <w:r>
        <w:rPr>
          <w:rFonts w:eastAsia="IRNazanin" w:cs="IRNazanin"/>
          <w:b w:val="false"/>
          <w:bCs w:val="false"/>
          <w:i w:val="false"/>
          <w:iCs w:val="false"/>
          <w:color w:val="333333"/>
          <w:sz w:val="20"/>
          <w:szCs w:val="20"/>
          <w:rtl w:val="true"/>
        </w:rPr>
        <w:t>.</w:t>
      </w:r>
    </w:p>
  </w:footnote>
  <w:footnote w:id="13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القول للشهيد الأوّل في الدروس الشرعية،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ضمن موسوعة الشهيد الأول،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3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546</w:t>
      </w:r>
      <w:r>
        <w:rPr>
          <w:rFonts w:eastAsia="IRNazanin" w:cs="IRNazanin"/>
          <w:b w:val="false"/>
          <w:bCs w:val="false"/>
          <w:i w:val="false"/>
          <w:iCs w:val="false"/>
          <w:color w:val="333333"/>
          <w:sz w:val="20"/>
          <w:szCs w:val="20"/>
          <w:rtl w:val="true"/>
        </w:rPr>
        <w:t>.</w:t>
      </w:r>
    </w:p>
  </w:footnote>
  <w:footnote w:id="13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النهاية في غريب الحديث والأثر،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جشب</w:t>
      </w:r>
      <w:r>
        <w:rPr>
          <w:rFonts w:eastAsia="IRNazanin" w:cs="IRNazanin"/>
          <w:b w:val="false"/>
          <w:bCs w:val="false"/>
          <w:i w:val="false"/>
          <w:iCs w:val="false"/>
          <w:color w:val="333333"/>
          <w:sz w:val="20"/>
          <w:szCs w:val="20"/>
          <w:rtl w:val="true"/>
        </w:rPr>
        <w:t>».</w:t>
      </w:r>
    </w:p>
  </w:footnote>
  <w:footnote w:id="13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3551</w:t>
      </w:r>
      <w:r>
        <w:rPr>
          <w:rFonts w:eastAsia="IRNazanin" w:cs="IRNazanin"/>
          <w:b w:val="false"/>
          <w:bCs w:val="false"/>
          <w:i w:val="false"/>
          <w:iCs w:val="false"/>
          <w:color w:val="333333"/>
          <w:sz w:val="20"/>
          <w:szCs w:val="20"/>
          <w:rtl w:val="true"/>
        </w:rPr>
        <w:t>.</w:t>
      </w:r>
    </w:p>
  </w:footnote>
  <w:footnote w:id="13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565</w:t>
      </w:r>
      <w:r>
        <w:rPr>
          <w:rFonts w:eastAsia="IRNazanin" w:cs="IRNazanin"/>
          <w:b w:val="false"/>
          <w:bCs w:val="false"/>
          <w:i w:val="false"/>
          <w:iCs w:val="false"/>
          <w:color w:val="333333"/>
          <w:sz w:val="20"/>
          <w:szCs w:val="20"/>
          <w:rtl w:val="true"/>
        </w:rPr>
        <w:t>.</w:t>
      </w:r>
    </w:p>
  </w:footnote>
  <w:footnote w:id="13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569</w:t>
      </w:r>
      <w:r>
        <w:rPr>
          <w:rFonts w:eastAsia="IRNazanin" w:cs="IRNazanin"/>
          <w:b w:val="false"/>
          <w:bCs w:val="false"/>
          <w:i w:val="false"/>
          <w:iCs w:val="false"/>
          <w:color w:val="333333"/>
          <w:sz w:val="20"/>
          <w:szCs w:val="20"/>
          <w:rtl w:val="true"/>
        </w:rPr>
        <w:t>.</w:t>
      </w:r>
    </w:p>
  </w:footnote>
  <w:footnote w:id="13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ص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w:t>
      </w:r>
    </w:p>
  </w:footnote>
  <w:footnote w:id="13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إنّما لم تكن الصلاة إسلاماً لإمكان فعلها تقيّة أو إراءة، وهذا يتمّ مع عدم سماع لفظ الشهادتين أو مع كون الارتداد بإنكار غير الصلاة من فروض الإسلام، أمّا مع سماع لفظهما أو كون المطلوب من إسلامه ذلك</w:t>
      </w:r>
      <w:r>
        <w:rPr>
          <w:rFonts w:eastAsia="IRNazanin" w:cs="IRNazanin"/>
          <w:b w:val="false"/>
          <w:bCs w:val="false"/>
          <w:i w:val="false"/>
          <w:iCs w:val="false"/>
          <w:color w:val="333333"/>
          <w:sz w:val="20"/>
          <w:szCs w:val="20"/>
          <w:rtl w:val="true"/>
        </w:rPr>
        <w:t>.</w:t>
      </w:r>
    </w:p>
  </w:footnote>
  <w:footnote w:id="13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به العلّامة في قواعد الأحكام،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578</w:t>
      </w:r>
    </w:p>
  </w:footnote>
  <w:footnote w:id="13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تحرير الأحكام الشرعية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393</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6926</w:t>
      </w:r>
      <w:r>
        <w:rPr>
          <w:rFonts w:eastAsia="IRNazanin" w:cs="IRNazanin"/>
          <w:b w:val="false"/>
          <w:bCs w:val="false"/>
          <w:i w:val="false"/>
          <w:iCs w:val="false"/>
          <w:color w:val="333333"/>
          <w:sz w:val="20"/>
          <w:szCs w:val="20"/>
          <w:rtl w:val="true"/>
        </w:rPr>
        <w:t>.</w:t>
      </w:r>
    </w:p>
  </w:footnote>
  <w:footnote w:id="13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قواعد الأحكام،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578</w:t>
      </w:r>
    </w:p>
  </w:footnote>
  <w:footnote w:id="13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يعني ومن العقوبات المتفرّقة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ولا يخفى عدم ملائمة العطف إلا بتأويل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زين رحمه الله</w:t>
      </w:r>
      <w:r>
        <w:rPr>
          <w:rFonts w:eastAsia="IRNazanin" w:cs="IRNazanin"/>
          <w:b w:val="false"/>
          <w:bCs w:val="false"/>
          <w:i w:val="false"/>
          <w:iCs w:val="false"/>
          <w:color w:val="333333"/>
          <w:sz w:val="20"/>
          <w:szCs w:val="20"/>
          <w:rtl w:val="true"/>
        </w:rPr>
        <w:t>)</w:t>
      </w:r>
    </w:p>
  </w:footnote>
  <w:footnote w:id="13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 إشكال في أصل الجواز مع القدرة وعدم لحوق ضرر، وقد روي عن عليّ</w:t>
      </w:r>
    </w:p>
  </w:footnote>
  <w:footnote w:id="13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إنّما جعله كالشهيد ولم يجعله شهيداً مطلقاً؛ لأنّ أحكام الشهيد من ترك غسله وتكفينه لا يلحق إلا من قتل في جهاد بين يدي إمام عادل كما سبق في محله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أما من قتل دون ماله ونحوه فهو كالشهيد في الثواب لا في باقي الأحكام، وقد روي عن الصادق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أنّ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وآله وسلم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قتل دون عقال فهو شهيد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والمراد به ذلك جمعاً بين الأخبار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زين رحمه الله</w:t>
      </w:r>
      <w:r>
        <w:rPr>
          <w:rFonts w:eastAsia="IRNazanin" w:cs="IRNazanin"/>
          <w:b w:val="false"/>
          <w:bCs w:val="false"/>
          <w:i w:val="false"/>
          <w:iCs w:val="false"/>
          <w:color w:val="333333"/>
          <w:sz w:val="20"/>
          <w:szCs w:val="20"/>
          <w:rtl w:val="true"/>
        </w:rPr>
        <w:t>)</w:t>
      </w:r>
    </w:p>
  </w:footnote>
  <w:footnote w:id="13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يدافع عن الحريم بالفعل المحرم فكذا مع النظر المحرم لاشتراكهما في انتهاك العرض، وفي حسنة الحلبي عن أبي عبد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أيما رجل اطلع على قوم في دارهم فينظر إلى عوراتهم فرموه بحصاة ففقأوا عينه أو جرحوه فلادية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 بدأ فاعتدى عليه بمثل ما اعتدى عليه فلا قود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وروى العلاء بن فضيل عن أبي عبد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إذا اطلع رجل على قوم يشرف عليهم أو ينظر من خلل شيء لهم، فرموه فأصابوه فقتلوه أو فقأوا عينه، فليس عليهم غرم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إنّ رجلاً اطلع من خلل حجرة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وآله وسلم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فجاء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وآله وسلم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بمشقص ليفقأ عينه فوجده قد انطلق فقال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وآله وسلم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أما والله لو عمت لفقأت عينك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ولا فرق بين الرحم وغيره حيث يحرم على الرحم ذلك النظر ، كما لو كانت المرأة مجرّدة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 مع عدمه فيفرق بين الرحم وغيره حيث يجوز نظره شرعاً، وحيث يجوز الزجر لو توقف على الضرب فجنى عليه لم يضمن لأنه من ضروب الدفاع الذي لا يترتب عليه ضمان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زین رحمه الله </w:t>
      </w:r>
      <w:r>
        <w:rPr>
          <w:rFonts w:eastAsia="IRNazanin" w:cs="IRNazanin"/>
          <w:b w:val="false"/>
          <w:bCs w:val="false"/>
          <w:i w:val="false"/>
          <w:iCs w:val="false"/>
          <w:color w:val="333333"/>
          <w:sz w:val="20"/>
          <w:szCs w:val="20"/>
          <w:rtl w:val="true"/>
        </w:rPr>
        <w:t>)</w:t>
      </w:r>
    </w:p>
  </w:footnote>
  <w:footnote w:id="13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وإن كان الزوج فإن كان على سبيل الحدّ والتعزير الجائز فعله للزوج فلا ضمان، وإن كان تأديباً على فعل</w:t>
      </w:r>
    </w:p>
  </w:footnote>
  <w:footnote w:id="13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الصحاح،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1493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زهق</w:t>
      </w:r>
      <w:r>
        <w:rPr>
          <w:rFonts w:eastAsia="IRNazanin" w:cs="IRNazanin"/>
          <w:b w:val="false"/>
          <w:bCs w:val="false"/>
          <w:i w:val="false"/>
          <w:iCs w:val="false"/>
          <w:color w:val="333333"/>
          <w:sz w:val="20"/>
          <w:szCs w:val="20"/>
          <w:rtl w:val="true"/>
        </w:rPr>
        <w:t>».</w:t>
      </w:r>
    </w:p>
  </w:footnote>
  <w:footnote w:id="13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شرحي الإشارات،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57</w:t>
      </w:r>
      <w:r>
        <w:rPr>
          <w:rFonts w:ascii="IRNazanin" w:hAnsi="IRNazanin" w:eastAsia="IRNazanin"/>
          <w:b w:val="false"/>
          <w:b w:val="false"/>
          <w:bCs w:val="false"/>
          <w:i w:val="false"/>
          <w:i w:val="false"/>
          <w:iCs w:val="false"/>
          <w:color w:val="333333"/>
          <w:sz w:val="20"/>
          <w:sz w:val="20"/>
          <w:szCs w:val="20"/>
          <w:rtl w:val="true"/>
        </w:rPr>
        <w:t>، النمط السابع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لخواجة نصير الدين الطوسي وفخر الدين الرازي</w:t>
      </w:r>
      <w:r>
        <w:rPr>
          <w:rFonts w:eastAsia="IRNazanin" w:cs="IRNazanin"/>
          <w:b w:val="false"/>
          <w:bCs w:val="false"/>
          <w:i w:val="false"/>
          <w:iCs w:val="false"/>
          <w:color w:val="333333"/>
          <w:sz w:val="20"/>
          <w:szCs w:val="20"/>
          <w:rtl w:val="true"/>
        </w:rPr>
        <w:t>.</w:t>
      </w:r>
    </w:p>
  </w:footnote>
  <w:footnote w:id="13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يأتي عن قريب</w:t>
      </w:r>
      <w:r>
        <w:rPr>
          <w:rFonts w:eastAsia="IRNazanin" w:cs="IRNazanin"/>
          <w:b w:val="false"/>
          <w:bCs w:val="false"/>
          <w:i w:val="false"/>
          <w:iCs w:val="false"/>
          <w:color w:val="333333"/>
          <w:sz w:val="20"/>
          <w:szCs w:val="20"/>
          <w:rtl w:val="true"/>
        </w:rPr>
        <w:t>.</w:t>
      </w:r>
    </w:p>
  </w:footnote>
  <w:footnote w:id="14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يأتي بُعَيْدَ هذا</w:t>
      </w:r>
      <w:r>
        <w:rPr>
          <w:rFonts w:eastAsia="IRNazanin" w:cs="IRNazanin"/>
          <w:b w:val="false"/>
          <w:bCs w:val="false"/>
          <w:i w:val="false"/>
          <w:iCs w:val="false"/>
          <w:color w:val="333333"/>
          <w:sz w:val="20"/>
          <w:szCs w:val="20"/>
          <w:rtl w:val="true"/>
        </w:rPr>
        <w:t>.</w:t>
      </w:r>
    </w:p>
  </w:footnote>
  <w:footnote w:id="14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اللغة،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قود</w:t>
      </w:r>
      <w:r>
        <w:rPr>
          <w:rFonts w:eastAsia="IRNazanin" w:cs="IRNazanin"/>
          <w:b w:val="false"/>
          <w:bCs w:val="false"/>
          <w:i w:val="false"/>
          <w:iCs w:val="false"/>
          <w:color w:val="333333"/>
          <w:sz w:val="20"/>
          <w:szCs w:val="20"/>
          <w:rtl w:val="true"/>
        </w:rPr>
        <w:t>».</w:t>
      </w:r>
    </w:p>
  </w:footnote>
  <w:footnote w:id="14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كالمحقق في المختصر النافع، ص </w:t>
      </w:r>
      <w:r>
        <w:rPr>
          <w:rFonts w:eastAsia="IRNazanin" w:cs="IRNazanin"/>
          <w:b w:val="false"/>
          <w:bCs w:val="false"/>
          <w:i w:val="false"/>
          <w:iCs w:val="false"/>
          <w:color w:val="333333"/>
          <w:sz w:val="20"/>
          <w:szCs w:val="20"/>
        </w:rPr>
        <w:t>443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وشرائع الإسلام،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w:t>
      </w:r>
    </w:p>
  </w:footnote>
  <w:footnote w:id="14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به المحقق في شرائع الإسلام،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w:t>
      </w:r>
    </w:p>
  </w:footnote>
  <w:footnote w:id="14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w:t>
      </w:r>
      <w:r>
        <w:rPr>
          <w:rFonts w:ascii="IRNazanin" w:hAnsi="IRNazanin" w:eastAsia="IRNazanin"/>
          <w:b w:val="false"/>
          <w:b w:val="false"/>
          <w:bCs w:val="false"/>
          <w:i w:val="false"/>
          <w:i w:val="false"/>
          <w:iCs w:val="false"/>
          <w:color w:val="333333"/>
          <w:sz w:val="20"/>
          <w:sz w:val="20"/>
          <w:szCs w:val="20"/>
          <w:rtl w:val="true"/>
        </w:rPr>
        <w:t xml:space="preserve">؛ تهذيب الأحكام،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باب القضايا في الديات والقصاص</w:t>
      </w:r>
      <w:r>
        <w:rPr>
          <w:rFonts w:eastAsia="IRNazanin" w:cs="IRNazanin"/>
          <w:b w:val="false"/>
          <w:bCs w:val="false"/>
          <w:i w:val="false"/>
          <w:iCs w:val="false"/>
          <w:color w:val="333333"/>
          <w:sz w:val="20"/>
          <w:szCs w:val="20"/>
          <w:rtl w:val="true"/>
        </w:rPr>
        <w:t>.</w:t>
      </w:r>
    </w:p>
  </w:footnote>
  <w:footnote w:id="14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14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622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626</w:t>
      </w:r>
      <w:r>
        <w:rPr>
          <w:rFonts w:eastAsia="IRNazanin" w:cs="IRNazanin"/>
          <w:b w:val="false"/>
          <w:bCs w:val="false"/>
          <w:i w:val="false"/>
          <w:iCs w:val="false"/>
          <w:color w:val="333333"/>
          <w:sz w:val="20"/>
          <w:szCs w:val="20"/>
          <w:rtl w:val="true"/>
        </w:rPr>
        <w:t>.</w:t>
      </w:r>
    </w:p>
  </w:footnote>
  <w:footnote w:id="14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بقي معه بقية نفس حتى مات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زين رحمه الله</w:t>
      </w:r>
      <w:r>
        <w:rPr>
          <w:rFonts w:eastAsia="IRNazanin" w:cs="IRNazanin"/>
          <w:b w:val="false"/>
          <w:bCs w:val="false"/>
          <w:i w:val="false"/>
          <w:iCs w:val="false"/>
          <w:color w:val="333333"/>
          <w:sz w:val="20"/>
          <w:szCs w:val="20"/>
          <w:rtl w:val="true"/>
        </w:rPr>
        <w:t>)</w:t>
      </w:r>
    </w:p>
  </w:footnote>
  <w:footnote w:id="14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 ، م ، 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أضيف</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هنا</w:t>
      </w:r>
      <w:r>
        <w:rPr>
          <w:rFonts w:eastAsia="IRNazanin" w:cs="IRNazanin"/>
          <w:b w:val="false"/>
          <w:bCs w:val="false"/>
          <w:i w:val="false"/>
          <w:iCs w:val="false"/>
          <w:color w:val="333333"/>
          <w:sz w:val="20"/>
          <w:szCs w:val="20"/>
          <w:rtl w:val="true"/>
        </w:rPr>
        <w:t>».</w:t>
      </w:r>
    </w:p>
  </w:footnote>
  <w:footnote w:id="14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فرق العلامة في قواعد الأحكام،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585</w:t>
      </w:r>
    </w:p>
  </w:footnote>
  <w:footnote w:id="14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به الشيخ في الخلاف،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14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مختلف الشيعة،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المسألة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w:t>
      </w:r>
    </w:p>
  </w:footnote>
  <w:footnote w:id="14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القول بالقود للشيخ في الخلاف،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 والمبسوط،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 والقول بعدم القود للمحقق في شرائع الإسلام،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w:t>
      </w:r>
    </w:p>
  </w:footnote>
  <w:footnote w:id="14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864</w:t>
      </w:r>
    </w:p>
  </w:footnote>
  <w:footnote w:id="14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يأتي في ص </w:t>
      </w:r>
      <w:r>
        <w:rPr>
          <w:rFonts w:eastAsia="IRNazanin" w:cs="IRNazanin"/>
          <w:b w:val="false"/>
          <w:bCs w:val="false"/>
          <w:i w:val="false"/>
          <w:iCs w:val="false"/>
          <w:color w:val="333333"/>
          <w:sz w:val="20"/>
          <w:szCs w:val="20"/>
        </w:rPr>
        <w:t>388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ولو صالحه بعض الأولياء</w:t>
      </w:r>
      <w:r>
        <w:rPr>
          <w:rFonts w:eastAsia="IRNazanin" w:cs="IRNazanin"/>
          <w:b w:val="false"/>
          <w:bCs w:val="false"/>
          <w:i w:val="false"/>
          <w:iCs w:val="false"/>
          <w:color w:val="333333"/>
          <w:sz w:val="20"/>
          <w:szCs w:val="20"/>
          <w:rtl w:val="true"/>
        </w:rPr>
        <w:t>.</w:t>
      </w:r>
    </w:p>
  </w:footnote>
  <w:footnote w:id="14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ردت</w:t>
      </w:r>
      <w:r>
        <w:rPr>
          <w:rFonts w:eastAsia="IRNazanin" w:cs="IRNazanin"/>
          <w:b w:val="false"/>
          <w:bCs w:val="false"/>
          <w:i w:val="false"/>
          <w:iCs w:val="false"/>
          <w:color w:val="333333"/>
          <w:sz w:val="20"/>
          <w:szCs w:val="20"/>
          <w:rtl w:val="true"/>
        </w:rPr>
        <w:t>».</w:t>
      </w:r>
    </w:p>
  </w:footnote>
  <w:footnote w:id="14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المقنعة ص </w:t>
      </w:r>
      <w:r>
        <w:rPr>
          <w:rFonts w:eastAsia="IRNazanin" w:cs="IRNazanin"/>
          <w:b w:val="false"/>
          <w:bCs w:val="false"/>
          <w:i w:val="false"/>
          <w:iCs w:val="false"/>
          <w:color w:val="333333"/>
          <w:sz w:val="20"/>
          <w:szCs w:val="20"/>
        </w:rPr>
        <w:t>752</w:t>
      </w:r>
    </w:p>
  </w:footnote>
  <w:footnote w:id="14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712</w:t>
      </w:r>
    </w:p>
  </w:footnote>
  <w:footnote w:id="14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لتوضيح الأقوال راجع مختلف الشيعة،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324</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28</w:t>
      </w:r>
    </w:p>
  </w:footnote>
  <w:footnote w:id="14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الْحُرُّ بِالْحُرِّ وَالْعَبْدُ بِالْعَبْدِ </w:t>
      </w:r>
      <w:r>
        <w:rPr>
          <w:rFonts w:eastAsia="IRNazanin" w:cs="IRNazanin"/>
          <w:b w:val="false"/>
          <w:bCs w:val="false"/>
          <w:i w:val="false"/>
          <w:iCs w:val="false"/>
          <w:color w:val="333333"/>
          <w:sz w:val="20"/>
          <w:szCs w:val="20"/>
          <w:rtl w:val="true"/>
        </w:rPr>
        <w:t>..</w:t>
      </w:r>
    </w:p>
  </w:footnote>
  <w:footnote w:id="14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المائدة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p>
  </w:footnote>
  <w:footnote w:id="14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704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707</w:t>
      </w:r>
      <w:r>
        <w:rPr>
          <w:rFonts w:eastAsia="IRNazanin" w:cs="IRNazanin"/>
          <w:b w:val="false"/>
          <w:bCs w:val="false"/>
          <w:i w:val="false"/>
          <w:iCs w:val="false"/>
          <w:color w:val="333333"/>
          <w:sz w:val="20"/>
          <w:szCs w:val="20"/>
          <w:rtl w:val="true"/>
        </w:rPr>
        <w:t>.</w:t>
      </w:r>
    </w:p>
  </w:footnote>
  <w:footnote w:id="14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717</w:t>
      </w:r>
      <w:r>
        <w:rPr>
          <w:rFonts w:eastAsia="IRNazanin" w:cs="IRNazanin"/>
          <w:b w:val="false"/>
          <w:bCs w:val="false"/>
          <w:i w:val="false"/>
          <w:iCs w:val="false"/>
          <w:color w:val="333333"/>
          <w:sz w:val="20"/>
          <w:szCs w:val="20"/>
          <w:rtl w:val="true"/>
        </w:rPr>
        <w:t>.</w:t>
      </w:r>
    </w:p>
  </w:footnote>
  <w:footnote w:id="14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غاية المراد،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 موسوعة الشهيد الأول،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4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719</w:t>
      </w:r>
    </w:p>
  </w:footnote>
  <w:footnote w:id="14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720</w:t>
      </w:r>
    </w:p>
  </w:footnote>
  <w:footnote w:id="14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النهاية، ص </w:t>
      </w:r>
      <w:r>
        <w:rPr>
          <w:rFonts w:eastAsia="IRNazanin" w:cs="IRNazanin"/>
          <w:b w:val="false"/>
          <w:bCs w:val="false"/>
          <w:i w:val="false"/>
          <w:iCs w:val="false"/>
          <w:color w:val="333333"/>
          <w:sz w:val="20"/>
          <w:szCs w:val="20"/>
        </w:rPr>
        <w:t>748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773</w:t>
      </w:r>
      <w:r>
        <w:rPr>
          <w:rFonts w:eastAsia="IRNazanin" w:cs="IRNazanin"/>
          <w:b w:val="false"/>
          <w:bCs w:val="false"/>
          <w:i w:val="false"/>
          <w:iCs w:val="false"/>
          <w:color w:val="333333"/>
          <w:sz w:val="20"/>
          <w:szCs w:val="20"/>
          <w:rtl w:val="true"/>
        </w:rPr>
        <w:t>.</w:t>
      </w:r>
    </w:p>
  </w:footnote>
  <w:footnote w:id="14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الرجل يقتل المرأة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4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299</w:t>
      </w:r>
      <w:r>
        <w:rPr>
          <w:rFonts w:ascii="IRNazanin" w:hAnsi="IRNazanin" w:eastAsia="IRNazanin"/>
          <w:b w:val="false"/>
          <w:b w:val="false"/>
          <w:bCs w:val="false"/>
          <w:i w:val="false"/>
          <w:i w:val="false"/>
          <w:iCs w:val="false"/>
          <w:color w:val="333333"/>
          <w:sz w:val="20"/>
          <w:sz w:val="20"/>
          <w:szCs w:val="20"/>
          <w:rtl w:val="true"/>
        </w:rPr>
        <w:t xml:space="preserve">، باب الرجل يقتل المرأة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4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به العلّامة في قواعد الأحكام،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596</w:t>
      </w:r>
      <w:r>
        <w:rPr>
          <w:rFonts w:eastAsia="IRNazanin" w:cs="IRNazanin"/>
          <w:b w:val="false"/>
          <w:bCs w:val="false"/>
          <w:i w:val="false"/>
          <w:iCs w:val="false"/>
          <w:color w:val="333333"/>
          <w:sz w:val="20"/>
          <w:szCs w:val="20"/>
          <w:rtl w:val="true"/>
        </w:rPr>
        <w:t>.</w:t>
      </w:r>
    </w:p>
  </w:footnote>
  <w:footnote w:id="14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المائدة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p>
  </w:footnote>
  <w:footnote w:id="14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نسخة الشهيد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والحرّ</w:t>
      </w:r>
      <w:r>
        <w:rPr>
          <w:rFonts w:eastAsia="IRNazanin" w:cs="IRNazanin"/>
          <w:b w:val="false"/>
          <w:bCs w:val="false"/>
          <w:i w:val="false"/>
          <w:iCs w:val="false"/>
          <w:color w:val="333333"/>
          <w:sz w:val="20"/>
          <w:szCs w:val="20"/>
          <w:rtl w:val="true"/>
        </w:rPr>
        <w:t>».</w:t>
      </w:r>
    </w:p>
  </w:footnote>
  <w:footnote w:id="14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178</w:t>
      </w:r>
    </w:p>
  </w:footnote>
  <w:footnote w:id="14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كرواية سماعة في تهذيب الأحكام،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753</w:t>
      </w:r>
      <w:r>
        <w:rPr>
          <w:rFonts w:eastAsia="IRNazanin" w:cs="IRNazanin"/>
          <w:b w:val="false"/>
          <w:bCs w:val="false"/>
          <w:i w:val="false"/>
          <w:iCs w:val="false"/>
          <w:color w:val="333333"/>
          <w:sz w:val="20"/>
          <w:szCs w:val="20"/>
          <w:rtl w:val="true"/>
        </w:rPr>
        <w:t xml:space="preserve"> .</w:t>
      </w:r>
    </w:p>
  </w:footnote>
  <w:footnote w:id="14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751</w:t>
      </w:r>
      <w:r>
        <w:rPr>
          <w:rFonts w:eastAsia="IRNazanin" w:cs="IRNazanin"/>
          <w:b w:val="false"/>
          <w:bCs w:val="false"/>
          <w:i w:val="false"/>
          <w:iCs w:val="false"/>
          <w:color w:val="333333"/>
          <w:sz w:val="20"/>
          <w:szCs w:val="20"/>
          <w:rtl w:val="true"/>
        </w:rPr>
        <w:t>.</w:t>
      </w:r>
    </w:p>
  </w:footnote>
  <w:footnote w:id="14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الدارقطني ،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158/3211</w:t>
      </w:r>
      <w:r>
        <w:rPr>
          <w:rFonts w:ascii="IRNazanin" w:hAnsi="IRNazanin" w:eastAsia="IRNazanin"/>
          <w:b w:val="false"/>
          <w:b w:val="false"/>
          <w:bCs w:val="false"/>
          <w:i w:val="false"/>
          <w:i w:val="false"/>
          <w:iCs w:val="false"/>
          <w:color w:val="333333"/>
          <w:sz w:val="20"/>
          <w:sz w:val="20"/>
          <w:szCs w:val="20"/>
          <w:rtl w:val="true"/>
        </w:rPr>
        <w:t xml:space="preserve">؛ السنن الكبرى البيهقي،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15938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15939</w:t>
      </w:r>
      <w:r>
        <w:rPr>
          <w:rFonts w:eastAsia="IRNazanin" w:cs="IRNazanin"/>
          <w:b w:val="false"/>
          <w:bCs w:val="false"/>
          <w:i w:val="false"/>
          <w:iCs w:val="false"/>
          <w:color w:val="333333"/>
          <w:sz w:val="20"/>
          <w:szCs w:val="20"/>
          <w:rtl w:val="true"/>
        </w:rPr>
        <w:t>.</w:t>
      </w:r>
    </w:p>
  </w:footnote>
  <w:footnote w:id="14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148</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4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192</w:t>
      </w:r>
      <w:r>
        <w:rPr>
          <w:rFonts w:ascii="IRNazanin" w:hAnsi="IRNazanin" w:eastAsia="IRNazanin"/>
          <w:b w:val="false"/>
          <w:b w:val="false"/>
          <w:bCs w:val="false"/>
          <w:i w:val="false"/>
          <w:i w:val="false"/>
          <w:iCs w:val="false"/>
          <w:color w:val="333333"/>
          <w:sz w:val="20"/>
          <w:sz w:val="20"/>
          <w:szCs w:val="20"/>
          <w:rtl w:val="true"/>
        </w:rPr>
        <w:t xml:space="preserve">، ذيل الحديث </w:t>
      </w:r>
      <w:r>
        <w:rPr>
          <w:rFonts w:eastAsia="IRNazanin" w:cs="IRNazanin"/>
          <w:b w:val="false"/>
          <w:bCs w:val="false"/>
          <w:i w:val="false"/>
          <w:iCs w:val="false"/>
          <w:color w:val="333333"/>
          <w:sz w:val="20"/>
          <w:szCs w:val="20"/>
        </w:rPr>
        <w:t>757</w:t>
      </w:r>
    </w:p>
  </w:footnote>
  <w:footnote w:id="14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منهم أبو الصلاح في الكافي في الفقه، ص </w:t>
      </w:r>
      <w:r>
        <w:rPr>
          <w:rFonts w:eastAsia="IRNazanin" w:cs="IRNazanin"/>
          <w:b w:val="false"/>
          <w:bCs w:val="false"/>
          <w:i w:val="false"/>
          <w:iCs w:val="false"/>
          <w:color w:val="333333"/>
          <w:sz w:val="20"/>
          <w:szCs w:val="20"/>
        </w:rPr>
        <w:t>384</w:t>
      </w:r>
      <w:r>
        <w:rPr>
          <w:rFonts w:ascii="IRNazanin" w:hAnsi="IRNazanin" w:eastAsia="IRNazanin"/>
          <w:b w:val="false"/>
          <w:b w:val="false"/>
          <w:bCs w:val="false"/>
          <w:i w:val="false"/>
          <w:i w:val="false"/>
          <w:iCs w:val="false"/>
          <w:color w:val="333333"/>
          <w:sz w:val="20"/>
          <w:sz w:val="20"/>
          <w:szCs w:val="20"/>
          <w:rtl w:val="true"/>
        </w:rPr>
        <w:t xml:space="preserve">؛ وسلار في المراسم، ص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وابن زهرة في غنية النزوع،</w:t>
      </w:r>
    </w:p>
  </w:footnote>
  <w:footnote w:id="14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به سلّار في المراسم</w:t>
      </w:r>
    </w:p>
  </w:footnote>
  <w:footnote w:id="14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به المفيد في المقنعة ص </w:t>
      </w:r>
      <w:r>
        <w:rPr>
          <w:rFonts w:eastAsia="IRNazanin" w:cs="IRNazanin"/>
          <w:b w:val="false"/>
          <w:bCs w:val="false"/>
          <w:i w:val="false"/>
          <w:iCs w:val="false"/>
          <w:color w:val="333333"/>
          <w:sz w:val="20"/>
          <w:szCs w:val="20"/>
        </w:rPr>
        <w:t>749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والشيخ في النهاية، ص </w:t>
      </w:r>
      <w:r>
        <w:rPr>
          <w:rFonts w:eastAsia="IRNazanin" w:cs="IRNazanin"/>
          <w:b w:val="false"/>
          <w:bCs w:val="false"/>
          <w:i w:val="false"/>
          <w:iCs w:val="false"/>
          <w:color w:val="333333"/>
          <w:sz w:val="20"/>
          <w:szCs w:val="20"/>
        </w:rPr>
        <w:t>752</w:t>
      </w:r>
    </w:p>
  </w:footnote>
  <w:footnote w:id="14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933</w:t>
      </w:r>
    </w:p>
  </w:footnote>
  <w:footnote w:id="14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به أبو الصلاح في الكافي في الفقه، ص </w:t>
      </w:r>
      <w:r>
        <w:rPr>
          <w:rFonts w:eastAsia="IRNazanin" w:cs="IRNazanin"/>
          <w:b w:val="false"/>
          <w:bCs w:val="false"/>
          <w:i w:val="false"/>
          <w:iCs w:val="false"/>
          <w:color w:val="333333"/>
          <w:sz w:val="20"/>
          <w:szCs w:val="20"/>
        </w:rPr>
        <w:t>384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وسلار في المراسم، ص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w:t>
      </w:r>
    </w:p>
  </w:footnote>
  <w:footnote w:id="14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ص </w:t>
      </w:r>
      <w:r>
        <w:rPr>
          <w:rFonts w:eastAsia="IRNazanin" w:cs="IRNazanin"/>
          <w:b w:val="false"/>
          <w:bCs w:val="false"/>
          <w:i w:val="false"/>
          <w:iCs w:val="false"/>
          <w:color w:val="333333"/>
          <w:sz w:val="20"/>
          <w:szCs w:val="20"/>
        </w:rPr>
        <w:t>361</w:t>
      </w:r>
      <w:r>
        <w:rPr>
          <w:rFonts w:ascii="IRNazanin" w:hAnsi="IRNazanin" w:eastAsia="IRNazanin"/>
          <w:b w:val="false"/>
          <w:b w:val="false"/>
          <w:bCs w:val="false"/>
          <w:i w:val="false"/>
          <w:i w:val="false"/>
          <w:iCs w:val="false"/>
          <w:color w:val="333333"/>
          <w:sz w:val="20"/>
          <w:sz w:val="20"/>
          <w:szCs w:val="20"/>
          <w:rtl w:val="true"/>
        </w:rPr>
        <w:t xml:space="preserve">، الهامش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4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الرجل الحرّ يقتل مملوك غيره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4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به الشيخ في الخلاف،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المسألة </w:t>
      </w:r>
      <w:r>
        <w:rPr>
          <w:rFonts w:eastAsia="IRNazanin" w:cs="IRNazanin"/>
          <w:b w:val="false"/>
          <w:bCs w:val="false"/>
          <w:i w:val="false"/>
          <w:iCs w:val="false"/>
          <w:color w:val="333333"/>
          <w:sz w:val="20"/>
          <w:szCs w:val="20"/>
        </w:rPr>
        <w:t>5</w:t>
      </w:r>
    </w:p>
  </w:footnote>
  <w:footnote w:id="14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نبه بالتسوية على خلاف الشيخ في الاستبصار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277</w:t>
      </w:r>
      <w:r>
        <w:rPr>
          <w:rFonts w:ascii="IRNazanin" w:hAnsi="IRNazanin" w:eastAsia="IRNazanin"/>
          <w:b w:val="false"/>
          <w:b w:val="false"/>
          <w:bCs w:val="false"/>
          <w:i w:val="false"/>
          <w:i w:val="false"/>
          <w:iCs w:val="false"/>
          <w:color w:val="333333"/>
          <w:sz w:val="20"/>
          <w:sz w:val="20"/>
          <w:szCs w:val="20"/>
          <w:rtl w:val="true"/>
        </w:rPr>
        <w:t xml:space="preserve">، ذيل الحديث </w:t>
      </w:r>
      <w:r>
        <w:rPr>
          <w:rFonts w:eastAsia="IRNazanin" w:cs="IRNazanin"/>
          <w:b w:val="false"/>
          <w:bCs w:val="false"/>
          <w:i w:val="false"/>
          <w:iCs w:val="false"/>
          <w:color w:val="333333"/>
          <w:sz w:val="20"/>
          <w:szCs w:val="20"/>
        </w:rPr>
        <w:t>11048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حيث جعل المؤدى</w:t>
      </w:r>
    </w:p>
  </w:footnote>
  <w:footnote w:id="14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نعثر عليه في النبوي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رواه عن أبي عبد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الشيخ في تهذيب الأحكام،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712</w:t>
      </w:r>
    </w:p>
  </w:footnote>
  <w:footnote w:id="14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سيأتي في ص </w:t>
      </w:r>
      <w:r>
        <w:rPr>
          <w:rFonts w:eastAsia="IRNazanin" w:cs="IRNazanin"/>
          <w:b w:val="false"/>
          <w:bCs w:val="false"/>
          <w:i w:val="false"/>
          <w:iCs w:val="false"/>
          <w:color w:val="333333"/>
          <w:sz w:val="20"/>
          <w:szCs w:val="20"/>
        </w:rPr>
        <w:t>390</w:t>
      </w:r>
    </w:p>
  </w:footnote>
  <w:footnote w:id="14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1022</w:t>
      </w:r>
      <w:r>
        <w:rPr>
          <w:rFonts w:eastAsia="IRNazanin" w:cs="IRNazanin"/>
          <w:b w:val="false"/>
          <w:bCs w:val="false"/>
          <w:i w:val="false"/>
          <w:iCs w:val="false"/>
          <w:color w:val="333333"/>
          <w:sz w:val="20"/>
          <w:szCs w:val="20"/>
          <w:rtl w:val="true"/>
        </w:rPr>
        <w:t>.</w:t>
      </w:r>
    </w:p>
  </w:footnote>
  <w:footnote w:id="14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به الشيخ في الخلاف،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193</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59</w:t>
      </w:r>
      <w:r>
        <w:rPr>
          <w:rFonts w:ascii="IRNazanin" w:hAnsi="IRNazanin" w:eastAsia="IRNazanin"/>
          <w:b w:val="false"/>
          <w:b w:val="false"/>
          <w:bCs w:val="false"/>
          <w:i w:val="false"/>
          <w:i w:val="false"/>
          <w:iCs w:val="false"/>
          <w:color w:val="333333"/>
          <w:sz w:val="20"/>
          <w:sz w:val="20"/>
          <w:szCs w:val="20"/>
          <w:rtl w:val="true"/>
        </w:rPr>
        <w:t xml:space="preserve">؛ والنهاية، ص </w:t>
      </w:r>
      <w:r>
        <w:rPr>
          <w:rFonts w:eastAsia="IRNazanin" w:cs="IRNazanin"/>
          <w:b w:val="false"/>
          <w:bCs w:val="false"/>
          <w:i w:val="false"/>
          <w:iCs w:val="false"/>
          <w:color w:val="333333"/>
          <w:sz w:val="20"/>
          <w:szCs w:val="20"/>
        </w:rPr>
        <w:t>771</w:t>
      </w:r>
    </w:p>
  </w:footnote>
  <w:footnote w:id="14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آنفاً </w:t>
      </w:r>
      <w:r>
        <w:rPr>
          <w:rFonts w:eastAsia="IRNazanin" w:cs="IRNazanin"/>
          <w:b w:val="false"/>
          <w:bCs w:val="false"/>
          <w:i w:val="false"/>
          <w:iCs w:val="false"/>
          <w:color w:val="333333"/>
          <w:sz w:val="20"/>
          <w:szCs w:val="20"/>
          <w:rtl w:val="true"/>
        </w:rPr>
        <w:t>.</w:t>
      </w:r>
    </w:p>
  </w:footnote>
  <w:footnote w:id="14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به ابن إدريس في السرائر،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397</w:t>
      </w:r>
    </w:p>
  </w:footnote>
  <w:footnote w:id="14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المائدة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p>
  </w:footnote>
  <w:footnote w:id="14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775</w:t>
      </w:r>
    </w:p>
  </w:footnote>
  <w:footnote w:id="14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به الشيخ في النهاية، ص </w:t>
      </w:r>
      <w:r>
        <w:rPr>
          <w:rFonts w:eastAsia="IRNazanin" w:cs="IRNazanin"/>
          <w:b w:val="false"/>
          <w:bCs w:val="false"/>
          <w:i w:val="false"/>
          <w:iCs w:val="false"/>
          <w:color w:val="333333"/>
          <w:sz w:val="20"/>
          <w:szCs w:val="20"/>
        </w:rPr>
        <w:t>752</w:t>
      </w:r>
      <w:r>
        <w:rPr>
          <w:rFonts w:eastAsia="IRNazanin" w:cs="IRNazanin"/>
          <w:b w:val="false"/>
          <w:bCs w:val="false"/>
          <w:i w:val="false"/>
          <w:iCs w:val="false"/>
          <w:color w:val="333333"/>
          <w:sz w:val="20"/>
          <w:szCs w:val="20"/>
          <w:rtl w:val="true"/>
        </w:rPr>
        <w:t>.</w:t>
      </w:r>
    </w:p>
  </w:footnote>
  <w:footnote w:id="14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774</w:t>
      </w:r>
      <w:r>
        <w:rPr>
          <w:rFonts w:eastAsia="IRNazanin" w:cs="IRNazanin"/>
          <w:b w:val="false"/>
          <w:bCs w:val="false"/>
          <w:i w:val="false"/>
          <w:iCs w:val="false"/>
          <w:color w:val="333333"/>
          <w:sz w:val="20"/>
          <w:szCs w:val="20"/>
          <w:rtl w:val="true"/>
        </w:rPr>
        <w:t xml:space="preserve"> .</w:t>
      </w:r>
    </w:p>
  </w:footnote>
  <w:footnote w:id="14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به الشيخ في المبسوط ،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4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المقنعة، ص </w:t>
      </w:r>
      <w:r>
        <w:rPr>
          <w:rFonts w:eastAsia="IRNazanin" w:cs="IRNazanin"/>
          <w:b w:val="false"/>
          <w:bCs w:val="false"/>
          <w:i w:val="false"/>
          <w:iCs w:val="false"/>
          <w:color w:val="333333"/>
          <w:sz w:val="20"/>
          <w:szCs w:val="20"/>
        </w:rPr>
        <w:t>739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النهاية، ص </w:t>
      </w:r>
      <w:r>
        <w:rPr>
          <w:rFonts w:eastAsia="IRNazanin" w:cs="IRNazanin"/>
          <w:b w:val="false"/>
          <w:bCs w:val="false"/>
          <w:i w:val="false"/>
          <w:iCs w:val="false"/>
          <w:color w:val="333333"/>
          <w:sz w:val="20"/>
          <w:szCs w:val="20"/>
        </w:rPr>
        <w:t>749</w:t>
      </w:r>
    </w:p>
  </w:footnote>
  <w:footnote w:id="14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الانتصار، ص </w:t>
      </w:r>
      <w:r>
        <w:rPr>
          <w:rFonts w:eastAsia="IRNazanin" w:cs="IRNazanin"/>
          <w:b w:val="false"/>
          <w:bCs w:val="false"/>
          <w:i w:val="false"/>
          <w:iCs w:val="false"/>
          <w:color w:val="333333"/>
          <w:sz w:val="20"/>
          <w:szCs w:val="20"/>
        </w:rPr>
        <w:t>542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المسألة </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w:t>
      </w:r>
    </w:p>
  </w:footnote>
  <w:footnote w:id="14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المختصر النافع، ص </w:t>
      </w:r>
      <w:r>
        <w:rPr>
          <w:rFonts w:eastAsia="IRNazanin" w:cs="IRNazanin"/>
          <w:b w:val="false"/>
          <w:bCs w:val="false"/>
          <w:i w:val="false"/>
          <w:iCs w:val="false"/>
          <w:color w:val="333333"/>
          <w:sz w:val="20"/>
          <w:szCs w:val="20"/>
        </w:rPr>
        <w:t>448</w:t>
      </w:r>
    </w:p>
  </w:footnote>
  <w:footnote w:id="14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مختلف الشيعة،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المسألة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w:t>
      </w:r>
    </w:p>
  </w:footnote>
  <w:footnote w:id="14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غاية المراد،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ضمن موسوعة الشهيد الأول،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4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352</w:t>
      </w:r>
    </w:p>
  </w:footnote>
  <w:footnote w:id="14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744</w:t>
      </w:r>
      <w:r>
        <w:rPr>
          <w:rFonts w:eastAsia="IRNazanin" w:cs="IRNazanin"/>
          <w:b w:val="false"/>
          <w:bCs w:val="false"/>
          <w:i w:val="false"/>
          <w:iCs w:val="false"/>
          <w:color w:val="333333"/>
          <w:sz w:val="20"/>
          <w:szCs w:val="20"/>
          <w:rtl w:val="true"/>
        </w:rPr>
        <w:t xml:space="preserve"> .</w:t>
      </w:r>
    </w:p>
  </w:footnote>
  <w:footnote w:id="14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آنفاً</w:t>
      </w:r>
      <w:r>
        <w:rPr>
          <w:rFonts w:eastAsia="IRNazanin" w:cs="IRNazanin"/>
          <w:b w:val="false"/>
          <w:bCs w:val="false"/>
          <w:i w:val="false"/>
          <w:iCs w:val="false"/>
          <w:color w:val="333333"/>
          <w:sz w:val="20"/>
          <w:szCs w:val="20"/>
          <w:rtl w:val="true"/>
        </w:rPr>
        <w:t>.</w:t>
      </w:r>
    </w:p>
  </w:footnote>
  <w:footnote w:id="14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غاية المراد،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 موسوعة الشهيد الأول،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4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مختلف الشيعة،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336</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32</w:t>
      </w:r>
    </w:p>
  </w:footnote>
  <w:footnote w:id="14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740</w:t>
      </w:r>
      <w:r>
        <w:rPr>
          <w:rFonts w:eastAsia="IRNazanin" w:cs="IRNazanin"/>
          <w:b w:val="false"/>
          <w:bCs w:val="false"/>
          <w:i w:val="false"/>
          <w:iCs w:val="false"/>
          <w:color w:val="333333"/>
          <w:sz w:val="20"/>
          <w:szCs w:val="20"/>
          <w:rtl w:val="true"/>
        </w:rPr>
        <w:t>.</w:t>
      </w:r>
    </w:p>
  </w:footnote>
  <w:footnote w:id="14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النهاية، ص </w:t>
      </w:r>
      <w:r>
        <w:rPr>
          <w:rFonts w:eastAsia="IRNazanin" w:cs="IRNazanin"/>
          <w:b w:val="false"/>
          <w:bCs w:val="false"/>
          <w:i w:val="false"/>
          <w:iCs w:val="false"/>
          <w:color w:val="333333"/>
          <w:sz w:val="20"/>
          <w:szCs w:val="20"/>
        </w:rPr>
        <w:t>749</w:t>
      </w:r>
    </w:p>
  </w:footnote>
  <w:footnote w:id="14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منهم سلّار الديلمي في المراسم، ص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2337</w:t>
      </w:r>
      <w:r>
        <w:rPr>
          <w:rFonts w:ascii="IRNazanin" w:hAnsi="IRNazanin" w:eastAsia="IRNazanin"/>
          <w:b w:val="false"/>
          <w:b w:val="false"/>
          <w:bCs w:val="false"/>
          <w:i w:val="false"/>
          <w:i w:val="false"/>
          <w:iCs w:val="false"/>
          <w:color w:val="333333"/>
          <w:sz w:val="20"/>
          <w:sz w:val="20"/>
          <w:szCs w:val="20"/>
          <w:rtl w:val="true"/>
        </w:rPr>
        <w:t xml:space="preserve">؛ وابن حمزة في الوسيلة، ص </w:t>
      </w:r>
      <w:r>
        <w:rPr>
          <w:rFonts w:eastAsia="IRNazanin" w:cs="IRNazanin"/>
          <w:b w:val="false"/>
          <w:bCs w:val="false"/>
          <w:i w:val="false"/>
          <w:iCs w:val="false"/>
          <w:color w:val="333333"/>
          <w:sz w:val="20"/>
          <w:szCs w:val="20"/>
        </w:rPr>
        <w:t>433</w:t>
      </w:r>
      <w:r>
        <w:rPr>
          <w:rFonts w:ascii="IRNazanin" w:hAnsi="IRNazanin" w:eastAsia="IRNazanin"/>
          <w:b w:val="false"/>
          <w:b w:val="false"/>
          <w:bCs w:val="false"/>
          <w:i w:val="false"/>
          <w:i w:val="false"/>
          <w:iCs w:val="false"/>
          <w:color w:val="333333"/>
          <w:sz w:val="20"/>
          <w:sz w:val="20"/>
          <w:szCs w:val="20"/>
          <w:rtl w:val="true"/>
        </w:rPr>
        <w:t xml:space="preserve">؛ وابن سعيد في الجامع للشرائع، ص </w:t>
      </w:r>
      <w:r>
        <w:rPr>
          <w:rFonts w:eastAsia="IRNazanin" w:cs="IRNazanin"/>
          <w:b w:val="false"/>
          <w:bCs w:val="false"/>
          <w:i w:val="false"/>
          <w:iCs w:val="false"/>
          <w:color w:val="333333"/>
          <w:sz w:val="20"/>
          <w:szCs w:val="20"/>
        </w:rPr>
        <w:t>572</w:t>
      </w:r>
      <w:r>
        <w:rPr>
          <w:rFonts w:eastAsia="IRNazanin" w:cs="IRNazanin"/>
          <w:b w:val="false"/>
          <w:bCs w:val="false"/>
          <w:i w:val="false"/>
          <w:iCs w:val="false"/>
          <w:color w:val="333333"/>
          <w:sz w:val="20"/>
          <w:szCs w:val="20"/>
          <w:rtl w:val="true"/>
        </w:rPr>
        <w:t>.</w:t>
      </w:r>
    </w:p>
  </w:footnote>
  <w:footnote w:id="14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مختلف الشيعة،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المسألة </w:t>
      </w:r>
      <w:r>
        <w:rPr>
          <w:rFonts w:eastAsia="IRNazanin" w:cs="IRNazanin"/>
          <w:b w:val="false"/>
          <w:bCs w:val="false"/>
          <w:i w:val="false"/>
          <w:iCs w:val="false"/>
          <w:color w:val="333333"/>
          <w:sz w:val="20"/>
          <w:szCs w:val="20"/>
        </w:rPr>
        <w:t>32</w:t>
      </w:r>
    </w:p>
  </w:footnote>
  <w:footnote w:id="14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حكاه عنه العلامة في مختلف الشيعة،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335</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14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في الفقه، ص </w:t>
      </w:r>
      <w:r>
        <w:rPr>
          <w:rFonts w:eastAsia="IRNazanin" w:cs="IRNazanin"/>
          <w:b w:val="false"/>
          <w:bCs w:val="false"/>
          <w:i w:val="false"/>
          <w:iCs w:val="false"/>
          <w:color w:val="333333"/>
          <w:sz w:val="20"/>
          <w:szCs w:val="20"/>
        </w:rPr>
        <w:t>384</w:t>
      </w:r>
      <w:r>
        <w:rPr>
          <w:rFonts w:eastAsia="IRNazanin" w:cs="IRNazanin"/>
          <w:b w:val="false"/>
          <w:bCs w:val="false"/>
          <w:i w:val="false"/>
          <w:iCs w:val="false"/>
          <w:color w:val="333333"/>
          <w:sz w:val="20"/>
          <w:szCs w:val="20"/>
          <w:rtl w:val="true"/>
        </w:rPr>
        <w:t>.</w:t>
      </w:r>
    </w:p>
  </w:footnote>
  <w:footnote w:id="14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ص </w:t>
      </w:r>
      <w:r>
        <w:rPr>
          <w:rFonts w:eastAsia="IRNazanin" w:cs="IRNazanin"/>
          <w:b w:val="false"/>
          <w:bCs w:val="false"/>
          <w:i w:val="false"/>
          <w:iCs w:val="false"/>
          <w:color w:val="333333"/>
          <w:sz w:val="20"/>
          <w:szCs w:val="20"/>
        </w:rPr>
        <w:t>357</w:t>
      </w:r>
      <w:r>
        <w:rPr>
          <w:rFonts w:ascii="IRNazanin" w:hAnsi="IRNazanin" w:eastAsia="IRNazanin"/>
          <w:b w:val="false"/>
          <w:b w:val="false"/>
          <w:bCs w:val="false"/>
          <w:i w:val="false"/>
          <w:i w:val="false"/>
          <w:iCs w:val="false"/>
          <w:color w:val="333333"/>
          <w:sz w:val="20"/>
          <w:sz w:val="20"/>
          <w:szCs w:val="20"/>
          <w:rtl w:val="true"/>
        </w:rPr>
        <w:t xml:space="preserve">، الهامش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4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المقنعة، ص </w:t>
      </w:r>
      <w:r>
        <w:rPr>
          <w:rFonts w:eastAsia="IRNazanin" w:cs="IRNazanin"/>
          <w:b w:val="false"/>
          <w:bCs w:val="false"/>
          <w:i w:val="false"/>
          <w:iCs w:val="false"/>
          <w:color w:val="333333"/>
          <w:sz w:val="20"/>
          <w:szCs w:val="20"/>
        </w:rPr>
        <w:t>740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753</w:t>
      </w:r>
    </w:p>
  </w:footnote>
  <w:footnote w:id="14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سلار في المراسم، ص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وابن حمزة في الوسيلة، ص </w:t>
      </w:r>
      <w:r>
        <w:rPr>
          <w:rFonts w:eastAsia="IRNazanin" w:cs="IRNazanin"/>
          <w:b w:val="false"/>
          <w:bCs w:val="false"/>
          <w:i w:val="false"/>
          <w:iCs w:val="false"/>
          <w:color w:val="333333"/>
          <w:sz w:val="20"/>
          <w:szCs w:val="20"/>
        </w:rPr>
        <w:t>434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435</w:t>
      </w:r>
      <w:r>
        <w:rPr>
          <w:rFonts w:eastAsia="IRNazanin" w:cs="IRNazanin"/>
          <w:b w:val="false"/>
          <w:bCs w:val="false"/>
          <w:i w:val="false"/>
          <w:iCs w:val="false"/>
          <w:color w:val="333333"/>
          <w:sz w:val="20"/>
          <w:szCs w:val="20"/>
          <w:rtl w:val="true"/>
        </w:rPr>
        <w:t>.</w:t>
      </w:r>
    </w:p>
  </w:footnote>
  <w:footnote w:id="14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نسبه إليه العلّامة في تحرير الأحكام الشرعيّة،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7041</w:t>
      </w:r>
      <w:r>
        <w:rPr>
          <w:rFonts w:eastAsia="IRNazanin" w:cs="IRNazanin"/>
          <w:b w:val="false"/>
          <w:bCs w:val="false"/>
          <w:i w:val="false"/>
          <w:iCs w:val="false"/>
          <w:color w:val="333333"/>
          <w:sz w:val="20"/>
          <w:szCs w:val="20"/>
          <w:rtl w:val="true"/>
        </w:rPr>
        <w:t>.</w:t>
      </w:r>
    </w:p>
  </w:footnote>
  <w:footnote w:id="14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غاية المراد،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 موسوعة الشهيد الأول،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4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750</w:t>
      </w:r>
      <w:r>
        <w:rPr>
          <w:rFonts w:eastAsia="IRNazanin" w:cs="IRNazanin"/>
          <w:b w:val="false"/>
          <w:bCs w:val="false"/>
          <w:i w:val="false"/>
          <w:iCs w:val="false"/>
          <w:color w:val="333333"/>
          <w:sz w:val="20"/>
          <w:szCs w:val="20"/>
          <w:rtl w:val="true"/>
        </w:rPr>
        <w:t>.</w:t>
      </w:r>
    </w:p>
  </w:footnote>
  <w:footnote w:id="14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الأنعام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351</w:t>
      </w:r>
      <w:r>
        <w:rPr>
          <w:rFonts w:eastAsia="IRNazanin" w:cs="IRNazanin"/>
          <w:b w:val="false"/>
          <w:bCs w:val="false"/>
          <w:i w:val="false"/>
          <w:iCs w:val="false"/>
          <w:color w:val="333333"/>
          <w:sz w:val="20"/>
          <w:szCs w:val="20"/>
          <w:rtl w:val="true"/>
        </w:rPr>
        <w:t>.</w:t>
      </w:r>
    </w:p>
  </w:footnote>
  <w:footnote w:id="14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المحقق في شرائع الإسلام،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196</w:t>
      </w:r>
      <w:r>
        <w:rPr>
          <w:rFonts w:ascii="IRNazanin" w:hAnsi="IRNazanin" w:eastAsia="IRNazanin"/>
          <w:b w:val="false"/>
          <w:b w:val="false"/>
          <w:bCs w:val="false"/>
          <w:i w:val="false"/>
          <w:i w:val="false"/>
          <w:iCs w:val="false"/>
          <w:color w:val="333333"/>
          <w:sz w:val="20"/>
          <w:sz w:val="20"/>
          <w:szCs w:val="20"/>
          <w:rtl w:val="true"/>
        </w:rPr>
        <w:t xml:space="preserve">؛ والعلّامة في مختلف الشيعة،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334</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 xml:space="preserve">؛ والشهيد في غاية المراد،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 موسوعة الشهيد الأول،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4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التوجيه من الشهيد في غاية المراد،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 موسوعة الشهيد الأول،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4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كابن إدريس في السرائر،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357</w:t>
      </w:r>
      <w:r>
        <w:rPr>
          <w:rFonts w:eastAsia="IRNazanin" w:cs="IRNazanin"/>
          <w:b w:val="false"/>
          <w:bCs w:val="false"/>
          <w:i w:val="false"/>
          <w:iCs w:val="false"/>
          <w:color w:val="333333"/>
          <w:sz w:val="20"/>
          <w:szCs w:val="20"/>
          <w:rtl w:val="true"/>
        </w:rPr>
        <w:t>.</w:t>
      </w:r>
    </w:p>
  </w:footnote>
  <w:footnote w:id="14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99</w:t>
      </w:r>
      <w:r>
        <w:rPr>
          <w:rFonts w:ascii="IRNazanin" w:hAnsi="IRNazanin" w:eastAsia="IRNazanin"/>
          <w:b w:val="false"/>
          <w:b w:val="false"/>
          <w:bCs w:val="false"/>
          <w:i w:val="false"/>
          <w:i w:val="false"/>
          <w:iCs w:val="false"/>
          <w:color w:val="333333"/>
          <w:sz w:val="20"/>
          <w:sz w:val="20"/>
          <w:szCs w:val="20"/>
          <w:rtl w:val="true"/>
        </w:rPr>
        <w:t xml:space="preserve">، و ص </w:t>
      </w:r>
      <w:r>
        <w:rPr>
          <w:rFonts w:eastAsia="IRNazanin" w:cs="IRNazanin"/>
          <w:b w:val="false"/>
          <w:bCs w:val="false"/>
          <w:i w:val="false"/>
          <w:iCs w:val="false"/>
          <w:color w:val="333333"/>
          <w:sz w:val="20"/>
          <w:szCs w:val="20"/>
        </w:rPr>
        <w:t>39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سنن الدارقطني ،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182/3235</w:t>
      </w:r>
    </w:p>
  </w:footnote>
  <w:footnote w:id="14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ما بعدها باب قتل السيد عبده</w:t>
      </w:r>
      <w:r>
        <w:rPr>
          <w:rFonts w:eastAsia="IRNazanin" w:cs="IRNazanin"/>
          <w:b w:val="false"/>
          <w:bCs w:val="false"/>
          <w:i w:val="false"/>
          <w:iCs w:val="false"/>
          <w:color w:val="333333"/>
          <w:sz w:val="20"/>
          <w:szCs w:val="20"/>
          <w:rtl w:val="true"/>
        </w:rPr>
        <w:t>..</w:t>
      </w:r>
    </w:p>
  </w:footnote>
  <w:footnote w:id="14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919</w:t>
      </w:r>
    </w:p>
  </w:footnote>
  <w:footnote w:id="14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قتل البالغ بالصبي مذهب أكثر الأصحاب، بل هو المذهب لعموم الأدلة المتناولة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وخالف في ذلك أبو الصلاح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فألحقه بالمجنون في إثبات الدية بقتله عمداً مطلقاً لاشتراكهما في نقصان العقل، وأجيب ببطلان القياس مع وجود الفارق، والمجنون خرج بنص خاص، وهو صحيحة أبي بصير عن الصادق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سألت أبا جعفر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رجل قتل رجلاً مجنوناً فقال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إن كان المجنون أراده فدفعه عن نفسه فقتله، فلا شيء عليه من قود، ولا دية، ويعطى ورثته الدية من بيت مال المسلمين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وإن كان قتله من غير أن يكون المجنون أراده، فلا قود لمن لا يقاد منه، وأرى أن على قاتله الدية في مالها يدفعها إلى ورثة المجنون، ويستغفر الله عزّ وجلّ، ويتوب إليه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وقريب منه ما روى أبو الورد عن أبي عبد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ويمكن الاحتجاج لأبي الصلاح بقوله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الخبر الأول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لا قود لمن لا يقاد منه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فإنّ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عامة تشمل الصبي والمجنون حيث إنه لا يقاد منهما، فلا يقاد لهما من العاقل فلا يكون قياساً على المجنون بل كلاهما داخل في عموم النصّ، وإن كان كلّ المجنون منصوصاً على حكمه بالخصوص أيضاً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زين رحمه الله</w:t>
      </w:r>
      <w:r>
        <w:rPr>
          <w:rFonts w:eastAsia="IRNazanin" w:cs="IRNazanin"/>
          <w:b w:val="false"/>
          <w:bCs w:val="false"/>
          <w:i w:val="false"/>
          <w:iCs w:val="false"/>
          <w:color w:val="333333"/>
          <w:sz w:val="20"/>
          <w:szCs w:val="20"/>
          <w:rtl w:val="true"/>
        </w:rPr>
        <w:t>)</w:t>
      </w:r>
    </w:p>
  </w:footnote>
  <w:footnote w:id="14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920</w:t>
      </w:r>
    </w:p>
  </w:footnote>
  <w:footnote w:id="14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921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تحمله العاقلة</w:t>
      </w:r>
      <w:r>
        <w:rPr>
          <w:rFonts w:eastAsia="IRNazanin" w:cs="IRNazanin"/>
          <w:b w:val="false"/>
          <w:bCs w:val="false"/>
          <w:i w:val="false"/>
          <w:iCs w:val="false"/>
          <w:color w:val="333333"/>
          <w:sz w:val="20"/>
          <w:szCs w:val="20"/>
          <w:rtl w:val="true"/>
        </w:rPr>
        <w:t>».</w:t>
      </w:r>
    </w:p>
  </w:footnote>
  <w:footnote w:id="14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تحرير الأحكام الشرعية ،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7059</w:t>
      </w:r>
    </w:p>
  </w:footnote>
  <w:footnote w:id="14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به العلّامة في تحرير الأحكام الشرعيّة،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464</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7062</w:t>
      </w:r>
      <w:r>
        <w:rPr>
          <w:rFonts w:eastAsia="IRNazanin" w:cs="IRNazanin"/>
          <w:b w:val="false"/>
          <w:bCs w:val="false"/>
          <w:i w:val="false"/>
          <w:iCs w:val="false"/>
          <w:color w:val="333333"/>
          <w:sz w:val="20"/>
          <w:szCs w:val="20"/>
          <w:rtl w:val="true"/>
        </w:rPr>
        <w:t>.</w:t>
      </w:r>
    </w:p>
  </w:footnote>
  <w:footnote w:id="14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المائدة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p>
  </w:footnote>
  <w:footnote w:id="14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في الفقه، ص </w:t>
      </w:r>
      <w:r>
        <w:rPr>
          <w:rFonts w:eastAsia="IRNazanin" w:cs="IRNazanin"/>
          <w:b w:val="false"/>
          <w:bCs w:val="false"/>
          <w:i w:val="false"/>
          <w:iCs w:val="false"/>
          <w:color w:val="333333"/>
          <w:sz w:val="20"/>
          <w:szCs w:val="20"/>
        </w:rPr>
        <w:t>385</w:t>
      </w:r>
      <w:r>
        <w:rPr>
          <w:rFonts w:eastAsia="IRNazanin" w:cs="IRNazanin"/>
          <w:b w:val="false"/>
          <w:bCs w:val="false"/>
          <w:i w:val="false"/>
          <w:iCs w:val="false"/>
          <w:color w:val="333333"/>
          <w:sz w:val="20"/>
          <w:szCs w:val="20"/>
          <w:rtl w:val="true"/>
        </w:rPr>
        <w:t>.</w:t>
      </w:r>
    </w:p>
  </w:footnote>
  <w:footnote w:id="14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الصحاح ،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2010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قسم</w:t>
      </w:r>
      <w:r>
        <w:rPr>
          <w:rFonts w:eastAsia="IRNazanin" w:cs="IRNazanin"/>
          <w:b w:val="false"/>
          <w:bCs w:val="false"/>
          <w:i w:val="false"/>
          <w:iCs w:val="false"/>
          <w:color w:val="333333"/>
          <w:sz w:val="20"/>
          <w:szCs w:val="20"/>
          <w:rtl w:val="true"/>
        </w:rPr>
        <w:t>».</w:t>
      </w:r>
    </w:p>
  </w:footnote>
  <w:footnote w:id="14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ص </w:t>
      </w:r>
      <w:r>
        <w:rPr>
          <w:rFonts w:eastAsia="IRNazanin" w:cs="IRNazanin"/>
          <w:b w:val="false"/>
          <w:bCs w:val="false"/>
          <w:i w:val="false"/>
          <w:iCs w:val="false"/>
          <w:color w:val="333333"/>
          <w:sz w:val="20"/>
          <w:szCs w:val="20"/>
        </w:rPr>
        <w:t>326</w:t>
      </w:r>
      <w:r>
        <w:rPr>
          <w:rFonts w:ascii="IRNazanin" w:hAnsi="IRNazanin" w:eastAsia="IRNazanin"/>
          <w:b w:val="false"/>
          <w:b w:val="false"/>
          <w:bCs w:val="false"/>
          <w:i w:val="false"/>
          <w:i w:val="false"/>
          <w:iCs w:val="false"/>
          <w:color w:val="333333"/>
          <w:sz w:val="20"/>
          <w:sz w:val="20"/>
          <w:szCs w:val="20"/>
          <w:rtl w:val="true"/>
        </w:rPr>
        <w:t xml:space="preserve">، الهامش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4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به الشيخ في النهاية، ص </w:t>
      </w:r>
      <w:r>
        <w:rPr>
          <w:rFonts w:eastAsia="IRNazanin" w:cs="IRNazanin"/>
          <w:b w:val="false"/>
          <w:bCs w:val="false"/>
          <w:i w:val="false"/>
          <w:iCs w:val="false"/>
          <w:color w:val="333333"/>
          <w:sz w:val="20"/>
          <w:szCs w:val="20"/>
        </w:rPr>
        <w:t>742</w:t>
      </w:r>
    </w:p>
  </w:footnote>
  <w:footnote w:id="14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 ، 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فلا يُقتل</w:t>
      </w:r>
      <w:r>
        <w:rPr>
          <w:rFonts w:eastAsia="IRNazanin" w:cs="IRNazanin"/>
          <w:b w:val="false"/>
          <w:bCs w:val="false"/>
          <w:i w:val="false"/>
          <w:iCs w:val="false"/>
          <w:color w:val="333333"/>
          <w:sz w:val="20"/>
          <w:szCs w:val="20"/>
          <w:rtl w:val="true"/>
        </w:rPr>
        <w:t>»</w:t>
      </w:r>
    </w:p>
  </w:footnote>
  <w:footnote w:id="14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كتاب الإقرار، ص </w:t>
      </w:r>
      <w:r>
        <w:rPr>
          <w:rFonts w:eastAsia="IRNazanin" w:cs="IRNazanin"/>
          <w:b w:val="false"/>
          <w:bCs w:val="false"/>
          <w:i w:val="false"/>
          <w:iCs w:val="false"/>
          <w:color w:val="333333"/>
          <w:sz w:val="20"/>
          <w:szCs w:val="20"/>
        </w:rPr>
        <w:t>17</w:t>
      </w:r>
    </w:p>
  </w:footnote>
  <w:footnote w:id="14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والآية في المائدة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15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به الشيخ في المبسوط ،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533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534</w:t>
      </w:r>
    </w:p>
  </w:footnote>
  <w:footnote w:id="15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اللوث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بفتح اللام وتسكين الواو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وهو التهمة الظاهرة ؛ لأن اللوث القوة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ناقة ذات لوث، أي قوية، فكأنه قوة الظن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الصحاح،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لوث</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زین رحمه الله</w:t>
      </w:r>
      <w:r>
        <w:rPr>
          <w:rFonts w:eastAsia="IRNazanin" w:cs="IRNazanin"/>
          <w:b w:val="false"/>
          <w:bCs w:val="false"/>
          <w:i w:val="false"/>
          <w:iCs w:val="false"/>
          <w:color w:val="333333"/>
          <w:sz w:val="20"/>
          <w:szCs w:val="20"/>
          <w:rtl w:val="true"/>
        </w:rPr>
        <w:t>)</w:t>
      </w:r>
    </w:p>
  </w:footnote>
  <w:footnote w:id="15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به الشيخ في النهاية، ص </w:t>
      </w:r>
      <w:r>
        <w:rPr>
          <w:rFonts w:eastAsia="IRNazanin" w:cs="IRNazanin"/>
          <w:b w:val="false"/>
          <w:bCs w:val="false"/>
          <w:i w:val="false"/>
          <w:iCs w:val="false"/>
          <w:color w:val="333333"/>
          <w:sz w:val="20"/>
          <w:szCs w:val="20"/>
        </w:rPr>
        <w:t>740</w:t>
      </w:r>
      <w:r>
        <w:rPr>
          <w:rFonts w:ascii="IRNazanin" w:hAnsi="IRNazanin" w:eastAsia="IRNazanin"/>
          <w:b w:val="false"/>
          <w:b w:val="false"/>
          <w:bCs w:val="false"/>
          <w:i w:val="false"/>
          <w:i w:val="false"/>
          <w:iCs w:val="false"/>
          <w:color w:val="333333"/>
          <w:sz w:val="20"/>
          <w:sz w:val="20"/>
          <w:szCs w:val="20"/>
          <w:rtl w:val="true"/>
        </w:rPr>
        <w:t xml:space="preserve">؛ والخلاف،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308</w:t>
      </w:r>
      <w:r>
        <w:rPr>
          <w:rFonts w:ascii="IRNazanin" w:hAnsi="IRNazanin" w:eastAsia="IRNazanin"/>
          <w:b w:val="false"/>
          <w:b w:val="false"/>
          <w:bCs w:val="false"/>
          <w:i w:val="false"/>
          <w:i w:val="false"/>
          <w:iCs w:val="false"/>
          <w:color w:val="333333"/>
          <w:sz w:val="20"/>
          <w:sz w:val="20"/>
          <w:szCs w:val="20"/>
          <w:rtl w:val="true"/>
        </w:rPr>
        <w:t>، المسألة</w:t>
      </w:r>
    </w:p>
  </w:footnote>
  <w:footnote w:id="15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667</w:t>
      </w:r>
      <w:r>
        <w:rPr>
          <w:rFonts w:eastAsia="IRNazanin" w:cs="IRNazanin"/>
          <w:b w:val="false"/>
          <w:bCs w:val="false"/>
          <w:i w:val="false"/>
          <w:iCs w:val="false"/>
          <w:color w:val="333333"/>
          <w:sz w:val="20"/>
          <w:szCs w:val="20"/>
          <w:rtl w:val="true"/>
        </w:rPr>
        <w:t>.</w:t>
      </w:r>
    </w:p>
  </w:footnote>
  <w:footnote w:id="15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به الشيخ في النهاية، ص </w:t>
      </w:r>
      <w:r>
        <w:rPr>
          <w:rFonts w:eastAsia="IRNazanin" w:cs="IRNazanin"/>
          <w:b w:val="false"/>
          <w:bCs w:val="false"/>
          <w:i w:val="false"/>
          <w:iCs w:val="false"/>
          <w:color w:val="333333"/>
          <w:sz w:val="20"/>
          <w:szCs w:val="20"/>
        </w:rPr>
        <w:t>741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والخلاف،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313</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15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253</w:t>
      </w:r>
    </w:p>
  </w:footnote>
  <w:footnote w:id="15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بثَبَتٍ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ببينة</w:t>
      </w:r>
      <w:r>
        <w:rPr>
          <w:rFonts w:eastAsia="IRNazanin" w:cs="IRNazanin"/>
          <w:b w:val="false"/>
          <w:bCs w:val="false"/>
          <w:i w:val="false"/>
          <w:iCs w:val="false"/>
          <w:color w:val="333333"/>
          <w:sz w:val="20"/>
          <w:szCs w:val="20"/>
          <w:rtl w:val="true"/>
        </w:rPr>
        <w:t>».</w:t>
      </w:r>
    </w:p>
  </w:footnote>
  <w:footnote w:id="15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النهاية، ص </w:t>
      </w:r>
      <w:r>
        <w:rPr>
          <w:rFonts w:eastAsia="IRNazanin" w:cs="IRNazanin"/>
          <w:b w:val="false"/>
          <w:bCs w:val="false"/>
          <w:i w:val="false"/>
          <w:iCs w:val="false"/>
          <w:color w:val="333333"/>
          <w:sz w:val="20"/>
          <w:szCs w:val="20"/>
        </w:rPr>
        <w:t>744</w:t>
      </w:r>
      <w:r>
        <w:rPr>
          <w:rFonts w:eastAsia="IRNazanin" w:cs="IRNazanin"/>
          <w:b w:val="false"/>
          <w:bCs w:val="false"/>
          <w:i w:val="false"/>
          <w:iCs w:val="false"/>
          <w:color w:val="333333"/>
          <w:sz w:val="20"/>
          <w:szCs w:val="20"/>
          <w:rtl w:val="true"/>
        </w:rPr>
        <w:t>.</w:t>
      </w:r>
    </w:p>
  </w:footnote>
  <w:footnote w:id="15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1022</w:t>
      </w:r>
      <w:r>
        <w:rPr>
          <w:rFonts w:eastAsia="IRNazanin" w:cs="IRNazanin"/>
          <w:b w:val="false"/>
          <w:bCs w:val="false"/>
          <w:i w:val="false"/>
          <w:iCs w:val="false"/>
          <w:color w:val="333333"/>
          <w:sz w:val="20"/>
          <w:szCs w:val="20"/>
          <w:rtl w:val="true"/>
        </w:rPr>
        <w:t>.</w:t>
      </w:r>
    </w:p>
  </w:footnote>
  <w:footnote w:id="15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يأتي في ص </w:t>
      </w:r>
      <w:r>
        <w:rPr>
          <w:rFonts w:eastAsia="IRNazanin" w:cs="IRNazanin"/>
          <w:b w:val="false"/>
          <w:bCs w:val="false"/>
          <w:i w:val="false"/>
          <w:iCs w:val="false"/>
          <w:color w:val="333333"/>
          <w:sz w:val="20"/>
          <w:szCs w:val="20"/>
        </w:rPr>
        <w:t>443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وما بعدها، الفصل الثالث في الشجاج</w:t>
      </w:r>
      <w:r>
        <w:rPr>
          <w:rFonts w:eastAsia="IRNazanin" w:cs="IRNazanin"/>
          <w:b w:val="false"/>
          <w:bCs w:val="false"/>
          <w:i w:val="false"/>
          <w:iCs w:val="false"/>
          <w:color w:val="333333"/>
          <w:sz w:val="20"/>
          <w:szCs w:val="20"/>
          <w:rtl w:val="true"/>
        </w:rPr>
        <w:t>.</w:t>
      </w:r>
    </w:p>
  </w:footnote>
  <w:footnote w:id="15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به الشيخ في المبسوط،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86</w:t>
      </w:r>
    </w:p>
  </w:footnote>
  <w:footnote w:id="15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السنن الكبرى البيهقي ،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16088</w:t>
      </w:r>
      <w:r>
        <w:rPr>
          <w:rFonts w:eastAsia="IRNazanin" w:cs="IRNazanin"/>
          <w:b w:val="false"/>
          <w:bCs w:val="false"/>
          <w:i w:val="false"/>
          <w:iCs w:val="false"/>
          <w:color w:val="333333"/>
          <w:sz w:val="20"/>
          <w:szCs w:val="20"/>
          <w:rtl w:val="true"/>
        </w:rPr>
        <w:t>.</w:t>
      </w:r>
    </w:p>
  </w:footnote>
  <w:footnote w:id="15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المائدة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p>
  </w:footnote>
  <w:footnote w:id="15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هذا لفظ الحديث عن الباقر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محمد بن قيس قلت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أعور فقأ عين صحيح متعمداً، فقال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تفقاً عينه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فيكون أعمى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الحق أعماه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تهذيب الأحكام،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1078</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منه رحمه الله</w:t>
      </w:r>
      <w:r>
        <w:rPr>
          <w:rFonts w:eastAsia="IRNazanin" w:cs="IRNazanin"/>
          <w:b w:val="false"/>
          <w:bCs w:val="false"/>
          <w:i w:val="false"/>
          <w:iCs w:val="false"/>
          <w:color w:val="333333"/>
          <w:sz w:val="20"/>
          <w:szCs w:val="20"/>
          <w:rtl w:val="true"/>
        </w:rPr>
        <w:t>)</w:t>
      </w:r>
    </w:p>
  </w:footnote>
  <w:footnote w:id="15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المائدة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p>
  </w:footnote>
  <w:footnote w:id="15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حكاه عنه العلّامة في مختلف الشيعة،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المسألة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15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القول الأول في المبسوط،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167</w:t>
      </w:r>
      <w:r>
        <w:rPr>
          <w:rFonts w:ascii="IRNazanin" w:hAnsi="IRNazanin" w:eastAsia="IRNazanin"/>
          <w:b w:val="false"/>
          <w:b w:val="false"/>
          <w:bCs w:val="false"/>
          <w:i w:val="false"/>
          <w:i w:val="false"/>
          <w:iCs w:val="false"/>
          <w:color w:val="333333"/>
          <w:sz w:val="20"/>
          <w:sz w:val="20"/>
          <w:szCs w:val="20"/>
          <w:rtl w:val="true"/>
        </w:rPr>
        <w:t xml:space="preserve">؛ والنهاية، ص </w:t>
      </w:r>
      <w:r>
        <w:rPr>
          <w:rFonts w:eastAsia="IRNazanin" w:cs="IRNazanin"/>
          <w:b w:val="false"/>
          <w:bCs w:val="false"/>
          <w:i w:val="false"/>
          <w:iCs w:val="false"/>
          <w:color w:val="333333"/>
          <w:sz w:val="20"/>
          <w:szCs w:val="20"/>
        </w:rPr>
        <w:t>765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766</w:t>
      </w:r>
      <w:r>
        <w:rPr>
          <w:rFonts w:ascii="IRNazanin" w:hAnsi="IRNazanin" w:eastAsia="IRNazanin"/>
          <w:b w:val="false"/>
          <w:b w:val="false"/>
          <w:bCs w:val="false"/>
          <w:i w:val="false"/>
          <w:i w:val="false"/>
          <w:iCs w:val="false"/>
          <w:color w:val="333333"/>
          <w:sz w:val="20"/>
          <w:sz w:val="20"/>
          <w:szCs w:val="20"/>
          <w:rtl w:val="true"/>
        </w:rPr>
        <w:t xml:space="preserve">؛ والقول الآخر في الخلاف،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w:t>
      </w:r>
    </w:p>
  </w:footnote>
  <w:footnote w:id="15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1057</w:t>
      </w:r>
      <w:r>
        <w:rPr>
          <w:rFonts w:eastAsia="IRNazanin" w:cs="IRNazanin"/>
          <w:b w:val="false"/>
          <w:bCs w:val="false"/>
          <w:i w:val="false"/>
          <w:iCs w:val="false"/>
          <w:color w:val="333333"/>
          <w:sz w:val="20"/>
          <w:szCs w:val="20"/>
          <w:rtl w:val="true"/>
        </w:rPr>
        <w:t>.</w:t>
      </w:r>
    </w:p>
  </w:footnote>
  <w:footnote w:id="15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1058</w:t>
      </w:r>
      <w:r>
        <w:rPr>
          <w:rFonts w:eastAsia="IRNazanin" w:cs="IRNazanin"/>
          <w:b w:val="false"/>
          <w:bCs w:val="false"/>
          <w:i w:val="false"/>
          <w:iCs w:val="false"/>
          <w:color w:val="333333"/>
          <w:sz w:val="20"/>
          <w:szCs w:val="20"/>
          <w:rtl w:val="true"/>
        </w:rPr>
        <w:t>.</w:t>
      </w:r>
    </w:p>
  </w:footnote>
  <w:footnote w:id="15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به الشيخ في العدة في أصول الفقه،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528</w:t>
      </w:r>
      <w:r>
        <w:rPr>
          <w:rFonts w:eastAsia="IRNazanin" w:cs="IRNazanin"/>
          <w:b w:val="false"/>
          <w:bCs w:val="false"/>
          <w:i w:val="false"/>
          <w:iCs w:val="false"/>
          <w:color w:val="333333"/>
          <w:sz w:val="20"/>
          <w:szCs w:val="20"/>
          <w:rtl w:val="true"/>
        </w:rPr>
        <w:t>.</w:t>
      </w:r>
    </w:p>
  </w:footnote>
  <w:footnote w:id="15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شرائع الإسلام،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 xml:space="preserve"> .</w:t>
      </w:r>
    </w:p>
  </w:footnote>
  <w:footnote w:id="15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تحرير الأحكام الشرعية،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7151</w:t>
      </w:r>
    </w:p>
  </w:footnote>
  <w:footnote w:id="15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مختلف الشيعة،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377</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15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قواعد الأحكام،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639</w:t>
      </w:r>
      <w:r>
        <w:rPr>
          <w:rFonts w:ascii="IRNazanin" w:hAnsi="IRNazanin" w:eastAsia="IRNazanin"/>
          <w:b w:val="false"/>
          <w:b w:val="false"/>
          <w:bCs w:val="false"/>
          <w:i w:val="false"/>
          <w:i w:val="false"/>
          <w:iCs w:val="false"/>
          <w:color w:val="333333"/>
          <w:sz w:val="20"/>
          <w:sz w:val="20"/>
          <w:szCs w:val="20"/>
          <w:rtl w:val="true"/>
        </w:rPr>
        <w:t xml:space="preserve">؛ وإرشاد الأذهان،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w:t>
      </w:r>
    </w:p>
  </w:footnote>
  <w:footnote w:id="15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غاية المراد،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 موسوعة الشهيد الأول،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5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غاية المراد،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 موسوعة الشهيد الأول،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5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به الفاضل المقداد في كنز العرفان،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355</w:t>
      </w:r>
    </w:p>
  </w:footnote>
  <w:footnote w:id="15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718</w:t>
      </w:r>
      <w:r>
        <w:rPr>
          <w:rFonts w:eastAsia="IRNazanin" w:cs="IRNazanin"/>
          <w:b w:val="false"/>
          <w:bCs w:val="false"/>
          <w:i w:val="false"/>
          <w:iCs w:val="false"/>
          <w:color w:val="333333"/>
          <w:sz w:val="20"/>
          <w:szCs w:val="20"/>
          <w:rtl w:val="true"/>
        </w:rPr>
        <w:t>.</w:t>
      </w:r>
    </w:p>
  </w:footnote>
  <w:footnote w:id="15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المائدة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p>
  </w:footnote>
  <w:footnote w:id="15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به العلامة في قواعد الأحكام،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وتحرير الأحكام الشرعية،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512</w:t>
      </w:r>
      <w:r>
        <w:rPr>
          <w:rFonts w:ascii="IRNazanin" w:hAnsi="IRNazanin" w:eastAsia="IRNazanin"/>
          <w:b w:val="false"/>
          <w:b w:val="false"/>
          <w:bCs w:val="false"/>
          <w:i w:val="false"/>
          <w:i w:val="false"/>
          <w:iCs w:val="false"/>
          <w:color w:val="333333"/>
          <w:sz w:val="20"/>
          <w:sz w:val="20"/>
          <w:szCs w:val="20"/>
          <w:rtl w:val="true"/>
        </w:rPr>
        <w:t>، الرقم</w:t>
      </w:r>
    </w:p>
  </w:footnote>
  <w:footnote w:id="15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حمزة في الوسيلة، ص </w:t>
      </w:r>
      <w:r>
        <w:rPr>
          <w:rFonts w:eastAsia="IRNazanin" w:cs="IRNazanin"/>
          <w:b w:val="false"/>
          <w:bCs w:val="false"/>
          <w:i w:val="false"/>
          <w:iCs w:val="false"/>
          <w:color w:val="333333"/>
          <w:sz w:val="20"/>
          <w:szCs w:val="20"/>
        </w:rPr>
        <w:t>444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وابن زهرة في غنية النزوع،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416</w:t>
      </w:r>
      <w:r>
        <w:rPr>
          <w:rFonts w:eastAsia="IRNazanin" w:cs="IRNazanin"/>
          <w:b w:val="false"/>
          <w:bCs w:val="false"/>
          <w:i w:val="false"/>
          <w:iCs w:val="false"/>
          <w:color w:val="333333"/>
          <w:sz w:val="20"/>
          <w:szCs w:val="20"/>
          <w:rtl w:val="true"/>
        </w:rPr>
        <w:t>.</w:t>
      </w:r>
    </w:p>
  </w:footnote>
  <w:footnote w:id="15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مختلف الشيعة،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15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قواعد الأحكام،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639</w:t>
      </w:r>
      <w:r>
        <w:rPr>
          <w:rFonts w:eastAsia="IRNazanin" w:cs="IRNazanin"/>
          <w:b w:val="false"/>
          <w:bCs w:val="false"/>
          <w:i w:val="false"/>
          <w:iCs w:val="false"/>
          <w:color w:val="333333"/>
          <w:sz w:val="20"/>
          <w:szCs w:val="20"/>
          <w:rtl w:val="true"/>
        </w:rPr>
        <w:t>.</w:t>
      </w:r>
    </w:p>
  </w:footnote>
  <w:footnote w:id="15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بداية المجتهد،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402</w:t>
      </w:r>
      <w:r>
        <w:rPr>
          <w:rFonts w:eastAsia="IRNazanin" w:cs="IRNazanin"/>
          <w:b w:val="false"/>
          <w:bCs w:val="false"/>
          <w:i w:val="false"/>
          <w:iCs w:val="false"/>
          <w:color w:val="333333"/>
          <w:sz w:val="20"/>
          <w:szCs w:val="20"/>
          <w:rtl w:val="true"/>
        </w:rPr>
        <w:t>.</w:t>
      </w:r>
    </w:p>
  </w:footnote>
  <w:footnote w:id="15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المائدة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p>
  </w:footnote>
  <w:footnote w:id="15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178</w:t>
      </w:r>
    </w:p>
  </w:footnote>
  <w:footnote w:id="15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638</w:t>
      </w:r>
      <w:r>
        <w:rPr>
          <w:rFonts w:eastAsia="IRNazanin" w:cs="IRNazanin"/>
          <w:b w:val="false"/>
          <w:bCs w:val="false"/>
          <w:i w:val="false"/>
          <w:iCs w:val="false"/>
          <w:color w:val="333333"/>
          <w:sz w:val="20"/>
          <w:szCs w:val="20"/>
          <w:rtl w:val="true"/>
        </w:rPr>
        <w:t xml:space="preserve"> .</w:t>
      </w:r>
    </w:p>
  </w:footnote>
  <w:footnote w:id="15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638</w:t>
      </w:r>
      <w:r>
        <w:rPr>
          <w:rFonts w:eastAsia="IRNazanin" w:cs="IRNazanin"/>
          <w:b w:val="false"/>
          <w:bCs w:val="false"/>
          <w:i w:val="false"/>
          <w:iCs w:val="false"/>
          <w:color w:val="333333"/>
          <w:sz w:val="20"/>
          <w:szCs w:val="20"/>
          <w:rtl w:val="true"/>
        </w:rPr>
        <w:t xml:space="preserve"> .</w:t>
      </w:r>
    </w:p>
  </w:footnote>
  <w:footnote w:id="15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حكاه عنه العلامة في مختلف الشيعة،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286</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5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634</w:t>
      </w:r>
      <w:r>
        <w:rPr>
          <w:rFonts w:ascii="IRNazanin" w:hAnsi="IRNazanin" w:eastAsia="IRNazanin"/>
          <w:b w:val="false"/>
          <w:b w:val="false"/>
          <w:bCs w:val="false"/>
          <w:i w:val="false"/>
          <w:i w:val="false"/>
          <w:iCs w:val="false"/>
          <w:color w:val="333333"/>
          <w:sz w:val="20"/>
          <w:sz w:val="20"/>
          <w:szCs w:val="20"/>
          <w:rtl w:val="true"/>
        </w:rPr>
        <w:t xml:space="preserve">، وص </w:t>
      </w:r>
      <w:r>
        <w:rPr>
          <w:rFonts w:eastAsia="IRNazanin" w:cs="IRNazanin"/>
          <w:b w:val="false"/>
          <w:bCs w:val="false"/>
          <w:i w:val="false"/>
          <w:iCs w:val="false"/>
          <w:color w:val="333333"/>
          <w:sz w:val="20"/>
          <w:szCs w:val="20"/>
        </w:rPr>
        <w:t>247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977</w:t>
      </w:r>
      <w:r>
        <w:rPr>
          <w:rFonts w:eastAsia="IRNazanin" w:cs="IRNazanin"/>
          <w:b w:val="false"/>
          <w:bCs w:val="false"/>
          <w:i w:val="false"/>
          <w:iCs w:val="false"/>
          <w:color w:val="333333"/>
          <w:sz w:val="20"/>
          <w:szCs w:val="20"/>
          <w:rtl w:val="true"/>
        </w:rPr>
        <w:t>.</w:t>
      </w:r>
    </w:p>
  </w:footnote>
  <w:footnote w:id="15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قواعد الأحكام،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628</w:t>
      </w:r>
      <w:r>
        <w:rPr>
          <w:rFonts w:eastAsia="IRNazanin" w:cs="IRNazanin"/>
          <w:b w:val="false"/>
          <w:bCs w:val="false"/>
          <w:i w:val="false"/>
          <w:iCs w:val="false"/>
          <w:color w:val="333333"/>
          <w:sz w:val="20"/>
          <w:szCs w:val="20"/>
          <w:rtl w:val="true"/>
        </w:rPr>
        <w:t>.</w:t>
      </w:r>
    </w:p>
  </w:footnote>
  <w:footnote w:id="15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حكاه عنه العلامة في مختلف الشيعة،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المسألة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w:t>
      </w:r>
    </w:p>
  </w:footnote>
  <w:footnote w:id="15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w:t>
      </w:r>
    </w:p>
  </w:footnote>
  <w:footnote w:id="15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النهاية، ص </w:t>
      </w:r>
      <w:r>
        <w:rPr>
          <w:rFonts w:eastAsia="IRNazanin" w:cs="IRNazanin"/>
          <w:b w:val="false"/>
          <w:bCs w:val="false"/>
          <w:i w:val="false"/>
          <w:iCs w:val="false"/>
          <w:color w:val="333333"/>
          <w:sz w:val="20"/>
          <w:szCs w:val="20"/>
        </w:rPr>
        <w:t>771</w:t>
      </w:r>
    </w:p>
  </w:footnote>
  <w:footnote w:id="15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منهم المحقق في شرائع الإسلام،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223</w:t>
      </w:r>
      <w:r>
        <w:rPr>
          <w:rFonts w:ascii="IRNazanin" w:hAnsi="IRNazanin" w:eastAsia="IRNazanin"/>
          <w:b w:val="false"/>
          <w:b w:val="false"/>
          <w:bCs w:val="false"/>
          <w:i w:val="false"/>
          <w:i w:val="false"/>
          <w:iCs w:val="false"/>
          <w:color w:val="333333"/>
          <w:sz w:val="20"/>
          <w:sz w:val="20"/>
          <w:szCs w:val="20"/>
          <w:rtl w:val="true"/>
        </w:rPr>
        <w:t xml:space="preserve">؛ والعلّامة في إرشاد الأذهان،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216</w:t>
      </w:r>
      <w:r>
        <w:rPr>
          <w:rFonts w:ascii="IRNazanin" w:hAnsi="IRNazanin" w:eastAsia="IRNazanin"/>
          <w:b w:val="false"/>
          <w:b w:val="false"/>
          <w:bCs w:val="false"/>
          <w:i w:val="false"/>
          <w:i w:val="false"/>
          <w:iCs w:val="false"/>
          <w:color w:val="333333"/>
          <w:sz w:val="20"/>
          <w:sz w:val="20"/>
          <w:szCs w:val="20"/>
          <w:rtl w:val="true"/>
        </w:rPr>
        <w:t xml:space="preserve">؛ والصيمري في غاية المرام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369</w:t>
      </w:r>
    </w:p>
  </w:footnote>
  <w:footnote w:id="15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1000</w:t>
      </w:r>
    </w:p>
  </w:footnote>
  <w:footnote w:id="15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w:t>
      </w:r>
    </w:p>
  </w:footnote>
  <w:footnote w:id="15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163</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15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1003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عن أبي عبيدة الحذاء</w:t>
      </w:r>
      <w:r>
        <w:rPr>
          <w:rFonts w:eastAsia="IRNazanin" w:cs="IRNazanin"/>
          <w:b w:val="false"/>
          <w:bCs w:val="false"/>
          <w:i w:val="false"/>
          <w:iCs w:val="false"/>
          <w:color w:val="333333"/>
          <w:sz w:val="20"/>
          <w:szCs w:val="20"/>
          <w:rtl w:val="true"/>
        </w:rPr>
        <w:t>».</w:t>
      </w:r>
    </w:p>
  </w:footnote>
  <w:footnote w:id="15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813</w:t>
      </w:r>
      <w:r>
        <w:rPr>
          <w:rFonts w:eastAsia="IRNazanin" w:cs="IRNazanin"/>
          <w:b w:val="false"/>
          <w:bCs w:val="false"/>
          <w:i w:val="false"/>
          <w:iCs w:val="false"/>
          <w:color w:val="333333"/>
          <w:sz w:val="20"/>
          <w:szCs w:val="20"/>
          <w:rtl w:val="true"/>
        </w:rPr>
        <w:t>.</w:t>
      </w:r>
    </w:p>
  </w:footnote>
  <w:footnote w:id="15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1091</w:t>
      </w:r>
      <w:r>
        <w:rPr>
          <w:rFonts w:eastAsia="IRNazanin" w:cs="IRNazanin"/>
          <w:b w:val="false"/>
          <w:bCs w:val="false"/>
          <w:i w:val="false"/>
          <w:iCs w:val="false"/>
          <w:color w:val="333333"/>
          <w:sz w:val="20"/>
          <w:szCs w:val="20"/>
          <w:rtl w:val="true"/>
        </w:rPr>
        <w:t>.</w:t>
      </w:r>
    </w:p>
  </w:footnote>
  <w:footnote w:id="15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به الشيخ في المبسوط ،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والاستبصار،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279</w:t>
      </w:r>
      <w:r>
        <w:rPr>
          <w:rFonts w:ascii="IRNazanin" w:hAnsi="IRNazanin" w:eastAsia="IRNazanin"/>
          <w:b w:val="false"/>
          <w:b w:val="false"/>
          <w:bCs w:val="false"/>
          <w:i w:val="false"/>
          <w:i w:val="false"/>
          <w:iCs w:val="false"/>
          <w:color w:val="333333"/>
          <w:sz w:val="20"/>
          <w:sz w:val="20"/>
          <w:szCs w:val="20"/>
          <w:rtl w:val="true"/>
        </w:rPr>
        <w:t xml:space="preserve">، ذيل الحديث </w:t>
      </w:r>
      <w:r>
        <w:rPr>
          <w:rFonts w:eastAsia="IRNazanin" w:cs="IRNazanin"/>
          <w:b w:val="false"/>
          <w:bCs w:val="false"/>
          <w:i w:val="false"/>
          <w:iCs w:val="false"/>
          <w:color w:val="333333"/>
          <w:sz w:val="20"/>
          <w:szCs w:val="20"/>
        </w:rPr>
        <w:t>1056</w:t>
      </w:r>
      <w:r>
        <w:rPr>
          <w:rFonts w:eastAsia="IRNazanin" w:cs="IRNazanin"/>
          <w:b w:val="false"/>
          <w:bCs w:val="false"/>
          <w:i w:val="false"/>
          <w:iCs w:val="false"/>
          <w:color w:val="333333"/>
          <w:sz w:val="20"/>
          <w:szCs w:val="20"/>
          <w:rtl w:val="true"/>
        </w:rPr>
        <w:t>.</w:t>
      </w:r>
    </w:p>
  </w:footnote>
  <w:footnote w:id="15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208</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822</w:t>
      </w:r>
    </w:p>
  </w:footnote>
  <w:footnote w:id="15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به المحقق في شرائع الإسلام،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w:t>
      </w:r>
    </w:p>
  </w:footnote>
  <w:footnote w:id="15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الأنفال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75</w:t>
      </w:r>
    </w:p>
  </w:footnote>
  <w:footnote w:id="15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به الشيخ في النهاية، ص </w:t>
      </w:r>
      <w:r>
        <w:rPr>
          <w:rFonts w:eastAsia="IRNazanin" w:cs="IRNazanin"/>
          <w:b w:val="false"/>
          <w:bCs w:val="false"/>
          <w:i w:val="false"/>
          <w:iCs w:val="false"/>
          <w:color w:val="333333"/>
          <w:sz w:val="20"/>
          <w:szCs w:val="20"/>
        </w:rPr>
        <w:t>673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وابن زهرة في غنية النزوع،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w:t>
      </w:r>
    </w:p>
  </w:footnote>
  <w:footnote w:id="15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به الشيخ في الاستبصار،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263</w:t>
      </w:r>
      <w:r>
        <w:rPr>
          <w:rFonts w:ascii="IRNazanin" w:hAnsi="IRNazanin" w:eastAsia="IRNazanin"/>
          <w:b w:val="false"/>
          <w:b w:val="false"/>
          <w:bCs w:val="false"/>
          <w:i w:val="false"/>
          <w:i w:val="false"/>
          <w:iCs w:val="false"/>
          <w:color w:val="333333"/>
          <w:sz w:val="20"/>
          <w:sz w:val="20"/>
          <w:szCs w:val="20"/>
          <w:rtl w:val="true"/>
        </w:rPr>
        <w:t xml:space="preserve">، ذيل الحديث </w:t>
      </w:r>
      <w:r>
        <w:rPr>
          <w:rFonts w:eastAsia="IRNazanin" w:cs="IRNazanin"/>
          <w:b w:val="false"/>
          <w:bCs w:val="false"/>
          <w:i w:val="false"/>
          <w:iCs w:val="false"/>
          <w:color w:val="333333"/>
          <w:sz w:val="20"/>
          <w:szCs w:val="20"/>
        </w:rPr>
        <w:t>991</w:t>
      </w:r>
    </w:p>
  </w:footnote>
  <w:footnote w:id="15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1418</w:t>
      </w:r>
      <w:r>
        <w:rPr>
          <w:rFonts w:eastAsia="IRNazanin" w:cs="IRNazanin"/>
          <w:b w:val="false"/>
          <w:bCs w:val="false"/>
          <w:i w:val="false"/>
          <w:iCs w:val="false"/>
          <w:color w:val="333333"/>
          <w:sz w:val="20"/>
          <w:szCs w:val="20"/>
          <w:rtl w:val="true"/>
        </w:rPr>
        <w:t>.</w:t>
      </w:r>
    </w:p>
  </w:footnote>
  <w:footnote w:id="15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الإسراء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w:t>
      </w:r>
    </w:p>
  </w:footnote>
  <w:footnote w:id="15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منهم المفيد في المقنعة ص </w:t>
      </w:r>
      <w:r>
        <w:rPr>
          <w:rFonts w:eastAsia="IRNazanin" w:cs="IRNazanin"/>
          <w:b w:val="false"/>
          <w:bCs w:val="false"/>
          <w:i w:val="false"/>
          <w:iCs w:val="false"/>
          <w:color w:val="333333"/>
          <w:sz w:val="20"/>
          <w:szCs w:val="20"/>
        </w:rPr>
        <w:t>760</w:t>
      </w:r>
      <w:r>
        <w:rPr>
          <w:rFonts w:ascii="IRNazanin" w:hAnsi="IRNazanin" w:eastAsia="IRNazanin"/>
          <w:b w:val="false"/>
          <w:b w:val="false"/>
          <w:bCs w:val="false"/>
          <w:i w:val="false"/>
          <w:i w:val="false"/>
          <w:iCs w:val="false"/>
          <w:color w:val="333333"/>
          <w:sz w:val="20"/>
          <w:sz w:val="20"/>
          <w:szCs w:val="20"/>
          <w:rtl w:val="true"/>
        </w:rPr>
        <w:t xml:space="preserve">؛ والشيخ في المبسوط،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والخلاف،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205</w:t>
      </w:r>
    </w:p>
  </w:footnote>
  <w:footnote w:id="15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والخلاف،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179</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15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الانتصار، ص </w:t>
      </w:r>
      <w:r>
        <w:rPr>
          <w:rFonts w:eastAsia="IRNazanin" w:cs="IRNazanin"/>
          <w:b w:val="false"/>
          <w:bCs w:val="false"/>
          <w:i w:val="false"/>
          <w:iCs w:val="false"/>
          <w:color w:val="333333"/>
          <w:sz w:val="20"/>
          <w:szCs w:val="20"/>
        </w:rPr>
        <w:t>533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المسألة </w:t>
      </w:r>
      <w:r>
        <w:rPr>
          <w:rFonts w:eastAsia="IRNazanin" w:cs="IRNazanin"/>
          <w:b w:val="false"/>
          <w:bCs w:val="false"/>
          <w:i w:val="false"/>
          <w:iCs w:val="false"/>
          <w:color w:val="333333"/>
          <w:sz w:val="20"/>
          <w:szCs w:val="20"/>
        </w:rPr>
        <w:t>298</w:t>
      </w:r>
    </w:p>
  </w:footnote>
  <w:footnote w:id="15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نعثر عليه على ما بأيدينا من كتب الشيخ كما في جواهر الکلام، ج </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w:t>
      </w:r>
    </w:p>
  </w:footnote>
  <w:footnote w:id="15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منهم العلّامة في إرشاد الأذهان،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199</w:t>
      </w:r>
      <w:r>
        <w:rPr>
          <w:rFonts w:ascii="IRNazanin" w:hAnsi="IRNazanin" w:eastAsia="IRNazanin"/>
          <w:b w:val="false"/>
          <w:b w:val="false"/>
          <w:bCs w:val="false"/>
          <w:i w:val="false"/>
          <w:i w:val="false"/>
          <w:iCs w:val="false"/>
          <w:color w:val="333333"/>
          <w:sz w:val="20"/>
          <w:sz w:val="20"/>
          <w:szCs w:val="20"/>
          <w:rtl w:val="true"/>
        </w:rPr>
        <w:t xml:space="preserve">؛ وفخر المحققين في إيضاح الفوائد،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623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624</w:t>
      </w:r>
    </w:p>
  </w:footnote>
  <w:footnote w:id="15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آنفاً</w:t>
      </w:r>
      <w:r>
        <w:rPr>
          <w:rFonts w:eastAsia="IRNazanin" w:cs="IRNazanin"/>
          <w:b w:val="false"/>
          <w:bCs w:val="false"/>
          <w:i w:val="false"/>
          <w:iCs w:val="false"/>
          <w:color w:val="333333"/>
          <w:sz w:val="20"/>
          <w:szCs w:val="20"/>
          <w:rtl w:val="true"/>
        </w:rPr>
        <w:t>.</w:t>
      </w:r>
    </w:p>
  </w:footnote>
  <w:footnote w:id="15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686</w:t>
      </w:r>
      <w:r>
        <w:rPr>
          <w:rFonts w:eastAsia="IRNazanin" w:cs="IRNazanin"/>
          <w:b w:val="false"/>
          <w:bCs w:val="false"/>
          <w:i w:val="false"/>
          <w:iCs w:val="false"/>
          <w:color w:val="333333"/>
          <w:sz w:val="20"/>
          <w:szCs w:val="20"/>
          <w:rtl w:val="true"/>
        </w:rPr>
        <w:t xml:space="preserve"> .</w:t>
      </w:r>
    </w:p>
  </w:footnote>
  <w:footnote w:id="15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688</w:t>
      </w:r>
      <w:r>
        <w:rPr>
          <w:rFonts w:eastAsia="IRNazanin" w:cs="IRNazanin"/>
          <w:b w:val="false"/>
          <w:bCs w:val="false"/>
          <w:i w:val="false"/>
          <w:iCs w:val="false"/>
          <w:color w:val="333333"/>
          <w:sz w:val="20"/>
          <w:szCs w:val="20"/>
          <w:rtl w:val="true"/>
        </w:rPr>
        <w:t>.</w:t>
      </w:r>
    </w:p>
  </w:footnote>
  <w:footnote w:id="15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687</w:t>
      </w:r>
      <w:r>
        <w:rPr>
          <w:rFonts w:eastAsia="IRNazanin" w:cs="IRNazanin"/>
          <w:b w:val="false"/>
          <w:bCs w:val="false"/>
          <w:i w:val="false"/>
          <w:iCs w:val="false"/>
          <w:color w:val="333333"/>
          <w:sz w:val="20"/>
          <w:szCs w:val="20"/>
          <w:rtl w:val="true"/>
        </w:rPr>
        <w:t>.</w:t>
      </w:r>
    </w:p>
  </w:footnote>
  <w:footnote w:id="15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القول الأول لابن إدريس في السرائر،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والمحقق في شرائع الإسلام،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والقول الثاني للشيخ في النهاية، ص </w:t>
      </w:r>
      <w:r>
        <w:rPr>
          <w:rFonts w:eastAsia="IRNazanin" w:cs="IRNazanin"/>
          <w:b w:val="false"/>
          <w:bCs w:val="false"/>
          <w:i w:val="false"/>
          <w:iCs w:val="false"/>
          <w:color w:val="333333"/>
          <w:sz w:val="20"/>
          <w:szCs w:val="20"/>
        </w:rPr>
        <w:t>309</w:t>
      </w:r>
    </w:p>
  </w:footnote>
  <w:footnote w:id="15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الإسراء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p>
  </w:footnote>
  <w:footnote w:id="15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النهاية، ص </w:t>
      </w:r>
      <w:r>
        <w:rPr>
          <w:rFonts w:eastAsia="IRNazanin" w:cs="IRNazanin"/>
          <w:b w:val="false"/>
          <w:bCs w:val="false"/>
          <w:i w:val="false"/>
          <w:iCs w:val="false"/>
          <w:color w:val="333333"/>
          <w:sz w:val="20"/>
          <w:szCs w:val="20"/>
        </w:rPr>
        <w:t>309</w:t>
      </w:r>
      <w:r>
        <w:rPr>
          <w:rFonts w:ascii="IRNazanin" w:hAnsi="IRNazanin" w:eastAsia="IRNazanin"/>
          <w:b w:val="false"/>
          <w:b w:val="false"/>
          <w:bCs w:val="false"/>
          <w:i w:val="false"/>
          <w:i w:val="false"/>
          <w:iCs w:val="false"/>
          <w:color w:val="333333"/>
          <w:sz w:val="20"/>
          <w:sz w:val="20"/>
          <w:szCs w:val="20"/>
          <w:rtl w:val="true"/>
        </w:rPr>
        <w:t xml:space="preserve">؛ المبسوط،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15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 الصلاح في الكافي في الفقه، ص </w:t>
      </w:r>
      <w:r>
        <w:rPr>
          <w:rFonts w:eastAsia="IRNazanin" w:cs="IRNazanin"/>
          <w:b w:val="false"/>
          <w:bCs w:val="false"/>
          <w:i w:val="false"/>
          <w:iCs w:val="false"/>
          <w:color w:val="333333"/>
          <w:sz w:val="20"/>
          <w:szCs w:val="20"/>
        </w:rPr>
        <w:t>332</w:t>
      </w:r>
      <w:r>
        <w:rPr>
          <w:rFonts w:ascii="IRNazanin" w:hAnsi="IRNazanin" w:eastAsia="IRNazanin"/>
          <w:b w:val="false"/>
          <w:b w:val="false"/>
          <w:bCs w:val="false"/>
          <w:i w:val="false"/>
          <w:i w:val="false"/>
          <w:iCs w:val="false"/>
          <w:color w:val="333333"/>
          <w:sz w:val="20"/>
          <w:sz w:val="20"/>
          <w:szCs w:val="20"/>
          <w:rtl w:val="true"/>
        </w:rPr>
        <w:t xml:space="preserve">؛ وابن زهرة في غنية النزوع،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241</w:t>
      </w:r>
      <w:r>
        <w:rPr>
          <w:rFonts w:ascii="IRNazanin" w:hAnsi="IRNazanin" w:eastAsia="IRNazanin"/>
          <w:b w:val="false"/>
          <w:b w:val="false"/>
          <w:bCs w:val="false"/>
          <w:i w:val="false"/>
          <w:i w:val="false"/>
          <w:iCs w:val="false"/>
          <w:color w:val="333333"/>
          <w:sz w:val="20"/>
          <w:sz w:val="20"/>
          <w:szCs w:val="20"/>
          <w:rtl w:val="true"/>
        </w:rPr>
        <w:t xml:space="preserve">؛ الكيدري في إصباح الشيعة، ص </w:t>
      </w:r>
      <w:r>
        <w:rPr>
          <w:rFonts w:eastAsia="IRNazanin" w:cs="IRNazanin"/>
          <w:b w:val="false"/>
          <w:bCs w:val="false"/>
          <w:i w:val="false"/>
          <w:iCs w:val="false"/>
          <w:color w:val="333333"/>
          <w:sz w:val="20"/>
          <w:szCs w:val="20"/>
        </w:rPr>
        <w:t>285</w:t>
      </w:r>
    </w:p>
  </w:footnote>
  <w:footnote w:id="15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703</w:t>
      </w:r>
      <w:r>
        <w:rPr>
          <w:rFonts w:ascii="IRNazanin" w:hAnsi="IRNazanin" w:eastAsia="IRNazanin"/>
          <w:b w:val="false"/>
          <w:b w:val="false"/>
          <w:bCs w:val="false"/>
          <w:i w:val="false"/>
          <w:i w:val="false"/>
          <w:iCs w:val="false"/>
          <w:color w:val="333333"/>
          <w:sz w:val="20"/>
          <w:sz w:val="20"/>
          <w:szCs w:val="20"/>
          <w:rtl w:val="true"/>
        </w:rPr>
        <w:t xml:space="preserve">، وص </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1170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416</w:t>
      </w:r>
      <w:r>
        <w:rPr>
          <w:rFonts w:eastAsia="IRNazanin" w:cs="IRNazanin"/>
          <w:b w:val="false"/>
          <w:bCs w:val="false"/>
          <w:i w:val="false"/>
          <w:iCs w:val="false"/>
          <w:color w:val="333333"/>
          <w:sz w:val="20"/>
          <w:szCs w:val="20"/>
          <w:rtl w:val="true"/>
        </w:rPr>
        <w:t>.</w:t>
      </w:r>
    </w:p>
  </w:footnote>
  <w:footnote w:id="15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به الشيخ في المبسوط ،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p>
  </w:footnote>
  <w:footnote w:id="15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يحمل على أنه ترك في أيديهم مالاً، وإلا فلا ضمان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زين رحمه الله</w:t>
      </w:r>
      <w:r>
        <w:rPr>
          <w:rFonts w:eastAsia="IRNazanin" w:cs="IRNazanin"/>
          <w:b w:val="false"/>
          <w:bCs w:val="false"/>
          <w:i w:val="false"/>
          <w:iCs w:val="false"/>
          <w:color w:val="333333"/>
          <w:sz w:val="20"/>
          <w:szCs w:val="20"/>
          <w:rtl w:val="true"/>
        </w:rPr>
        <w:t>)</w:t>
      </w:r>
    </w:p>
  </w:footnote>
  <w:footnote w:id="15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671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672</w:t>
      </w:r>
      <w:r>
        <w:rPr>
          <w:rFonts w:eastAsia="IRNazanin" w:cs="IRNazanin"/>
          <w:b w:val="false"/>
          <w:bCs w:val="false"/>
          <w:i w:val="false"/>
          <w:iCs w:val="false"/>
          <w:color w:val="333333"/>
          <w:sz w:val="20"/>
          <w:szCs w:val="20"/>
          <w:rtl w:val="true"/>
        </w:rPr>
        <w:t>.</w:t>
      </w:r>
    </w:p>
  </w:footnote>
  <w:footnote w:id="15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671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672</w:t>
      </w:r>
      <w:r>
        <w:rPr>
          <w:rFonts w:eastAsia="IRNazanin" w:cs="IRNazanin"/>
          <w:b w:val="false"/>
          <w:bCs w:val="false"/>
          <w:i w:val="false"/>
          <w:iCs w:val="false"/>
          <w:color w:val="333333"/>
          <w:sz w:val="20"/>
          <w:szCs w:val="20"/>
          <w:rtl w:val="true"/>
        </w:rPr>
        <w:t>.</w:t>
      </w:r>
    </w:p>
  </w:footnote>
  <w:footnote w:id="15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منهم الشيخ في النهاية، ص </w:t>
      </w:r>
      <w:r>
        <w:rPr>
          <w:rFonts w:eastAsia="IRNazanin" w:cs="IRNazanin"/>
          <w:b w:val="false"/>
          <w:bCs w:val="false"/>
          <w:i w:val="false"/>
          <w:iCs w:val="false"/>
          <w:color w:val="333333"/>
          <w:sz w:val="20"/>
          <w:szCs w:val="20"/>
        </w:rPr>
        <w:t>736</w:t>
      </w:r>
      <w:r>
        <w:rPr>
          <w:rFonts w:ascii="IRNazanin" w:hAnsi="IRNazanin" w:eastAsia="IRNazanin"/>
          <w:b w:val="false"/>
          <w:b w:val="false"/>
          <w:bCs w:val="false"/>
          <w:i w:val="false"/>
          <w:i w:val="false"/>
          <w:iCs w:val="false"/>
          <w:color w:val="333333"/>
          <w:sz w:val="20"/>
          <w:sz w:val="20"/>
          <w:szCs w:val="20"/>
          <w:rtl w:val="true"/>
        </w:rPr>
        <w:t xml:space="preserve">؛ والقاضي في المهذب،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والعلامة في مختلف الشيعة،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298</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9</w:t>
      </w:r>
    </w:p>
  </w:footnote>
  <w:footnote w:id="15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غنية النزوع،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405</w:t>
      </w:r>
      <w:r>
        <w:rPr>
          <w:rFonts w:eastAsia="IRNazanin" w:cs="IRNazanin"/>
          <w:b w:val="false"/>
          <w:bCs w:val="false"/>
          <w:i w:val="false"/>
          <w:iCs w:val="false"/>
          <w:color w:val="333333"/>
          <w:sz w:val="20"/>
          <w:szCs w:val="20"/>
          <w:rtl w:val="true"/>
        </w:rPr>
        <w:t>.</w:t>
      </w:r>
    </w:p>
  </w:footnote>
  <w:footnote w:id="15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663</w:t>
      </w:r>
      <w:r>
        <w:rPr>
          <w:rFonts w:eastAsia="IRNazanin" w:cs="IRNazanin"/>
          <w:b w:val="false"/>
          <w:bCs w:val="false"/>
          <w:i w:val="false"/>
          <w:iCs w:val="false"/>
          <w:color w:val="333333"/>
          <w:sz w:val="20"/>
          <w:szCs w:val="20"/>
          <w:rtl w:val="true"/>
        </w:rPr>
        <w:t>.</w:t>
      </w:r>
    </w:p>
  </w:footnote>
  <w:footnote w:id="15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330</w:t>
      </w:r>
    </w:p>
  </w:footnote>
  <w:footnote w:id="15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مختلف الشيعة،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298</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5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غاية المراد،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 موسوعة الشهيد الأول،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5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الدية مال مخصوص ؛ يؤدى من الجاني أو عاقلته إلى المجني عليه أو وارثه عوضاً عن نفسه أو طرفه</w:t>
      </w:r>
      <w:r>
        <w:rPr>
          <w:rFonts w:eastAsia="IRNazanin" w:cs="IRNazanin"/>
          <w:b w:val="false"/>
          <w:bCs w:val="false"/>
          <w:i w:val="false"/>
          <w:iCs w:val="false"/>
          <w:color w:val="333333"/>
          <w:sz w:val="20"/>
          <w:szCs w:val="20"/>
          <w:rtl w:val="true"/>
        </w:rPr>
        <w:t>.</w:t>
      </w:r>
    </w:p>
  </w:footnote>
  <w:footnote w:id="15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ص </w:t>
      </w:r>
      <w:r>
        <w:rPr>
          <w:rFonts w:eastAsia="IRNazanin" w:cs="IRNazanin"/>
          <w:b w:val="false"/>
          <w:bCs w:val="false"/>
          <w:i w:val="false"/>
          <w:iCs w:val="false"/>
          <w:color w:val="333333"/>
          <w:sz w:val="20"/>
          <w:szCs w:val="20"/>
        </w:rPr>
        <w:t>390</w:t>
      </w:r>
      <w:r>
        <w:rPr>
          <w:rFonts w:ascii="IRNazanin" w:hAnsi="IRNazanin" w:eastAsia="IRNazanin"/>
          <w:b w:val="false"/>
          <w:b w:val="false"/>
          <w:bCs w:val="false"/>
          <w:i w:val="false"/>
          <w:i w:val="false"/>
          <w:iCs w:val="false"/>
          <w:color w:val="333333"/>
          <w:sz w:val="20"/>
          <w:sz w:val="20"/>
          <w:szCs w:val="20"/>
          <w:rtl w:val="true"/>
        </w:rPr>
        <w:t xml:space="preserve">، الهامش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5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373</w:t>
      </w:r>
      <w:r>
        <w:rPr>
          <w:rFonts w:eastAsia="IRNazanin" w:cs="IRNazanin"/>
          <w:b w:val="false"/>
          <w:bCs w:val="false"/>
          <w:i w:val="false"/>
          <w:iCs w:val="false"/>
          <w:color w:val="333333"/>
          <w:sz w:val="20"/>
          <w:szCs w:val="20"/>
          <w:rtl w:val="true"/>
        </w:rPr>
        <w:t>.</w:t>
      </w:r>
    </w:p>
  </w:footnote>
  <w:footnote w:id="15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928</w:t>
      </w:r>
    </w:p>
  </w:footnote>
  <w:footnote w:id="15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غاية المراد،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ضمن موسوعة الشهيد الأول،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5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زهرة في غنية النزوع،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والمحقق في نكت النهاية،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421</w:t>
      </w:r>
      <w:r>
        <w:rPr>
          <w:rFonts w:eastAsia="IRNazanin" w:cs="IRNazanin"/>
          <w:b w:val="false"/>
          <w:bCs w:val="false"/>
          <w:i w:val="false"/>
          <w:iCs w:val="false"/>
          <w:color w:val="333333"/>
          <w:sz w:val="20"/>
          <w:szCs w:val="20"/>
          <w:rtl w:val="true"/>
        </w:rPr>
        <w:t>.</w:t>
      </w:r>
    </w:p>
  </w:footnote>
  <w:footnote w:id="15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925</w:t>
      </w:r>
    </w:p>
  </w:footnote>
  <w:footnote w:id="15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373</w:t>
      </w:r>
    </w:p>
  </w:footnote>
  <w:footnote w:id="15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النهاية، ص </w:t>
      </w:r>
      <w:r>
        <w:rPr>
          <w:rFonts w:eastAsia="IRNazanin" w:cs="IRNazanin"/>
          <w:b w:val="false"/>
          <w:bCs w:val="false"/>
          <w:i w:val="false"/>
          <w:iCs w:val="false"/>
          <w:color w:val="333333"/>
          <w:sz w:val="20"/>
          <w:szCs w:val="20"/>
        </w:rPr>
        <w:t>758</w:t>
      </w:r>
    </w:p>
  </w:footnote>
  <w:footnote w:id="15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مستند الإطلاق رواية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عليّ بن رئاب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ضمان ما يصيب الدواب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w:t>
      </w:r>
    </w:p>
  </w:footnote>
  <w:footnote w:id="15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النهاية، ص </w:t>
      </w:r>
      <w:r>
        <w:rPr>
          <w:rFonts w:eastAsia="IRNazanin" w:cs="IRNazanin"/>
          <w:b w:val="false"/>
          <w:bCs w:val="false"/>
          <w:i w:val="false"/>
          <w:iCs w:val="false"/>
          <w:color w:val="333333"/>
          <w:sz w:val="20"/>
          <w:szCs w:val="20"/>
        </w:rPr>
        <w:t>758</w:t>
      </w:r>
    </w:p>
  </w:footnote>
  <w:footnote w:id="15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827</w:t>
      </w:r>
    </w:p>
  </w:footnote>
  <w:footnote w:id="15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828</w:t>
      </w:r>
    </w:p>
  </w:footnote>
  <w:footnote w:id="15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181</w:t>
      </w:r>
    </w:p>
  </w:footnote>
  <w:footnote w:id="15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819</w:t>
      </w:r>
    </w:p>
  </w:footnote>
  <w:footnote w:id="15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به العلّامة في تحرير الأحكام الشرعية،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535</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7177</w:t>
      </w:r>
    </w:p>
  </w:footnote>
  <w:footnote w:id="15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به الشيخ في النهاية، ص </w:t>
      </w:r>
      <w:r>
        <w:rPr>
          <w:rFonts w:eastAsia="IRNazanin" w:cs="IRNazanin"/>
          <w:b w:val="false"/>
          <w:bCs w:val="false"/>
          <w:i w:val="false"/>
          <w:iCs w:val="false"/>
          <w:color w:val="333333"/>
          <w:sz w:val="20"/>
          <w:szCs w:val="20"/>
        </w:rPr>
        <w:t>758</w:t>
      </w:r>
    </w:p>
  </w:footnote>
  <w:footnote w:id="16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836</w:t>
      </w:r>
    </w:p>
  </w:footnote>
  <w:footnote w:id="16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دعا غيره من منزله فإن كان بإذنه أو في واجب أو خيرة فلا ضمان، وإلا ضمن ويتعلق الحكم بمطلق المنزل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زین رحمه الله </w:t>
      </w:r>
      <w:r>
        <w:rPr>
          <w:rFonts w:eastAsia="IRNazanin" w:cs="IRNazanin"/>
          <w:b w:val="false"/>
          <w:bCs w:val="false"/>
          <w:i w:val="false"/>
          <w:iCs w:val="false"/>
          <w:color w:val="333333"/>
          <w:sz w:val="20"/>
          <w:szCs w:val="20"/>
          <w:rtl w:val="true"/>
        </w:rPr>
        <w:t>)</w:t>
      </w:r>
    </w:p>
  </w:footnote>
  <w:footnote w:id="16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869</w:t>
      </w:r>
    </w:p>
  </w:footnote>
  <w:footnote w:id="16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868</w:t>
      </w:r>
    </w:p>
  </w:footnote>
  <w:footnote w:id="16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آنفاً</w:t>
      </w:r>
      <w:r>
        <w:rPr>
          <w:rFonts w:eastAsia="IRNazanin" w:cs="IRNazanin"/>
          <w:b w:val="false"/>
          <w:bCs w:val="false"/>
          <w:i w:val="false"/>
          <w:iCs w:val="false"/>
          <w:color w:val="333333"/>
          <w:sz w:val="20"/>
          <w:szCs w:val="20"/>
          <w:rtl w:val="true"/>
        </w:rPr>
        <w:t>.</w:t>
      </w:r>
    </w:p>
  </w:footnote>
  <w:footnote w:id="16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النهاية، ص </w:t>
      </w:r>
      <w:r>
        <w:rPr>
          <w:rFonts w:eastAsia="IRNazanin" w:cs="IRNazanin"/>
          <w:b w:val="false"/>
          <w:bCs w:val="false"/>
          <w:i w:val="false"/>
          <w:iCs w:val="false"/>
          <w:color w:val="333333"/>
          <w:sz w:val="20"/>
          <w:szCs w:val="20"/>
        </w:rPr>
        <w:t>756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757</w:t>
      </w:r>
    </w:p>
  </w:footnote>
  <w:footnote w:id="16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منهم الشيخ المفيد في المقنعة، ص </w:t>
      </w:r>
      <w:r>
        <w:rPr>
          <w:rFonts w:eastAsia="IRNazanin" w:cs="IRNazanin"/>
          <w:b w:val="false"/>
          <w:bCs w:val="false"/>
          <w:i w:val="false"/>
          <w:iCs w:val="false"/>
          <w:color w:val="333333"/>
          <w:sz w:val="20"/>
          <w:szCs w:val="20"/>
        </w:rPr>
        <w:t>746</w:t>
      </w:r>
      <w:r>
        <w:rPr>
          <w:rFonts w:ascii="IRNazanin" w:hAnsi="IRNazanin" w:eastAsia="IRNazanin"/>
          <w:b w:val="false"/>
          <w:b w:val="false"/>
          <w:bCs w:val="false"/>
          <w:i w:val="false"/>
          <w:i w:val="false"/>
          <w:iCs w:val="false"/>
          <w:color w:val="333333"/>
          <w:sz w:val="20"/>
          <w:sz w:val="20"/>
          <w:szCs w:val="20"/>
          <w:rtl w:val="true"/>
        </w:rPr>
        <w:t xml:space="preserve">؛ وسلار في المراسم، ص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243</w:t>
      </w:r>
      <w:r>
        <w:rPr>
          <w:rFonts w:ascii="IRNazanin" w:hAnsi="IRNazanin" w:eastAsia="IRNazanin"/>
          <w:b w:val="false"/>
          <w:b w:val="false"/>
          <w:bCs w:val="false"/>
          <w:i w:val="false"/>
          <w:i w:val="false"/>
          <w:iCs w:val="false"/>
          <w:color w:val="333333"/>
          <w:sz w:val="20"/>
          <w:sz w:val="20"/>
          <w:szCs w:val="20"/>
          <w:rtl w:val="true"/>
        </w:rPr>
        <w:t>؛ وابن حمزة في الوسيلة</w:t>
      </w:r>
    </w:p>
  </w:footnote>
  <w:footnote w:id="16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قواعد الأحكام،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إرشاد الأذهان،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w:t>
      </w:r>
    </w:p>
  </w:footnote>
  <w:footnote w:id="16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ص </w:t>
      </w:r>
      <w:r>
        <w:rPr>
          <w:rFonts w:eastAsia="IRNazanin" w:cs="IRNazanin"/>
          <w:b w:val="false"/>
          <w:bCs w:val="false"/>
          <w:i w:val="false"/>
          <w:iCs w:val="false"/>
          <w:color w:val="333333"/>
          <w:sz w:val="20"/>
          <w:szCs w:val="20"/>
        </w:rPr>
        <w:t>400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401</w:t>
      </w:r>
      <w:r>
        <w:rPr>
          <w:rFonts w:eastAsia="IRNazanin" w:cs="IRNazanin"/>
          <w:b w:val="false"/>
          <w:bCs w:val="false"/>
          <w:i w:val="false"/>
          <w:iCs w:val="false"/>
          <w:color w:val="333333"/>
          <w:sz w:val="20"/>
          <w:szCs w:val="20"/>
          <w:rtl w:val="true"/>
        </w:rPr>
        <w:t>.</w:t>
      </w:r>
    </w:p>
  </w:footnote>
  <w:footnote w:id="16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ص </w:t>
      </w:r>
      <w:r>
        <w:rPr>
          <w:rFonts w:eastAsia="IRNazanin" w:cs="IRNazanin"/>
          <w:b w:val="false"/>
          <w:bCs w:val="false"/>
          <w:i w:val="false"/>
          <w:iCs w:val="false"/>
          <w:color w:val="333333"/>
          <w:sz w:val="20"/>
          <w:szCs w:val="20"/>
        </w:rPr>
        <w:t>400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401</w:t>
      </w:r>
      <w:r>
        <w:rPr>
          <w:rFonts w:eastAsia="IRNazanin" w:cs="IRNazanin"/>
          <w:b w:val="false"/>
          <w:bCs w:val="false"/>
          <w:i w:val="false"/>
          <w:iCs w:val="false"/>
          <w:color w:val="333333"/>
          <w:sz w:val="20"/>
          <w:szCs w:val="20"/>
          <w:rtl w:val="true"/>
        </w:rPr>
        <w:t>.</w:t>
      </w:r>
    </w:p>
  </w:footnote>
  <w:footnote w:id="16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ص </w:t>
      </w:r>
      <w:r>
        <w:rPr>
          <w:rFonts w:eastAsia="IRNazanin" w:cs="IRNazanin"/>
          <w:b w:val="false"/>
          <w:bCs w:val="false"/>
          <w:i w:val="false"/>
          <w:iCs w:val="false"/>
          <w:color w:val="333333"/>
          <w:sz w:val="20"/>
          <w:szCs w:val="20"/>
        </w:rPr>
        <w:t>400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401</w:t>
      </w:r>
      <w:r>
        <w:rPr>
          <w:rFonts w:eastAsia="IRNazanin" w:cs="IRNazanin"/>
          <w:b w:val="false"/>
          <w:bCs w:val="false"/>
          <w:i w:val="false"/>
          <w:iCs w:val="false"/>
          <w:color w:val="333333"/>
          <w:sz w:val="20"/>
          <w:szCs w:val="20"/>
          <w:rtl w:val="true"/>
        </w:rPr>
        <w:t>.</w:t>
      </w:r>
    </w:p>
  </w:footnote>
  <w:footnote w:id="16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النسخ</w:t>
      </w:r>
      <w:r>
        <w:rPr>
          <w:rFonts w:eastAsia="IRNazanin" w:cs="IRNazanin"/>
          <w:b w:val="false"/>
          <w:bCs w:val="false"/>
          <w:i w:val="false"/>
          <w:iCs w:val="false"/>
          <w:color w:val="333333"/>
          <w:sz w:val="20"/>
          <w:szCs w:val="20"/>
          <w:rtl w:val="true"/>
        </w:rPr>
        <w:t>.</w:t>
      </w:r>
    </w:p>
  </w:footnote>
  <w:footnote w:id="16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آنفاً</w:t>
      </w:r>
      <w:r>
        <w:rPr>
          <w:rFonts w:eastAsia="IRNazanin" w:cs="IRNazanin"/>
          <w:b w:val="false"/>
          <w:bCs w:val="false"/>
          <w:i w:val="false"/>
          <w:iCs w:val="false"/>
          <w:color w:val="333333"/>
          <w:sz w:val="20"/>
          <w:szCs w:val="20"/>
          <w:rtl w:val="true"/>
        </w:rPr>
        <w:t>.</w:t>
      </w:r>
    </w:p>
  </w:footnote>
  <w:footnote w:id="16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غاية المراد،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 موسوعة الشهيد الأول،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6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873</w:t>
      </w:r>
      <w:r>
        <w:rPr>
          <w:rFonts w:eastAsia="IRNazanin" w:cs="IRNazanin"/>
          <w:b w:val="false"/>
          <w:bCs w:val="false"/>
          <w:i w:val="false"/>
          <w:iCs w:val="false"/>
          <w:color w:val="333333"/>
          <w:sz w:val="20"/>
          <w:szCs w:val="20"/>
          <w:rtl w:val="true"/>
        </w:rPr>
        <w:t>.</w:t>
      </w:r>
    </w:p>
  </w:footnote>
  <w:footnote w:id="16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ص </w:t>
      </w:r>
      <w:r>
        <w:rPr>
          <w:rFonts w:eastAsia="IRNazanin" w:cs="IRNazanin"/>
          <w:b w:val="false"/>
          <w:bCs w:val="false"/>
          <w:i w:val="false"/>
          <w:iCs w:val="false"/>
          <w:color w:val="333333"/>
          <w:sz w:val="20"/>
          <w:szCs w:val="20"/>
        </w:rPr>
        <w:t>397</w:t>
      </w:r>
    </w:p>
  </w:footnote>
  <w:footnote w:id="16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870</w:t>
      </w:r>
    </w:p>
  </w:footnote>
  <w:footnote w:id="16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960</w:t>
      </w:r>
    </w:p>
  </w:footnote>
  <w:footnote w:id="16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النهاية، ص </w:t>
      </w:r>
      <w:r>
        <w:rPr>
          <w:rFonts w:eastAsia="IRNazanin" w:cs="IRNazanin"/>
          <w:b w:val="false"/>
          <w:bCs w:val="false"/>
          <w:i w:val="false"/>
          <w:iCs w:val="false"/>
          <w:color w:val="333333"/>
          <w:sz w:val="20"/>
          <w:szCs w:val="20"/>
        </w:rPr>
        <w:t>763</w:t>
      </w:r>
      <w:r>
        <w:rPr>
          <w:rFonts w:eastAsia="IRNazanin" w:cs="IRNazanin"/>
          <w:b w:val="false"/>
          <w:bCs w:val="false"/>
          <w:i w:val="false"/>
          <w:iCs w:val="false"/>
          <w:color w:val="333333"/>
          <w:sz w:val="20"/>
          <w:szCs w:val="20"/>
          <w:rtl w:val="true"/>
        </w:rPr>
        <w:t xml:space="preserve"> .</w:t>
      </w:r>
    </w:p>
  </w:footnote>
  <w:footnote w:id="16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الشيخ الصدوق في المقنع، ص </w:t>
      </w:r>
      <w:r>
        <w:rPr>
          <w:rFonts w:eastAsia="IRNazanin" w:cs="IRNazanin"/>
          <w:b w:val="false"/>
          <w:bCs w:val="false"/>
          <w:i w:val="false"/>
          <w:iCs w:val="false"/>
          <w:color w:val="333333"/>
          <w:sz w:val="20"/>
          <w:szCs w:val="20"/>
        </w:rPr>
        <w:t>531</w:t>
      </w:r>
      <w:r>
        <w:rPr>
          <w:rFonts w:ascii="IRNazanin" w:hAnsi="IRNazanin" w:eastAsia="IRNazanin"/>
          <w:b w:val="false"/>
          <w:b w:val="false"/>
          <w:bCs w:val="false"/>
          <w:i w:val="false"/>
          <w:i w:val="false"/>
          <w:iCs w:val="false"/>
          <w:color w:val="333333"/>
          <w:sz w:val="20"/>
          <w:sz w:val="20"/>
          <w:szCs w:val="20"/>
          <w:rtl w:val="true"/>
        </w:rPr>
        <w:t xml:space="preserve">؛ والقاضي في المهذب،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499</w:t>
      </w:r>
      <w:r>
        <w:rPr>
          <w:rFonts w:ascii="IRNazanin" w:hAnsi="IRNazanin" w:eastAsia="IRNazanin"/>
          <w:b w:val="false"/>
          <w:b w:val="false"/>
          <w:bCs w:val="false"/>
          <w:i w:val="false"/>
          <w:i w:val="false"/>
          <w:iCs w:val="false"/>
          <w:color w:val="333333"/>
          <w:sz w:val="20"/>
          <w:sz w:val="20"/>
          <w:szCs w:val="20"/>
          <w:rtl w:val="true"/>
        </w:rPr>
        <w:t xml:space="preserve">؛ وأبو الصلاح الحلبي في الكافي في الفقه، ص </w:t>
      </w:r>
      <w:r>
        <w:rPr>
          <w:rFonts w:eastAsia="IRNazanin" w:cs="IRNazanin"/>
          <w:b w:val="false"/>
          <w:bCs w:val="false"/>
          <w:i w:val="false"/>
          <w:iCs w:val="false"/>
          <w:color w:val="333333"/>
          <w:sz w:val="20"/>
          <w:szCs w:val="20"/>
        </w:rPr>
        <w:t>394</w:t>
      </w:r>
      <w:r>
        <w:rPr>
          <w:rFonts w:eastAsia="IRNazanin" w:cs="IRNazanin"/>
          <w:b w:val="false"/>
          <w:bCs w:val="false"/>
          <w:i w:val="false"/>
          <w:iCs w:val="false"/>
          <w:color w:val="333333"/>
          <w:sz w:val="20"/>
          <w:szCs w:val="20"/>
          <w:rtl w:val="true"/>
        </w:rPr>
        <w:t>.</w:t>
      </w:r>
    </w:p>
  </w:footnote>
  <w:footnote w:id="16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المقنعة، ص</w:t>
      </w:r>
      <w:r>
        <w:rPr>
          <w:rFonts w:eastAsia="IRNazanin" w:cs="IRNazanin"/>
          <w:b w:val="false"/>
          <w:bCs w:val="false"/>
          <w:i w:val="false"/>
          <w:iCs w:val="false"/>
          <w:color w:val="333333"/>
          <w:sz w:val="20"/>
          <w:szCs w:val="20"/>
        </w:rPr>
        <w:t>750</w:t>
      </w:r>
      <w:r>
        <w:rPr>
          <w:rFonts w:eastAsia="IRNazanin" w:cs="IRNazanin"/>
          <w:b w:val="false"/>
          <w:bCs w:val="false"/>
          <w:i w:val="false"/>
          <w:iCs w:val="false"/>
          <w:color w:val="333333"/>
          <w:sz w:val="20"/>
          <w:szCs w:val="20"/>
          <w:rtl w:val="true"/>
        </w:rPr>
        <w:t>.</w:t>
      </w:r>
    </w:p>
  </w:footnote>
  <w:footnote w:id="16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المختصر النافع، ص </w:t>
      </w:r>
      <w:r>
        <w:rPr>
          <w:rFonts w:eastAsia="IRNazanin" w:cs="IRNazanin"/>
          <w:b w:val="false"/>
          <w:bCs w:val="false"/>
          <w:i w:val="false"/>
          <w:iCs w:val="false"/>
          <w:color w:val="333333"/>
          <w:sz w:val="20"/>
          <w:szCs w:val="20"/>
        </w:rPr>
        <w:t>460</w:t>
      </w:r>
    </w:p>
  </w:footnote>
  <w:footnote w:id="16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مختلف الشيعة،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348</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16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374</w:t>
      </w:r>
      <w:r>
        <w:rPr>
          <w:rFonts w:eastAsia="IRNazanin" w:cs="IRNazanin"/>
          <w:b w:val="false"/>
          <w:bCs w:val="false"/>
          <w:i w:val="false"/>
          <w:iCs w:val="false"/>
          <w:color w:val="333333"/>
          <w:sz w:val="20"/>
          <w:szCs w:val="20"/>
          <w:rtl w:val="true"/>
        </w:rPr>
        <w:t>.</w:t>
      </w:r>
    </w:p>
  </w:footnote>
  <w:footnote w:id="16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غاية المراد،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ضمن موسوعة الشهيد الأول،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6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823</w:t>
      </w:r>
    </w:p>
  </w:footnote>
  <w:footnote w:id="16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824</w:t>
      </w:r>
    </w:p>
  </w:footnote>
  <w:footnote w:id="16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956</w:t>
      </w:r>
      <w:r>
        <w:rPr>
          <w:rFonts w:eastAsia="IRNazanin" w:cs="IRNazanin"/>
          <w:b w:val="false"/>
          <w:bCs w:val="false"/>
          <w:i w:val="false"/>
          <w:iCs w:val="false"/>
          <w:color w:val="333333"/>
          <w:sz w:val="20"/>
          <w:szCs w:val="20"/>
          <w:rtl w:val="true"/>
        </w:rPr>
        <w:t>.</w:t>
      </w:r>
    </w:p>
  </w:footnote>
  <w:footnote w:id="16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غاية المراد،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 موسوعة الشهيد الأول،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6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القول بالدية للعلامة في تحرير الأحكام الشرعية،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465</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7063</w:t>
      </w:r>
      <w:r>
        <w:rPr>
          <w:rFonts w:ascii="IRNazanin" w:hAnsi="IRNazanin" w:eastAsia="IRNazanin"/>
          <w:b w:val="false"/>
          <w:b w:val="false"/>
          <w:bCs w:val="false"/>
          <w:i w:val="false"/>
          <w:i w:val="false"/>
          <w:iCs w:val="false"/>
          <w:color w:val="333333"/>
          <w:sz w:val="20"/>
          <w:sz w:val="20"/>
          <w:szCs w:val="20"/>
          <w:rtl w:val="true"/>
        </w:rPr>
        <w:t xml:space="preserve">؛ والشهيد في غاية المراد،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 موسوعة الشهيد الأوّل،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والقول بالقصاص لابن إدريس في السرائر،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w:t>
      </w:r>
    </w:p>
  </w:footnote>
  <w:footnote w:id="16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النسخ وفي المصادر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أنهما غرقاه</w:t>
      </w:r>
      <w:r>
        <w:rPr>
          <w:rFonts w:eastAsia="IRNazanin" w:cs="IRNazanin"/>
          <w:b w:val="false"/>
          <w:bCs w:val="false"/>
          <w:i w:val="false"/>
          <w:iCs w:val="false"/>
          <w:color w:val="333333"/>
          <w:sz w:val="20"/>
          <w:szCs w:val="20"/>
          <w:rtl w:val="true"/>
        </w:rPr>
        <w:t>».</w:t>
      </w:r>
    </w:p>
  </w:footnote>
  <w:footnote w:id="16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954</w:t>
      </w:r>
      <w:r>
        <w:rPr>
          <w:rFonts w:eastAsia="IRNazanin" w:cs="IRNazanin"/>
          <w:b w:val="false"/>
          <w:bCs w:val="false"/>
          <w:i w:val="false"/>
          <w:iCs w:val="false"/>
          <w:color w:val="333333"/>
          <w:sz w:val="20"/>
          <w:szCs w:val="20"/>
          <w:rtl w:val="true"/>
        </w:rPr>
        <w:t>.</w:t>
      </w:r>
    </w:p>
  </w:footnote>
  <w:footnote w:id="16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التنقيح الرائع،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485</w:t>
      </w:r>
      <w:r>
        <w:rPr>
          <w:rFonts w:eastAsia="IRNazanin" w:cs="IRNazanin"/>
          <w:b w:val="false"/>
          <w:bCs w:val="false"/>
          <w:i w:val="false"/>
          <w:iCs w:val="false"/>
          <w:color w:val="333333"/>
          <w:sz w:val="20"/>
          <w:szCs w:val="20"/>
          <w:rtl w:val="true"/>
        </w:rPr>
        <w:t>.</w:t>
      </w:r>
    </w:p>
  </w:footnote>
  <w:footnote w:id="16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دعائم الإسلام،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235</w:t>
      </w:r>
    </w:p>
  </w:footnote>
  <w:footnote w:id="16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قواعد الأحكام،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653</w:t>
      </w:r>
      <w:r>
        <w:rPr>
          <w:rFonts w:eastAsia="IRNazanin" w:cs="IRNazanin"/>
          <w:b w:val="false"/>
          <w:bCs w:val="false"/>
          <w:i w:val="false"/>
          <w:iCs w:val="false"/>
          <w:color w:val="333333"/>
          <w:sz w:val="20"/>
          <w:szCs w:val="20"/>
          <w:rtl w:val="true"/>
        </w:rPr>
        <w:t>.</w:t>
      </w:r>
    </w:p>
  </w:footnote>
  <w:footnote w:id="16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تحرير الأحكام الشرعية ،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545</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7190</w:t>
      </w:r>
      <w:r>
        <w:rPr>
          <w:rFonts w:eastAsia="IRNazanin" w:cs="IRNazanin"/>
          <w:b w:val="false"/>
          <w:bCs w:val="false"/>
          <w:i w:val="false"/>
          <w:iCs w:val="false"/>
          <w:color w:val="333333"/>
          <w:sz w:val="20"/>
          <w:szCs w:val="20"/>
          <w:rtl w:val="true"/>
        </w:rPr>
        <w:t>.</w:t>
      </w:r>
    </w:p>
  </w:footnote>
  <w:footnote w:id="16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الدروس الشرعية ،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ضمن موسوعة الشهيد الأوّل، 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6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تحرير الأحكام الشرعية،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540</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7184</w:t>
      </w:r>
      <w:r>
        <w:rPr>
          <w:rFonts w:eastAsia="IRNazanin" w:cs="IRNazanin"/>
          <w:b w:val="false"/>
          <w:bCs w:val="false"/>
          <w:i w:val="false"/>
          <w:iCs w:val="false"/>
          <w:color w:val="333333"/>
          <w:sz w:val="20"/>
          <w:szCs w:val="20"/>
          <w:rtl w:val="true"/>
        </w:rPr>
        <w:t>.</w:t>
      </w:r>
    </w:p>
  </w:footnote>
  <w:footnote w:id="16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تحرير الأحكام الشرعية،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540</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7184</w:t>
      </w:r>
      <w:r>
        <w:rPr>
          <w:rFonts w:eastAsia="IRNazanin" w:cs="IRNazanin"/>
          <w:b w:val="false"/>
          <w:bCs w:val="false"/>
          <w:i w:val="false"/>
          <w:iCs w:val="false"/>
          <w:color w:val="333333"/>
          <w:sz w:val="20"/>
          <w:szCs w:val="20"/>
          <w:rtl w:val="true"/>
        </w:rPr>
        <w:t>.</w:t>
      </w:r>
    </w:p>
  </w:footnote>
  <w:footnote w:id="16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به الشيخ في الخلاف ،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وابن سعيد في الجامع للشرائع</w:t>
      </w:r>
    </w:p>
  </w:footnote>
  <w:footnote w:id="16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به المحقق في شرائع الإسلام،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w:t>
      </w:r>
    </w:p>
  </w:footnote>
  <w:footnote w:id="16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به العلّامة في تحرير الأحكام الشرعية،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6144</w:t>
      </w:r>
      <w:r>
        <w:rPr>
          <w:rFonts w:eastAsia="IRNazanin" w:cs="IRNazanin"/>
          <w:b w:val="false"/>
          <w:bCs w:val="false"/>
          <w:i w:val="false"/>
          <w:iCs w:val="false"/>
          <w:color w:val="333333"/>
          <w:sz w:val="20"/>
          <w:szCs w:val="20"/>
          <w:rtl w:val="true"/>
        </w:rPr>
        <w:t>.</w:t>
      </w:r>
    </w:p>
  </w:footnote>
  <w:footnote w:id="16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كتاب الغصب، ص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16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النهاية، ص </w:t>
      </w:r>
      <w:r>
        <w:rPr>
          <w:rFonts w:eastAsia="IRNazanin" w:cs="IRNazanin"/>
          <w:b w:val="false"/>
          <w:bCs w:val="false"/>
          <w:i w:val="false"/>
          <w:iCs w:val="false"/>
          <w:color w:val="333333"/>
          <w:sz w:val="20"/>
          <w:szCs w:val="20"/>
        </w:rPr>
        <w:t>762</w:t>
      </w:r>
    </w:p>
  </w:footnote>
  <w:footnote w:id="16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الشيخ المفيد في المقنعة، ص </w:t>
      </w:r>
      <w:r>
        <w:rPr>
          <w:rFonts w:eastAsia="IRNazanin" w:cs="IRNazanin"/>
          <w:b w:val="false"/>
          <w:bCs w:val="false"/>
          <w:i w:val="false"/>
          <w:iCs w:val="false"/>
          <w:color w:val="333333"/>
          <w:sz w:val="20"/>
          <w:szCs w:val="20"/>
        </w:rPr>
        <w:t>748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وسلار في المراسم، ص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والقاضي في المهذب،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497</w:t>
      </w:r>
      <w:r>
        <w:rPr>
          <w:rFonts w:eastAsia="IRNazanin" w:cs="IRNazanin"/>
          <w:b w:val="false"/>
          <w:bCs w:val="false"/>
          <w:i w:val="false"/>
          <w:iCs w:val="false"/>
          <w:color w:val="333333"/>
          <w:sz w:val="20"/>
          <w:szCs w:val="20"/>
          <w:rtl w:val="true"/>
        </w:rPr>
        <w:t xml:space="preserve"> .</w:t>
      </w:r>
    </w:p>
  </w:footnote>
  <w:footnote w:id="16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901</w:t>
      </w:r>
    </w:p>
  </w:footnote>
  <w:footnote w:id="16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القول بالإلحاق للشيخ في المبسوط،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وابن حمزة في الوسيلة، ص </w:t>
      </w:r>
      <w:r>
        <w:rPr>
          <w:rFonts w:eastAsia="IRNazanin" w:cs="IRNazanin"/>
          <w:b w:val="false"/>
          <w:bCs w:val="false"/>
          <w:i w:val="false"/>
          <w:iCs w:val="false"/>
          <w:color w:val="333333"/>
          <w:sz w:val="20"/>
          <w:szCs w:val="20"/>
        </w:rPr>
        <w:t>427</w:t>
      </w:r>
      <w:r>
        <w:rPr>
          <w:rFonts w:ascii="IRNazanin" w:hAnsi="IRNazanin" w:eastAsia="IRNazanin"/>
          <w:b w:val="false"/>
          <w:b w:val="false"/>
          <w:bCs w:val="false"/>
          <w:i w:val="false"/>
          <w:i w:val="false"/>
          <w:iCs w:val="false"/>
          <w:color w:val="333333"/>
          <w:sz w:val="20"/>
          <w:sz w:val="20"/>
          <w:szCs w:val="20"/>
          <w:rtl w:val="true"/>
        </w:rPr>
        <w:t xml:space="preserve">؛ والقول بعدم الإلحاق للمحقق في شرائع الإسلام،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239</w:t>
      </w:r>
    </w:p>
  </w:footnote>
  <w:footnote w:id="16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897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898</w:t>
      </w:r>
    </w:p>
  </w:footnote>
  <w:footnote w:id="16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النهاية، ص </w:t>
      </w:r>
      <w:r>
        <w:rPr>
          <w:rFonts w:eastAsia="IRNazanin" w:cs="IRNazanin"/>
          <w:b w:val="false"/>
          <w:bCs w:val="false"/>
          <w:i w:val="false"/>
          <w:iCs w:val="false"/>
          <w:color w:val="333333"/>
          <w:sz w:val="20"/>
          <w:szCs w:val="20"/>
        </w:rPr>
        <w:t>762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والسرائر،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372</w:t>
      </w:r>
      <w:r>
        <w:rPr>
          <w:rFonts w:ascii="IRNazanin" w:hAnsi="IRNazanin" w:eastAsia="IRNazanin"/>
          <w:b w:val="false"/>
          <w:b w:val="false"/>
          <w:bCs w:val="false"/>
          <w:i w:val="false"/>
          <w:i w:val="false"/>
          <w:iCs w:val="false"/>
          <w:color w:val="333333"/>
          <w:sz w:val="20"/>
          <w:sz w:val="20"/>
          <w:szCs w:val="20"/>
          <w:rtl w:val="true"/>
        </w:rPr>
        <w:t xml:space="preserve">؛ وقواعد الأحكام،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657</w:t>
      </w:r>
      <w:r>
        <w:rPr>
          <w:rFonts w:eastAsia="IRNazanin" w:cs="IRNazanin"/>
          <w:b w:val="false"/>
          <w:bCs w:val="false"/>
          <w:i w:val="false"/>
          <w:iCs w:val="false"/>
          <w:color w:val="333333"/>
          <w:sz w:val="20"/>
          <w:szCs w:val="20"/>
          <w:rtl w:val="true"/>
        </w:rPr>
        <w:t>.</w:t>
      </w:r>
    </w:p>
  </w:footnote>
  <w:footnote w:id="16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227</w:t>
      </w:r>
      <w:r>
        <w:rPr>
          <w:rFonts w:ascii="IRNazanin" w:hAnsi="IRNazanin" w:eastAsia="IRNazanin"/>
          <w:b w:val="false"/>
          <w:b w:val="false"/>
          <w:bCs w:val="false"/>
          <w:i w:val="false"/>
          <w:i w:val="false"/>
          <w:iCs w:val="false"/>
          <w:color w:val="333333"/>
          <w:sz w:val="20"/>
          <w:sz w:val="20"/>
          <w:szCs w:val="20"/>
          <w:rtl w:val="true"/>
        </w:rPr>
        <w:t>، باب ضمان النفوس وغيرها</w:t>
      </w:r>
      <w:r>
        <w:rPr>
          <w:rFonts w:eastAsia="IRNazanin" w:cs="IRNazanin"/>
          <w:b w:val="false"/>
          <w:bCs w:val="false"/>
          <w:i w:val="false"/>
          <w:iCs w:val="false"/>
          <w:color w:val="333333"/>
          <w:sz w:val="20"/>
          <w:szCs w:val="20"/>
          <w:rtl w:val="true"/>
        </w:rPr>
        <w:t>.</w:t>
      </w:r>
    </w:p>
  </w:footnote>
  <w:footnote w:id="16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889</w:t>
      </w:r>
    </w:p>
  </w:footnote>
  <w:footnote w:id="16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نسخة الشهيد وفي سائر النسخ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غير المتأخر</w:t>
      </w:r>
      <w:r>
        <w:rPr>
          <w:rFonts w:eastAsia="IRNazanin" w:cs="IRNazanin"/>
          <w:b w:val="false"/>
          <w:bCs w:val="false"/>
          <w:i w:val="false"/>
          <w:iCs w:val="false"/>
          <w:color w:val="333333"/>
          <w:sz w:val="20"/>
          <w:szCs w:val="20"/>
          <w:rtl w:val="true"/>
        </w:rPr>
        <w:t>».</w:t>
      </w:r>
    </w:p>
  </w:footnote>
  <w:footnote w:id="16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النهاية في غريب الحديث والأثر،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زبى</w:t>
      </w:r>
      <w:r>
        <w:rPr>
          <w:rFonts w:eastAsia="IRNazanin" w:cs="IRNazanin"/>
          <w:b w:val="false"/>
          <w:bCs w:val="false"/>
          <w:i w:val="false"/>
          <w:iCs w:val="false"/>
          <w:color w:val="333333"/>
          <w:sz w:val="20"/>
          <w:szCs w:val="20"/>
          <w:rtl w:val="true"/>
        </w:rPr>
        <w:t>».</w:t>
      </w:r>
    </w:p>
  </w:footnote>
  <w:footnote w:id="16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951</w:t>
      </w:r>
    </w:p>
  </w:footnote>
  <w:footnote w:id="16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حكاه عن ابن أبي عقيل المحقق في نكت النهاية،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426</w:t>
      </w:r>
      <w:r>
        <w:rPr>
          <w:rFonts w:eastAsia="IRNazanin" w:cs="IRNazanin"/>
          <w:b w:val="false"/>
          <w:bCs w:val="false"/>
          <w:i w:val="false"/>
          <w:iCs w:val="false"/>
          <w:color w:val="333333"/>
          <w:sz w:val="20"/>
          <w:szCs w:val="20"/>
          <w:rtl w:val="true"/>
        </w:rPr>
        <w:t>.</w:t>
      </w:r>
    </w:p>
  </w:footnote>
  <w:footnote w:id="16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952</w:t>
      </w:r>
    </w:p>
  </w:footnote>
  <w:footnote w:id="16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التوجيه للعلّامة في قواعد الأحكام،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661</w:t>
      </w:r>
      <w:r>
        <w:rPr>
          <w:rFonts w:eastAsia="IRNazanin" w:cs="IRNazanin"/>
          <w:b w:val="false"/>
          <w:bCs w:val="false"/>
          <w:i w:val="false"/>
          <w:iCs w:val="false"/>
          <w:color w:val="333333"/>
          <w:sz w:val="20"/>
          <w:szCs w:val="20"/>
          <w:rtl w:val="true"/>
        </w:rPr>
        <w:t>.</w:t>
      </w:r>
    </w:p>
  </w:footnote>
  <w:footnote w:id="16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غاية المراد،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 موسوعة الشهيد الأول،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6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تحرير الأحكام الشرعية ،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555</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7208</w:t>
      </w:r>
      <w:r>
        <w:rPr>
          <w:rFonts w:eastAsia="IRNazanin" w:cs="IRNazanin"/>
          <w:b w:val="false"/>
          <w:bCs w:val="false"/>
          <w:i w:val="false"/>
          <w:iCs w:val="false"/>
          <w:color w:val="333333"/>
          <w:sz w:val="20"/>
          <w:szCs w:val="20"/>
          <w:rtl w:val="true"/>
        </w:rPr>
        <w:t>.</w:t>
      </w:r>
    </w:p>
  </w:footnote>
  <w:footnote w:id="16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نقله عن حواشي الشهيد النجفي في جواهر الکلام، ج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6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الصحاح،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1673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حل</w:t>
      </w:r>
      <w:r>
        <w:rPr>
          <w:rFonts w:eastAsia="IRNazanin" w:cs="IRNazanin"/>
          <w:b w:val="false"/>
          <w:bCs w:val="false"/>
          <w:i w:val="false"/>
          <w:iCs w:val="false"/>
          <w:color w:val="333333"/>
          <w:sz w:val="20"/>
          <w:szCs w:val="20"/>
          <w:rtl w:val="true"/>
        </w:rPr>
        <w:t>».</w:t>
      </w:r>
    </w:p>
  </w:footnote>
  <w:footnote w:id="16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لتوضيح الأقوال راجع مختلف الشيعة،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292</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6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633</w:t>
      </w:r>
      <w:r>
        <w:rPr>
          <w:rFonts w:eastAsia="IRNazanin" w:cs="IRNazanin"/>
          <w:b w:val="false"/>
          <w:bCs w:val="false"/>
          <w:i w:val="false"/>
          <w:iCs w:val="false"/>
          <w:color w:val="333333"/>
          <w:sz w:val="20"/>
          <w:szCs w:val="20"/>
          <w:rtl w:val="true"/>
        </w:rPr>
        <w:t>.</w:t>
      </w:r>
    </w:p>
  </w:footnote>
  <w:footnote w:id="16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977</w:t>
      </w:r>
    </w:p>
  </w:footnote>
  <w:footnote w:id="16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المقنعة، ص </w:t>
      </w:r>
      <w:r>
        <w:rPr>
          <w:rFonts w:eastAsia="IRNazanin" w:cs="IRNazanin"/>
          <w:b w:val="false"/>
          <w:bCs w:val="false"/>
          <w:i w:val="false"/>
          <w:iCs w:val="false"/>
          <w:color w:val="333333"/>
          <w:sz w:val="20"/>
          <w:szCs w:val="20"/>
        </w:rPr>
        <w:t>736</w:t>
      </w:r>
    </w:p>
  </w:footnote>
  <w:footnote w:id="16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منهم الشيخ في المبسوط،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وسلار في المراسم، ص </w:t>
      </w:r>
      <w:r>
        <w:rPr>
          <w:rFonts w:eastAsia="IRNazanin" w:cs="IRNazanin"/>
          <w:b w:val="false"/>
          <w:bCs w:val="false"/>
          <w:i w:val="false"/>
          <w:iCs w:val="false"/>
          <w:color w:val="333333"/>
          <w:sz w:val="20"/>
          <w:szCs w:val="20"/>
        </w:rPr>
        <w:t>241</w:t>
      </w:r>
      <w:r>
        <w:rPr>
          <w:rFonts w:ascii="IRNazanin" w:hAnsi="IRNazanin" w:eastAsia="IRNazanin"/>
          <w:b w:val="false"/>
          <w:b w:val="false"/>
          <w:bCs w:val="false"/>
          <w:i w:val="false"/>
          <w:i w:val="false"/>
          <w:iCs w:val="false"/>
          <w:color w:val="333333"/>
          <w:sz w:val="20"/>
          <w:sz w:val="20"/>
          <w:szCs w:val="20"/>
          <w:rtl w:val="true"/>
        </w:rPr>
        <w:t xml:space="preserve">؛ وابن زهرة في غنية النزوع،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413</w:t>
      </w:r>
      <w:r>
        <w:rPr>
          <w:rFonts w:eastAsia="IRNazanin" w:cs="IRNazanin"/>
          <w:b w:val="false"/>
          <w:bCs w:val="false"/>
          <w:i w:val="false"/>
          <w:iCs w:val="false"/>
          <w:color w:val="333333"/>
          <w:sz w:val="20"/>
          <w:szCs w:val="20"/>
          <w:rtl w:val="true"/>
        </w:rPr>
        <w:t>.</w:t>
      </w:r>
    </w:p>
  </w:footnote>
  <w:footnote w:id="16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646</w:t>
      </w:r>
      <w:r>
        <w:rPr>
          <w:rFonts w:eastAsia="IRNazanin" w:cs="IRNazanin"/>
          <w:b w:val="false"/>
          <w:bCs w:val="false"/>
          <w:i w:val="false"/>
          <w:iCs w:val="false"/>
          <w:color w:val="333333"/>
          <w:sz w:val="20"/>
          <w:szCs w:val="20"/>
          <w:rtl w:val="true"/>
        </w:rPr>
        <w:t>.</w:t>
      </w:r>
    </w:p>
  </w:footnote>
  <w:footnote w:id="16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635</w:t>
      </w:r>
      <w:r>
        <w:rPr>
          <w:rFonts w:eastAsia="IRNazanin" w:cs="IRNazanin"/>
          <w:b w:val="false"/>
          <w:bCs w:val="false"/>
          <w:i w:val="false"/>
          <w:iCs w:val="false"/>
          <w:color w:val="333333"/>
          <w:sz w:val="20"/>
          <w:szCs w:val="20"/>
          <w:rtl w:val="true"/>
        </w:rPr>
        <w:t>.</w:t>
      </w:r>
    </w:p>
  </w:footnote>
  <w:footnote w:id="16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مختلف الشيعة،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تحرير الأحكام الشرعية،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،الرقم</w:t>
      </w:r>
      <w:r>
        <w:rPr>
          <w:rFonts w:eastAsia="IRNazanin" w:cs="IRNazanin"/>
          <w:b w:val="false"/>
          <w:bCs w:val="false"/>
          <w:i w:val="false"/>
          <w:iCs w:val="false"/>
          <w:color w:val="333333"/>
          <w:sz w:val="20"/>
          <w:szCs w:val="20"/>
        </w:rPr>
        <w:t>7213</w:t>
      </w:r>
    </w:p>
  </w:footnote>
  <w:footnote w:id="16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قواعد الأحكام،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إرشاد الأذهان،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233</w:t>
      </w:r>
      <w:r>
        <w:rPr>
          <w:rFonts w:ascii="IRNazanin" w:hAnsi="IRNazanin" w:eastAsia="IRNazanin"/>
          <w:b w:val="false"/>
          <w:b w:val="false"/>
          <w:bCs w:val="false"/>
          <w:i w:val="false"/>
          <w:i w:val="false"/>
          <w:iCs w:val="false"/>
          <w:color w:val="333333"/>
          <w:sz w:val="20"/>
          <w:sz w:val="20"/>
          <w:szCs w:val="20"/>
          <w:rtl w:val="true"/>
        </w:rPr>
        <w:t xml:space="preserve">؛ تبصرة المتعلمين، ص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w:t>
      </w:r>
    </w:p>
  </w:footnote>
  <w:footnote w:id="16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ص </w:t>
      </w:r>
      <w:r>
        <w:rPr>
          <w:rFonts w:eastAsia="IRNazanin" w:cs="IRNazanin"/>
          <w:b w:val="false"/>
          <w:bCs w:val="false"/>
          <w:i w:val="false"/>
          <w:iCs w:val="false"/>
          <w:color w:val="333333"/>
          <w:sz w:val="20"/>
          <w:szCs w:val="20"/>
        </w:rPr>
        <w:t>416</w:t>
      </w:r>
      <w:r>
        <w:rPr>
          <w:rFonts w:ascii="IRNazanin" w:hAnsi="IRNazanin" w:eastAsia="IRNazanin"/>
          <w:b w:val="false"/>
          <w:b w:val="false"/>
          <w:bCs w:val="false"/>
          <w:i w:val="false"/>
          <w:i w:val="false"/>
          <w:iCs w:val="false"/>
          <w:color w:val="333333"/>
          <w:sz w:val="20"/>
          <w:sz w:val="20"/>
          <w:szCs w:val="20"/>
          <w:rtl w:val="true"/>
        </w:rPr>
        <w:t xml:space="preserve">، الهامش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6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634</w:t>
      </w:r>
      <w:r>
        <w:rPr>
          <w:rFonts w:eastAsia="IRNazanin" w:cs="IRNazanin"/>
          <w:b w:val="false"/>
          <w:bCs w:val="false"/>
          <w:i w:val="false"/>
          <w:iCs w:val="false"/>
          <w:color w:val="333333"/>
          <w:sz w:val="20"/>
          <w:szCs w:val="20"/>
          <w:rtl w:val="true"/>
        </w:rPr>
        <w:t xml:space="preserve"> .</w:t>
      </w:r>
    </w:p>
  </w:footnote>
  <w:footnote w:id="16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635</w:t>
      </w:r>
      <w:r>
        <w:rPr>
          <w:rFonts w:eastAsia="IRNazanin" w:cs="IRNazanin"/>
          <w:b w:val="false"/>
          <w:bCs w:val="false"/>
          <w:i w:val="false"/>
          <w:iCs w:val="false"/>
          <w:color w:val="333333"/>
          <w:sz w:val="20"/>
          <w:szCs w:val="20"/>
          <w:rtl w:val="true"/>
        </w:rPr>
        <w:t>.</w:t>
      </w:r>
    </w:p>
  </w:footnote>
  <w:footnote w:id="16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يدل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هو أحد المقدّر الراجع إلى أحد الأربعة، لا إلى الأربعة فلذلك رُفِعَت كلمة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ذو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بعض النسخ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ذي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وهو الصحيح</w:t>
      </w:r>
      <w:r>
        <w:rPr>
          <w:rFonts w:eastAsia="IRNazanin" w:cs="IRNazanin"/>
          <w:b w:val="false"/>
          <w:bCs w:val="false"/>
          <w:i w:val="false"/>
          <w:iCs w:val="false"/>
          <w:color w:val="333333"/>
          <w:sz w:val="20"/>
          <w:szCs w:val="20"/>
          <w:rtl w:val="true"/>
        </w:rPr>
        <w:t>.</w:t>
      </w:r>
    </w:p>
  </w:footnote>
  <w:footnote w:id="16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وسائل الشيعة، ج </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204</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ديات النفس </w:t>
      </w:r>
      <w:r>
        <w:rPr>
          <w:rFonts w:eastAsia="IRNazanin" w:cs="IRNazanin"/>
          <w:b w:val="false"/>
          <w:bCs w:val="false"/>
          <w:i w:val="false"/>
          <w:iCs w:val="false"/>
          <w:color w:val="333333"/>
          <w:sz w:val="20"/>
          <w:szCs w:val="20"/>
          <w:rtl w:val="true"/>
        </w:rPr>
        <w:t>.</w:t>
      </w:r>
    </w:p>
  </w:footnote>
  <w:footnote w:id="16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المقنعة، ص </w:t>
      </w:r>
      <w:r>
        <w:rPr>
          <w:rFonts w:eastAsia="IRNazanin" w:cs="IRNazanin"/>
          <w:b w:val="false"/>
          <w:bCs w:val="false"/>
          <w:i w:val="false"/>
          <w:iCs w:val="false"/>
          <w:color w:val="333333"/>
          <w:sz w:val="20"/>
          <w:szCs w:val="20"/>
        </w:rPr>
        <w:t>743</w:t>
      </w:r>
      <w:r>
        <w:rPr>
          <w:rFonts w:ascii="IRNazanin" w:hAnsi="IRNazanin" w:eastAsia="IRNazanin"/>
          <w:b w:val="false"/>
          <w:b w:val="false"/>
          <w:bCs w:val="false"/>
          <w:i w:val="false"/>
          <w:i w:val="false"/>
          <w:iCs w:val="false"/>
          <w:color w:val="333333"/>
          <w:sz w:val="20"/>
          <w:sz w:val="20"/>
          <w:szCs w:val="20"/>
          <w:rtl w:val="true"/>
        </w:rPr>
        <w:t xml:space="preserve">؛ النهاية، ص </w:t>
      </w:r>
      <w:r>
        <w:rPr>
          <w:rFonts w:eastAsia="IRNazanin" w:cs="IRNazanin"/>
          <w:b w:val="false"/>
          <w:bCs w:val="false"/>
          <w:i w:val="false"/>
          <w:iCs w:val="false"/>
          <w:color w:val="333333"/>
          <w:sz w:val="20"/>
          <w:szCs w:val="20"/>
        </w:rPr>
        <w:t>756</w:t>
      </w:r>
    </w:p>
  </w:footnote>
  <w:footnote w:id="16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القاضي في المهذب،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516</w:t>
      </w:r>
      <w:r>
        <w:rPr>
          <w:rFonts w:ascii="IRNazanin" w:hAnsi="IRNazanin" w:eastAsia="IRNazanin"/>
          <w:b w:val="false"/>
          <w:b w:val="false"/>
          <w:bCs w:val="false"/>
          <w:i w:val="false"/>
          <w:i w:val="false"/>
          <w:iCs w:val="false"/>
          <w:color w:val="333333"/>
          <w:sz w:val="20"/>
          <w:sz w:val="20"/>
          <w:szCs w:val="20"/>
          <w:rtl w:val="true"/>
        </w:rPr>
        <w:t xml:space="preserve">؛ وابن زهرة في غنية النزوع،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414</w:t>
      </w:r>
      <w:r>
        <w:rPr>
          <w:rFonts w:ascii="IRNazanin" w:hAnsi="IRNazanin" w:eastAsia="IRNazanin"/>
          <w:b w:val="false"/>
          <w:b w:val="false"/>
          <w:bCs w:val="false"/>
          <w:i w:val="false"/>
          <w:i w:val="false"/>
          <w:iCs w:val="false"/>
          <w:color w:val="333333"/>
          <w:sz w:val="20"/>
          <w:sz w:val="20"/>
          <w:szCs w:val="20"/>
          <w:rtl w:val="true"/>
        </w:rPr>
        <w:t xml:space="preserve">؛ والعلامة في قواعد الأحكام،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667</w:t>
      </w:r>
      <w:r>
        <w:rPr>
          <w:rFonts w:eastAsia="IRNazanin" w:cs="IRNazanin"/>
          <w:b w:val="false"/>
          <w:bCs w:val="false"/>
          <w:i w:val="false"/>
          <w:iCs w:val="false"/>
          <w:color w:val="333333"/>
          <w:sz w:val="20"/>
          <w:szCs w:val="20"/>
          <w:rtl w:val="true"/>
        </w:rPr>
        <w:t>.</w:t>
      </w:r>
    </w:p>
  </w:footnote>
  <w:footnote w:id="16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ألحقه فخر المحققين في إيضاح الفوائد،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681</w:t>
      </w:r>
      <w:r>
        <w:rPr>
          <w:rFonts w:eastAsia="IRNazanin" w:cs="IRNazanin"/>
          <w:b w:val="false"/>
          <w:bCs w:val="false"/>
          <w:i w:val="false"/>
          <w:iCs w:val="false"/>
          <w:color w:val="333333"/>
          <w:sz w:val="20"/>
          <w:szCs w:val="20"/>
          <w:rtl w:val="true"/>
        </w:rPr>
        <w:t>.</w:t>
      </w:r>
    </w:p>
  </w:footnote>
  <w:footnote w:id="16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ص </w:t>
      </w:r>
      <w:r>
        <w:rPr>
          <w:rFonts w:eastAsia="IRNazanin" w:cs="IRNazanin"/>
          <w:b w:val="false"/>
          <w:bCs w:val="false"/>
          <w:i w:val="false"/>
          <w:iCs w:val="false"/>
          <w:color w:val="333333"/>
          <w:sz w:val="20"/>
          <w:szCs w:val="20"/>
        </w:rPr>
        <w:t>384</w:t>
      </w:r>
      <w:r>
        <w:rPr>
          <w:rFonts w:eastAsia="IRNazanin" w:cs="IRNazanin"/>
          <w:b w:val="false"/>
          <w:bCs w:val="false"/>
          <w:i w:val="false"/>
          <w:iCs w:val="false"/>
          <w:color w:val="333333"/>
          <w:sz w:val="20"/>
          <w:szCs w:val="20"/>
          <w:rtl w:val="true"/>
        </w:rPr>
        <w:t>.</w:t>
      </w:r>
    </w:p>
  </w:footnote>
  <w:footnote w:id="16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وسائل الشيعة، ج </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198</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ديات النفس</w:t>
      </w:r>
      <w:r>
        <w:rPr>
          <w:rFonts w:eastAsia="IRNazanin" w:cs="IRNazanin"/>
          <w:b w:val="false"/>
          <w:bCs w:val="false"/>
          <w:i w:val="false"/>
          <w:iCs w:val="false"/>
          <w:color w:val="333333"/>
          <w:sz w:val="20"/>
          <w:szCs w:val="20"/>
          <w:rtl w:val="true"/>
        </w:rPr>
        <w:t>.</w:t>
      </w:r>
    </w:p>
  </w:footnote>
  <w:footnote w:id="16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به الشيخ في الخلاف،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6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728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733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734</w:t>
      </w:r>
      <w:r>
        <w:rPr>
          <w:rFonts w:eastAsia="IRNazanin" w:cs="IRNazanin"/>
          <w:b w:val="false"/>
          <w:bCs w:val="false"/>
          <w:i w:val="false"/>
          <w:iCs w:val="false"/>
          <w:color w:val="333333"/>
          <w:sz w:val="20"/>
          <w:szCs w:val="20"/>
          <w:rtl w:val="true"/>
        </w:rPr>
        <w:t>.</w:t>
      </w:r>
    </w:p>
  </w:footnote>
  <w:footnote w:id="16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المقنعة، ص </w:t>
      </w:r>
      <w:r>
        <w:rPr>
          <w:rFonts w:eastAsia="IRNazanin" w:cs="IRNazanin"/>
          <w:b w:val="false"/>
          <w:bCs w:val="false"/>
          <w:i w:val="false"/>
          <w:iCs w:val="false"/>
          <w:color w:val="333333"/>
          <w:sz w:val="20"/>
          <w:szCs w:val="20"/>
        </w:rPr>
        <w:t>739</w:t>
      </w:r>
      <w:r>
        <w:rPr>
          <w:rFonts w:ascii="IRNazanin" w:hAnsi="IRNazanin" w:eastAsia="IRNazanin"/>
          <w:b w:val="false"/>
          <w:b w:val="false"/>
          <w:bCs w:val="false"/>
          <w:i w:val="false"/>
          <w:i w:val="false"/>
          <w:iCs w:val="false"/>
          <w:color w:val="333333"/>
          <w:sz w:val="20"/>
          <w:sz w:val="20"/>
          <w:szCs w:val="20"/>
          <w:rtl w:val="true"/>
        </w:rPr>
        <w:t xml:space="preserve">؛ والانتصار، ص </w:t>
      </w:r>
      <w:r>
        <w:rPr>
          <w:rFonts w:eastAsia="IRNazanin" w:cs="IRNazanin"/>
          <w:b w:val="false"/>
          <w:bCs w:val="false"/>
          <w:i w:val="false"/>
          <w:iCs w:val="false"/>
          <w:color w:val="333333"/>
          <w:sz w:val="20"/>
          <w:szCs w:val="20"/>
        </w:rPr>
        <w:t>545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المسألة </w:t>
      </w:r>
      <w:r>
        <w:rPr>
          <w:rFonts w:eastAsia="IRNazanin" w:cs="IRNazanin"/>
          <w:b w:val="false"/>
          <w:bCs w:val="false"/>
          <w:i w:val="false"/>
          <w:iCs w:val="false"/>
          <w:color w:val="333333"/>
          <w:sz w:val="20"/>
          <w:szCs w:val="20"/>
        </w:rPr>
        <w:t>306</w:t>
      </w:r>
      <w:r>
        <w:rPr>
          <w:rFonts w:ascii="IRNazanin" w:hAnsi="IRNazanin" w:eastAsia="IRNazanin"/>
          <w:b w:val="false"/>
          <w:b w:val="false"/>
          <w:bCs w:val="false"/>
          <w:i w:val="false"/>
          <w:i w:val="false"/>
          <w:iCs w:val="false"/>
          <w:color w:val="333333"/>
          <w:sz w:val="20"/>
          <w:sz w:val="20"/>
          <w:szCs w:val="20"/>
          <w:rtl w:val="true"/>
        </w:rPr>
        <w:t xml:space="preserve">؛ والخلاف،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263</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77</w:t>
      </w:r>
    </w:p>
  </w:footnote>
  <w:footnote w:id="16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735</w:t>
      </w:r>
      <w:r>
        <w:rPr>
          <w:rFonts w:eastAsia="IRNazanin" w:cs="IRNazanin"/>
          <w:b w:val="false"/>
          <w:bCs w:val="false"/>
          <w:i w:val="false"/>
          <w:iCs w:val="false"/>
          <w:color w:val="333333"/>
          <w:sz w:val="20"/>
          <w:szCs w:val="20"/>
          <w:rtl w:val="true"/>
        </w:rPr>
        <w:t xml:space="preserve"> .</w:t>
      </w:r>
    </w:p>
  </w:footnote>
  <w:footnote w:id="16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737</w:t>
      </w:r>
    </w:p>
  </w:footnote>
  <w:footnote w:id="16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187</w:t>
      </w:r>
      <w:r>
        <w:rPr>
          <w:rFonts w:ascii="IRNazanin" w:hAnsi="IRNazanin" w:eastAsia="IRNazanin"/>
          <w:b w:val="false"/>
          <w:b w:val="false"/>
          <w:bCs w:val="false"/>
          <w:i w:val="false"/>
          <w:i w:val="false"/>
          <w:iCs w:val="false"/>
          <w:color w:val="333333"/>
          <w:sz w:val="20"/>
          <w:sz w:val="20"/>
          <w:szCs w:val="20"/>
          <w:rtl w:val="true"/>
        </w:rPr>
        <w:t xml:space="preserve">، ذيل الحديث </w:t>
      </w:r>
      <w:r>
        <w:rPr>
          <w:rFonts w:eastAsia="IRNazanin" w:cs="IRNazanin"/>
          <w:b w:val="false"/>
          <w:bCs w:val="false"/>
          <w:i w:val="false"/>
          <w:iCs w:val="false"/>
          <w:color w:val="333333"/>
          <w:sz w:val="20"/>
          <w:szCs w:val="20"/>
        </w:rPr>
        <w:t>737</w:t>
      </w:r>
      <w:r>
        <w:rPr>
          <w:rFonts w:ascii="IRNazanin" w:hAnsi="IRNazanin" w:eastAsia="IRNazanin"/>
          <w:b w:val="false"/>
          <w:b w:val="false"/>
          <w:bCs w:val="false"/>
          <w:i w:val="false"/>
          <w:i w:val="false"/>
          <w:iCs w:val="false"/>
          <w:color w:val="333333"/>
          <w:sz w:val="20"/>
          <w:sz w:val="20"/>
          <w:szCs w:val="20"/>
          <w:rtl w:val="true"/>
        </w:rPr>
        <w:t xml:space="preserve">؛ الاستبصار،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270</w:t>
      </w:r>
      <w:r>
        <w:rPr>
          <w:rFonts w:ascii="IRNazanin" w:hAnsi="IRNazanin" w:eastAsia="IRNazanin"/>
          <w:b w:val="false"/>
          <w:b w:val="false"/>
          <w:bCs w:val="false"/>
          <w:i w:val="false"/>
          <w:i w:val="false"/>
          <w:iCs w:val="false"/>
          <w:color w:val="333333"/>
          <w:sz w:val="20"/>
          <w:sz w:val="20"/>
          <w:szCs w:val="20"/>
          <w:rtl w:val="true"/>
        </w:rPr>
        <w:t xml:space="preserve">، ذيل الحديث </w:t>
      </w:r>
      <w:r>
        <w:rPr>
          <w:rFonts w:eastAsia="IRNazanin" w:cs="IRNazanin"/>
          <w:b w:val="false"/>
          <w:bCs w:val="false"/>
          <w:i w:val="false"/>
          <w:iCs w:val="false"/>
          <w:color w:val="333333"/>
          <w:sz w:val="20"/>
          <w:szCs w:val="20"/>
        </w:rPr>
        <w:t>1019</w:t>
      </w:r>
      <w:r>
        <w:rPr>
          <w:rFonts w:eastAsia="IRNazanin" w:cs="IRNazanin"/>
          <w:b w:val="false"/>
          <w:bCs w:val="false"/>
          <w:i w:val="false"/>
          <w:iCs w:val="false"/>
          <w:color w:val="333333"/>
          <w:sz w:val="20"/>
          <w:szCs w:val="20"/>
          <w:rtl w:val="true"/>
        </w:rPr>
        <w:t>.</w:t>
      </w:r>
    </w:p>
  </w:footnote>
  <w:footnote w:id="16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القول الأول لابن إدريس في السرائر،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والشهيد في غاية المراد،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 موسوعة الشهيد الأول،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والقول الثاني في الخلاف،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401</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والمبسوط،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477</w:t>
      </w:r>
      <w:r>
        <w:rPr>
          <w:rFonts w:eastAsia="IRNazanin" w:cs="IRNazanin"/>
          <w:b w:val="false"/>
          <w:bCs w:val="false"/>
          <w:i w:val="false"/>
          <w:iCs w:val="false"/>
          <w:color w:val="333333"/>
          <w:sz w:val="20"/>
          <w:szCs w:val="20"/>
          <w:rtl w:val="true"/>
        </w:rPr>
        <w:t>.</w:t>
      </w:r>
    </w:p>
  </w:footnote>
  <w:footnote w:id="16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992</w:t>
      </w:r>
    </w:p>
  </w:footnote>
  <w:footnote w:id="16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1035</w:t>
      </w:r>
      <w:r>
        <w:rPr>
          <w:rFonts w:eastAsia="IRNazanin" w:cs="IRNazanin"/>
          <w:b w:val="false"/>
          <w:bCs w:val="false"/>
          <w:i w:val="false"/>
          <w:iCs w:val="false"/>
          <w:color w:val="333333"/>
          <w:sz w:val="20"/>
          <w:szCs w:val="20"/>
          <w:rtl w:val="true"/>
        </w:rPr>
        <w:t>.</w:t>
      </w:r>
    </w:p>
  </w:footnote>
  <w:footnote w:id="16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لتفصيل الأقوال راجع مختلف الشيعة،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368</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16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هي أنّ في شعر الرأس واللحية إذا لم ينبت عشر الدية وهو قول المفيد وأنه مائة دينار وهو قول الصدوق وفي شعر اللحية إذا نبت ثلث الدية وهو قول الشيخ في النهاية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 رحمه الله</w:t>
      </w:r>
      <w:r>
        <w:rPr>
          <w:rFonts w:eastAsia="IRNazanin" w:cs="IRNazanin"/>
          <w:b w:val="false"/>
          <w:bCs w:val="false"/>
          <w:i w:val="false"/>
          <w:iCs w:val="false"/>
          <w:color w:val="333333"/>
          <w:sz w:val="20"/>
          <w:szCs w:val="20"/>
          <w:rtl w:val="true"/>
        </w:rPr>
        <w:t>)</w:t>
      </w:r>
    </w:p>
  </w:footnote>
  <w:footnote w:id="16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به ابن إدريس في السرائر،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378</w:t>
      </w:r>
    </w:p>
  </w:footnote>
  <w:footnote w:id="16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به ابن زهرة في غنية النزوع،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417</w:t>
      </w:r>
      <w:r>
        <w:rPr>
          <w:rFonts w:eastAsia="IRNazanin" w:cs="IRNazanin"/>
          <w:b w:val="false"/>
          <w:bCs w:val="false"/>
          <w:i w:val="false"/>
          <w:iCs w:val="false"/>
          <w:color w:val="333333"/>
          <w:sz w:val="20"/>
          <w:szCs w:val="20"/>
          <w:rtl w:val="true"/>
        </w:rPr>
        <w:t xml:space="preserve"> .</w:t>
      </w:r>
    </w:p>
  </w:footnote>
  <w:footnote w:id="16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1035</w:t>
      </w:r>
      <w:r>
        <w:rPr>
          <w:rFonts w:eastAsia="IRNazanin" w:cs="IRNazanin"/>
          <w:b w:val="false"/>
          <w:bCs w:val="false"/>
          <w:i w:val="false"/>
          <w:iCs w:val="false"/>
          <w:color w:val="333333"/>
          <w:sz w:val="20"/>
          <w:szCs w:val="20"/>
          <w:rtl w:val="true"/>
        </w:rPr>
        <w:t>.</w:t>
      </w:r>
    </w:p>
  </w:footnote>
  <w:footnote w:id="16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379</w:t>
      </w:r>
    </w:p>
  </w:footnote>
  <w:footnote w:id="16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إرشاد الأذهان،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236</w:t>
      </w:r>
      <w:r>
        <w:rPr>
          <w:rFonts w:ascii="IRNazanin" w:hAnsi="IRNazanin" w:eastAsia="IRNazanin"/>
          <w:b w:val="false"/>
          <w:b w:val="false"/>
          <w:bCs w:val="false"/>
          <w:i w:val="false"/>
          <w:i w:val="false"/>
          <w:iCs w:val="false"/>
          <w:color w:val="333333"/>
          <w:sz w:val="20"/>
          <w:sz w:val="20"/>
          <w:szCs w:val="20"/>
          <w:rtl w:val="true"/>
        </w:rPr>
        <w:t xml:space="preserve">؛ تحرير الأحكام الشرعية ،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600</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7252</w:t>
      </w:r>
      <w:r>
        <w:rPr>
          <w:rFonts w:ascii="IRNazanin" w:hAnsi="IRNazanin" w:eastAsia="IRNazanin"/>
          <w:b w:val="false"/>
          <w:b w:val="false"/>
          <w:bCs w:val="false"/>
          <w:i w:val="false"/>
          <w:i w:val="false"/>
          <w:iCs w:val="false"/>
          <w:color w:val="333333"/>
          <w:sz w:val="20"/>
          <w:sz w:val="20"/>
          <w:szCs w:val="20"/>
          <w:rtl w:val="true"/>
        </w:rPr>
        <w:t xml:space="preserve">؛ مختلف الشيعة،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المسألة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16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المبسوط،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149</w:t>
      </w:r>
      <w:r>
        <w:rPr>
          <w:rFonts w:ascii="IRNazanin" w:hAnsi="IRNazanin" w:eastAsia="IRNazanin"/>
          <w:b w:val="false"/>
          <w:b w:val="false"/>
          <w:bCs w:val="false"/>
          <w:i w:val="false"/>
          <w:i w:val="false"/>
          <w:iCs w:val="false"/>
          <w:color w:val="333333"/>
          <w:sz w:val="20"/>
          <w:sz w:val="20"/>
          <w:szCs w:val="20"/>
          <w:rtl w:val="true"/>
        </w:rPr>
        <w:t xml:space="preserve">؛ والخلاف،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16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قواعد الأحكام،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670</w:t>
      </w:r>
      <w:r>
        <w:rPr>
          <w:rFonts w:eastAsia="IRNazanin" w:cs="IRNazanin"/>
          <w:b w:val="false"/>
          <w:bCs w:val="false"/>
          <w:i w:val="false"/>
          <w:iCs w:val="false"/>
          <w:color w:val="333333"/>
          <w:sz w:val="20"/>
          <w:szCs w:val="20"/>
          <w:rtl w:val="true"/>
        </w:rPr>
        <w:t xml:space="preserve"> .</w:t>
      </w:r>
    </w:p>
  </w:footnote>
  <w:footnote w:id="16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1020</w:t>
      </w:r>
      <w:r>
        <w:rPr>
          <w:rFonts w:eastAsia="IRNazanin" w:cs="IRNazanin"/>
          <w:b w:val="false"/>
          <w:bCs w:val="false"/>
          <w:i w:val="false"/>
          <w:iCs w:val="false"/>
          <w:color w:val="333333"/>
          <w:sz w:val="20"/>
          <w:szCs w:val="20"/>
          <w:rtl w:val="true"/>
        </w:rPr>
        <w:t>.</w:t>
      </w:r>
    </w:p>
  </w:footnote>
  <w:footnote w:id="16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المهذب،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670</w:t>
      </w:r>
      <w:r>
        <w:rPr>
          <w:rFonts w:eastAsia="IRNazanin" w:cs="IRNazanin"/>
          <w:b w:val="false"/>
          <w:bCs w:val="false"/>
          <w:i w:val="false"/>
          <w:iCs w:val="false"/>
          <w:color w:val="333333"/>
          <w:sz w:val="20"/>
          <w:szCs w:val="20"/>
          <w:rtl w:val="true"/>
        </w:rPr>
        <w:t xml:space="preserve"> .</w:t>
      </w:r>
    </w:p>
  </w:footnote>
  <w:footnote w:id="17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النائية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زين رحمه الله </w:t>
      </w:r>
      <w:r>
        <w:rPr>
          <w:rFonts w:eastAsia="IRNazanin" w:cs="IRNazanin"/>
          <w:b w:val="false"/>
          <w:bCs w:val="false"/>
          <w:i w:val="false"/>
          <w:iCs w:val="false"/>
          <w:color w:val="333333"/>
          <w:sz w:val="20"/>
          <w:szCs w:val="20"/>
          <w:rtl w:val="true"/>
        </w:rPr>
        <w:t>)</w:t>
      </w:r>
    </w:p>
  </w:footnote>
  <w:footnote w:id="17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ص </w:t>
      </w:r>
      <w:r>
        <w:rPr>
          <w:rFonts w:eastAsia="IRNazanin" w:cs="IRNazanin"/>
          <w:b w:val="false"/>
          <w:bCs w:val="false"/>
          <w:i w:val="false"/>
          <w:iCs w:val="false"/>
          <w:color w:val="333333"/>
          <w:sz w:val="20"/>
          <w:szCs w:val="20"/>
        </w:rPr>
        <w:t>421</w:t>
      </w:r>
      <w:r>
        <w:rPr>
          <w:rFonts w:ascii="IRNazanin" w:hAnsi="IRNazanin" w:eastAsia="IRNazanin"/>
          <w:b w:val="false"/>
          <w:b w:val="false"/>
          <w:bCs w:val="false"/>
          <w:i w:val="false"/>
          <w:i w:val="false"/>
          <w:iCs w:val="false"/>
          <w:color w:val="333333"/>
          <w:sz w:val="20"/>
          <w:sz w:val="20"/>
          <w:szCs w:val="20"/>
          <w:rtl w:val="true"/>
        </w:rPr>
        <w:t xml:space="preserve">، الهامش </w:t>
      </w:r>
      <w:r>
        <w:rPr>
          <w:rFonts w:eastAsia="IRNazanin" w:cs="IRNazanin"/>
          <w:b w:val="false"/>
          <w:bCs w:val="false"/>
          <w:i w:val="false"/>
          <w:iCs w:val="false"/>
          <w:color w:val="333333"/>
          <w:sz w:val="20"/>
          <w:szCs w:val="20"/>
        </w:rPr>
        <w:t>8</w:t>
      </w:r>
    </w:p>
  </w:footnote>
  <w:footnote w:id="17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به الشيخ في الخلاف،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236</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17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به المفيد في المقنعة ص </w:t>
      </w:r>
      <w:r>
        <w:rPr>
          <w:rFonts w:eastAsia="IRNazanin" w:cs="IRNazanin"/>
          <w:b w:val="false"/>
          <w:bCs w:val="false"/>
          <w:i w:val="false"/>
          <w:iCs w:val="false"/>
          <w:color w:val="333333"/>
          <w:sz w:val="20"/>
          <w:szCs w:val="20"/>
        </w:rPr>
        <w:t>755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والشيخ في النهاية، ص </w:t>
      </w:r>
      <w:r>
        <w:rPr>
          <w:rFonts w:eastAsia="IRNazanin" w:cs="IRNazanin"/>
          <w:b w:val="false"/>
          <w:bCs w:val="false"/>
          <w:i w:val="false"/>
          <w:iCs w:val="false"/>
          <w:color w:val="333333"/>
          <w:sz w:val="20"/>
          <w:szCs w:val="20"/>
        </w:rPr>
        <w:t>764</w:t>
      </w:r>
      <w:r>
        <w:rPr>
          <w:rFonts w:eastAsia="IRNazanin" w:cs="IRNazanin"/>
          <w:b w:val="false"/>
          <w:bCs w:val="false"/>
          <w:i w:val="false"/>
          <w:iCs w:val="false"/>
          <w:color w:val="333333"/>
          <w:sz w:val="20"/>
          <w:szCs w:val="20"/>
          <w:rtl w:val="true"/>
        </w:rPr>
        <w:t>.</w:t>
      </w:r>
    </w:p>
  </w:footnote>
  <w:footnote w:id="17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آخر ،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7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به ابن فهد الحلّي في المهذب البارع،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w:t>
      </w:r>
    </w:p>
  </w:footnote>
  <w:footnote w:id="17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الخلاف،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236</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 وغنية النزوع،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416</w:t>
      </w:r>
      <w:r>
        <w:rPr>
          <w:rFonts w:ascii="IRNazanin" w:hAnsi="IRNazanin" w:eastAsia="IRNazanin"/>
          <w:b w:val="false"/>
          <w:b w:val="false"/>
          <w:bCs w:val="false"/>
          <w:i w:val="false"/>
          <w:i w:val="false"/>
          <w:iCs w:val="false"/>
          <w:color w:val="333333"/>
          <w:sz w:val="20"/>
          <w:sz w:val="20"/>
          <w:szCs w:val="20"/>
          <w:rtl w:val="true"/>
        </w:rPr>
        <w:t xml:space="preserve">؛ والتنقيح الرائع،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495</w:t>
      </w:r>
      <w:r>
        <w:rPr>
          <w:rFonts w:eastAsia="IRNazanin" w:cs="IRNazanin"/>
          <w:b w:val="false"/>
          <w:bCs w:val="false"/>
          <w:i w:val="false"/>
          <w:iCs w:val="false"/>
          <w:color w:val="333333"/>
          <w:sz w:val="20"/>
          <w:szCs w:val="20"/>
          <w:rtl w:val="true"/>
        </w:rPr>
        <w:t>.</w:t>
      </w:r>
    </w:p>
  </w:footnote>
  <w:footnote w:id="17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381</w:t>
      </w:r>
      <w:r>
        <w:rPr>
          <w:rFonts w:eastAsia="IRNazanin" w:cs="IRNazanin"/>
          <w:b w:val="false"/>
          <w:bCs w:val="false"/>
          <w:i w:val="false"/>
          <w:iCs w:val="false"/>
          <w:color w:val="333333"/>
          <w:sz w:val="20"/>
          <w:szCs w:val="20"/>
          <w:rtl w:val="true"/>
        </w:rPr>
        <w:t>.</w:t>
      </w:r>
    </w:p>
  </w:footnote>
  <w:footnote w:id="17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نبه بقوله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على أن العوراء كثيراً ما تطلق على الصحيحة التي يقابلها فاسدة، بمعنى أنها لا أُخت لها ومن هنا نشأوهم ابن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إدريس السرائر،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كلام الشيخ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المبسوط،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167</w:t>
      </w:r>
      <w:r>
        <w:rPr>
          <w:rFonts w:ascii="IRNazanin" w:hAnsi="IRNazanin" w:eastAsia="IRNazanin"/>
          <w:b w:val="false"/>
          <w:b w:val="false"/>
          <w:bCs w:val="false"/>
          <w:i w:val="false"/>
          <w:i w:val="false"/>
          <w:iCs w:val="false"/>
          <w:color w:val="333333"/>
          <w:sz w:val="20"/>
          <w:sz w:val="20"/>
          <w:szCs w:val="20"/>
          <w:rtl w:val="true"/>
        </w:rPr>
        <w:t>؛ والنهاية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رحمه الله</w:t>
      </w:r>
      <w:r>
        <w:rPr>
          <w:rFonts w:eastAsia="IRNazanin" w:cs="IRNazanin"/>
          <w:b w:val="false"/>
          <w:bCs w:val="false"/>
          <w:i w:val="false"/>
          <w:iCs w:val="false"/>
          <w:color w:val="333333"/>
          <w:sz w:val="20"/>
          <w:szCs w:val="20"/>
          <w:rtl w:val="true"/>
        </w:rPr>
        <w:t>)</w:t>
      </w:r>
    </w:p>
  </w:footnote>
  <w:footnote w:id="17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1061</w:t>
      </w:r>
      <w:r>
        <w:rPr>
          <w:rFonts w:eastAsia="IRNazanin" w:cs="IRNazanin"/>
          <w:b w:val="false"/>
          <w:bCs w:val="false"/>
          <w:i w:val="false"/>
          <w:iCs w:val="false"/>
          <w:color w:val="333333"/>
          <w:sz w:val="20"/>
          <w:szCs w:val="20"/>
          <w:rtl w:val="true"/>
        </w:rPr>
        <w:t>.</w:t>
      </w:r>
    </w:p>
  </w:footnote>
  <w:footnote w:id="17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382</w:t>
      </w:r>
    </w:p>
  </w:footnote>
  <w:footnote w:id="17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1013</w:t>
      </w:r>
      <w:r>
        <w:rPr>
          <w:rFonts w:eastAsia="IRNazanin" w:cs="IRNazanin"/>
          <w:b w:val="false"/>
          <w:bCs w:val="false"/>
          <w:i w:val="false"/>
          <w:iCs w:val="false"/>
          <w:color w:val="333333"/>
          <w:sz w:val="20"/>
          <w:szCs w:val="20"/>
          <w:rtl w:val="true"/>
        </w:rPr>
        <w:t>.</w:t>
      </w:r>
    </w:p>
  </w:footnote>
  <w:footnote w:id="17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النهاية، ص </w:t>
      </w:r>
      <w:r>
        <w:rPr>
          <w:rFonts w:eastAsia="IRNazanin" w:cs="IRNazanin"/>
          <w:b w:val="false"/>
          <w:bCs w:val="false"/>
          <w:i w:val="false"/>
          <w:iCs w:val="false"/>
          <w:color w:val="333333"/>
          <w:sz w:val="20"/>
          <w:szCs w:val="20"/>
        </w:rPr>
        <w:t>766</w:t>
      </w:r>
      <w:r>
        <w:rPr>
          <w:rFonts w:ascii="IRNazanin" w:hAnsi="IRNazanin" w:eastAsia="IRNazanin"/>
          <w:b w:val="false"/>
          <w:b w:val="false"/>
          <w:bCs w:val="false"/>
          <w:i w:val="false"/>
          <w:i w:val="false"/>
          <w:iCs w:val="false"/>
          <w:color w:val="333333"/>
          <w:sz w:val="20"/>
          <w:sz w:val="20"/>
          <w:szCs w:val="20"/>
          <w:rtl w:val="true"/>
        </w:rPr>
        <w:t xml:space="preserve">؛ والخلاف،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234</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17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حمزة في الوسيلة، ص </w:t>
      </w:r>
      <w:r>
        <w:rPr>
          <w:rFonts w:eastAsia="IRNazanin" w:cs="IRNazanin"/>
          <w:b w:val="false"/>
          <w:bCs w:val="false"/>
          <w:i w:val="false"/>
          <w:iCs w:val="false"/>
          <w:color w:val="333333"/>
          <w:sz w:val="20"/>
          <w:szCs w:val="20"/>
        </w:rPr>
        <w:t>446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والمحقق في المختصر النافع، ص </w:t>
      </w:r>
      <w:r>
        <w:rPr>
          <w:rFonts w:eastAsia="IRNazanin" w:cs="IRNazanin"/>
          <w:b w:val="false"/>
          <w:bCs w:val="false"/>
          <w:i w:val="false"/>
          <w:iCs w:val="false"/>
          <w:color w:val="333333"/>
          <w:sz w:val="20"/>
          <w:szCs w:val="20"/>
        </w:rPr>
        <w:t>465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والعلّامة في قواعد الأحكام</w:t>
      </w:r>
      <w:r>
        <w:rPr>
          <w:rFonts w:eastAsia="IRNazanin" w:cs="IRNazanin"/>
          <w:b w:val="false"/>
          <w:bCs w:val="false"/>
          <w:i w:val="false"/>
          <w:iCs w:val="false"/>
          <w:color w:val="333333"/>
          <w:sz w:val="20"/>
          <w:szCs w:val="20"/>
          <w:rtl w:val="true"/>
        </w:rPr>
        <w:t>.</w:t>
      </w:r>
    </w:p>
  </w:footnote>
  <w:footnote w:id="17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به الشيخ في المبسوط،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w:t>
      </w:r>
    </w:p>
  </w:footnote>
  <w:footnote w:id="17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1034</w:t>
      </w:r>
      <w:r>
        <w:rPr>
          <w:rFonts w:eastAsia="IRNazanin" w:cs="IRNazanin"/>
          <w:b w:val="false"/>
          <w:bCs w:val="false"/>
          <w:i w:val="false"/>
          <w:iCs w:val="false"/>
          <w:color w:val="333333"/>
          <w:sz w:val="20"/>
          <w:szCs w:val="20"/>
          <w:rtl w:val="true"/>
        </w:rPr>
        <w:t>.</w:t>
      </w:r>
    </w:p>
  </w:footnote>
  <w:footnote w:id="17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به الشيخ في المبسوط ،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150</w:t>
      </w:r>
    </w:p>
  </w:footnote>
  <w:footnote w:id="17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1020</w:t>
      </w:r>
      <w:r>
        <w:rPr>
          <w:rFonts w:eastAsia="IRNazanin" w:cs="IRNazanin"/>
          <w:b w:val="false"/>
          <w:bCs w:val="false"/>
          <w:i w:val="false"/>
          <w:iCs w:val="false"/>
          <w:color w:val="333333"/>
          <w:sz w:val="20"/>
          <w:szCs w:val="20"/>
          <w:rtl w:val="true"/>
        </w:rPr>
        <w:t>.</w:t>
      </w:r>
    </w:p>
  </w:footnote>
  <w:footnote w:id="17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975</w:t>
      </w:r>
    </w:p>
  </w:footnote>
  <w:footnote w:id="17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به المفيد في المقنعة، ص </w:t>
      </w:r>
      <w:r>
        <w:rPr>
          <w:rFonts w:eastAsia="IRNazanin" w:cs="IRNazanin"/>
          <w:b w:val="false"/>
          <w:bCs w:val="false"/>
          <w:i w:val="false"/>
          <w:iCs w:val="false"/>
          <w:color w:val="333333"/>
          <w:sz w:val="20"/>
          <w:szCs w:val="20"/>
        </w:rPr>
        <w:t>755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والشيخ في المبسوط،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w:t>
      </w:r>
    </w:p>
  </w:footnote>
  <w:footnote w:id="17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حكاه عن ابن أبي عقيل العلّامة في مختلف الشيعة،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380</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17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منهم الصدوق في المقنع، ص </w:t>
      </w:r>
      <w:r>
        <w:rPr>
          <w:rFonts w:eastAsia="IRNazanin" w:cs="IRNazanin"/>
          <w:b w:val="false"/>
          <w:bCs w:val="false"/>
          <w:i w:val="false"/>
          <w:iCs w:val="false"/>
          <w:color w:val="333333"/>
          <w:sz w:val="20"/>
          <w:szCs w:val="20"/>
        </w:rPr>
        <w:t>511</w:t>
      </w:r>
      <w:r>
        <w:rPr>
          <w:rFonts w:ascii="IRNazanin" w:hAnsi="IRNazanin" w:eastAsia="IRNazanin"/>
          <w:b w:val="false"/>
          <w:b w:val="false"/>
          <w:bCs w:val="false"/>
          <w:i w:val="false"/>
          <w:i w:val="false"/>
          <w:iCs w:val="false"/>
          <w:color w:val="333333"/>
          <w:sz w:val="20"/>
          <w:sz w:val="20"/>
          <w:szCs w:val="20"/>
          <w:rtl w:val="true"/>
        </w:rPr>
        <w:t xml:space="preserve">؛ والشيخ في النهاية، ص </w:t>
      </w:r>
      <w:r>
        <w:rPr>
          <w:rFonts w:eastAsia="IRNazanin" w:cs="IRNazanin"/>
          <w:b w:val="false"/>
          <w:bCs w:val="false"/>
          <w:i w:val="false"/>
          <w:iCs w:val="false"/>
          <w:color w:val="333333"/>
          <w:sz w:val="20"/>
          <w:szCs w:val="20"/>
        </w:rPr>
        <w:t>766</w:t>
      </w:r>
      <w:r>
        <w:rPr>
          <w:rFonts w:ascii="IRNazanin" w:hAnsi="IRNazanin" w:eastAsia="IRNazanin"/>
          <w:b w:val="false"/>
          <w:b w:val="false"/>
          <w:bCs w:val="false"/>
          <w:i w:val="false"/>
          <w:i w:val="false"/>
          <w:iCs w:val="false"/>
          <w:color w:val="333333"/>
          <w:sz w:val="20"/>
          <w:sz w:val="20"/>
          <w:szCs w:val="20"/>
          <w:rtl w:val="true"/>
        </w:rPr>
        <w:t xml:space="preserve">؛ وابن حمزة في الوسيلة، ص </w:t>
      </w:r>
      <w:r>
        <w:rPr>
          <w:rFonts w:eastAsia="IRNazanin" w:cs="IRNazanin"/>
          <w:b w:val="false"/>
          <w:bCs w:val="false"/>
          <w:i w:val="false"/>
          <w:iCs w:val="false"/>
          <w:color w:val="333333"/>
          <w:sz w:val="20"/>
          <w:szCs w:val="20"/>
        </w:rPr>
        <w:t>443</w:t>
      </w:r>
      <w:r>
        <w:rPr>
          <w:rFonts w:eastAsia="IRNazanin" w:cs="IRNazanin"/>
          <w:b w:val="false"/>
          <w:bCs w:val="false"/>
          <w:i w:val="false"/>
          <w:iCs w:val="false"/>
          <w:color w:val="333333"/>
          <w:sz w:val="20"/>
          <w:szCs w:val="20"/>
          <w:rtl w:val="true"/>
        </w:rPr>
        <w:t>.</w:t>
      </w:r>
    </w:p>
  </w:footnote>
  <w:footnote w:id="17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مختلف الشيعة،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381</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17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974</w:t>
      </w:r>
    </w:p>
  </w:footnote>
  <w:footnote w:id="17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به الشيخ في المبسوط ،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w:t>
      </w:r>
    </w:p>
  </w:footnote>
  <w:footnote w:id="17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1042</w:t>
      </w:r>
      <w:r>
        <w:rPr>
          <w:rFonts w:eastAsia="IRNazanin" w:cs="IRNazanin"/>
          <w:b w:val="false"/>
          <w:bCs w:val="false"/>
          <w:i w:val="false"/>
          <w:iCs w:val="false"/>
          <w:color w:val="333333"/>
          <w:sz w:val="20"/>
          <w:szCs w:val="20"/>
          <w:rtl w:val="true"/>
        </w:rPr>
        <w:t>.</w:t>
      </w:r>
    </w:p>
  </w:footnote>
  <w:footnote w:id="17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به الشيخ في المبسوط،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w:t>
      </w:r>
    </w:p>
  </w:footnote>
  <w:footnote w:id="17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به الشيخ في الخلاف،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242</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37</w:t>
      </w:r>
    </w:p>
  </w:footnote>
  <w:footnote w:id="17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1053</w:t>
      </w:r>
      <w:r>
        <w:rPr>
          <w:rFonts w:eastAsia="IRNazanin" w:cs="IRNazanin"/>
          <w:b w:val="false"/>
          <w:bCs w:val="false"/>
          <w:i w:val="false"/>
          <w:iCs w:val="false"/>
          <w:color w:val="333333"/>
          <w:sz w:val="20"/>
          <w:szCs w:val="20"/>
          <w:rtl w:val="true"/>
        </w:rPr>
        <w:t>.</w:t>
      </w:r>
    </w:p>
  </w:footnote>
  <w:footnote w:id="17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طريقها محمد بن الوليد عن محمد بن الفرات عن الأصبغ</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ومحمد بن وليد فطحي وابن الفرات ضعيف جداً غال لم يدرك الأصبغ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 رحمه الله</w:t>
      </w:r>
      <w:r>
        <w:rPr>
          <w:rFonts w:eastAsia="IRNazanin" w:cs="IRNazanin"/>
          <w:b w:val="false"/>
          <w:bCs w:val="false"/>
          <w:i w:val="false"/>
          <w:iCs w:val="false"/>
          <w:color w:val="333333"/>
          <w:sz w:val="20"/>
          <w:szCs w:val="20"/>
          <w:rtl w:val="true"/>
        </w:rPr>
        <w:t>)</w:t>
      </w:r>
    </w:p>
  </w:footnote>
  <w:footnote w:id="17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به الشيخ المفيد في المقنعة، ص </w:t>
      </w:r>
      <w:r>
        <w:rPr>
          <w:rFonts w:eastAsia="IRNazanin" w:cs="IRNazanin"/>
          <w:b w:val="false"/>
          <w:bCs w:val="false"/>
          <w:i w:val="false"/>
          <w:iCs w:val="false"/>
          <w:color w:val="333333"/>
          <w:sz w:val="20"/>
          <w:szCs w:val="20"/>
        </w:rPr>
        <w:t>756</w:t>
      </w:r>
      <w:r>
        <w:rPr>
          <w:rFonts w:eastAsia="IRNazanin" w:cs="IRNazanin"/>
          <w:b w:val="false"/>
          <w:bCs w:val="false"/>
          <w:i w:val="false"/>
          <w:iCs w:val="false"/>
          <w:color w:val="333333"/>
          <w:sz w:val="20"/>
          <w:szCs w:val="20"/>
          <w:rtl w:val="true"/>
        </w:rPr>
        <w:t>.</w:t>
      </w:r>
    </w:p>
  </w:footnote>
  <w:footnote w:id="17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1008</w:t>
      </w:r>
      <w:r>
        <w:rPr>
          <w:rFonts w:eastAsia="IRNazanin" w:cs="IRNazanin"/>
          <w:b w:val="false"/>
          <w:bCs w:val="false"/>
          <w:i w:val="false"/>
          <w:iCs w:val="false"/>
          <w:color w:val="333333"/>
          <w:sz w:val="20"/>
          <w:szCs w:val="20"/>
          <w:rtl w:val="true"/>
        </w:rPr>
        <w:t>.</w:t>
      </w:r>
    </w:p>
  </w:footnote>
  <w:footnote w:id="17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به المحقق في شرائع الإسلام،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w:t>
      </w:r>
    </w:p>
  </w:footnote>
  <w:footnote w:id="17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158</w:t>
      </w:r>
    </w:p>
  </w:footnote>
  <w:footnote w:id="17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منهم ابن حمزة في الوسيلة، ص </w:t>
      </w:r>
      <w:r>
        <w:rPr>
          <w:rFonts w:eastAsia="IRNazanin" w:cs="IRNazanin"/>
          <w:b w:val="false"/>
          <w:bCs w:val="false"/>
          <w:i w:val="false"/>
          <w:iCs w:val="false"/>
          <w:color w:val="333333"/>
          <w:sz w:val="20"/>
          <w:szCs w:val="20"/>
        </w:rPr>
        <w:t>448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وابن زهرة في غنية النزوع،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والحلبي في الكافي في</w:t>
      </w:r>
    </w:p>
  </w:footnote>
  <w:footnote w:id="17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 يمكنه الالتفات يميناً وشمالاً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زين رحمه الله</w:t>
      </w:r>
      <w:r>
        <w:rPr>
          <w:rFonts w:eastAsia="IRNazanin" w:cs="IRNazanin"/>
          <w:b w:val="false"/>
          <w:bCs w:val="false"/>
          <w:i w:val="false"/>
          <w:iCs w:val="false"/>
          <w:color w:val="333333"/>
          <w:sz w:val="20"/>
          <w:szCs w:val="20"/>
          <w:rtl w:val="true"/>
        </w:rPr>
        <w:t>)</w:t>
      </w:r>
    </w:p>
  </w:footnote>
  <w:footnote w:id="17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الصحاح،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زند</w:t>
      </w:r>
      <w:r>
        <w:rPr>
          <w:rFonts w:eastAsia="IRNazanin" w:cs="IRNazanin"/>
          <w:b w:val="false"/>
          <w:bCs w:val="false"/>
          <w:i w:val="false"/>
          <w:iCs w:val="false"/>
          <w:color w:val="333333"/>
          <w:sz w:val="20"/>
          <w:szCs w:val="20"/>
          <w:rtl w:val="true"/>
        </w:rPr>
        <w:t>».</w:t>
      </w:r>
    </w:p>
  </w:footnote>
  <w:footnote w:id="17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كالمحقق في شرائع الإسلام،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w:t>
      </w:r>
    </w:p>
  </w:footnote>
  <w:footnote w:id="17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1020</w:t>
      </w:r>
      <w:r>
        <w:rPr>
          <w:rFonts w:eastAsia="IRNazanin" w:cs="IRNazanin"/>
          <w:b w:val="false"/>
          <w:bCs w:val="false"/>
          <w:i w:val="false"/>
          <w:iCs w:val="false"/>
          <w:color w:val="333333"/>
          <w:sz w:val="20"/>
          <w:szCs w:val="20"/>
          <w:rtl w:val="true"/>
        </w:rPr>
        <w:t>.</w:t>
      </w:r>
    </w:p>
  </w:footnote>
  <w:footnote w:id="17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به الشيخ في المبسوط ،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w:t>
      </w:r>
    </w:p>
  </w:footnote>
  <w:footnote w:id="17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به الشيخ في المبسوط،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w:t>
      </w:r>
    </w:p>
  </w:footnote>
  <w:footnote w:id="17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1016</w:t>
      </w:r>
      <w:r>
        <w:rPr>
          <w:rFonts w:eastAsia="IRNazanin" w:cs="IRNazanin"/>
          <w:b w:val="false"/>
          <w:bCs w:val="false"/>
          <w:i w:val="false"/>
          <w:iCs w:val="false"/>
          <w:color w:val="333333"/>
          <w:sz w:val="20"/>
          <w:szCs w:val="20"/>
          <w:rtl w:val="true"/>
        </w:rPr>
        <w:t>.</w:t>
      </w:r>
    </w:p>
  </w:footnote>
  <w:footnote w:id="17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1015</w:t>
      </w:r>
      <w:r>
        <w:rPr>
          <w:rFonts w:eastAsia="IRNazanin" w:cs="IRNazanin"/>
          <w:b w:val="false"/>
          <w:bCs w:val="false"/>
          <w:i w:val="false"/>
          <w:iCs w:val="false"/>
          <w:color w:val="333333"/>
          <w:sz w:val="20"/>
          <w:szCs w:val="20"/>
          <w:rtl w:val="true"/>
        </w:rPr>
        <w:t>.</w:t>
      </w:r>
    </w:p>
  </w:footnote>
  <w:footnote w:id="17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به ابن زهرة في غنية النزوع،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وابن حمزة في الوسيلة، ص </w:t>
      </w:r>
      <w:r>
        <w:rPr>
          <w:rFonts w:eastAsia="IRNazanin" w:cs="IRNazanin"/>
          <w:b w:val="false"/>
          <w:bCs w:val="false"/>
          <w:i w:val="false"/>
          <w:iCs w:val="false"/>
          <w:color w:val="333333"/>
          <w:sz w:val="20"/>
          <w:szCs w:val="20"/>
        </w:rPr>
        <w:t>452</w:t>
      </w:r>
      <w:r>
        <w:rPr>
          <w:rFonts w:eastAsia="IRNazanin" w:cs="IRNazanin"/>
          <w:b w:val="false"/>
          <w:bCs w:val="false"/>
          <w:i w:val="false"/>
          <w:iCs w:val="false"/>
          <w:color w:val="333333"/>
          <w:sz w:val="20"/>
          <w:szCs w:val="20"/>
          <w:rtl w:val="true"/>
        </w:rPr>
        <w:t>.</w:t>
      </w:r>
    </w:p>
  </w:footnote>
  <w:footnote w:id="17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1012</w:t>
      </w:r>
      <w:r>
        <w:rPr>
          <w:rFonts w:eastAsia="IRNazanin" w:cs="IRNazanin"/>
          <w:b w:val="false"/>
          <w:bCs w:val="false"/>
          <w:i w:val="false"/>
          <w:iCs w:val="false"/>
          <w:color w:val="333333"/>
          <w:sz w:val="20"/>
          <w:szCs w:val="20"/>
          <w:rtl w:val="true"/>
        </w:rPr>
        <w:t>.</w:t>
      </w:r>
    </w:p>
  </w:footnote>
  <w:footnote w:id="17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الهامش </w:t>
      </w:r>
      <w:r>
        <w:rPr>
          <w:rFonts w:eastAsia="IRNazanin" w:cs="IRNazanin"/>
          <w:b w:val="false"/>
          <w:bCs w:val="false"/>
          <w:i w:val="false"/>
          <w:iCs w:val="false"/>
          <w:color w:val="333333"/>
          <w:sz w:val="20"/>
          <w:szCs w:val="20"/>
          <w:rtl w:val="true"/>
        </w:rPr>
        <w:t>.</w:t>
      </w:r>
    </w:p>
  </w:footnote>
  <w:footnote w:id="17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حمله السيوري في التنقيح الرائع،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502</w:t>
      </w:r>
      <w:r>
        <w:rPr>
          <w:rFonts w:eastAsia="IRNazanin" w:cs="IRNazanin"/>
          <w:b w:val="false"/>
          <w:bCs w:val="false"/>
          <w:i w:val="false"/>
          <w:iCs w:val="false"/>
          <w:color w:val="333333"/>
          <w:sz w:val="20"/>
          <w:szCs w:val="20"/>
          <w:rtl w:val="true"/>
        </w:rPr>
        <w:t>.</w:t>
      </w:r>
    </w:p>
  </w:footnote>
  <w:footnote w:id="17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هذا القول لابن إدريس، ورجحه العلامة في المختلف، وولده في الشرح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 رحمه الله</w:t>
      </w:r>
      <w:r>
        <w:rPr>
          <w:rFonts w:eastAsia="IRNazanin" w:cs="IRNazanin"/>
          <w:b w:val="false"/>
          <w:bCs w:val="false"/>
          <w:i w:val="false"/>
          <w:iCs w:val="false"/>
          <w:color w:val="333333"/>
          <w:sz w:val="20"/>
          <w:szCs w:val="20"/>
          <w:rtl w:val="true"/>
        </w:rPr>
        <w:t>)</w:t>
      </w:r>
    </w:p>
  </w:footnote>
  <w:footnote w:id="17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ذهب إليه ابن إدريس في السرائر،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388</w:t>
      </w:r>
    </w:p>
  </w:footnote>
  <w:footnote w:id="17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970</w:t>
      </w:r>
      <w:r>
        <w:rPr>
          <w:rFonts w:eastAsia="IRNazanin" w:cs="IRNazanin"/>
          <w:b w:val="false"/>
          <w:bCs w:val="false"/>
          <w:i w:val="false"/>
          <w:iCs w:val="false"/>
          <w:color w:val="333333"/>
          <w:sz w:val="20"/>
          <w:szCs w:val="20"/>
          <w:rtl w:val="true"/>
        </w:rPr>
        <w:t>.</w:t>
      </w:r>
    </w:p>
  </w:footnote>
  <w:footnote w:id="17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النهاية في غريب الحديث والأثر،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عثم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عثمت يده فعثمت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إذا جبرتها على غير استواء</w:t>
      </w:r>
      <w:r>
        <w:rPr>
          <w:rFonts w:eastAsia="IRNazanin" w:cs="IRNazanin"/>
          <w:b w:val="false"/>
          <w:bCs w:val="false"/>
          <w:i w:val="false"/>
          <w:iCs w:val="false"/>
          <w:color w:val="333333"/>
          <w:sz w:val="20"/>
          <w:szCs w:val="20"/>
          <w:rtl w:val="true"/>
        </w:rPr>
        <w:t>.</w:t>
      </w:r>
    </w:p>
  </w:footnote>
  <w:footnote w:id="17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338</w:t>
      </w:r>
      <w:r>
        <w:rPr>
          <w:rFonts w:ascii="IRNazanin" w:hAnsi="IRNazanin" w:eastAsia="IRNazanin"/>
          <w:b w:val="false"/>
          <w:b w:val="false"/>
          <w:bCs w:val="false"/>
          <w:i w:val="false"/>
          <w:i w:val="false"/>
          <w:iCs w:val="false"/>
          <w:color w:val="333333"/>
          <w:sz w:val="20"/>
          <w:sz w:val="20"/>
          <w:szCs w:val="20"/>
          <w:rtl w:val="true"/>
        </w:rPr>
        <w:t xml:space="preserve">، کتاب الديات، ح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7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253</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17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العلّامة في قواعد الأحكام،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680</w:t>
      </w:r>
      <w:r>
        <w:rPr>
          <w:rFonts w:ascii="IRNazanin" w:hAnsi="IRNazanin" w:eastAsia="IRNazanin"/>
          <w:b w:val="false"/>
          <w:b w:val="false"/>
          <w:bCs w:val="false"/>
          <w:i w:val="false"/>
          <w:i w:val="false"/>
          <w:iCs w:val="false"/>
          <w:color w:val="333333"/>
          <w:sz w:val="20"/>
          <w:sz w:val="20"/>
          <w:szCs w:val="20"/>
          <w:rtl w:val="true"/>
        </w:rPr>
        <w:t xml:space="preserve">؛ وإرشاد الأذهان،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339</w:t>
      </w:r>
    </w:p>
  </w:footnote>
  <w:footnote w:id="17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شرائع الإسلام،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w:t>
      </w:r>
    </w:p>
  </w:footnote>
  <w:footnote w:id="17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تحرير الأحكام الشرعيّة ،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7233</w:t>
      </w:r>
    </w:p>
  </w:footnote>
  <w:footnote w:id="17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w:t>
      </w:r>
    </w:p>
  </w:footnote>
  <w:footnote w:id="17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1020</w:t>
      </w:r>
      <w:r>
        <w:rPr>
          <w:rFonts w:eastAsia="IRNazanin" w:cs="IRNazanin"/>
          <w:b w:val="false"/>
          <w:bCs w:val="false"/>
          <w:i w:val="false"/>
          <w:iCs w:val="false"/>
          <w:color w:val="333333"/>
          <w:sz w:val="20"/>
          <w:szCs w:val="20"/>
          <w:rtl w:val="true"/>
        </w:rPr>
        <w:t>.</w:t>
      </w:r>
    </w:p>
  </w:footnote>
  <w:footnote w:id="17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170</w:t>
      </w:r>
      <w:r>
        <w:rPr>
          <w:rFonts w:ascii="IRNazanin" w:hAnsi="IRNazanin" w:eastAsia="IRNazanin"/>
          <w:b w:val="false"/>
          <w:b w:val="false"/>
          <w:bCs w:val="false"/>
          <w:i w:val="false"/>
          <w:i w:val="false"/>
          <w:iCs w:val="false"/>
          <w:color w:val="333333"/>
          <w:sz w:val="20"/>
          <w:sz w:val="20"/>
          <w:szCs w:val="20"/>
          <w:rtl w:val="true"/>
        </w:rPr>
        <w:t xml:space="preserve">؛ الخلاف،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257</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17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ذيل الحديث </w:t>
      </w:r>
      <w:r>
        <w:rPr>
          <w:rFonts w:eastAsia="IRNazanin" w:cs="IRNazanin"/>
          <w:b w:val="false"/>
          <w:bCs w:val="false"/>
          <w:i w:val="false"/>
          <w:iCs w:val="false"/>
          <w:color w:val="333333"/>
          <w:sz w:val="20"/>
          <w:szCs w:val="20"/>
        </w:rPr>
        <w:t>5153</w:t>
      </w:r>
    </w:p>
  </w:footnote>
  <w:footnote w:id="17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الوسيلة، ص </w:t>
      </w:r>
      <w:r>
        <w:rPr>
          <w:rFonts w:eastAsia="IRNazanin" w:cs="IRNazanin"/>
          <w:b w:val="false"/>
          <w:bCs w:val="false"/>
          <w:i w:val="false"/>
          <w:iCs w:val="false"/>
          <w:color w:val="333333"/>
          <w:sz w:val="20"/>
          <w:szCs w:val="20"/>
        </w:rPr>
        <w:t>450</w:t>
      </w:r>
      <w:r>
        <w:rPr>
          <w:rFonts w:eastAsia="IRNazanin" w:cs="IRNazanin"/>
          <w:b w:val="false"/>
          <w:bCs w:val="false"/>
          <w:i w:val="false"/>
          <w:iCs w:val="false"/>
          <w:color w:val="333333"/>
          <w:sz w:val="20"/>
          <w:szCs w:val="20"/>
          <w:rtl w:val="true"/>
        </w:rPr>
        <w:t>.</w:t>
      </w:r>
    </w:p>
  </w:footnote>
  <w:footnote w:id="17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338</w:t>
      </w:r>
      <w:r>
        <w:rPr>
          <w:rFonts w:ascii="IRNazanin" w:hAnsi="IRNazanin" w:eastAsia="IRNazanin"/>
          <w:b w:val="false"/>
          <w:b w:val="false"/>
          <w:bCs w:val="false"/>
          <w:i w:val="false"/>
          <w:i w:val="false"/>
          <w:iCs w:val="false"/>
          <w:color w:val="333333"/>
          <w:sz w:val="20"/>
          <w:sz w:val="20"/>
          <w:szCs w:val="20"/>
          <w:rtl w:val="true"/>
        </w:rPr>
        <w:t xml:space="preserve">، كتاب الديات، ح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7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به فخر المحققين في إيضاح الفوائد،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699</w:t>
      </w:r>
      <w:r>
        <w:rPr>
          <w:rFonts w:eastAsia="IRNazanin" w:cs="IRNazanin"/>
          <w:b w:val="false"/>
          <w:bCs w:val="false"/>
          <w:i w:val="false"/>
          <w:iCs w:val="false"/>
          <w:color w:val="333333"/>
          <w:sz w:val="20"/>
          <w:szCs w:val="20"/>
          <w:rtl w:val="true"/>
        </w:rPr>
        <w:t>.</w:t>
      </w:r>
    </w:p>
  </w:footnote>
  <w:footnote w:id="17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ص </w:t>
      </w:r>
      <w:r>
        <w:rPr>
          <w:rFonts w:eastAsia="IRNazanin" w:cs="IRNazanin"/>
          <w:b w:val="false"/>
          <w:bCs w:val="false"/>
          <w:i w:val="false"/>
          <w:iCs w:val="false"/>
          <w:color w:val="333333"/>
          <w:sz w:val="20"/>
          <w:szCs w:val="20"/>
        </w:rPr>
        <w:t>421</w:t>
      </w:r>
      <w:r>
        <w:rPr>
          <w:rFonts w:ascii="IRNazanin" w:hAnsi="IRNazanin" w:eastAsia="IRNazanin"/>
          <w:b w:val="false"/>
          <w:b w:val="false"/>
          <w:bCs w:val="false"/>
          <w:i w:val="false"/>
          <w:i w:val="false"/>
          <w:iCs w:val="false"/>
          <w:color w:val="333333"/>
          <w:sz w:val="20"/>
          <w:sz w:val="20"/>
          <w:szCs w:val="20"/>
          <w:rtl w:val="true"/>
        </w:rPr>
        <w:t xml:space="preserve">، الهامش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7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259</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17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منهم سلّار في المراسم ، ص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وابن حمزة في الوسيلة، ص </w:t>
      </w:r>
      <w:r>
        <w:rPr>
          <w:rFonts w:eastAsia="IRNazanin" w:cs="IRNazanin"/>
          <w:b w:val="false"/>
          <w:bCs w:val="false"/>
          <w:i w:val="false"/>
          <w:iCs w:val="false"/>
          <w:color w:val="333333"/>
          <w:sz w:val="20"/>
          <w:szCs w:val="20"/>
        </w:rPr>
        <w:t>451</w:t>
      </w:r>
      <w:r>
        <w:rPr>
          <w:rFonts w:ascii="IRNazanin" w:hAnsi="IRNazanin" w:eastAsia="IRNazanin"/>
          <w:b w:val="false"/>
          <w:b w:val="false"/>
          <w:bCs w:val="false"/>
          <w:i w:val="false"/>
          <w:i w:val="false"/>
          <w:iCs w:val="false"/>
          <w:color w:val="333333"/>
          <w:sz w:val="20"/>
          <w:sz w:val="20"/>
          <w:szCs w:val="20"/>
          <w:rtl w:val="true"/>
        </w:rPr>
        <w:t xml:space="preserve">؛ وابن سعيد في الجامع للشرائع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589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590</w:t>
      </w:r>
      <w:r>
        <w:rPr>
          <w:rFonts w:eastAsia="IRNazanin" w:cs="IRNazanin"/>
          <w:b w:val="false"/>
          <w:bCs w:val="false"/>
          <w:i w:val="false"/>
          <w:iCs w:val="false"/>
          <w:color w:val="333333"/>
          <w:sz w:val="20"/>
          <w:szCs w:val="20"/>
          <w:rtl w:val="true"/>
        </w:rPr>
        <w:t>.</w:t>
      </w:r>
    </w:p>
  </w:footnote>
  <w:footnote w:id="17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مختلف الشيعة،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399</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17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989</w:t>
      </w:r>
    </w:p>
  </w:footnote>
  <w:footnote w:id="17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5340</w:t>
      </w:r>
      <w:r>
        <w:rPr>
          <w:rFonts w:eastAsia="IRNazanin" w:cs="IRNazanin"/>
          <w:b w:val="false"/>
          <w:bCs w:val="false"/>
          <w:i w:val="false"/>
          <w:iCs w:val="false"/>
          <w:color w:val="333333"/>
          <w:sz w:val="20"/>
          <w:szCs w:val="20"/>
          <w:rtl w:val="true"/>
        </w:rPr>
        <w:t>.</w:t>
      </w:r>
    </w:p>
  </w:footnote>
  <w:footnote w:id="17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حكاه الشهيد في غاية المراد،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 موسوعة الشهيد الأول،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7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الصحاح،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حج</w:t>
      </w:r>
      <w:r>
        <w:rPr>
          <w:rFonts w:eastAsia="IRNazanin" w:cs="IRNazanin"/>
          <w:b w:val="false"/>
          <w:bCs w:val="false"/>
          <w:i w:val="false"/>
          <w:iCs w:val="false"/>
          <w:color w:val="333333"/>
          <w:sz w:val="20"/>
          <w:szCs w:val="20"/>
          <w:rtl w:val="true"/>
        </w:rPr>
        <w:t>».</w:t>
      </w:r>
    </w:p>
  </w:footnote>
  <w:footnote w:id="17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الديات، ح </w:t>
      </w:r>
      <w:r>
        <w:rPr>
          <w:rFonts w:eastAsia="IRNazanin" w:cs="IRNazanin"/>
          <w:b w:val="false"/>
          <w:bCs w:val="false"/>
          <w:i w:val="false"/>
          <w:iCs w:val="false"/>
          <w:color w:val="333333"/>
          <w:sz w:val="20"/>
          <w:szCs w:val="20"/>
        </w:rPr>
        <w:t>12</w:t>
      </w:r>
    </w:p>
  </w:footnote>
  <w:footnote w:id="17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به المحقق في المختصر النافع، ص </w:t>
      </w:r>
      <w:r>
        <w:rPr>
          <w:rFonts w:eastAsia="IRNazanin" w:cs="IRNazanin"/>
          <w:b w:val="false"/>
          <w:bCs w:val="false"/>
          <w:i w:val="false"/>
          <w:iCs w:val="false"/>
          <w:color w:val="333333"/>
          <w:sz w:val="20"/>
          <w:szCs w:val="20"/>
        </w:rPr>
        <w:t>468</w:t>
      </w:r>
      <w:r>
        <w:rPr>
          <w:rFonts w:ascii="IRNazanin" w:hAnsi="IRNazanin" w:eastAsia="IRNazanin"/>
          <w:b w:val="false"/>
          <w:b w:val="false"/>
          <w:bCs w:val="false"/>
          <w:i w:val="false"/>
          <w:i w:val="false"/>
          <w:iCs w:val="false"/>
          <w:color w:val="333333"/>
          <w:sz w:val="20"/>
          <w:sz w:val="20"/>
          <w:szCs w:val="20"/>
          <w:rtl w:val="true"/>
        </w:rPr>
        <w:t xml:space="preserve">؛ وابن سعيد في الجامع للشرائع، ص </w:t>
      </w:r>
      <w:r>
        <w:rPr>
          <w:rFonts w:eastAsia="IRNazanin" w:cs="IRNazanin"/>
          <w:b w:val="false"/>
          <w:bCs w:val="false"/>
          <w:i w:val="false"/>
          <w:iCs w:val="false"/>
          <w:color w:val="333333"/>
          <w:sz w:val="20"/>
          <w:szCs w:val="20"/>
        </w:rPr>
        <w:t>462</w:t>
      </w:r>
      <w:r>
        <w:rPr>
          <w:rFonts w:eastAsia="IRNazanin" w:cs="IRNazanin"/>
          <w:b w:val="false"/>
          <w:bCs w:val="false"/>
          <w:i w:val="false"/>
          <w:iCs w:val="false"/>
          <w:color w:val="333333"/>
          <w:sz w:val="20"/>
          <w:szCs w:val="20"/>
          <w:rtl w:val="true"/>
        </w:rPr>
        <w:t>.</w:t>
      </w:r>
    </w:p>
  </w:footnote>
  <w:footnote w:id="17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 xml:space="preserve"> .</w:t>
      </w:r>
    </w:p>
  </w:footnote>
  <w:footnote w:id="17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985</w:t>
      </w:r>
    </w:p>
  </w:footnote>
  <w:footnote w:id="17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تحرير الأحكام الشرعية،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597</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7247</w:t>
      </w:r>
      <w:r>
        <w:rPr>
          <w:rFonts w:eastAsia="IRNazanin" w:cs="IRNazanin"/>
          <w:b w:val="false"/>
          <w:bCs w:val="false"/>
          <w:i w:val="false"/>
          <w:iCs w:val="false"/>
          <w:color w:val="333333"/>
          <w:sz w:val="20"/>
          <w:szCs w:val="20"/>
          <w:rtl w:val="true"/>
        </w:rPr>
        <w:t>.</w:t>
      </w:r>
    </w:p>
  </w:footnote>
  <w:footnote w:id="17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1148</w:t>
      </w:r>
      <w:r>
        <w:rPr>
          <w:rFonts w:eastAsia="IRNazanin" w:cs="IRNazanin"/>
          <w:b w:val="false"/>
          <w:bCs w:val="false"/>
          <w:i w:val="false"/>
          <w:iCs w:val="false"/>
          <w:color w:val="333333"/>
          <w:sz w:val="20"/>
          <w:szCs w:val="20"/>
          <w:rtl w:val="true"/>
        </w:rPr>
        <w:t>.</w:t>
      </w:r>
    </w:p>
  </w:footnote>
  <w:footnote w:id="17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1148</w:t>
      </w:r>
      <w:r>
        <w:rPr>
          <w:rFonts w:eastAsia="IRNazanin" w:cs="IRNazanin"/>
          <w:b w:val="false"/>
          <w:bCs w:val="false"/>
          <w:i w:val="false"/>
          <w:iCs w:val="false"/>
          <w:color w:val="333333"/>
          <w:sz w:val="20"/>
          <w:szCs w:val="20"/>
          <w:rtl w:val="true"/>
        </w:rPr>
        <w:t>.</w:t>
      </w:r>
    </w:p>
  </w:footnote>
  <w:footnote w:id="17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المختصر النافع، ص </w:t>
      </w:r>
      <w:r>
        <w:rPr>
          <w:rFonts w:eastAsia="IRNazanin" w:cs="IRNazanin"/>
          <w:b w:val="false"/>
          <w:bCs w:val="false"/>
          <w:i w:val="false"/>
          <w:iCs w:val="false"/>
          <w:color w:val="333333"/>
          <w:sz w:val="20"/>
          <w:szCs w:val="20"/>
        </w:rPr>
        <w:t>468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المقنعة ص </w:t>
      </w:r>
      <w:r>
        <w:rPr>
          <w:rFonts w:eastAsia="IRNazanin" w:cs="IRNazanin"/>
          <w:b w:val="false"/>
          <w:bCs w:val="false"/>
          <w:i w:val="false"/>
          <w:iCs w:val="false"/>
          <w:color w:val="333333"/>
          <w:sz w:val="20"/>
          <w:szCs w:val="20"/>
        </w:rPr>
        <w:t>766</w:t>
      </w:r>
      <w:r>
        <w:rPr>
          <w:rFonts w:ascii="IRNazanin" w:hAnsi="IRNazanin" w:eastAsia="IRNazanin"/>
          <w:b w:val="false"/>
          <w:b w:val="false"/>
          <w:bCs w:val="false"/>
          <w:i w:val="false"/>
          <w:i w:val="false"/>
          <w:iCs w:val="false"/>
          <w:color w:val="333333"/>
          <w:sz w:val="20"/>
          <w:sz w:val="20"/>
          <w:szCs w:val="20"/>
          <w:rtl w:val="true"/>
        </w:rPr>
        <w:t xml:space="preserve">؛ النهاية، ص </w:t>
      </w:r>
      <w:r>
        <w:rPr>
          <w:rFonts w:eastAsia="IRNazanin" w:cs="IRNazanin"/>
          <w:b w:val="false"/>
          <w:bCs w:val="false"/>
          <w:i w:val="false"/>
          <w:iCs w:val="false"/>
          <w:color w:val="333333"/>
          <w:sz w:val="20"/>
          <w:szCs w:val="20"/>
        </w:rPr>
        <w:t>776</w:t>
      </w:r>
      <w:r>
        <w:rPr>
          <w:rFonts w:eastAsia="IRNazanin" w:cs="IRNazanin"/>
          <w:b w:val="false"/>
          <w:bCs w:val="false"/>
          <w:i w:val="false"/>
          <w:iCs w:val="false"/>
          <w:color w:val="333333"/>
          <w:sz w:val="20"/>
          <w:szCs w:val="20"/>
          <w:rtl w:val="true"/>
        </w:rPr>
        <w:t>.</w:t>
      </w:r>
    </w:p>
  </w:footnote>
  <w:footnote w:id="17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1148</w:t>
      </w:r>
      <w:r>
        <w:rPr>
          <w:rFonts w:eastAsia="IRNazanin" w:cs="IRNazanin"/>
          <w:b w:val="false"/>
          <w:bCs w:val="false"/>
          <w:i w:val="false"/>
          <w:iCs w:val="false"/>
          <w:color w:val="333333"/>
          <w:sz w:val="20"/>
          <w:szCs w:val="20"/>
          <w:rtl w:val="true"/>
        </w:rPr>
        <w:t>.</w:t>
      </w:r>
    </w:p>
  </w:footnote>
  <w:footnote w:id="17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الديات، ح </w:t>
      </w:r>
      <w:r>
        <w:rPr>
          <w:rFonts w:eastAsia="IRNazanin" w:cs="IRNazanin"/>
          <w:b w:val="false"/>
          <w:bCs w:val="false"/>
          <w:i w:val="false"/>
          <w:iCs w:val="false"/>
          <w:color w:val="333333"/>
          <w:sz w:val="20"/>
          <w:szCs w:val="20"/>
        </w:rPr>
        <w:t>11</w:t>
      </w:r>
    </w:p>
  </w:footnote>
  <w:footnote w:id="17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980</w:t>
      </w:r>
      <w:r>
        <w:rPr>
          <w:rFonts w:eastAsia="IRNazanin" w:cs="IRNazanin"/>
          <w:b w:val="false"/>
          <w:bCs w:val="false"/>
          <w:i w:val="false"/>
          <w:iCs w:val="false"/>
          <w:color w:val="333333"/>
          <w:sz w:val="20"/>
          <w:szCs w:val="20"/>
          <w:rtl w:val="true"/>
        </w:rPr>
        <w:t>.</w:t>
      </w:r>
    </w:p>
  </w:footnote>
  <w:footnote w:id="17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حكاه عنه الشهيد في الحاشية النجارية ذيل قوله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البعصوص حاشية القواعد، ص </w:t>
      </w:r>
      <w:r>
        <w:rPr>
          <w:rFonts w:eastAsia="IRNazanin" w:cs="IRNazanin"/>
          <w:b w:val="false"/>
          <w:bCs w:val="false"/>
          <w:i w:val="false"/>
          <w:iCs w:val="false"/>
          <w:color w:val="333333"/>
          <w:sz w:val="20"/>
          <w:szCs w:val="20"/>
        </w:rPr>
        <w:t>631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ضمن موسوعة الشهيد الأول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17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981</w:t>
      </w:r>
    </w:p>
  </w:footnote>
  <w:footnote w:id="17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308</w:t>
      </w:r>
      <w:r>
        <w:rPr>
          <w:rFonts w:ascii="IRNazanin" w:hAnsi="IRNazanin" w:eastAsia="IRNazanin"/>
          <w:b w:val="false"/>
          <w:b w:val="false"/>
          <w:bCs w:val="false"/>
          <w:i w:val="false"/>
          <w:i w:val="false"/>
          <w:iCs w:val="false"/>
          <w:color w:val="333333"/>
          <w:sz w:val="20"/>
          <w:sz w:val="20"/>
          <w:szCs w:val="20"/>
          <w:rtl w:val="true"/>
        </w:rPr>
        <w:t xml:space="preserve">، ذيل الحديث </w:t>
      </w:r>
      <w:r>
        <w:rPr>
          <w:rFonts w:eastAsia="IRNazanin" w:cs="IRNazanin"/>
          <w:b w:val="false"/>
          <w:bCs w:val="false"/>
          <w:i w:val="false"/>
          <w:iCs w:val="false"/>
          <w:color w:val="333333"/>
          <w:sz w:val="20"/>
          <w:szCs w:val="20"/>
        </w:rPr>
        <w:t>1148</w:t>
      </w:r>
      <w:r>
        <w:rPr>
          <w:rFonts w:eastAsia="IRNazanin" w:cs="IRNazanin"/>
          <w:b w:val="false"/>
          <w:bCs w:val="false"/>
          <w:i w:val="false"/>
          <w:iCs w:val="false"/>
          <w:color w:val="333333"/>
          <w:sz w:val="20"/>
          <w:szCs w:val="20"/>
          <w:rtl w:val="true"/>
        </w:rPr>
        <w:t>.</w:t>
      </w:r>
    </w:p>
  </w:footnote>
  <w:footnote w:id="17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به ابن حمزة في الوسيلة، ص </w:t>
      </w:r>
      <w:r>
        <w:rPr>
          <w:rFonts w:eastAsia="IRNazanin" w:cs="IRNazanin"/>
          <w:b w:val="false"/>
          <w:bCs w:val="false"/>
          <w:i w:val="false"/>
          <w:iCs w:val="false"/>
          <w:color w:val="333333"/>
          <w:sz w:val="20"/>
          <w:szCs w:val="20"/>
        </w:rPr>
        <w:t>452</w:t>
      </w:r>
      <w:r>
        <w:rPr>
          <w:rFonts w:eastAsia="IRNazanin" w:cs="IRNazanin"/>
          <w:b w:val="false"/>
          <w:bCs w:val="false"/>
          <w:i w:val="false"/>
          <w:iCs w:val="false"/>
          <w:color w:val="333333"/>
          <w:sz w:val="20"/>
          <w:szCs w:val="20"/>
          <w:rtl w:val="true"/>
        </w:rPr>
        <w:t>.</w:t>
      </w:r>
    </w:p>
  </w:footnote>
  <w:footnote w:id="17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308</w:t>
      </w:r>
      <w:r>
        <w:rPr>
          <w:rFonts w:ascii="IRNazanin" w:hAnsi="IRNazanin" w:eastAsia="IRNazanin"/>
          <w:b w:val="false"/>
          <w:b w:val="false"/>
          <w:bCs w:val="false"/>
          <w:i w:val="false"/>
          <w:i w:val="false"/>
          <w:iCs w:val="false"/>
          <w:color w:val="333333"/>
          <w:sz w:val="20"/>
          <w:sz w:val="20"/>
          <w:szCs w:val="20"/>
          <w:rtl w:val="true"/>
        </w:rPr>
        <w:t xml:space="preserve">، ذيل الحديث </w:t>
      </w:r>
      <w:r>
        <w:rPr>
          <w:rFonts w:eastAsia="IRNazanin" w:cs="IRNazanin"/>
          <w:b w:val="false"/>
          <w:bCs w:val="false"/>
          <w:i w:val="false"/>
          <w:iCs w:val="false"/>
          <w:color w:val="333333"/>
          <w:sz w:val="20"/>
          <w:szCs w:val="20"/>
        </w:rPr>
        <w:t>1148</w:t>
      </w:r>
      <w:r>
        <w:rPr>
          <w:rFonts w:eastAsia="IRNazanin" w:cs="IRNazanin"/>
          <w:b w:val="false"/>
          <w:bCs w:val="false"/>
          <w:i w:val="false"/>
          <w:iCs w:val="false"/>
          <w:color w:val="333333"/>
          <w:sz w:val="20"/>
          <w:szCs w:val="20"/>
          <w:rtl w:val="true"/>
        </w:rPr>
        <w:t>.</w:t>
      </w:r>
    </w:p>
  </w:footnote>
  <w:footnote w:id="17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993</w:t>
      </w:r>
      <w:r>
        <w:rPr>
          <w:rFonts w:ascii="IRNazanin" w:hAnsi="IRNazanin" w:eastAsia="IRNazanin"/>
          <w:b w:val="false"/>
          <w:b w:val="false"/>
          <w:bCs w:val="false"/>
          <w:i w:val="false"/>
          <w:i w:val="false"/>
          <w:iCs w:val="false"/>
          <w:color w:val="333333"/>
          <w:sz w:val="20"/>
          <w:sz w:val="20"/>
          <w:szCs w:val="20"/>
          <w:rtl w:val="true"/>
        </w:rPr>
        <w:t xml:space="preserve">، وص </w:t>
      </w:r>
      <w:r>
        <w:rPr>
          <w:rFonts w:eastAsia="IRNazanin" w:cs="IRNazanin"/>
          <w:b w:val="false"/>
          <w:bCs w:val="false"/>
          <w:i w:val="false"/>
          <w:iCs w:val="false"/>
          <w:color w:val="333333"/>
          <w:sz w:val="20"/>
          <w:szCs w:val="20"/>
        </w:rPr>
        <w:t>279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1089</w:t>
      </w:r>
      <w:r>
        <w:rPr>
          <w:rFonts w:eastAsia="IRNazanin" w:cs="IRNazanin"/>
          <w:b w:val="false"/>
          <w:bCs w:val="false"/>
          <w:i w:val="false"/>
          <w:iCs w:val="false"/>
          <w:color w:val="333333"/>
          <w:sz w:val="20"/>
          <w:szCs w:val="20"/>
          <w:rtl w:val="true"/>
        </w:rPr>
        <w:t>.</w:t>
      </w:r>
    </w:p>
  </w:footnote>
  <w:footnote w:id="17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العلامة في مختلف الشيعة،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401</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77</w:t>
      </w:r>
      <w:r>
        <w:rPr>
          <w:rFonts w:ascii="IRNazanin" w:hAnsi="IRNazanin" w:eastAsia="IRNazanin"/>
          <w:b w:val="false"/>
          <w:b w:val="false"/>
          <w:bCs w:val="false"/>
          <w:i w:val="false"/>
          <w:i w:val="false"/>
          <w:iCs w:val="false"/>
          <w:color w:val="333333"/>
          <w:sz w:val="20"/>
          <w:sz w:val="20"/>
          <w:szCs w:val="20"/>
          <w:rtl w:val="true"/>
        </w:rPr>
        <w:t xml:space="preserve">؛ وفخر المحققين في إيضاح الفوائد،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700</w:t>
      </w:r>
      <w:r>
        <w:rPr>
          <w:rFonts w:ascii="IRNazanin" w:hAnsi="IRNazanin" w:eastAsia="IRNazanin"/>
          <w:b w:val="false"/>
          <w:b w:val="false"/>
          <w:bCs w:val="false"/>
          <w:i w:val="false"/>
          <w:i w:val="false"/>
          <w:iCs w:val="false"/>
          <w:color w:val="333333"/>
          <w:sz w:val="20"/>
          <w:sz w:val="20"/>
          <w:szCs w:val="20"/>
          <w:rtl w:val="true"/>
        </w:rPr>
        <w:t xml:space="preserve">؛ وابن فهد الحلّي في المهذب البارع،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353</w:t>
      </w:r>
      <w:r>
        <w:rPr>
          <w:rFonts w:eastAsia="IRNazanin" w:cs="IRNazanin"/>
          <w:b w:val="false"/>
          <w:bCs w:val="false"/>
          <w:i w:val="false"/>
          <w:iCs w:val="false"/>
          <w:color w:val="333333"/>
          <w:sz w:val="20"/>
          <w:szCs w:val="20"/>
          <w:rtl w:val="true"/>
        </w:rPr>
        <w:t>.</w:t>
      </w:r>
    </w:p>
  </w:footnote>
  <w:footnote w:id="17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به الشيخ في المبسوط،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وابن حمزة في الوسيلة، ص </w:t>
      </w:r>
      <w:r>
        <w:rPr>
          <w:rFonts w:eastAsia="IRNazanin" w:cs="IRNazanin"/>
          <w:b w:val="false"/>
          <w:bCs w:val="false"/>
          <w:i w:val="false"/>
          <w:iCs w:val="false"/>
          <w:color w:val="333333"/>
          <w:sz w:val="20"/>
          <w:szCs w:val="20"/>
        </w:rPr>
        <w:t>443</w:t>
      </w:r>
      <w:r>
        <w:rPr>
          <w:rFonts w:ascii="IRNazanin" w:hAnsi="IRNazanin" w:eastAsia="IRNazanin"/>
          <w:b w:val="false"/>
          <w:b w:val="false"/>
          <w:bCs w:val="false"/>
          <w:i w:val="false"/>
          <w:i w:val="false"/>
          <w:iCs w:val="false"/>
          <w:color w:val="333333"/>
          <w:sz w:val="20"/>
          <w:sz w:val="20"/>
          <w:szCs w:val="20"/>
          <w:rtl w:val="true"/>
        </w:rPr>
        <w:t xml:space="preserve">؛ والعلامة في قواعد الأحكام،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684</w:t>
      </w:r>
      <w:r>
        <w:rPr>
          <w:rFonts w:eastAsia="IRNazanin" w:cs="IRNazanin"/>
          <w:b w:val="false"/>
          <w:bCs w:val="false"/>
          <w:i w:val="false"/>
          <w:iCs w:val="false"/>
          <w:color w:val="333333"/>
          <w:sz w:val="20"/>
          <w:szCs w:val="20"/>
          <w:rtl w:val="true"/>
        </w:rPr>
        <w:t>.</w:t>
      </w:r>
    </w:p>
  </w:footnote>
  <w:footnote w:id="17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به سلّار في المراسم، ص </w:t>
      </w:r>
      <w:r>
        <w:rPr>
          <w:rFonts w:eastAsia="IRNazanin" w:cs="IRNazanin"/>
          <w:b w:val="false"/>
          <w:bCs w:val="false"/>
          <w:i w:val="false"/>
          <w:iCs w:val="false"/>
          <w:color w:val="333333"/>
          <w:sz w:val="20"/>
          <w:szCs w:val="20"/>
        </w:rPr>
        <w:t>247</w:t>
      </w:r>
      <w:r>
        <w:rPr>
          <w:rFonts w:ascii="IRNazanin" w:hAnsi="IRNazanin" w:eastAsia="IRNazanin"/>
          <w:b w:val="false"/>
          <w:b w:val="false"/>
          <w:bCs w:val="false"/>
          <w:i w:val="false"/>
          <w:i w:val="false"/>
          <w:iCs w:val="false"/>
          <w:color w:val="333333"/>
          <w:sz w:val="20"/>
          <w:sz w:val="20"/>
          <w:szCs w:val="20"/>
          <w:rtl w:val="true"/>
        </w:rPr>
        <w:t xml:space="preserve">؛ والحلبي في الكافي في الفقه، ص </w:t>
      </w:r>
      <w:r>
        <w:rPr>
          <w:rFonts w:eastAsia="IRNazanin" w:cs="IRNazanin"/>
          <w:b w:val="false"/>
          <w:bCs w:val="false"/>
          <w:i w:val="false"/>
          <w:iCs w:val="false"/>
          <w:color w:val="333333"/>
          <w:sz w:val="20"/>
          <w:szCs w:val="20"/>
        </w:rPr>
        <w:t>396</w:t>
      </w:r>
      <w:r>
        <w:rPr>
          <w:rFonts w:ascii="IRNazanin" w:hAnsi="IRNazanin" w:eastAsia="IRNazanin"/>
          <w:b w:val="false"/>
          <w:b w:val="false"/>
          <w:bCs w:val="false"/>
          <w:i w:val="false"/>
          <w:i w:val="false"/>
          <w:iCs w:val="false"/>
          <w:color w:val="333333"/>
          <w:sz w:val="20"/>
          <w:sz w:val="20"/>
          <w:szCs w:val="20"/>
          <w:rtl w:val="true"/>
        </w:rPr>
        <w:t xml:space="preserve">؛ وابن زهرة في غنية النزوع،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416</w:t>
      </w:r>
      <w:r>
        <w:rPr>
          <w:rFonts w:eastAsia="IRNazanin" w:cs="IRNazanin"/>
          <w:b w:val="false"/>
          <w:bCs w:val="false"/>
          <w:i w:val="false"/>
          <w:iCs w:val="false"/>
          <w:color w:val="333333"/>
          <w:sz w:val="20"/>
          <w:szCs w:val="20"/>
          <w:rtl w:val="true"/>
        </w:rPr>
        <w:t>.</w:t>
      </w:r>
    </w:p>
  </w:footnote>
  <w:footnote w:id="17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1053</w:t>
      </w:r>
      <w:r>
        <w:rPr>
          <w:rFonts w:eastAsia="IRNazanin" w:cs="IRNazanin"/>
          <w:b w:val="false"/>
          <w:bCs w:val="false"/>
          <w:i w:val="false"/>
          <w:iCs w:val="false"/>
          <w:color w:val="333333"/>
          <w:sz w:val="20"/>
          <w:szCs w:val="20"/>
          <w:rtl w:val="true"/>
        </w:rPr>
        <w:t>.</w:t>
      </w:r>
    </w:p>
  </w:footnote>
  <w:footnote w:id="17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1046</w:t>
      </w:r>
      <w:r>
        <w:rPr>
          <w:rFonts w:eastAsia="IRNazanin" w:cs="IRNazanin"/>
          <w:b w:val="false"/>
          <w:bCs w:val="false"/>
          <w:i w:val="false"/>
          <w:iCs w:val="false"/>
          <w:color w:val="333333"/>
          <w:sz w:val="20"/>
          <w:szCs w:val="20"/>
          <w:rtl w:val="true"/>
        </w:rPr>
        <w:t>.</w:t>
      </w:r>
    </w:p>
  </w:footnote>
  <w:footnote w:id="17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تخريجه في ص </w:t>
      </w:r>
      <w:r>
        <w:rPr>
          <w:rFonts w:eastAsia="IRNazanin" w:cs="IRNazanin"/>
          <w:b w:val="false"/>
          <w:bCs w:val="false"/>
          <w:i w:val="false"/>
          <w:iCs w:val="false"/>
          <w:color w:val="333333"/>
          <w:sz w:val="20"/>
          <w:szCs w:val="20"/>
        </w:rPr>
        <w:t>440</w:t>
      </w:r>
      <w:r>
        <w:rPr>
          <w:rFonts w:ascii="IRNazanin" w:hAnsi="IRNazanin" w:eastAsia="IRNazanin"/>
          <w:b w:val="false"/>
          <w:b w:val="false"/>
          <w:bCs w:val="false"/>
          <w:i w:val="false"/>
          <w:i w:val="false"/>
          <w:iCs w:val="false"/>
          <w:color w:val="333333"/>
          <w:sz w:val="20"/>
          <w:sz w:val="20"/>
          <w:szCs w:val="20"/>
          <w:rtl w:val="true"/>
        </w:rPr>
        <w:t xml:space="preserve">، الهامش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7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الصحاح،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1458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حرق</w:t>
      </w:r>
      <w:r>
        <w:rPr>
          <w:rFonts w:eastAsia="IRNazanin" w:cs="IRNazanin"/>
          <w:b w:val="false"/>
          <w:bCs w:val="false"/>
          <w:i w:val="false"/>
          <w:iCs w:val="false"/>
          <w:color w:val="333333"/>
          <w:sz w:val="20"/>
          <w:szCs w:val="20"/>
          <w:rtl w:val="true"/>
        </w:rPr>
        <w:t>».</w:t>
      </w:r>
    </w:p>
  </w:footnote>
  <w:footnote w:id="17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به العلّامة في قواعد الأحكام،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688</w:t>
      </w:r>
      <w:r>
        <w:rPr>
          <w:rFonts w:ascii="IRNazanin" w:hAnsi="IRNazanin" w:eastAsia="IRNazanin"/>
          <w:b w:val="false"/>
          <w:b w:val="false"/>
          <w:bCs w:val="false"/>
          <w:i w:val="false"/>
          <w:i w:val="false"/>
          <w:iCs w:val="false"/>
          <w:color w:val="333333"/>
          <w:sz w:val="20"/>
          <w:sz w:val="20"/>
          <w:szCs w:val="20"/>
          <w:rtl w:val="true"/>
        </w:rPr>
        <w:t xml:space="preserve">؛ وتحرير الأحكام الشرعية،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612</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7261</w:t>
      </w:r>
      <w:r>
        <w:rPr>
          <w:rFonts w:eastAsia="IRNazanin" w:cs="IRNazanin"/>
          <w:b w:val="false"/>
          <w:bCs w:val="false"/>
          <w:i w:val="false"/>
          <w:iCs w:val="false"/>
          <w:color w:val="333333"/>
          <w:sz w:val="20"/>
          <w:szCs w:val="20"/>
          <w:rtl w:val="true"/>
        </w:rPr>
        <w:t>.</w:t>
      </w:r>
    </w:p>
  </w:footnote>
  <w:footnote w:id="17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قواعد الأحكام،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688</w:t>
      </w:r>
      <w:r>
        <w:rPr>
          <w:rFonts w:ascii="IRNazanin" w:hAnsi="IRNazanin" w:eastAsia="IRNazanin"/>
          <w:b w:val="false"/>
          <w:b w:val="false"/>
          <w:bCs w:val="false"/>
          <w:i w:val="false"/>
          <w:i w:val="false"/>
          <w:iCs w:val="false"/>
          <w:color w:val="333333"/>
          <w:sz w:val="20"/>
          <w:sz w:val="20"/>
          <w:szCs w:val="20"/>
          <w:rtl w:val="true"/>
        </w:rPr>
        <w:t xml:space="preserve">؛ وتحرير الأحكام الشرعية،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612</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7262</w:t>
      </w:r>
      <w:r>
        <w:rPr>
          <w:rFonts w:ascii="IRNazanin" w:hAnsi="IRNazanin" w:eastAsia="IRNazanin"/>
          <w:b w:val="false"/>
          <w:b w:val="false"/>
          <w:bCs w:val="false"/>
          <w:i w:val="false"/>
          <w:i w:val="false"/>
          <w:iCs w:val="false"/>
          <w:color w:val="333333"/>
          <w:sz w:val="20"/>
          <w:sz w:val="20"/>
          <w:szCs w:val="20"/>
          <w:rtl w:val="true"/>
        </w:rPr>
        <w:t xml:space="preserve">؛ وإرشاد الأذهان،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w:t>
      </w:r>
    </w:p>
  </w:footnote>
  <w:footnote w:id="17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منهم الشيخ في المبسوط،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وابن حمزة في الوسيلة ص </w:t>
      </w:r>
      <w:r>
        <w:rPr>
          <w:rFonts w:eastAsia="IRNazanin" w:cs="IRNazanin"/>
          <w:b w:val="false"/>
          <w:bCs w:val="false"/>
          <w:i w:val="false"/>
          <w:iCs w:val="false"/>
          <w:color w:val="333333"/>
          <w:sz w:val="20"/>
          <w:szCs w:val="20"/>
        </w:rPr>
        <w:t>442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وابن إدريس في السرائر،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w:t>
      </w:r>
    </w:p>
  </w:footnote>
  <w:footnote w:id="17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المقر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الصبر وهو هذا الدواء المرّ المعروف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النهاية في غريب الحديث والأثر،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مقر</w:t>
      </w:r>
      <w:r>
        <w:rPr>
          <w:rFonts w:eastAsia="IRNazanin" w:cs="IRNazanin"/>
          <w:b w:val="false"/>
          <w:bCs w:val="false"/>
          <w:i w:val="false"/>
          <w:iCs w:val="false"/>
          <w:color w:val="333333"/>
          <w:sz w:val="20"/>
          <w:szCs w:val="20"/>
          <w:rtl w:val="true"/>
        </w:rPr>
        <w:t>».</w:t>
      </w:r>
    </w:p>
  </w:footnote>
  <w:footnote w:id="17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مفزة</w:t>
      </w:r>
      <w:r>
        <w:rPr>
          <w:rFonts w:eastAsia="IRNazanin" w:cs="IRNazanin"/>
          <w:b w:val="false"/>
          <w:bCs w:val="false"/>
          <w:i w:val="false"/>
          <w:iCs w:val="false"/>
          <w:color w:val="333333"/>
          <w:sz w:val="20"/>
          <w:szCs w:val="20"/>
          <w:rtl w:val="true"/>
        </w:rPr>
        <w:t>».</w:t>
      </w:r>
    </w:p>
  </w:footnote>
  <w:footnote w:id="18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تحرير الأحكام الشرعيّة،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612</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7262</w:t>
      </w:r>
    </w:p>
  </w:footnote>
  <w:footnote w:id="18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ألحقه العلّامة في قواعد الأحكام،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689</w:t>
      </w:r>
      <w:r>
        <w:rPr>
          <w:rFonts w:eastAsia="IRNazanin" w:cs="IRNazanin"/>
          <w:b w:val="false"/>
          <w:bCs w:val="false"/>
          <w:i w:val="false"/>
          <w:iCs w:val="false"/>
          <w:color w:val="333333"/>
          <w:sz w:val="20"/>
          <w:szCs w:val="20"/>
          <w:rtl w:val="true"/>
        </w:rPr>
        <w:t>.</w:t>
      </w:r>
    </w:p>
  </w:footnote>
  <w:footnote w:id="18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نسخة الشهيد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البول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والظاهر أنه سهو من قلمه الشريف</w:t>
      </w:r>
      <w:r>
        <w:rPr>
          <w:rFonts w:eastAsia="IRNazanin" w:cs="IRNazanin"/>
          <w:b w:val="false"/>
          <w:bCs w:val="false"/>
          <w:i w:val="false"/>
          <w:iCs w:val="false"/>
          <w:color w:val="333333"/>
          <w:sz w:val="20"/>
          <w:szCs w:val="20"/>
          <w:rtl w:val="true"/>
        </w:rPr>
        <w:t>.</w:t>
      </w:r>
    </w:p>
  </w:footnote>
  <w:footnote w:id="18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995</w:t>
      </w:r>
    </w:p>
  </w:footnote>
  <w:footnote w:id="18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به الشيخ في النهاية، ص </w:t>
      </w:r>
      <w:r>
        <w:rPr>
          <w:rFonts w:eastAsia="IRNazanin" w:cs="IRNazanin"/>
          <w:b w:val="false"/>
          <w:bCs w:val="false"/>
          <w:i w:val="false"/>
          <w:iCs w:val="false"/>
          <w:color w:val="333333"/>
          <w:sz w:val="20"/>
          <w:szCs w:val="20"/>
        </w:rPr>
        <w:t>769</w:t>
      </w:r>
      <w:r>
        <w:rPr>
          <w:rFonts w:ascii="IRNazanin" w:hAnsi="IRNazanin" w:eastAsia="IRNazanin"/>
          <w:b w:val="false"/>
          <w:b w:val="false"/>
          <w:bCs w:val="false"/>
          <w:i w:val="false"/>
          <w:i w:val="false"/>
          <w:iCs w:val="false"/>
          <w:color w:val="333333"/>
          <w:sz w:val="20"/>
          <w:sz w:val="20"/>
          <w:szCs w:val="20"/>
          <w:rtl w:val="true"/>
        </w:rPr>
        <w:t xml:space="preserve">؛ وابن حمزة في الوسيلة، ص </w:t>
      </w:r>
      <w:r>
        <w:rPr>
          <w:rFonts w:eastAsia="IRNazanin" w:cs="IRNazanin"/>
          <w:b w:val="false"/>
          <w:bCs w:val="false"/>
          <w:i w:val="false"/>
          <w:iCs w:val="false"/>
          <w:color w:val="333333"/>
          <w:sz w:val="20"/>
          <w:szCs w:val="20"/>
        </w:rPr>
        <w:t>450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وابن إدريس في السرائر،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w:t>
      </w:r>
    </w:p>
  </w:footnote>
  <w:footnote w:id="18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به الشيخ في النهاية، ص </w:t>
      </w:r>
      <w:r>
        <w:rPr>
          <w:rFonts w:eastAsia="IRNazanin" w:cs="IRNazanin"/>
          <w:b w:val="false"/>
          <w:bCs w:val="false"/>
          <w:i w:val="false"/>
          <w:iCs w:val="false"/>
          <w:color w:val="333333"/>
          <w:sz w:val="20"/>
          <w:szCs w:val="20"/>
        </w:rPr>
        <w:t>775</w:t>
      </w:r>
      <w:r>
        <w:rPr>
          <w:rFonts w:ascii="IRNazanin" w:hAnsi="IRNazanin" w:eastAsia="IRNazanin"/>
          <w:b w:val="false"/>
          <w:b w:val="false"/>
          <w:bCs w:val="false"/>
          <w:i w:val="false"/>
          <w:i w:val="false"/>
          <w:iCs w:val="false"/>
          <w:color w:val="333333"/>
          <w:sz w:val="20"/>
          <w:sz w:val="20"/>
          <w:szCs w:val="20"/>
          <w:rtl w:val="true"/>
        </w:rPr>
        <w:t xml:space="preserve">؛ وابن حمزة في الوسيلة ص </w:t>
      </w:r>
      <w:r>
        <w:rPr>
          <w:rFonts w:eastAsia="IRNazanin" w:cs="IRNazanin"/>
          <w:b w:val="false"/>
          <w:bCs w:val="false"/>
          <w:i w:val="false"/>
          <w:iCs w:val="false"/>
          <w:color w:val="333333"/>
          <w:sz w:val="20"/>
          <w:szCs w:val="20"/>
        </w:rPr>
        <w:t>444</w:t>
      </w:r>
      <w:r>
        <w:rPr>
          <w:rFonts w:ascii="IRNazanin" w:hAnsi="IRNazanin" w:eastAsia="IRNazanin"/>
          <w:b w:val="false"/>
          <w:b w:val="false"/>
          <w:bCs w:val="false"/>
          <w:i w:val="false"/>
          <w:i w:val="false"/>
          <w:iCs w:val="false"/>
          <w:color w:val="333333"/>
          <w:sz w:val="20"/>
          <w:sz w:val="20"/>
          <w:szCs w:val="20"/>
          <w:rtl w:val="true"/>
        </w:rPr>
        <w:t xml:space="preserve">؛وابن زهرة في غنية النزوع،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419</w:t>
      </w:r>
      <w:r>
        <w:rPr>
          <w:rFonts w:eastAsia="IRNazanin" w:cs="IRNazanin"/>
          <w:b w:val="false"/>
          <w:bCs w:val="false"/>
          <w:i w:val="false"/>
          <w:iCs w:val="false"/>
          <w:color w:val="333333"/>
          <w:sz w:val="20"/>
          <w:szCs w:val="20"/>
          <w:rtl w:val="true"/>
        </w:rPr>
        <w:t>.</w:t>
      </w:r>
    </w:p>
  </w:footnote>
  <w:footnote w:id="18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1138</w:t>
      </w:r>
      <w:r>
        <w:rPr>
          <w:rFonts w:eastAsia="IRNazanin" w:cs="IRNazanin"/>
          <w:b w:val="false"/>
          <w:bCs w:val="false"/>
          <w:i w:val="false"/>
          <w:iCs w:val="false"/>
          <w:color w:val="333333"/>
          <w:sz w:val="20"/>
          <w:szCs w:val="20"/>
          <w:rtl w:val="true"/>
        </w:rPr>
        <w:t>.</w:t>
      </w:r>
    </w:p>
  </w:footnote>
  <w:footnote w:id="18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1126</w:t>
      </w:r>
      <w:r>
        <w:rPr>
          <w:rFonts w:eastAsia="IRNazanin" w:cs="IRNazanin"/>
          <w:b w:val="false"/>
          <w:bCs w:val="false"/>
          <w:i w:val="false"/>
          <w:iCs w:val="false"/>
          <w:color w:val="333333"/>
          <w:sz w:val="20"/>
          <w:szCs w:val="20"/>
          <w:rtl w:val="true"/>
        </w:rPr>
        <w:t>.</w:t>
      </w:r>
    </w:p>
  </w:footnote>
  <w:footnote w:id="18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635</w:t>
      </w:r>
      <w:r>
        <w:rPr>
          <w:rFonts w:eastAsia="IRNazanin" w:cs="IRNazanin"/>
          <w:b w:val="false"/>
          <w:bCs w:val="false"/>
          <w:i w:val="false"/>
          <w:iCs w:val="false"/>
          <w:color w:val="333333"/>
          <w:sz w:val="20"/>
          <w:szCs w:val="20"/>
          <w:rtl w:val="true"/>
        </w:rPr>
        <w:t>.</w:t>
      </w:r>
    </w:p>
  </w:footnote>
  <w:footnote w:id="18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الصحاح،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1835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نقل</w:t>
      </w:r>
      <w:r>
        <w:rPr>
          <w:rFonts w:eastAsia="IRNazanin" w:cs="IRNazanin"/>
          <w:b w:val="false"/>
          <w:bCs w:val="false"/>
          <w:i w:val="false"/>
          <w:iCs w:val="false"/>
          <w:color w:val="333333"/>
          <w:sz w:val="20"/>
          <w:szCs w:val="20"/>
          <w:rtl w:val="true"/>
        </w:rPr>
        <w:t>».</w:t>
      </w:r>
    </w:p>
  </w:footnote>
  <w:footnote w:id="18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الصحاح،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1015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فرش</w:t>
      </w:r>
      <w:r>
        <w:rPr>
          <w:rFonts w:eastAsia="IRNazanin" w:cs="IRNazanin"/>
          <w:b w:val="false"/>
          <w:bCs w:val="false"/>
          <w:i w:val="false"/>
          <w:iCs w:val="false"/>
          <w:color w:val="333333"/>
          <w:sz w:val="20"/>
          <w:szCs w:val="20"/>
          <w:rtl w:val="true"/>
        </w:rPr>
        <w:t>».</w:t>
      </w:r>
    </w:p>
  </w:footnote>
  <w:footnote w:id="18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1125</w:t>
      </w:r>
      <w:r>
        <w:rPr>
          <w:rFonts w:eastAsia="IRNazanin" w:cs="IRNazanin"/>
          <w:b w:val="false"/>
          <w:bCs w:val="false"/>
          <w:i w:val="false"/>
          <w:iCs w:val="false"/>
          <w:color w:val="333333"/>
          <w:sz w:val="20"/>
          <w:szCs w:val="20"/>
          <w:rtl w:val="true"/>
        </w:rPr>
        <w:t>.</w:t>
      </w:r>
    </w:p>
  </w:footnote>
  <w:footnote w:id="18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1124</w:t>
      </w:r>
      <w:r>
        <w:rPr>
          <w:rFonts w:eastAsia="IRNazanin" w:cs="IRNazanin"/>
          <w:b w:val="false"/>
          <w:bCs w:val="false"/>
          <w:i w:val="false"/>
          <w:iCs w:val="false"/>
          <w:color w:val="333333"/>
          <w:sz w:val="20"/>
          <w:szCs w:val="20"/>
          <w:rtl w:val="true"/>
        </w:rPr>
        <w:t>.</w:t>
      </w:r>
    </w:p>
  </w:footnote>
  <w:footnote w:id="18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تهذيب الأحكام،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977</w:t>
      </w:r>
      <w:r>
        <w:rPr>
          <w:rFonts w:ascii="IRNazanin" w:hAnsi="IRNazanin" w:eastAsia="IRNazanin"/>
          <w:b w:val="false"/>
          <w:b w:val="false"/>
          <w:bCs w:val="false"/>
          <w:i w:val="false"/>
          <w:i w:val="false"/>
          <w:iCs w:val="false"/>
          <w:color w:val="333333"/>
          <w:sz w:val="20"/>
          <w:sz w:val="20"/>
          <w:szCs w:val="20"/>
          <w:rtl w:val="true"/>
        </w:rPr>
        <w:t xml:space="preserve">، وص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1126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1129</w:t>
      </w:r>
      <w:r>
        <w:rPr>
          <w:rFonts w:eastAsia="IRNazanin" w:cs="IRNazanin"/>
          <w:b w:val="false"/>
          <w:bCs w:val="false"/>
          <w:i w:val="false"/>
          <w:iCs w:val="false"/>
          <w:color w:val="333333"/>
          <w:sz w:val="20"/>
          <w:szCs w:val="20"/>
          <w:rtl w:val="true"/>
        </w:rPr>
        <w:t>.</w:t>
      </w:r>
    </w:p>
  </w:footnote>
  <w:footnote w:id="18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1130</w:t>
      </w:r>
      <w:r>
        <w:rPr>
          <w:rFonts w:eastAsia="IRNazanin" w:cs="IRNazanin"/>
          <w:b w:val="false"/>
          <w:bCs w:val="false"/>
          <w:i w:val="false"/>
          <w:iCs w:val="false"/>
          <w:color w:val="333333"/>
          <w:sz w:val="20"/>
          <w:szCs w:val="20"/>
          <w:rtl w:val="true"/>
        </w:rPr>
        <w:t>.</w:t>
      </w:r>
    </w:p>
  </w:footnote>
  <w:footnote w:id="18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الجامع هو المحقق في شرائع الإسلام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وقبله ابن إدريس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السرائر،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فإنّه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المأمومة ثلث دية النفس ثلاثة وثلاثون بعيراً فحسب بلا زيادة ولا نقصان إن كان من أصحاب الإبل، ولم يلزمه من أصحابنا ثلث البعير الذي يتكمّل به ثلث المائة بعير التي هي دية النفس؛ لأن رواياتهم هكذا مطلقة، وكذا تصنيفاتهم، وإجماعهم منعقد على هذا الإطلاق، أو ثلث الدية من العين أو الورق على السواء؛ لأنّ ذلك يتحدّد فيه الثلث ولا يتحدّد في الإبل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انتهى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وفيه نظر لمنع الإجماع وعدم إمكان التحديد، وقد صرّح جماعة بوجوب الثلث أيضاً، وعليه دلّ الخبر الصحيح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انتهى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 رحمه الله</w:t>
      </w:r>
      <w:r>
        <w:rPr>
          <w:rFonts w:eastAsia="IRNazanin" w:cs="IRNazanin"/>
          <w:b w:val="false"/>
          <w:bCs w:val="false"/>
          <w:i w:val="false"/>
          <w:iCs w:val="false"/>
          <w:color w:val="333333"/>
          <w:sz w:val="20"/>
          <w:szCs w:val="20"/>
          <w:rtl w:val="true"/>
        </w:rPr>
        <w:t>)</w:t>
      </w:r>
    </w:p>
  </w:footnote>
  <w:footnote w:id="18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جمعه ابن إدريس في السرائر،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407</w:t>
      </w:r>
      <w:r>
        <w:rPr>
          <w:rFonts w:eastAsia="IRNazanin" w:cs="IRNazanin"/>
          <w:b w:val="false"/>
          <w:bCs w:val="false"/>
          <w:i w:val="false"/>
          <w:iCs w:val="false"/>
          <w:color w:val="333333"/>
          <w:sz w:val="20"/>
          <w:szCs w:val="20"/>
          <w:rtl w:val="true"/>
        </w:rPr>
        <w:t>.</w:t>
      </w:r>
    </w:p>
  </w:footnote>
  <w:footnote w:id="18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به العلّامة في قواعد الأحكام،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690</w:t>
      </w:r>
      <w:r>
        <w:rPr>
          <w:rFonts w:eastAsia="IRNazanin" w:cs="IRNazanin"/>
          <w:b w:val="false"/>
          <w:bCs w:val="false"/>
          <w:i w:val="false"/>
          <w:iCs w:val="false"/>
          <w:color w:val="333333"/>
          <w:sz w:val="20"/>
          <w:szCs w:val="20"/>
          <w:rtl w:val="true"/>
        </w:rPr>
        <w:t>.</w:t>
      </w:r>
    </w:p>
  </w:footnote>
  <w:footnote w:id="18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1148</w:t>
      </w:r>
      <w:r>
        <w:rPr>
          <w:rFonts w:eastAsia="IRNazanin" w:cs="IRNazanin"/>
          <w:b w:val="false"/>
          <w:bCs w:val="false"/>
          <w:i w:val="false"/>
          <w:iCs w:val="false"/>
          <w:color w:val="333333"/>
          <w:sz w:val="20"/>
          <w:szCs w:val="20"/>
          <w:rtl w:val="true"/>
        </w:rPr>
        <w:t>.</w:t>
      </w:r>
    </w:p>
  </w:footnote>
  <w:footnote w:id="18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تحرير الأحكام الشرعية،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572</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7228</w:t>
      </w:r>
      <w:r>
        <w:rPr>
          <w:rFonts w:eastAsia="IRNazanin" w:cs="IRNazanin"/>
          <w:b w:val="false"/>
          <w:bCs w:val="false"/>
          <w:i w:val="false"/>
          <w:iCs w:val="false"/>
          <w:color w:val="333333"/>
          <w:sz w:val="20"/>
          <w:szCs w:val="20"/>
          <w:rtl w:val="true"/>
        </w:rPr>
        <w:t>.</w:t>
      </w:r>
    </w:p>
  </w:footnote>
  <w:footnote w:id="18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1019</w:t>
      </w:r>
      <w:r>
        <w:rPr>
          <w:rFonts w:ascii="IRNazanin" w:hAnsi="IRNazanin" w:eastAsia="IRNazanin"/>
          <w:b w:val="false"/>
          <w:b w:val="false"/>
          <w:bCs w:val="false"/>
          <w:i w:val="false"/>
          <w:i w:val="false"/>
          <w:iCs w:val="false"/>
          <w:color w:val="333333"/>
          <w:sz w:val="20"/>
          <w:sz w:val="20"/>
          <w:szCs w:val="20"/>
          <w:rtl w:val="true"/>
        </w:rPr>
        <w:t xml:space="preserve">، وص </w:t>
      </w:r>
      <w:r>
        <w:rPr>
          <w:rFonts w:eastAsia="IRNazanin" w:cs="IRNazanin"/>
          <w:b w:val="false"/>
          <w:bCs w:val="false"/>
          <w:i w:val="false"/>
          <w:iCs w:val="false"/>
          <w:color w:val="333333"/>
          <w:sz w:val="20"/>
          <w:szCs w:val="20"/>
        </w:rPr>
        <w:t>295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1148</w:t>
      </w:r>
      <w:r>
        <w:rPr>
          <w:rFonts w:eastAsia="IRNazanin" w:cs="IRNazanin"/>
          <w:b w:val="false"/>
          <w:bCs w:val="false"/>
          <w:i w:val="false"/>
          <w:iCs w:val="false"/>
          <w:color w:val="333333"/>
          <w:sz w:val="20"/>
          <w:szCs w:val="20"/>
          <w:rtl w:val="true"/>
        </w:rPr>
        <w:t>.</w:t>
      </w:r>
    </w:p>
  </w:footnote>
  <w:footnote w:id="18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1084</w:t>
      </w:r>
      <w:r>
        <w:rPr>
          <w:rFonts w:eastAsia="IRNazanin" w:cs="IRNazanin"/>
          <w:b w:val="false"/>
          <w:bCs w:val="false"/>
          <w:i w:val="false"/>
          <w:iCs w:val="false"/>
          <w:color w:val="333333"/>
          <w:sz w:val="20"/>
          <w:szCs w:val="20"/>
          <w:rtl w:val="true"/>
        </w:rPr>
        <w:t xml:space="preserve"> .</w:t>
      </w:r>
    </w:p>
  </w:footnote>
  <w:footnote w:id="18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308</w:t>
      </w:r>
      <w:r>
        <w:rPr>
          <w:rFonts w:ascii="IRNazanin" w:hAnsi="IRNazanin" w:eastAsia="IRNazanin"/>
          <w:b w:val="false"/>
          <w:b w:val="false"/>
          <w:bCs w:val="false"/>
          <w:i w:val="false"/>
          <w:i w:val="false"/>
          <w:iCs w:val="false"/>
          <w:color w:val="333333"/>
          <w:sz w:val="20"/>
          <w:sz w:val="20"/>
          <w:szCs w:val="20"/>
          <w:rtl w:val="true"/>
        </w:rPr>
        <w:t xml:space="preserve">، ذيل الحديث </w:t>
      </w:r>
      <w:r>
        <w:rPr>
          <w:rFonts w:eastAsia="IRNazanin" w:cs="IRNazanin"/>
          <w:b w:val="false"/>
          <w:bCs w:val="false"/>
          <w:i w:val="false"/>
          <w:iCs w:val="false"/>
          <w:color w:val="333333"/>
          <w:sz w:val="20"/>
          <w:szCs w:val="20"/>
        </w:rPr>
        <w:t>1148</w:t>
      </w:r>
      <w:r>
        <w:rPr>
          <w:rFonts w:eastAsia="IRNazanin" w:cs="IRNazanin"/>
          <w:b w:val="false"/>
          <w:bCs w:val="false"/>
          <w:i w:val="false"/>
          <w:iCs w:val="false"/>
          <w:color w:val="333333"/>
          <w:sz w:val="20"/>
          <w:szCs w:val="20"/>
          <w:rtl w:val="true"/>
        </w:rPr>
        <w:t>.</w:t>
      </w:r>
    </w:p>
  </w:footnote>
  <w:footnote w:id="18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منهم المحقق في شرائع الإسلام،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260</w:t>
      </w:r>
      <w:r>
        <w:rPr>
          <w:rFonts w:ascii="IRNazanin" w:hAnsi="IRNazanin" w:eastAsia="IRNazanin"/>
          <w:b w:val="false"/>
          <w:b w:val="false"/>
          <w:bCs w:val="false"/>
          <w:i w:val="false"/>
          <w:i w:val="false"/>
          <w:iCs w:val="false"/>
          <w:color w:val="333333"/>
          <w:sz w:val="20"/>
          <w:sz w:val="20"/>
          <w:szCs w:val="20"/>
          <w:rtl w:val="true"/>
        </w:rPr>
        <w:t xml:space="preserve">؛ وابن سعيد في الجامع للشرائع، ص </w:t>
      </w:r>
      <w:r>
        <w:rPr>
          <w:rFonts w:eastAsia="IRNazanin" w:cs="IRNazanin"/>
          <w:b w:val="false"/>
          <w:bCs w:val="false"/>
          <w:i w:val="false"/>
          <w:iCs w:val="false"/>
          <w:color w:val="333333"/>
          <w:sz w:val="20"/>
          <w:szCs w:val="20"/>
        </w:rPr>
        <w:t>601</w:t>
      </w:r>
      <w:r>
        <w:rPr>
          <w:rFonts w:eastAsia="IRNazanin" w:cs="IRNazanin"/>
          <w:b w:val="false"/>
          <w:bCs w:val="false"/>
          <w:i w:val="false"/>
          <w:iCs w:val="false"/>
          <w:color w:val="333333"/>
          <w:sz w:val="20"/>
          <w:szCs w:val="20"/>
          <w:rtl w:val="true"/>
        </w:rPr>
        <w:t>.</w:t>
      </w:r>
    </w:p>
  </w:footnote>
  <w:footnote w:id="18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حكاه الشهيد الثاني في مسالك الأفهام، ج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465</w:t>
      </w:r>
      <w:r>
        <w:rPr>
          <w:rFonts w:eastAsia="IRNazanin" w:cs="IRNazanin"/>
          <w:b w:val="false"/>
          <w:bCs w:val="false"/>
          <w:i w:val="false"/>
          <w:iCs w:val="false"/>
          <w:color w:val="333333"/>
          <w:sz w:val="20"/>
          <w:szCs w:val="20"/>
          <w:rtl w:val="true"/>
        </w:rPr>
        <w:t>.</w:t>
      </w:r>
    </w:p>
  </w:footnote>
  <w:footnote w:id="18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1148</w:t>
      </w:r>
      <w:r>
        <w:rPr>
          <w:rFonts w:eastAsia="IRNazanin" w:cs="IRNazanin"/>
          <w:b w:val="false"/>
          <w:bCs w:val="false"/>
          <w:i w:val="false"/>
          <w:iCs w:val="false"/>
          <w:color w:val="333333"/>
          <w:sz w:val="20"/>
          <w:szCs w:val="20"/>
          <w:rtl w:val="true"/>
        </w:rPr>
        <w:t>.</w:t>
      </w:r>
    </w:p>
  </w:footnote>
  <w:footnote w:id="18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به الشهيد في حاشية القواعد ذيل 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سواء كان الجاني رجلاً أو امرأة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حاشية القواعد، ص </w:t>
      </w:r>
      <w:r>
        <w:rPr>
          <w:rFonts w:eastAsia="IRNazanin" w:cs="IRNazanin"/>
          <w:b w:val="false"/>
          <w:bCs w:val="false"/>
          <w:i w:val="false"/>
          <w:iCs w:val="false"/>
          <w:color w:val="333333"/>
          <w:sz w:val="20"/>
          <w:szCs w:val="20"/>
        </w:rPr>
        <w:t>635</w:t>
      </w:r>
    </w:p>
  </w:footnote>
  <w:footnote w:id="18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اللمعة الدمشقية</w:t>
      </w:r>
      <w:r>
        <w:rPr>
          <w:rFonts w:eastAsia="IRNazanin" w:cs="IRNazanin"/>
          <w:b w:val="false"/>
          <w:bCs w:val="false"/>
          <w:i w:val="false"/>
          <w:iCs w:val="false"/>
          <w:color w:val="333333"/>
          <w:sz w:val="20"/>
          <w:szCs w:val="20"/>
          <w:rtl w:val="true"/>
        </w:rPr>
        <w:t>.</w:t>
      </w:r>
    </w:p>
  </w:footnote>
  <w:footnote w:id="18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 في ص </w:t>
      </w:r>
      <w:r>
        <w:rPr>
          <w:rFonts w:eastAsia="IRNazanin" w:cs="IRNazanin"/>
          <w:b w:val="false"/>
          <w:bCs w:val="false"/>
          <w:i w:val="false"/>
          <w:iCs w:val="false"/>
          <w:color w:val="333333"/>
          <w:sz w:val="20"/>
          <w:szCs w:val="20"/>
        </w:rPr>
        <w:t>420</w:t>
      </w:r>
      <w:r>
        <w:rPr>
          <w:rFonts w:eastAsia="IRNazanin" w:cs="IRNazanin"/>
          <w:b w:val="false"/>
          <w:bCs w:val="false"/>
          <w:i w:val="false"/>
          <w:iCs w:val="false"/>
          <w:color w:val="333333"/>
          <w:sz w:val="20"/>
          <w:szCs w:val="20"/>
          <w:rtl w:val="true"/>
        </w:rPr>
        <w:t>.</w:t>
      </w:r>
    </w:p>
  </w:footnote>
  <w:footnote w:id="18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النهاية، ص </w:t>
      </w:r>
      <w:r>
        <w:rPr>
          <w:rFonts w:eastAsia="IRNazanin" w:cs="IRNazanin"/>
          <w:b w:val="false"/>
          <w:bCs w:val="false"/>
          <w:i w:val="false"/>
          <w:iCs w:val="false"/>
          <w:color w:val="333333"/>
          <w:sz w:val="20"/>
          <w:szCs w:val="20"/>
        </w:rPr>
        <w:t>739</w:t>
      </w:r>
    </w:p>
  </w:footnote>
  <w:footnote w:id="18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القاضي ابن البراج في المهذب،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460</w:t>
      </w:r>
      <w:r>
        <w:rPr>
          <w:rFonts w:ascii="IRNazanin" w:hAnsi="IRNazanin" w:eastAsia="IRNazanin"/>
          <w:b w:val="false"/>
          <w:b w:val="false"/>
          <w:bCs w:val="false"/>
          <w:i w:val="false"/>
          <w:i w:val="false"/>
          <w:iCs w:val="false"/>
          <w:color w:val="333333"/>
          <w:sz w:val="20"/>
          <w:sz w:val="20"/>
          <w:szCs w:val="20"/>
          <w:rtl w:val="true"/>
        </w:rPr>
        <w:t xml:space="preserve">؛ وابن زهرة في غنية النزوع،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408</w:t>
      </w:r>
      <w:r>
        <w:rPr>
          <w:rFonts w:eastAsia="IRNazanin" w:cs="IRNazanin"/>
          <w:b w:val="false"/>
          <w:bCs w:val="false"/>
          <w:i w:val="false"/>
          <w:iCs w:val="false"/>
          <w:color w:val="333333"/>
          <w:sz w:val="20"/>
          <w:szCs w:val="20"/>
          <w:rtl w:val="true"/>
        </w:rPr>
        <w:t>.</w:t>
      </w:r>
    </w:p>
  </w:footnote>
  <w:footnote w:id="18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شرائع الإسلام،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w:t>
      </w:r>
    </w:p>
  </w:footnote>
  <w:footnote w:id="18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إرشاد الأذهان،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246</w:t>
      </w:r>
      <w:r>
        <w:rPr>
          <w:rFonts w:ascii="IRNazanin" w:hAnsi="IRNazanin" w:eastAsia="IRNazanin"/>
          <w:b w:val="false"/>
          <w:b w:val="false"/>
          <w:bCs w:val="false"/>
          <w:i w:val="false"/>
          <w:i w:val="false"/>
          <w:iCs w:val="false"/>
          <w:color w:val="333333"/>
          <w:sz w:val="20"/>
          <w:sz w:val="20"/>
          <w:szCs w:val="20"/>
          <w:rtl w:val="true"/>
        </w:rPr>
        <w:t xml:space="preserve">؛ قواعد الأحكام،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692</w:t>
      </w:r>
      <w:r>
        <w:rPr>
          <w:rFonts w:eastAsia="IRNazanin" w:cs="IRNazanin"/>
          <w:b w:val="false"/>
          <w:bCs w:val="false"/>
          <w:i w:val="false"/>
          <w:iCs w:val="false"/>
          <w:color w:val="333333"/>
          <w:sz w:val="20"/>
          <w:szCs w:val="20"/>
          <w:rtl w:val="true"/>
        </w:rPr>
        <w:t>.</w:t>
      </w:r>
    </w:p>
  </w:footnote>
  <w:footnote w:id="18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696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w:t>
      </w:r>
    </w:p>
  </w:footnote>
  <w:footnote w:id="18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التوابع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تابع، وهي كلّ مسألة غير مقصودة بالذات، ولكنها لاحقة بالمقصود بالذات، وهي بإزاء المقدمات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زین رحمه الله</w:t>
      </w:r>
      <w:r>
        <w:rPr>
          <w:rFonts w:eastAsia="IRNazanin" w:cs="IRNazanin"/>
          <w:b w:val="false"/>
          <w:bCs w:val="false"/>
          <w:i w:val="false"/>
          <w:iCs w:val="false"/>
          <w:color w:val="333333"/>
          <w:sz w:val="20"/>
          <w:szCs w:val="20"/>
          <w:rtl w:val="true"/>
        </w:rPr>
        <w:t>)</w:t>
      </w:r>
    </w:p>
  </w:footnote>
  <w:footnote w:id="18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134</w:t>
      </w:r>
      <w:r>
        <w:rPr>
          <w:rFonts w:ascii="IRNazanin" w:hAnsi="IRNazanin" w:eastAsia="IRNazanin"/>
          <w:b w:val="false"/>
          <w:b w:val="false"/>
          <w:bCs w:val="false"/>
          <w:i w:val="false"/>
          <w:i w:val="false"/>
          <w:iCs w:val="false"/>
          <w:color w:val="333333"/>
          <w:sz w:val="20"/>
          <w:sz w:val="20"/>
          <w:szCs w:val="20"/>
          <w:rtl w:val="true"/>
        </w:rPr>
        <w:t>، كتاب النكاح</w:t>
      </w:r>
      <w:r>
        <w:rPr>
          <w:rFonts w:eastAsia="IRNazanin" w:cs="IRNazanin"/>
          <w:b w:val="false"/>
          <w:bCs w:val="false"/>
          <w:i w:val="false"/>
          <w:iCs w:val="false"/>
          <w:color w:val="333333"/>
          <w:sz w:val="20"/>
          <w:szCs w:val="20"/>
          <w:rtl w:val="true"/>
        </w:rPr>
        <w:t>.</w:t>
      </w:r>
    </w:p>
  </w:footnote>
  <w:footnote w:id="18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1103</w:t>
      </w:r>
      <w:r>
        <w:rPr>
          <w:rFonts w:eastAsia="IRNazanin" w:cs="IRNazanin"/>
          <w:b w:val="false"/>
          <w:bCs w:val="false"/>
          <w:i w:val="false"/>
          <w:iCs w:val="false"/>
          <w:color w:val="333333"/>
          <w:sz w:val="20"/>
          <w:szCs w:val="20"/>
          <w:rtl w:val="true"/>
        </w:rPr>
        <w:t>.</w:t>
      </w:r>
    </w:p>
  </w:footnote>
  <w:footnote w:id="18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به الشيخ في المبسوط،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220</w:t>
      </w:r>
      <w:r>
        <w:rPr>
          <w:rFonts w:ascii="IRNazanin" w:hAnsi="IRNazanin" w:eastAsia="IRNazanin"/>
          <w:b w:val="false"/>
          <w:b w:val="false"/>
          <w:bCs w:val="false"/>
          <w:i w:val="false"/>
          <w:i w:val="false"/>
          <w:iCs w:val="false"/>
          <w:color w:val="333333"/>
          <w:sz w:val="20"/>
          <w:sz w:val="20"/>
          <w:szCs w:val="20"/>
          <w:rtl w:val="true"/>
        </w:rPr>
        <w:t xml:space="preserve">؛ والخلاف،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113</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w:t>
      </w:r>
    </w:p>
  </w:footnote>
  <w:footnote w:id="18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287</w:t>
      </w:r>
    </w:p>
  </w:footnote>
  <w:footnote w:id="18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1122</w:t>
      </w:r>
      <w:r>
        <w:rPr>
          <w:rFonts w:eastAsia="IRNazanin" w:cs="IRNazanin"/>
          <w:b w:val="false"/>
          <w:bCs w:val="false"/>
          <w:i w:val="false"/>
          <w:iCs w:val="false"/>
          <w:color w:val="333333"/>
          <w:sz w:val="20"/>
          <w:szCs w:val="20"/>
          <w:rtl w:val="true"/>
        </w:rPr>
        <w:t>.</w:t>
      </w:r>
    </w:p>
  </w:footnote>
  <w:footnote w:id="18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1099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عبد الله بن مسكان</w:t>
      </w:r>
      <w:r>
        <w:rPr>
          <w:rFonts w:eastAsia="IRNazanin" w:cs="IRNazanin"/>
          <w:b w:val="false"/>
          <w:bCs w:val="false"/>
          <w:i w:val="false"/>
          <w:iCs w:val="false"/>
          <w:color w:val="333333"/>
          <w:sz w:val="20"/>
          <w:szCs w:val="20"/>
          <w:rtl w:val="true"/>
        </w:rPr>
        <w:t>.</w:t>
      </w:r>
    </w:p>
  </w:footnote>
  <w:footnote w:id="18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1107</w:t>
      </w:r>
      <w:r>
        <w:rPr>
          <w:rFonts w:eastAsia="IRNazanin" w:cs="IRNazanin"/>
          <w:b w:val="false"/>
          <w:bCs w:val="false"/>
          <w:i w:val="false"/>
          <w:iCs w:val="false"/>
          <w:color w:val="333333"/>
          <w:sz w:val="20"/>
          <w:szCs w:val="20"/>
          <w:rtl w:val="true"/>
        </w:rPr>
        <w:t>.</w:t>
      </w:r>
    </w:p>
  </w:footnote>
  <w:footnote w:id="18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به ابن إدريس في السرائر،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417</w:t>
      </w:r>
      <w:r>
        <w:rPr>
          <w:rFonts w:eastAsia="IRNazanin" w:cs="IRNazanin"/>
          <w:b w:val="false"/>
          <w:bCs w:val="false"/>
          <w:i w:val="false"/>
          <w:iCs w:val="false"/>
          <w:color w:val="333333"/>
          <w:sz w:val="20"/>
          <w:szCs w:val="20"/>
          <w:rtl w:val="true"/>
        </w:rPr>
        <w:t>.</w:t>
      </w:r>
    </w:p>
  </w:footnote>
  <w:footnote w:id="18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ادعاه الشيخ في الخلاف،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294</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125</w:t>
      </w:r>
    </w:p>
  </w:footnote>
  <w:footnote w:id="18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به العلّامة في قواعد الأحكام،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635</w:t>
      </w:r>
      <w:r>
        <w:rPr>
          <w:rFonts w:eastAsia="IRNazanin" w:cs="IRNazanin"/>
          <w:b w:val="false"/>
          <w:bCs w:val="false"/>
          <w:i w:val="false"/>
          <w:iCs w:val="false"/>
          <w:color w:val="333333"/>
          <w:sz w:val="20"/>
          <w:szCs w:val="20"/>
          <w:rtl w:val="true"/>
        </w:rPr>
        <w:t>.</w:t>
      </w:r>
    </w:p>
  </w:footnote>
  <w:footnote w:id="18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349</w:t>
      </w:r>
      <w:r>
        <w:rPr>
          <w:rFonts w:ascii="IRNazanin" w:hAnsi="IRNazanin" w:eastAsia="IRNazanin"/>
          <w:b w:val="false"/>
          <w:b w:val="false"/>
          <w:bCs w:val="false"/>
          <w:i w:val="false"/>
          <w:i w:val="false"/>
          <w:iCs w:val="false"/>
          <w:color w:val="333333"/>
          <w:sz w:val="20"/>
          <w:sz w:val="20"/>
          <w:szCs w:val="20"/>
          <w:rtl w:val="true"/>
        </w:rPr>
        <w:t xml:space="preserve">، باب الرجل يقطع رأس الميت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8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المؤمنون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18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الرجل يقطع رأس ميت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8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1073</w:t>
      </w:r>
      <w:r>
        <w:rPr>
          <w:rFonts w:eastAsia="IRNazanin" w:cs="IRNazanin"/>
          <w:b w:val="false"/>
          <w:bCs w:val="false"/>
          <w:i w:val="false"/>
          <w:iCs w:val="false"/>
          <w:color w:val="333333"/>
          <w:sz w:val="20"/>
          <w:szCs w:val="20"/>
          <w:rtl w:val="true"/>
        </w:rPr>
        <w:t>.</w:t>
      </w:r>
    </w:p>
  </w:footnote>
  <w:footnote w:id="18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الانتصار، ص </w:t>
      </w:r>
      <w:r>
        <w:rPr>
          <w:rFonts w:eastAsia="IRNazanin" w:cs="IRNazanin"/>
          <w:b w:val="false"/>
          <w:bCs w:val="false"/>
          <w:i w:val="false"/>
          <w:iCs w:val="false"/>
          <w:color w:val="333333"/>
          <w:sz w:val="20"/>
          <w:szCs w:val="20"/>
        </w:rPr>
        <w:t>542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المسألة </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w:t>
      </w:r>
    </w:p>
  </w:footnote>
  <w:footnote w:id="18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p>
  </w:footnote>
  <w:footnote w:id="18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1065</w:t>
      </w:r>
      <w:r>
        <w:rPr>
          <w:rFonts w:eastAsia="IRNazanin" w:cs="IRNazanin"/>
          <w:b w:val="false"/>
          <w:bCs w:val="false"/>
          <w:i w:val="false"/>
          <w:iCs w:val="false"/>
          <w:color w:val="333333"/>
          <w:sz w:val="20"/>
          <w:szCs w:val="20"/>
          <w:rtl w:val="true"/>
        </w:rPr>
        <w:t>.</w:t>
      </w:r>
    </w:p>
  </w:footnote>
  <w:footnote w:id="18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به الشيخ في النهاية، ص </w:t>
      </w:r>
      <w:r>
        <w:rPr>
          <w:rFonts w:eastAsia="IRNazanin" w:cs="IRNazanin"/>
          <w:b w:val="false"/>
          <w:bCs w:val="false"/>
          <w:i w:val="false"/>
          <w:iCs w:val="false"/>
          <w:color w:val="333333"/>
          <w:sz w:val="20"/>
          <w:szCs w:val="20"/>
        </w:rPr>
        <w:t>737</w:t>
      </w:r>
      <w:r>
        <w:rPr>
          <w:rFonts w:eastAsia="IRNazanin" w:cs="IRNazanin"/>
          <w:b w:val="false"/>
          <w:bCs w:val="false"/>
          <w:i w:val="false"/>
          <w:iCs w:val="false"/>
          <w:color w:val="333333"/>
          <w:sz w:val="20"/>
          <w:szCs w:val="20"/>
          <w:rtl w:val="true"/>
        </w:rPr>
        <w:t>.</w:t>
      </w:r>
    </w:p>
  </w:footnote>
  <w:footnote w:id="18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حكاه عن ابن الجنيد العلّامة في مختلف الشيعة،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301</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18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675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ما بين المعقوفتين ليس في النسخ وأضفناه من مصادر الرواية</w:t>
      </w:r>
      <w:r>
        <w:rPr>
          <w:rFonts w:eastAsia="IRNazanin" w:cs="IRNazanin"/>
          <w:b w:val="false"/>
          <w:bCs w:val="false"/>
          <w:i w:val="false"/>
          <w:iCs w:val="false"/>
          <w:color w:val="333333"/>
          <w:sz w:val="20"/>
          <w:szCs w:val="20"/>
          <w:rtl w:val="true"/>
        </w:rPr>
        <w:t>.</w:t>
      </w:r>
    </w:p>
  </w:footnote>
  <w:footnote w:id="18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النسائي ،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4827</w:t>
      </w:r>
      <w:r>
        <w:rPr>
          <w:rFonts w:ascii="IRNazanin" w:hAnsi="IRNazanin" w:eastAsia="IRNazanin"/>
          <w:b w:val="false"/>
          <w:b w:val="false"/>
          <w:bCs w:val="false"/>
          <w:i w:val="false"/>
          <w:i w:val="false"/>
          <w:iCs w:val="false"/>
          <w:color w:val="333333"/>
          <w:sz w:val="20"/>
          <w:sz w:val="20"/>
          <w:szCs w:val="20"/>
          <w:rtl w:val="true"/>
        </w:rPr>
        <w:t xml:space="preserve">؛ صحیح مسلم،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1309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1681/35</w:t>
      </w:r>
    </w:p>
  </w:footnote>
  <w:footnote w:id="18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بدخولهما العلّامة في قواعد الأحكام،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708</w:t>
      </w:r>
    </w:p>
  </w:footnote>
  <w:footnote w:id="18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سلف في أوائل كتاب القصاص في ص </w:t>
      </w:r>
      <w:r>
        <w:rPr>
          <w:rFonts w:eastAsia="IRNazanin" w:cs="IRNazanin"/>
          <w:b w:val="false"/>
          <w:bCs w:val="false"/>
          <w:i w:val="false"/>
          <w:iCs w:val="false"/>
          <w:color w:val="333333"/>
          <w:sz w:val="20"/>
          <w:szCs w:val="20"/>
        </w:rPr>
        <w:t>362</w:t>
      </w:r>
      <w:r>
        <w:rPr>
          <w:rFonts w:eastAsia="IRNazanin" w:cs="IRNazanin"/>
          <w:b w:val="false"/>
          <w:bCs w:val="false"/>
          <w:i w:val="false"/>
          <w:iCs w:val="false"/>
          <w:color w:val="333333"/>
          <w:sz w:val="20"/>
          <w:szCs w:val="20"/>
          <w:rtl w:val="true"/>
        </w:rPr>
        <w:t>.</w:t>
      </w:r>
    </w:p>
  </w:footnote>
  <w:footnote w:id="18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حكاه عن ابن الجنيد العلّامة في مختلف الشيعة،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450</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w:t>
      </w:r>
    </w:p>
  </w:footnote>
  <w:footnote w:id="18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تحرير الأحكام الشرعية ،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641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642</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7334</w:t>
      </w:r>
      <w:r>
        <w:rPr>
          <w:rFonts w:eastAsia="IRNazanin" w:cs="IRNazanin"/>
          <w:b w:val="false"/>
          <w:bCs w:val="false"/>
          <w:i w:val="false"/>
          <w:iCs w:val="false"/>
          <w:color w:val="333333"/>
          <w:sz w:val="20"/>
          <w:szCs w:val="20"/>
          <w:rtl w:val="true"/>
        </w:rPr>
        <w:t>.</w:t>
      </w:r>
    </w:p>
  </w:footnote>
  <w:footnote w:id="18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السنن الكبرى البيهقي،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16360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16361</w:t>
      </w:r>
      <w:r>
        <w:rPr>
          <w:rFonts w:eastAsia="IRNazanin" w:cs="IRNazanin"/>
          <w:b w:val="false"/>
          <w:bCs w:val="false"/>
          <w:i w:val="false"/>
          <w:iCs w:val="false"/>
          <w:color w:val="333333"/>
          <w:sz w:val="20"/>
          <w:szCs w:val="20"/>
          <w:rtl w:val="true"/>
        </w:rPr>
        <w:t>.</w:t>
      </w:r>
    </w:p>
  </w:footnote>
  <w:footnote w:id="18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تحرير الأحكام الشرعية ،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569</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7224</w:t>
      </w:r>
    </w:p>
  </w:footnote>
  <w:footnote w:id="18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قواعد الأحكام،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711</w:t>
      </w:r>
    </w:p>
  </w:footnote>
  <w:footnote w:id="18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669</w:t>
      </w:r>
      <w:r>
        <w:rPr>
          <w:rFonts w:eastAsia="IRNazanin" w:cs="IRNazanin"/>
          <w:b w:val="false"/>
          <w:bCs w:val="false"/>
          <w:i w:val="false"/>
          <w:iCs w:val="false"/>
          <w:color w:val="333333"/>
          <w:sz w:val="20"/>
          <w:szCs w:val="20"/>
          <w:rtl w:val="true"/>
        </w:rPr>
        <w:t>.</w:t>
      </w:r>
    </w:p>
  </w:footnote>
  <w:footnote w:id="18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به في المبسوط ،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203</w:t>
      </w:r>
      <w:r>
        <w:rPr>
          <w:rFonts w:ascii="IRNazanin" w:hAnsi="IRNazanin" w:eastAsia="IRNazanin"/>
          <w:b w:val="false"/>
          <w:b w:val="false"/>
          <w:bCs w:val="false"/>
          <w:i w:val="false"/>
          <w:i w:val="false"/>
          <w:iCs w:val="false"/>
          <w:color w:val="333333"/>
          <w:sz w:val="20"/>
          <w:sz w:val="20"/>
          <w:szCs w:val="20"/>
          <w:rtl w:val="true"/>
        </w:rPr>
        <w:t xml:space="preserve">؛ والخلاف،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279</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p>
  </w:footnote>
  <w:footnote w:id="18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القاضي في المهذب،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وابن إدريس في السرائر،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332</w:t>
      </w:r>
      <w:r>
        <w:rPr>
          <w:rFonts w:ascii="IRNazanin" w:hAnsi="IRNazanin" w:eastAsia="IRNazanin"/>
          <w:b w:val="false"/>
          <w:b w:val="false"/>
          <w:bCs w:val="false"/>
          <w:i w:val="false"/>
          <w:i w:val="false"/>
          <w:iCs w:val="false"/>
          <w:color w:val="333333"/>
          <w:sz w:val="20"/>
          <w:sz w:val="20"/>
          <w:szCs w:val="20"/>
          <w:rtl w:val="true"/>
        </w:rPr>
        <w:t xml:space="preserve">؛ والعلامة في قواعد الأحكام،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711</w:t>
      </w:r>
      <w:r>
        <w:rPr>
          <w:rFonts w:eastAsia="IRNazanin" w:cs="IRNazanin"/>
          <w:b w:val="false"/>
          <w:bCs w:val="false"/>
          <w:i w:val="false"/>
          <w:iCs w:val="false"/>
          <w:color w:val="333333"/>
          <w:sz w:val="20"/>
          <w:szCs w:val="20"/>
          <w:rtl w:val="true"/>
        </w:rPr>
        <w:t>.</w:t>
      </w:r>
    </w:p>
  </w:footnote>
  <w:footnote w:id="18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675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676</w:t>
      </w:r>
      <w:r>
        <w:rPr>
          <w:rFonts w:eastAsia="IRNazanin" w:cs="IRNazanin"/>
          <w:b w:val="false"/>
          <w:bCs w:val="false"/>
          <w:i w:val="false"/>
          <w:iCs w:val="false"/>
          <w:color w:val="333333"/>
          <w:sz w:val="20"/>
          <w:szCs w:val="20"/>
          <w:rtl w:val="true"/>
        </w:rPr>
        <w:t>.</w:t>
      </w:r>
    </w:p>
  </w:footnote>
  <w:footnote w:id="18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به المحقق في شرائع الإسلام،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w:t>
      </w:r>
    </w:p>
  </w:footnote>
  <w:footnote w:id="18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1338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1340</w:t>
      </w:r>
      <w:r>
        <w:rPr>
          <w:rFonts w:eastAsia="IRNazanin" w:cs="IRNazanin"/>
          <w:b w:val="false"/>
          <w:bCs w:val="false"/>
          <w:i w:val="false"/>
          <w:iCs w:val="false"/>
          <w:color w:val="333333"/>
          <w:sz w:val="20"/>
          <w:szCs w:val="20"/>
          <w:rtl w:val="true"/>
        </w:rPr>
        <w:t>.</w:t>
      </w:r>
    </w:p>
  </w:footnote>
  <w:footnote w:id="18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كتاب الكفارات</w:t>
      </w:r>
      <w:r>
        <w:rPr>
          <w:rFonts w:eastAsia="IRNazanin" w:cs="IRNazanin"/>
          <w:b w:val="false"/>
          <w:bCs w:val="false"/>
          <w:i w:val="false"/>
          <w:iCs w:val="false"/>
          <w:color w:val="333333"/>
          <w:sz w:val="20"/>
          <w:szCs w:val="20"/>
          <w:rtl w:val="true"/>
        </w:rPr>
        <w:t>.</w:t>
      </w:r>
    </w:p>
  </w:footnote>
  <w:footnote w:id="18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المقنعة، ص </w:t>
      </w:r>
      <w:r>
        <w:rPr>
          <w:rFonts w:eastAsia="IRNazanin" w:cs="IRNazanin"/>
          <w:b w:val="false"/>
          <w:bCs w:val="false"/>
          <w:i w:val="false"/>
          <w:iCs w:val="false"/>
          <w:color w:val="333333"/>
          <w:sz w:val="20"/>
          <w:szCs w:val="20"/>
        </w:rPr>
        <w:t>769</w:t>
      </w:r>
      <w:r>
        <w:rPr>
          <w:rFonts w:ascii="IRNazanin" w:hAnsi="IRNazanin" w:eastAsia="IRNazanin"/>
          <w:b w:val="false"/>
          <w:b w:val="false"/>
          <w:bCs w:val="false"/>
          <w:i w:val="false"/>
          <w:i w:val="false"/>
          <w:iCs w:val="false"/>
          <w:color w:val="333333"/>
          <w:sz w:val="20"/>
          <w:sz w:val="20"/>
          <w:szCs w:val="20"/>
          <w:rtl w:val="true"/>
        </w:rPr>
        <w:t xml:space="preserve">؛ النهاية، ص </w:t>
      </w:r>
      <w:r>
        <w:rPr>
          <w:rFonts w:eastAsia="IRNazanin" w:cs="IRNazanin"/>
          <w:b w:val="false"/>
          <w:bCs w:val="false"/>
          <w:i w:val="false"/>
          <w:iCs w:val="false"/>
          <w:color w:val="333333"/>
          <w:sz w:val="20"/>
          <w:szCs w:val="20"/>
        </w:rPr>
        <w:t>780</w:t>
      </w:r>
    </w:p>
  </w:footnote>
  <w:footnote w:id="18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القاضي في المهذب،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512</w:t>
      </w:r>
      <w:r>
        <w:rPr>
          <w:rFonts w:ascii="IRNazanin" w:hAnsi="IRNazanin" w:eastAsia="IRNazanin"/>
          <w:b w:val="false"/>
          <w:b w:val="false"/>
          <w:bCs w:val="false"/>
          <w:i w:val="false"/>
          <w:i w:val="false"/>
          <w:iCs w:val="false"/>
          <w:color w:val="333333"/>
          <w:sz w:val="20"/>
          <w:sz w:val="20"/>
          <w:szCs w:val="20"/>
          <w:rtl w:val="true"/>
        </w:rPr>
        <w:t xml:space="preserve">؛ وسلار في المراسم، ص </w:t>
      </w:r>
      <w:r>
        <w:rPr>
          <w:rFonts w:eastAsia="IRNazanin" w:cs="IRNazanin"/>
          <w:b w:val="false"/>
          <w:bCs w:val="false"/>
          <w:i w:val="false"/>
          <w:iCs w:val="false"/>
          <w:color w:val="333333"/>
          <w:sz w:val="20"/>
          <w:szCs w:val="20"/>
        </w:rPr>
        <w:t>245</w:t>
      </w:r>
      <w:r>
        <w:rPr>
          <w:rFonts w:ascii="IRNazanin" w:hAnsi="IRNazanin" w:eastAsia="IRNazanin"/>
          <w:b w:val="false"/>
          <w:b w:val="false"/>
          <w:bCs w:val="false"/>
          <w:i w:val="false"/>
          <w:i w:val="false"/>
          <w:iCs w:val="false"/>
          <w:color w:val="333333"/>
          <w:sz w:val="20"/>
          <w:sz w:val="20"/>
          <w:szCs w:val="20"/>
          <w:rtl w:val="true"/>
        </w:rPr>
        <w:t xml:space="preserve">؛ وابن سعيد في الجامع للشرائع، ص </w:t>
      </w:r>
      <w:r>
        <w:rPr>
          <w:rFonts w:eastAsia="IRNazanin" w:cs="IRNazanin"/>
          <w:b w:val="false"/>
          <w:bCs w:val="false"/>
          <w:i w:val="false"/>
          <w:iCs w:val="false"/>
          <w:color w:val="333333"/>
          <w:sz w:val="20"/>
          <w:szCs w:val="20"/>
        </w:rPr>
        <w:t>604</w:t>
      </w:r>
      <w:r>
        <w:rPr>
          <w:rFonts w:eastAsia="IRNazanin" w:cs="IRNazanin"/>
          <w:b w:val="false"/>
          <w:bCs w:val="false"/>
          <w:i w:val="false"/>
          <w:iCs w:val="false"/>
          <w:color w:val="333333"/>
          <w:sz w:val="20"/>
          <w:szCs w:val="20"/>
          <w:rtl w:val="true"/>
        </w:rPr>
        <w:t>.</w:t>
      </w:r>
    </w:p>
  </w:footnote>
  <w:footnote w:id="18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به القاضي في المهذب،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436</w:t>
      </w:r>
      <w:r>
        <w:rPr>
          <w:rFonts w:ascii="IRNazanin" w:hAnsi="IRNazanin" w:eastAsia="IRNazanin"/>
          <w:b w:val="false"/>
          <w:b w:val="false"/>
          <w:bCs w:val="false"/>
          <w:i w:val="false"/>
          <w:i w:val="false"/>
          <w:iCs w:val="false"/>
          <w:color w:val="333333"/>
          <w:sz w:val="20"/>
          <w:sz w:val="20"/>
          <w:szCs w:val="20"/>
          <w:rtl w:val="true"/>
        </w:rPr>
        <w:t xml:space="preserve">؛ والعلّامة في مختلف الشيعة،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96</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p>
  </w:footnote>
  <w:footnote w:id="18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به الشيخ في المبسوط،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وابن حمزة في الوسيلة، ص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w:t>
      </w:r>
    </w:p>
  </w:footnote>
  <w:footnote w:id="18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الغصب</w:t>
      </w:r>
      <w:r>
        <w:rPr>
          <w:rFonts w:eastAsia="IRNazanin" w:cs="IRNazanin"/>
          <w:b w:val="false"/>
          <w:bCs w:val="false"/>
          <w:i w:val="false"/>
          <w:iCs w:val="false"/>
          <w:color w:val="333333"/>
          <w:sz w:val="20"/>
          <w:szCs w:val="20"/>
          <w:rtl w:val="true"/>
        </w:rPr>
        <w:t>.</w:t>
      </w:r>
    </w:p>
  </w:footnote>
  <w:footnote w:id="18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1154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1155</w:t>
      </w:r>
      <w:r>
        <w:rPr>
          <w:rFonts w:eastAsia="IRNazanin" w:cs="IRNazanin"/>
          <w:b w:val="false"/>
          <w:bCs w:val="false"/>
          <w:i w:val="false"/>
          <w:iCs w:val="false"/>
          <w:color w:val="333333"/>
          <w:sz w:val="20"/>
          <w:szCs w:val="20"/>
          <w:rtl w:val="true"/>
        </w:rPr>
        <w:t>.</w:t>
      </w:r>
    </w:p>
  </w:footnote>
  <w:footnote w:id="18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المقنعة، ص </w:t>
      </w:r>
      <w:r>
        <w:rPr>
          <w:rFonts w:eastAsia="IRNazanin" w:cs="IRNazanin"/>
          <w:b w:val="false"/>
          <w:bCs w:val="false"/>
          <w:i w:val="false"/>
          <w:iCs w:val="false"/>
          <w:color w:val="333333"/>
          <w:sz w:val="20"/>
          <w:szCs w:val="20"/>
        </w:rPr>
        <w:t>769</w:t>
      </w:r>
      <w:r>
        <w:rPr>
          <w:rFonts w:ascii="IRNazanin" w:hAnsi="IRNazanin" w:eastAsia="IRNazanin"/>
          <w:b w:val="false"/>
          <w:b w:val="false"/>
          <w:bCs w:val="false"/>
          <w:i w:val="false"/>
          <w:i w:val="false"/>
          <w:iCs w:val="false"/>
          <w:color w:val="333333"/>
          <w:sz w:val="20"/>
          <w:sz w:val="20"/>
          <w:szCs w:val="20"/>
          <w:rtl w:val="true"/>
        </w:rPr>
        <w:t xml:space="preserve">؛ النهاية، ص </w:t>
      </w:r>
      <w:r>
        <w:rPr>
          <w:rFonts w:eastAsia="IRNazanin" w:cs="IRNazanin"/>
          <w:b w:val="false"/>
          <w:bCs w:val="false"/>
          <w:i w:val="false"/>
          <w:iCs w:val="false"/>
          <w:color w:val="333333"/>
          <w:sz w:val="20"/>
          <w:szCs w:val="20"/>
        </w:rPr>
        <w:t>780</w:t>
      </w:r>
      <w:r>
        <w:rPr>
          <w:rFonts w:ascii="IRNazanin" w:hAnsi="IRNazanin" w:eastAsia="IRNazanin"/>
          <w:b w:val="false"/>
          <w:b w:val="false"/>
          <w:bCs w:val="false"/>
          <w:i w:val="false"/>
          <w:i w:val="false"/>
          <w:iCs w:val="false"/>
          <w:color w:val="333333"/>
          <w:sz w:val="20"/>
          <w:sz w:val="20"/>
          <w:szCs w:val="20"/>
          <w:rtl w:val="true"/>
        </w:rPr>
        <w:t xml:space="preserve">؛ المهذب،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512</w:t>
      </w:r>
      <w:r>
        <w:rPr>
          <w:rFonts w:eastAsia="IRNazanin" w:cs="IRNazanin"/>
          <w:b w:val="false"/>
          <w:bCs w:val="false"/>
          <w:i w:val="false"/>
          <w:iCs w:val="false"/>
          <w:color w:val="333333"/>
          <w:sz w:val="20"/>
          <w:szCs w:val="20"/>
          <w:rtl w:val="true"/>
        </w:rPr>
        <w:t>.</w:t>
      </w:r>
    </w:p>
  </w:footnote>
  <w:footnote w:id="18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نقله عن ابن الجنيد العلّامة في مختلف الشيعة،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المسألة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واستحسنه</w:t>
      </w:r>
    </w:p>
  </w:footnote>
  <w:footnote w:id="18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1156</w:t>
      </w:r>
      <w:r>
        <w:rPr>
          <w:rFonts w:eastAsia="IRNazanin" w:cs="IRNazanin"/>
          <w:b w:val="false"/>
          <w:bCs w:val="false"/>
          <w:i w:val="false"/>
          <w:iCs w:val="false"/>
          <w:color w:val="333333"/>
          <w:sz w:val="20"/>
          <w:szCs w:val="20"/>
          <w:rtl w:val="true"/>
        </w:rPr>
        <w:t>.</w:t>
      </w:r>
    </w:p>
  </w:footnote>
  <w:footnote w:id="18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النهاية، ص </w:t>
      </w:r>
      <w:r>
        <w:rPr>
          <w:rFonts w:eastAsia="IRNazanin" w:cs="IRNazanin"/>
          <w:b w:val="false"/>
          <w:bCs w:val="false"/>
          <w:i w:val="false"/>
          <w:iCs w:val="false"/>
          <w:color w:val="333333"/>
          <w:sz w:val="20"/>
          <w:szCs w:val="20"/>
        </w:rPr>
        <w:t>780</w:t>
      </w:r>
    </w:p>
  </w:footnote>
  <w:footnote w:id="18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ص </w:t>
      </w:r>
      <w:r>
        <w:rPr>
          <w:rFonts w:eastAsia="IRNazanin" w:cs="IRNazanin"/>
          <w:b w:val="false"/>
          <w:bCs w:val="false"/>
          <w:i w:val="false"/>
          <w:iCs w:val="false"/>
          <w:color w:val="333333"/>
          <w:sz w:val="20"/>
          <w:szCs w:val="20"/>
        </w:rPr>
        <w:t>460</w:t>
      </w:r>
      <w:r>
        <w:rPr>
          <w:rFonts w:ascii="IRNazanin" w:hAnsi="IRNazanin" w:eastAsia="IRNazanin"/>
          <w:b w:val="false"/>
          <w:b w:val="false"/>
          <w:bCs w:val="false"/>
          <w:i w:val="false"/>
          <w:i w:val="false"/>
          <w:iCs w:val="false"/>
          <w:color w:val="333333"/>
          <w:sz w:val="20"/>
          <w:sz w:val="20"/>
          <w:szCs w:val="20"/>
          <w:rtl w:val="true"/>
        </w:rPr>
        <w:t xml:space="preserve">، الهامش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8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1155</w:t>
      </w:r>
      <w:r>
        <w:rPr>
          <w:rFonts w:eastAsia="IRNazanin" w:cs="IRNazanin"/>
          <w:b w:val="false"/>
          <w:bCs w:val="false"/>
          <w:i w:val="false"/>
          <w:iCs w:val="false"/>
          <w:color w:val="333333"/>
          <w:sz w:val="20"/>
          <w:szCs w:val="20"/>
          <w:rtl w:val="true"/>
        </w:rPr>
        <w:t>.</w:t>
      </w:r>
    </w:p>
  </w:footnote>
  <w:footnote w:id="18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المقنعة، ص </w:t>
      </w:r>
      <w:r>
        <w:rPr>
          <w:rFonts w:eastAsia="IRNazanin" w:cs="IRNazanin"/>
          <w:b w:val="false"/>
          <w:bCs w:val="false"/>
          <w:i w:val="false"/>
          <w:iCs w:val="false"/>
          <w:color w:val="333333"/>
          <w:sz w:val="20"/>
          <w:szCs w:val="20"/>
        </w:rPr>
        <w:t>769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النهاية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780</w:t>
      </w:r>
    </w:p>
  </w:footnote>
  <w:footnote w:id="18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421</w:t>
      </w:r>
      <w:r>
        <w:rPr>
          <w:rFonts w:eastAsia="IRNazanin" w:cs="IRNazanin"/>
          <w:b w:val="false"/>
          <w:bCs w:val="false"/>
          <w:i w:val="false"/>
          <w:iCs w:val="false"/>
          <w:color w:val="333333"/>
          <w:sz w:val="20"/>
          <w:szCs w:val="20"/>
          <w:rtl w:val="true"/>
        </w:rPr>
        <w:t>.</w:t>
      </w:r>
    </w:p>
  </w:footnote>
  <w:footnote w:id="18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الصدوق في المقنع، ص </w:t>
      </w:r>
      <w:r>
        <w:rPr>
          <w:rFonts w:eastAsia="IRNazanin" w:cs="IRNazanin"/>
          <w:b w:val="false"/>
          <w:bCs w:val="false"/>
          <w:i w:val="false"/>
          <w:iCs w:val="false"/>
          <w:color w:val="333333"/>
          <w:sz w:val="20"/>
          <w:szCs w:val="20"/>
        </w:rPr>
        <w:t>534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والقاضي في المهذب،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512</w:t>
      </w:r>
      <w:r>
        <w:rPr>
          <w:rFonts w:ascii="IRNazanin" w:hAnsi="IRNazanin" w:eastAsia="IRNazanin"/>
          <w:b w:val="false"/>
          <w:b w:val="false"/>
          <w:bCs w:val="false"/>
          <w:i w:val="false"/>
          <w:i w:val="false"/>
          <w:iCs w:val="false"/>
          <w:color w:val="333333"/>
          <w:sz w:val="20"/>
          <w:sz w:val="20"/>
          <w:szCs w:val="20"/>
          <w:rtl w:val="true"/>
        </w:rPr>
        <w:t xml:space="preserve">؛ وابن حمزة في الوسيلة، ص </w:t>
      </w:r>
      <w:r>
        <w:rPr>
          <w:rFonts w:eastAsia="IRNazanin" w:cs="IRNazanin"/>
          <w:b w:val="false"/>
          <w:bCs w:val="false"/>
          <w:i w:val="false"/>
          <w:iCs w:val="false"/>
          <w:color w:val="333333"/>
          <w:sz w:val="20"/>
          <w:szCs w:val="20"/>
        </w:rPr>
        <w:t>428</w:t>
      </w:r>
      <w:r>
        <w:rPr>
          <w:rFonts w:eastAsia="IRNazanin" w:cs="IRNazanin"/>
          <w:b w:val="false"/>
          <w:bCs w:val="false"/>
          <w:i w:val="false"/>
          <w:iCs w:val="false"/>
          <w:color w:val="333333"/>
          <w:sz w:val="20"/>
          <w:szCs w:val="20"/>
          <w:rtl w:val="true"/>
        </w:rPr>
        <w:t>.</w:t>
      </w:r>
    </w:p>
  </w:footnote>
  <w:footnote w:id="18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5394</w:t>
      </w:r>
      <w:r>
        <w:rPr>
          <w:rFonts w:eastAsia="IRNazanin" w:cs="IRNazanin"/>
          <w:b w:val="false"/>
          <w:bCs w:val="false"/>
          <w:i w:val="false"/>
          <w:iCs w:val="false"/>
          <w:color w:val="333333"/>
          <w:sz w:val="20"/>
          <w:szCs w:val="20"/>
          <w:rtl w:val="true"/>
        </w:rPr>
        <w:t>.</w:t>
      </w:r>
    </w:p>
  </w:footnote>
  <w:footnote w:id="18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ذهب إليه العلّامة في مختلف الشيعة،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431</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p>
  </w:footnote>
  <w:footnote w:id="18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الهامش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جريب من بر</w:t>
      </w:r>
      <w:r>
        <w:rPr>
          <w:rFonts w:eastAsia="IRNazanin" w:cs="IRNazanin"/>
          <w:b w:val="false"/>
          <w:bCs w:val="false"/>
          <w:i w:val="false"/>
          <w:iCs w:val="false"/>
          <w:color w:val="333333"/>
          <w:sz w:val="20"/>
          <w:szCs w:val="20"/>
          <w:rtl w:val="true"/>
        </w:rPr>
        <w:t>.</w:t>
      </w:r>
    </w:p>
  </w:footnote>
  <w:footnote w:id="18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كالقاضي في المهذب،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512</w:t>
      </w:r>
      <w:r>
        <w:rPr>
          <w:rFonts w:eastAsia="IRNazanin" w:cs="IRNazanin"/>
          <w:b w:val="false"/>
          <w:bCs w:val="false"/>
          <w:i w:val="false"/>
          <w:iCs w:val="false"/>
          <w:color w:val="333333"/>
          <w:sz w:val="20"/>
          <w:szCs w:val="20"/>
          <w:rtl w:val="true"/>
        </w:rPr>
        <w:t>.</w:t>
      </w:r>
    </w:p>
  </w:footnote>
  <w:footnote w:id="18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ذهب إليه المحقق في شرائع الإسلام،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269</w:t>
      </w:r>
    </w:p>
  </w:footnote>
  <w:footnote w:id="18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ص </w:t>
      </w:r>
      <w:r>
        <w:rPr>
          <w:rFonts w:eastAsia="IRNazanin" w:cs="IRNazanin"/>
          <w:b w:val="false"/>
          <w:bCs w:val="false"/>
          <w:i w:val="false"/>
          <w:iCs w:val="false"/>
          <w:color w:val="333333"/>
          <w:sz w:val="20"/>
          <w:szCs w:val="20"/>
        </w:rPr>
        <w:t>461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الهامش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8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حكاه عن ابن الجنيد العلّامة في مختلف الشيعة،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431</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p>
  </w:footnote>
  <w:footnote w:id="18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1159</w:t>
      </w:r>
      <w:r>
        <w:rPr>
          <w:rFonts w:eastAsia="IRNazanin" w:cs="IRNazanin"/>
          <w:b w:val="false"/>
          <w:bCs w:val="false"/>
          <w:i w:val="false"/>
          <w:iCs w:val="false"/>
          <w:color w:val="333333"/>
          <w:sz w:val="20"/>
          <w:szCs w:val="20"/>
          <w:rtl w:val="true"/>
        </w:rPr>
        <w:t>.</w:t>
      </w:r>
    </w:p>
  </w:footnote>
  <w:footnote w:id="18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الدارقطني ،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216/3269</w:t>
      </w:r>
      <w:r>
        <w:rPr>
          <w:rFonts w:ascii="IRNazanin" w:hAnsi="IRNazanin" w:eastAsia="IRNazanin"/>
          <w:b w:val="false"/>
          <w:b w:val="false"/>
          <w:bCs w:val="false"/>
          <w:i w:val="false"/>
          <w:i w:val="false"/>
          <w:iCs w:val="false"/>
          <w:color w:val="333333"/>
          <w:sz w:val="20"/>
          <w:sz w:val="20"/>
          <w:szCs w:val="20"/>
          <w:rtl w:val="true"/>
        </w:rPr>
        <w:t xml:space="preserve">؛ عوالي اللآلي،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8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425</w:t>
      </w:r>
      <w:r>
        <w:rPr>
          <w:rFonts w:eastAsia="IRNazanin" w:cs="IRNazanin"/>
          <w:b w:val="false"/>
          <w:bCs w:val="false"/>
          <w:i w:val="false"/>
          <w:iCs w:val="false"/>
          <w:color w:val="333333"/>
          <w:sz w:val="20"/>
          <w:szCs w:val="20"/>
          <w:rtl w:val="true"/>
        </w:rPr>
        <w:t>.</w:t>
      </w:r>
    </w:p>
  </w:footnote>
  <w:footnote w:id="18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المحقق في شرائع الإسلام،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269</w:t>
      </w:r>
      <w:r>
        <w:rPr>
          <w:rFonts w:ascii="IRNazanin" w:hAnsi="IRNazanin" w:eastAsia="IRNazanin"/>
          <w:b w:val="false"/>
          <w:b w:val="false"/>
          <w:bCs w:val="false"/>
          <w:i w:val="false"/>
          <w:i w:val="false"/>
          <w:iCs w:val="false"/>
          <w:color w:val="333333"/>
          <w:sz w:val="20"/>
          <w:sz w:val="20"/>
          <w:szCs w:val="20"/>
          <w:rtl w:val="true"/>
        </w:rPr>
        <w:t xml:space="preserve">؛ والمختصر النافع، ص </w:t>
      </w:r>
      <w:r>
        <w:rPr>
          <w:rFonts w:eastAsia="IRNazanin" w:cs="IRNazanin"/>
          <w:b w:val="false"/>
          <w:bCs w:val="false"/>
          <w:i w:val="false"/>
          <w:iCs w:val="false"/>
          <w:color w:val="333333"/>
          <w:sz w:val="20"/>
          <w:szCs w:val="20"/>
        </w:rPr>
        <w:t>337</w:t>
      </w:r>
      <w:r>
        <w:rPr>
          <w:rFonts w:ascii="IRNazanin" w:hAnsi="IRNazanin" w:eastAsia="IRNazanin"/>
          <w:b w:val="false"/>
          <w:b w:val="false"/>
          <w:bCs w:val="false"/>
          <w:i w:val="false"/>
          <w:i w:val="false"/>
          <w:iCs w:val="false"/>
          <w:color w:val="333333"/>
          <w:sz w:val="20"/>
          <w:sz w:val="20"/>
          <w:szCs w:val="20"/>
          <w:rtl w:val="true"/>
        </w:rPr>
        <w:t xml:space="preserve">؛ وابن سعيد في الجامع للشرائع، ص </w:t>
      </w:r>
      <w:r>
        <w:rPr>
          <w:rFonts w:eastAsia="IRNazanin" w:cs="IRNazanin"/>
          <w:b w:val="false"/>
          <w:bCs w:val="false"/>
          <w:i w:val="false"/>
          <w:iCs w:val="false"/>
          <w:color w:val="333333"/>
          <w:sz w:val="20"/>
          <w:szCs w:val="20"/>
        </w:rPr>
        <w:t>604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605</w:t>
      </w:r>
      <w:r>
        <w:rPr>
          <w:rFonts w:eastAsia="IRNazanin" w:cs="IRNazanin"/>
          <w:b w:val="false"/>
          <w:bCs w:val="false"/>
          <w:i w:val="false"/>
          <w:iCs w:val="false"/>
          <w:color w:val="333333"/>
          <w:sz w:val="20"/>
          <w:szCs w:val="20"/>
          <w:rtl w:val="true"/>
        </w:rPr>
        <w:t>.</w:t>
      </w:r>
    </w:p>
  </w:footnote>
  <w:footnote w:id="18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قواعد الأحكام،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702</w:t>
      </w:r>
      <w:r>
        <w:rPr>
          <w:rFonts w:eastAsia="IRNazanin" w:cs="IRNazanin"/>
          <w:b w:val="false"/>
          <w:bCs w:val="false"/>
          <w:i w:val="false"/>
          <w:iCs w:val="false"/>
          <w:color w:val="333333"/>
          <w:sz w:val="20"/>
          <w:szCs w:val="20"/>
          <w:rtl w:val="true"/>
        </w:rPr>
        <w:t>.</w:t>
      </w:r>
    </w:p>
  </w:footnote>
  <w:footnote w:id="18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غاية المراد،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 موسوعة الشهيد الأول،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باختلاف في بعض العبارات</w:t>
      </w:r>
      <w:r>
        <w:rPr>
          <w:rFonts w:eastAsia="IRNazanin" w:cs="IRNazanin"/>
          <w:b w:val="false"/>
          <w:bCs w:val="false"/>
          <w:i w:val="false"/>
          <w:iCs w:val="false"/>
          <w:color w:val="333333"/>
          <w:sz w:val="20"/>
          <w:szCs w:val="20"/>
          <w:rtl w:val="true"/>
        </w:rPr>
        <w:t>.</w:t>
      </w:r>
    </w:p>
  </w:footnote>
  <w:footnote w:id="18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910</w:t>
      </w:r>
    </w:p>
  </w:footnote>
  <w:footnote w:id="18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كالشيخ في النهاية، ص </w:t>
      </w:r>
      <w:r>
        <w:rPr>
          <w:rFonts w:eastAsia="IRNazanin" w:cs="IRNazanin"/>
          <w:b w:val="false"/>
          <w:bCs w:val="false"/>
          <w:i w:val="false"/>
          <w:iCs w:val="false"/>
          <w:color w:val="333333"/>
          <w:sz w:val="20"/>
          <w:szCs w:val="20"/>
        </w:rPr>
        <w:t>781</w:t>
      </w:r>
      <w:r>
        <w:rPr>
          <w:rFonts w:ascii="IRNazanin" w:hAnsi="IRNazanin" w:eastAsia="IRNazanin"/>
          <w:b w:val="false"/>
          <w:b w:val="false"/>
          <w:bCs w:val="false"/>
          <w:i w:val="false"/>
          <w:i w:val="false"/>
          <w:iCs w:val="false"/>
          <w:color w:val="333333"/>
          <w:sz w:val="20"/>
          <w:sz w:val="20"/>
          <w:szCs w:val="20"/>
          <w:rtl w:val="true"/>
        </w:rPr>
        <w:t xml:space="preserve">؛ والمحقق في شرائع الإسلام،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والعلّامة في قواعد الأحكام،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702</w:t>
      </w:r>
    </w:p>
  </w:footnote>
  <w:footnote w:id="19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في شرح مقدّمة المصنّف</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footer" Target="footer309.xml"/><Relationship Id="rId315" Type="http://schemas.openxmlformats.org/officeDocument/2006/relationships/footer" Target="footer310.xml"/><Relationship Id="rId316" Type="http://schemas.openxmlformats.org/officeDocument/2006/relationships/footer" Target="footer311.xml"/><Relationship Id="rId317" Type="http://schemas.openxmlformats.org/officeDocument/2006/relationships/footer" Target="footer312.xml"/><Relationship Id="rId318" Type="http://schemas.openxmlformats.org/officeDocument/2006/relationships/footer" Target="footer313.xml"/><Relationship Id="rId319" Type="http://schemas.openxmlformats.org/officeDocument/2006/relationships/footer" Target="footer314.xml"/><Relationship Id="rId320" Type="http://schemas.openxmlformats.org/officeDocument/2006/relationships/footer" Target="footer315.xml"/><Relationship Id="rId321" Type="http://schemas.openxmlformats.org/officeDocument/2006/relationships/footer" Target="footer316.xml"/><Relationship Id="rId322" Type="http://schemas.openxmlformats.org/officeDocument/2006/relationships/footer" Target="footer317.xml"/><Relationship Id="rId323" Type="http://schemas.openxmlformats.org/officeDocument/2006/relationships/footer" Target="footer318.xml"/><Relationship Id="rId324" Type="http://schemas.openxmlformats.org/officeDocument/2006/relationships/footer" Target="footer319.xml"/><Relationship Id="rId325" Type="http://schemas.openxmlformats.org/officeDocument/2006/relationships/footer" Target="footer320.xml"/><Relationship Id="rId326" Type="http://schemas.openxmlformats.org/officeDocument/2006/relationships/footer" Target="footer321.xml"/><Relationship Id="rId327" Type="http://schemas.openxmlformats.org/officeDocument/2006/relationships/footer" Target="footer322.xml"/><Relationship Id="rId328" Type="http://schemas.openxmlformats.org/officeDocument/2006/relationships/footer" Target="footer323.xml"/><Relationship Id="rId329" Type="http://schemas.openxmlformats.org/officeDocument/2006/relationships/footer" Target="footer324.xml"/><Relationship Id="rId330" Type="http://schemas.openxmlformats.org/officeDocument/2006/relationships/footer" Target="footer325.xml"/><Relationship Id="rId331" Type="http://schemas.openxmlformats.org/officeDocument/2006/relationships/footer" Target="footer326.xml"/><Relationship Id="rId332" Type="http://schemas.openxmlformats.org/officeDocument/2006/relationships/footer" Target="footer327.xml"/><Relationship Id="rId333" Type="http://schemas.openxmlformats.org/officeDocument/2006/relationships/footer" Target="footer328.xml"/><Relationship Id="rId334" Type="http://schemas.openxmlformats.org/officeDocument/2006/relationships/footer" Target="footer329.xml"/><Relationship Id="rId335" Type="http://schemas.openxmlformats.org/officeDocument/2006/relationships/footer" Target="footer330.xml"/><Relationship Id="rId336" Type="http://schemas.openxmlformats.org/officeDocument/2006/relationships/footer" Target="footer331.xml"/><Relationship Id="rId337" Type="http://schemas.openxmlformats.org/officeDocument/2006/relationships/footer" Target="footer332.xml"/><Relationship Id="rId338" Type="http://schemas.openxmlformats.org/officeDocument/2006/relationships/footer" Target="footer333.xml"/><Relationship Id="rId339" Type="http://schemas.openxmlformats.org/officeDocument/2006/relationships/footer" Target="footer334.xml"/><Relationship Id="rId340" Type="http://schemas.openxmlformats.org/officeDocument/2006/relationships/footer" Target="footer335.xml"/><Relationship Id="rId341" Type="http://schemas.openxmlformats.org/officeDocument/2006/relationships/footer" Target="footer336.xml"/><Relationship Id="rId342" Type="http://schemas.openxmlformats.org/officeDocument/2006/relationships/footer" Target="footer337.xml"/><Relationship Id="rId343" Type="http://schemas.openxmlformats.org/officeDocument/2006/relationships/footer" Target="footer338.xml"/><Relationship Id="rId344" Type="http://schemas.openxmlformats.org/officeDocument/2006/relationships/footer" Target="footer339.xml"/><Relationship Id="rId345" Type="http://schemas.openxmlformats.org/officeDocument/2006/relationships/footer" Target="footer340.xml"/><Relationship Id="rId346" Type="http://schemas.openxmlformats.org/officeDocument/2006/relationships/footer" Target="footer341.xml"/><Relationship Id="rId347" Type="http://schemas.openxmlformats.org/officeDocument/2006/relationships/footer" Target="footer342.xml"/><Relationship Id="rId348" Type="http://schemas.openxmlformats.org/officeDocument/2006/relationships/footer" Target="footer343.xml"/><Relationship Id="rId349" Type="http://schemas.openxmlformats.org/officeDocument/2006/relationships/footer" Target="footer344.xml"/><Relationship Id="rId350" Type="http://schemas.openxmlformats.org/officeDocument/2006/relationships/footer" Target="footer345.xml"/><Relationship Id="rId351" Type="http://schemas.openxmlformats.org/officeDocument/2006/relationships/footer" Target="footer346.xml"/><Relationship Id="rId352" Type="http://schemas.openxmlformats.org/officeDocument/2006/relationships/footer" Target="footer347.xml"/><Relationship Id="rId353" Type="http://schemas.openxmlformats.org/officeDocument/2006/relationships/footer" Target="footer348.xml"/><Relationship Id="rId354" Type="http://schemas.openxmlformats.org/officeDocument/2006/relationships/footer" Target="footer349.xml"/><Relationship Id="rId355" Type="http://schemas.openxmlformats.org/officeDocument/2006/relationships/footer" Target="footer350.xml"/><Relationship Id="rId356" Type="http://schemas.openxmlformats.org/officeDocument/2006/relationships/footer" Target="footer351.xml"/><Relationship Id="rId357" Type="http://schemas.openxmlformats.org/officeDocument/2006/relationships/footer" Target="footer352.xml"/><Relationship Id="rId358" Type="http://schemas.openxmlformats.org/officeDocument/2006/relationships/footer" Target="footer353.xml"/><Relationship Id="rId359" Type="http://schemas.openxmlformats.org/officeDocument/2006/relationships/footer" Target="footer354.xml"/><Relationship Id="rId360" Type="http://schemas.openxmlformats.org/officeDocument/2006/relationships/footer" Target="footer355.xml"/><Relationship Id="rId361" Type="http://schemas.openxmlformats.org/officeDocument/2006/relationships/footer" Target="footer356.xml"/><Relationship Id="rId362" Type="http://schemas.openxmlformats.org/officeDocument/2006/relationships/footer" Target="footer357.xml"/><Relationship Id="rId363" Type="http://schemas.openxmlformats.org/officeDocument/2006/relationships/footer" Target="footer358.xml"/><Relationship Id="rId364" Type="http://schemas.openxmlformats.org/officeDocument/2006/relationships/footer" Target="footer359.xml"/><Relationship Id="rId365" Type="http://schemas.openxmlformats.org/officeDocument/2006/relationships/footer" Target="footer360.xml"/><Relationship Id="rId366" Type="http://schemas.openxmlformats.org/officeDocument/2006/relationships/footer" Target="footer361.xml"/><Relationship Id="rId367" Type="http://schemas.openxmlformats.org/officeDocument/2006/relationships/footer" Target="footer362.xml"/><Relationship Id="rId368" Type="http://schemas.openxmlformats.org/officeDocument/2006/relationships/footer" Target="footer363.xml"/><Relationship Id="rId369" Type="http://schemas.openxmlformats.org/officeDocument/2006/relationships/footer" Target="footer364.xml"/><Relationship Id="rId370" Type="http://schemas.openxmlformats.org/officeDocument/2006/relationships/footer" Target="footer365.xml"/><Relationship Id="rId371" Type="http://schemas.openxmlformats.org/officeDocument/2006/relationships/footer" Target="footer366.xml"/><Relationship Id="rId372" Type="http://schemas.openxmlformats.org/officeDocument/2006/relationships/footer" Target="footer367.xml"/><Relationship Id="rId373" Type="http://schemas.openxmlformats.org/officeDocument/2006/relationships/footer" Target="footer368.xml"/><Relationship Id="rId374" Type="http://schemas.openxmlformats.org/officeDocument/2006/relationships/footer" Target="footer369.xml"/><Relationship Id="rId375" Type="http://schemas.openxmlformats.org/officeDocument/2006/relationships/footer" Target="footer370.xml"/><Relationship Id="rId376" Type="http://schemas.openxmlformats.org/officeDocument/2006/relationships/footer" Target="footer371.xml"/><Relationship Id="rId377" Type="http://schemas.openxmlformats.org/officeDocument/2006/relationships/footer" Target="footer372.xml"/><Relationship Id="rId378" Type="http://schemas.openxmlformats.org/officeDocument/2006/relationships/footer" Target="footer373.xml"/><Relationship Id="rId379" Type="http://schemas.openxmlformats.org/officeDocument/2006/relationships/footer" Target="footer374.xml"/><Relationship Id="rId380" Type="http://schemas.openxmlformats.org/officeDocument/2006/relationships/footer" Target="footer375.xml"/><Relationship Id="rId381" Type="http://schemas.openxmlformats.org/officeDocument/2006/relationships/footer" Target="footer376.xml"/><Relationship Id="rId382" Type="http://schemas.openxmlformats.org/officeDocument/2006/relationships/footer" Target="footer377.xml"/><Relationship Id="rId383" Type="http://schemas.openxmlformats.org/officeDocument/2006/relationships/footer" Target="footer378.xml"/><Relationship Id="rId384" Type="http://schemas.openxmlformats.org/officeDocument/2006/relationships/footer" Target="footer379.xml"/><Relationship Id="rId385" Type="http://schemas.openxmlformats.org/officeDocument/2006/relationships/footer" Target="footer380.xml"/><Relationship Id="rId386" Type="http://schemas.openxmlformats.org/officeDocument/2006/relationships/footer" Target="footer381.xml"/><Relationship Id="rId387" Type="http://schemas.openxmlformats.org/officeDocument/2006/relationships/footer" Target="footer382.xml"/><Relationship Id="rId388" Type="http://schemas.openxmlformats.org/officeDocument/2006/relationships/footer" Target="footer383.xml"/><Relationship Id="rId389" Type="http://schemas.openxmlformats.org/officeDocument/2006/relationships/footer" Target="footer384.xml"/><Relationship Id="rId390" Type="http://schemas.openxmlformats.org/officeDocument/2006/relationships/footer" Target="footer385.xml"/><Relationship Id="rId391" Type="http://schemas.openxmlformats.org/officeDocument/2006/relationships/footer" Target="footer386.xml"/><Relationship Id="rId392" Type="http://schemas.openxmlformats.org/officeDocument/2006/relationships/footer" Target="footer387.xml"/><Relationship Id="rId393" Type="http://schemas.openxmlformats.org/officeDocument/2006/relationships/footer" Target="footer388.xml"/><Relationship Id="rId394" Type="http://schemas.openxmlformats.org/officeDocument/2006/relationships/footer" Target="footer389.xml"/><Relationship Id="rId395" Type="http://schemas.openxmlformats.org/officeDocument/2006/relationships/footer" Target="footer390.xml"/><Relationship Id="rId396" Type="http://schemas.openxmlformats.org/officeDocument/2006/relationships/footer" Target="footer391.xml"/><Relationship Id="rId397" Type="http://schemas.openxmlformats.org/officeDocument/2006/relationships/footer" Target="footer392.xml"/><Relationship Id="rId398" Type="http://schemas.openxmlformats.org/officeDocument/2006/relationships/footer" Target="footer393.xml"/><Relationship Id="rId399" Type="http://schemas.openxmlformats.org/officeDocument/2006/relationships/footer" Target="footer394.xml"/><Relationship Id="rId400" Type="http://schemas.openxmlformats.org/officeDocument/2006/relationships/footer" Target="footer395.xml"/><Relationship Id="rId401" Type="http://schemas.openxmlformats.org/officeDocument/2006/relationships/footer" Target="footer396.xml"/><Relationship Id="rId402" Type="http://schemas.openxmlformats.org/officeDocument/2006/relationships/footer" Target="footer397.xml"/><Relationship Id="rId403" Type="http://schemas.openxmlformats.org/officeDocument/2006/relationships/footer" Target="footer398.xml"/><Relationship Id="rId404" Type="http://schemas.openxmlformats.org/officeDocument/2006/relationships/footer" Target="footer399.xml"/><Relationship Id="rId405" Type="http://schemas.openxmlformats.org/officeDocument/2006/relationships/footer" Target="footer400.xml"/><Relationship Id="rId406" Type="http://schemas.openxmlformats.org/officeDocument/2006/relationships/footer" Target="footer401.xml"/><Relationship Id="rId407" Type="http://schemas.openxmlformats.org/officeDocument/2006/relationships/footer" Target="footer402.xml"/><Relationship Id="rId408" Type="http://schemas.openxmlformats.org/officeDocument/2006/relationships/footer" Target="footer403.xml"/><Relationship Id="rId409" Type="http://schemas.openxmlformats.org/officeDocument/2006/relationships/footer" Target="footer404.xml"/><Relationship Id="rId410" Type="http://schemas.openxmlformats.org/officeDocument/2006/relationships/footer" Target="footer405.xml"/><Relationship Id="rId411" Type="http://schemas.openxmlformats.org/officeDocument/2006/relationships/footer" Target="footer406.xml"/><Relationship Id="rId412" Type="http://schemas.openxmlformats.org/officeDocument/2006/relationships/footer" Target="footer407.xml"/><Relationship Id="rId413" Type="http://schemas.openxmlformats.org/officeDocument/2006/relationships/footer" Target="footer408.xml"/><Relationship Id="rId414" Type="http://schemas.openxmlformats.org/officeDocument/2006/relationships/footer" Target="footer409.xml"/><Relationship Id="rId415" Type="http://schemas.openxmlformats.org/officeDocument/2006/relationships/footer" Target="footer410.xml"/><Relationship Id="rId416" Type="http://schemas.openxmlformats.org/officeDocument/2006/relationships/footer" Target="footer411.xml"/><Relationship Id="rId417" Type="http://schemas.openxmlformats.org/officeDocument/2006/relationships/footer" Target="footer412.xml"/><Relationship Id="rId418" Type="http://schemas.openxmlformats.org/officeDocument/2006/relationships/footer" Target="footer413.xml"/><Relationship Id="rId419" Type="http://schemas.openxmlformats.org/officeDocument/2006/relationships/footer" Target="footer414.xml"/><Relationship Id="rId420" Type="http://schemas.openxmlformats.org/officeDocument/2006/relationships/footer" Target="footer415.xml"/><Relationship Id="rId421" Type="http://schemas.openxmlformats.org/officeDocument/2006/relationships/footer" Target="footer416.xml"/><Relationship Id="rId422" Type="http://schemas.openxmlformats.org/officeDocument/2006/relationships/footer" Target="footer417.xml"/><Relationship Id="rId423" Type="http://schemas.openxmlformats.org/officeDocument/2006/relationships/footer" Target="footer418.xml"/><Relationship Id="rId424" Type="http://schemas.openxmlformats.org/officeDocument/2006/relationships/footer" Target="footer419.xml"/><Relationship Id="rId425" Type="http://schemas.openxmlformats.org/officeDocument/2006/relationships/footer" Target="footer420.xml"/><Relationship Id="rId426" Type="http://schemas.openxmlformats.org/officeDocument/2006/relationships/footer" Target="footer421.xml"/><Relationship Id="rId427" Type="http://schemas.openxmlformats.org/officeDocument/2006/relationships/footer" Target="footer422.xml"/><Relationship Id="rId428" Type="http://schemas.openxmlformats.org/officeDocument/2006/relationships/footer" Target="footer423.xml"/><Relationship Id="rId429" Type="http://schemas.openxmlformats.org/officeDocument/2006/relationships/footer" Target="footer424.xml"/><Relationship Id="rId430" Type="http://schemas.openxmlformats.org/officeDocument/2006/relationships/footer" Target="footer425.xml"/><Relationship Id="rId431" Type="http://schemas.openxmlformats.org/officeDocument/2006/relationships/footer" Target="footer426.xml"/><Relationship Id="rId432" Type="http://schemas.openxmlformats.org/officeDocument/2006/relationships/footer" Target="footer427.xml"/><Relationship Id="rId433" Type="http://schemas.openxmlformats.org/officeDocument/2006/relationships/footer" Target="footer428.xml"/><Relationship Id="rId434" Type="http://schemas.openxmlformats.org/officeDocument/2006/relationships/footer" Target="footer429.xml"/><Relationship Id="rId435" Type="http://schemas.openxmlformats.org/officeDocument/2006/relationships/footer" Target="footer430.xml"/><Relationship Id="rId436" Type="http://schemas.openxmlformats.org/officeDocument/2006/relationships/footer" Target="footer431.xml"/><Relationship Id="rId437" Type="http://schemas.openxmlformats.org/officeDocument/2006/relationships/footer" Target="footer432.xml"/><Relationship Id="rId438" Type="http://schemas.openxmlformats.org/officeDocument/2006/relationships/footer" Target="footer433.xml"/><Relationship Id="rId439" Type="http://schemas.openxmlformats.org/officeDocument/2006/relationships/footer" Target="footer434.xml"/><Relationship Id="rId440" Type="http://schemas.openxmlformats.org/officeDocument/2006/relationships/footer" Target="footer435.xml"/><Relationship Id="rId441" Type="http://schemas.openxmlformats.org/officeDocument/2006/relationships/footer" Target="footer436.xml"/><Relationship Id="rId442" Type="http://schemas.openxmlformats.org/officeDocument/2006/relationships/footer" Target="footer437.xml"/><Relationship Id="rId443" Type="http://schemas.openxmlformats.org/officeDocument/2006/relationships/footer" Target="footer438.xml"/><Relationship Id="rId444" Type="http://schemas.openxmlformats.org/officeDocument/2006/relationships/footer" Target="footer439.xml"/><Relationship Id="rId445" Type="http://schemas.openxmlformats.org/officeDocument/2006/relationships/footer" Target="footer440.xml"/><Relationship Id="rId446" Type="http://schemas.openxmlformats.org/officeDocument/2006/relationships/footer" Target="footer441.xml"/><Relationship Id="rId447" Type="http://schemas.openxmlformats.org/officeDocument/2006/relationships/footer" Target="footer442.xml"/><Relationship Id="rId448" Type="http://schemas.openxmlformats.org/officeDocument/2006/relationships/footer" Target="footer443.xml"/><Relationship Id="rId449" Type="http://schemas.openxmlformats.org/officeDocument/2006/relationships/footer" Target="footer444.xml"/><Relationship Id="rId450" Type="http://schemas.openxmlformats.org/officeDocument/2006/relationships/footer" Target="footer445.xml"/><Relationship Id="rId451" Type="http://schemas.openxmlformats.org/officeDocument/2006/relationships/footer" Target="footer446.xml"/><Relationship Id="rId452" Type="http://schemas.openxmlformats.org/officeDocument/2006/relationships/footer" Target="footer447.xml"/><Relationship Id="rId453" Type="http://schemas.openxmlformats.org/officeDocument/2006/relationships/footer" Target="footer448.xml"/><Relationship Id="rId454" Type="http://schemas.openxmlformats.org/officeDocument/2006/relationships/footer" Target="footer449.xml"/><Relationship Id="rId455" Type="http://schemas.openxmlformats.org/officeDocument/2006/relationships/footer" Target="footer450.xml"/><Relationship Id="rId456" Type="http://schemas.openxmlformats.org/officeDocument/2006/relationships/footer" Target="footer451.xml"/><Relationship Id="rId457" Type="http://schemas.openxmlformats.org/officeDocument/2006/relationships/footer" Target="footer452.xml"/><Relationship Id="rId458" Type="http://schemas.openxmlformats.org/officeDocument/2006/relationships/footer" Target="footer453.xml"/><Relationship Id="rId459" Type="http://schemas.openxmlformats.org/officeDocument/2006/relationships/footer" Target="footer454.xml"/><Relationship Id="rId460" Type="http://schemas.openxmlformats.org/officeDocument/2006/relationships/footer" Target="footer455.xml"/><Relationship Id="rId461" Type="http://schemas.openxmlformats.org/officeDocument/2006/relationships/footer" Target="footer456.xml"/><Relationship Id="rId462" Type="http://schemas.openxmlformats.org/officeDocument/2006/relationships/footer" Target="footer457.xml"/><Relationship Id="rId463" Type="http://schemas.openxmlformats.org/officeDocument/2006/relationships/footer" Target="footer458.xml"/><Relationship Id="rId464" Type="http://schemas.openxmlformats.org/officeDocument/2006/relationships/footer" Target="footer459.xml"/><Relationship Id="rId465" Type="http://schemas.openxmlformats.org/officeDocument/2006/relationships/footer" Target="footer460.xml"/><Relationship Id="rId466" Type="http://schemas.openxmlformats.org/officeDocument/2006/relationships/footer" Target="footer461.xml"/><Relationship Id="rId467" Type="http://schemas.openxmlformats.org/officeDocument/2006/relationships/footer" Target="footer462.xml"/><Relationship Id="rId468" Type="http://schemas.openxmlformats.org/officeDocument/2006/relationships/footer" Target="footer463.xml"/><Relationship Id="rId469" Type="http://schemas.openxmlformats.org/officeDocument/2006/relationships/footer" Target="footer464.xml"/><Relationship Id="rId470" Type="http://schemas.openxmlformats.org/officeDocument/2006/relationships/image" Target="media/image2.jpeg"/><Relationship Id="rId471" Type="http://schemas.openxmlformats.org/officeDocument/2006/relationships/image" Target="media/image2.jpeg"/><Relationship Id="rId472" Type="http://schemas.openxmlformats.org/officeDocument/2006/relationships/footer" Target="footer465.xml"/><Relationship Id="rId473" Type="http://schemas.openxmlformats.org/officeDocument/2006/relationships/footnotes" Target="footnotes.xml"/><Relationship Id="rId474" Type="http://schemas.openxmlformats.org/officeDocument/2006/relationships/numbering" Target="numbering.xml"/><Relationship Id="rId475" Type="http://schemas.openxmlformats.org/officeDocument/2006/relationships/fontTable" Target="fontTable.xml"/><Relationship Id="rId476" Type="http://schemas.openxmlformats.org/officeDocument/2006/relationships/settings" Target="settings.xml"/><Relationship Id="rId477"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470</Pages>
  <Words>115139</Words>
  <Characters>496954</Characters>
  <CharactersWithSpaces>609524</CharactersWithSpaces>
  <Paragraphs>4890</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2026-08-21T00:35:26Z</dcterms:created>
  <dc:creator>ghaemiyeh.com</dc:creator>
  <dc:description/>
  <dc:language>en-US</dc:language>
  <cp:lastModifiedBy/>
  <dcterms:modified xsi:type="dcterms:W3CDTF">2026-08-21T04:05:45Z</dcterms:modified>
  <cp:revision>1</cp:revision>
  <dc:subject/>
  <dc:title>موسوعة الشهید الثانی جلد 9</dc:title>
</cp:coreProperties>
</file>

<file path=docProps/custom.xml><?xml version="1.0" encoding="utf-8"?>
<Properties xmlns="http://schemas.openxmlformats.org/officeDocument/2006/custom-properties" xmlns:vt="http://schemas.openxmlformats.org/officeDocument/2006/docPropsVTypes"/>
</file>