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التشیع فریضة اسلامیة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43269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443271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43273_2870459653">
            <w:r>
              <w:rPr>
                <w:webHidden/>
                <w:rStyle w:val="IndexLink"/>
                <w:rtl w:val="true"/>
              </w:rPr>
              <w:t>التشيع فريضة إسلامية</w:t>
            </w:r>
            <w:r>
              <w:rPr>
                <w:rStyle w:val="IndexLink"/>
                <w:rtl w:val="true"/>
              </w:rPr>
              <w:tab/>
            </w:r>
            <w:r>
              <w:rPr>
                <w:rStyle w:val="IndexLink"/>
              </w:rPr>
              <w:t>8</w:t>
            </w:r>
          </w:hyperlink>
        </w:p>
        <w:p>
          <w:pPr>
            <w:pStyle w:val="Contents2"/>
            <w:tabs>
              <w:tab w:val="clear" w:pos="8743"/>
              <w:tab w:val="right" w:pos="9026" w:leader="dot"/>
            </w:tabs>
            <w:rPr/>
          </w:pPr>
          <w:hyperlink w:anchor="__RefHeading___Toc8443275_2870459653">
            <w:r>
              <w:rPr>
                <w:webHidden/>
                <w:rStyle w:val="IndexLink"/>
                <w:rtl w:val="true"/>
              </w:rPr>
              <w:t xml:space="preserve">والخلاصة هو ما يلي </w:t>
            </w:r>
            <w:r>
              <w:rPr>
                <w:rStyle w:val="IndexLink"/>
                <w:rtl w:val="true"/>
              </w:rPr>
              <w:t>:</w:t>
              <w:tab/>
            </w:r>
            <w:r>
              <w:rPr>
                <w:rStyle w:val="IndexLink"/>
              </w:rPr>
              <w:t>13</w:t>
            </w:r>
          </w:hyperlink>
        </w:p>
        <w:p>
          <w:pPr>
            <w:pStyle w:val="Contents2"/>
            <w:tabs>
              <w:tab w:val="clear" w:pos="8743"/>
              <w:tab w:val="right" w:pos="9026" w:leader="dot"/>
            </w:tabs>
            <w:rPr/>
          </w:pPr>
          <w:hyperlink w:anchor="__RefHeading___Toc8443277_2870459653">
            <w:r>
              <w:rPr>
                <w:webHidden/>
                <w:rStyle w:val="IndexLink"/>
                <w:rtl w:val="true"/>
              </w:rPr>
              <w:t>التشيع ظاهرة إسلامية</w:t>
            </w:r>
            <w:r>
              <w:rPr>
                <w:rStyle w:val="IndexLink"/>
                <w:rtl w:val="true"/>
              </w:rPr>
              <w:tab/>
            </w:r>
            <w:r>
              <w:rPr>
                <w:rStyle w:val="IndexLink"/>
              </w:rPr>
              <w:t>16</w:t>
            </w:r>
          </w:hyperlink>
        </w:p>
        <w:p>
          <w:pPr>
            <w:pStyle w:val="Contents2"/>
            <w:tabs>
              <w:tab w:val="clear" w:pos="8743"/>
              <w:tab w:val="right" w:pos="9026" w:leader="dot"/>
            </w:tabs>
            <w:rPr/>
          </w:pPr>
          <w:hyperlink w:anchor="__RefHeading___Toc8443279_2870459653">
            <w:r>
              <w:rPr>
                <w:webHidden/>
                <w:rStyle w:val="IndexLink"/>
                <w:rtl w:val="true"/>
              </w:rPr>
              <w:t>النبي الكريم يمنح الجائزة للمتشيّع</w:t>
            </w:r>
            <w:r>
              <w:rPr>
                <w:rStyle w:val="IndexLink"/>
                <w:rtl w:val="true"/>
              </w:rPr>
              <w:tab/>
            </w:r>
            <w:r>
              <w:rPr>
                <w:rStyle w:val="IndexLink"/>
              </w:rPr>
              <w:t>16</w:t>
            </w:r>
          </w:hyperlink>
        </w:p>
        <w:p>
          <w:pPr>
            <w:pStyle w:val="Contents2"/>
            <w:tabs>
              <w:tab w:val="clear" w:pos="8743"/>
              <w:tab w:val="right" w:pos="9026" w:leader="dot"/>
            </w:tabs>
            <w:rPr/>
          </w:pPr>
          <w:hyperlink w:anchor="__RefHeading___Toc8443281_2870459653">
            <w:r>
              <w:rPr>
                <w:webHidden/>
                <w:rStyle w:val="IndexLink"/>
                <w:rtl w:val="true"/>
              </w:rPr>
              <w:t>نتائج البحث</w:t>
            </w:r>
            <w:r>
              <w:rPr>
                <w:rStyle w:val="IndexLink"/>
                <w:rtl w:val="true"/>
              </w:rPr>
              <w:tab/>
            </w:r>
            <w:r>
              <w:rPr>
                <w:rStyle w:val="IndexLink"/>
              </w:rPr>
              <w:t>19</w:t>
            </w:r>
          </w:hyperlink>
        </w:p>
        <w:p>
          <w:pPr>
            <w:pStyle w:val="Contents3"/>
            <w:tabs>
              <w:tab w:val="clear" w:pos="8459"/>
              <w:tab w:val="right" w:pos="9026" w:leader="dot"/>
            </w:tabs>
            <w:rPr/>
          </w:pPr>
          <w:hyperlink w:anchor="__RefHeading___Toc8443283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443285_2870459653">
            <w:r>
              <w:rPr>
                <w:webHidden/>
                <w:rStyle w:val="IndexLink"/>
                <w:rtl w:val="true"/>
              </w:rPr>
              <w:t>الأردن</w:t>
            </w:r>
            <w:r>
              <w:rPr>
                <w:rStyle w:val="IndexLink"/>
                <w:rtl w:val="true"/>
              </w:rPr>
              <w:tab/>
            </w:r>
            <w:r>
              <w:rPr>
                <w:rStyle w:val="IndexLink"/>
              </w:rPr>
              <w:t>20</w:t>
            </w:r>
          </w:hyperlink>
        </w:p>
        <w:p>
          <w:pPr>
            <w:pStyle w:val="Contents3"/>
            <w:tabs>
              <w:tab w:val="clear" w:pos="8459"/>
              <w:tab w:val="right" w:pos="9026" w:leader="dot"/>
            </w:tabs>
            <w:rPr/>
          </w:pPr>
          <w:hyperlink w:anchor="__RefHeading___Toc8443287_2870459653">
            <w:r>
              <w:rPr>
                <w:webHidden/>
                <w:rStyle w:val="IndexLink"/>
                <w:rtl w:val="true"/>
              </w:rPr>
              <w:t>تونس</w:t>
            </w:r>
            <w:r>
              <w:rPr>
                <w:rStyle w:val="IndexLink"/>
                <w:rtl w:val="true"/>
              </w:rPr>
              <w:tab/>
            </w:r>
            <w:r>
              <w:rPr>
                <w:rStyle w:val="IndexLink"/>
              </w:rPr>
              <w:t>21</w:t>
            </w:r>
          </w:hyperlink>
        </w:p>
        <w:p>
          <w:pPr>
            <w:pStyle w:val="Contents3"/>
            <w:tabs>
              <w:tab w:val="clear" w:pos="8459"/>
              <w:tab w:val="right" w:pos="9026" w:leader="dot"/>
            </w:tabs>
            <w:rPr/>
          </w:pPr>
          <w:hyperlink w:anchor="__RefHeading___Toc8443289_2870459653">
            <w:r>
              <w:rPr>
                <w:webHidden/>
                <w:rStyle w:val="IndexLink"/>
                <w:rtl w:val="true"/>
              </w:rPr>
              <w:t>المغرب</w:t>
            </w:r>
            <w:r>
              <w:rPr>
                <w:rStyle w:val="IndexLink"/>
                <w:rtl w:val="true"/>
              </w:rPr>
              <w:tab/>
            </w:r>
            <w:r>
              <w:rPr>
                <w:rStyle w:val="IndexLink"/>
              </w:rPr>
              <w:t>21</w:t>
            </w:r>
          </w:hyperlink>
        </w:p>
        <w:p>
          <w:pPr>
            <w:pStyle w:val="Contents3"/>
            <w:tabs>
              <w:tab w:val="clear" w:pos="8459"/>
              <w:tab w:val="right" w:pos="9026" w:leader="dot"/>
            </w:tabs>
            <w:rPr/>
          </w:pPr>
          <w:hyperlink w:anchor="__RefHeading___Toc8443291_2870459653">
            <w:r>
              <w:rPr>
                <w:webHidden/>
                <w:rStyle w:val="IndexLink"/>
                <w:rtl w:val="true"/>
              </w:rPr>
              <w:t>مصر</w:t>
            </w:r>
            <w:r>
              <w:rPr>
                <w:rStyle w:val="IndexLink"/>
                <w:rtl w:val="true"/>
              </w:rPr>
              <w:tab/>
            </w:r>
            <w:r>
              <w:rPr>
                <w:rStyle w:val="IndexLink"/>
              </w:rPr>
              <w:t>22</w:t>
            </w:r>
          </w:hyperlink>
        </w:p>
        <w:p>
          <w:pPr>
            <w:pStyle w:val="Contents3"/>
            <w:tabs>
              <w:tab w:val="clear" w:pos="8459"/>
              <w:tab w:val="right" w:pos="9026" w:leader="dot"/>
            </w:tabs>
            <w:rPr/>
          </w:pPr>
          <w:hyperlink w:anchor="__RefHeading___Toc8443293_2870459653">
            <w:r>
              <w:rPr>
                <w:webHidden/>
                <w:rStyle w:val="IndexLink"/>
                <w:rtl w:val="true"/>
              </w:rPr>
              <w:t>فلسطين</w:t>
            </w:r>
            <w:r>
              <w:rPr>
                <w:rStyle w:val="IndexLink"/>
                <w:rtl w:val="true"/>
              </w:rPr>
              <w:tab/>
            </w:r>
            <w:r>
              <w:rPr>
                <w:rStyle w:val="IndexLink"/>
              </w:rPr>
              <w:t>23</w:t>
            </w:r>
          </w:hyperlink>
        </w:p>
        <w:p>
          <w:pPr>
            <w:pStyle w:val="Contents3"/>
            <w:tabs>
              <w:tab w:val="clear" w:pos="8459"/>
              <w:tab w:val="right" w:pos="9026" w:leader="dot"/>
            </w:tabs>
            <w:rPr/>
          </w:pPr>
          <w:hyperlink w:anchor="__RefHeading___Toc8443295_2870459653">
            <w:r>
              <w:rPr>
                <w:webHidden/>
                <w:rStyle w:val="IndexLink"/>
                <w:rtl w:val="true"/>
              </w:rPr>
              <w:t>السودان</w:t>
            </w:r>
            <w:r>
              <w:rPr>
                <w:rStyle w:val="IndexLink"/>
                <w:rtl w:val="true"/>
              </w:rPr>
              <w:tab/>
            </w:r>
            <w:r>
              <w:rPr>
                <w:rStyle w:val="IndexLink"/>
              </w:rPr>
              <w:t>23</w:t>
            </w:r>
          </w:hyperlink>
        </w:p>
        <w:p>
          <w:pPr>
            <w:pStyle w:val="Contents3"/>
            <w:tabs>
              <w:tab w:val="clear" w:pos="8459"/>
              <w:tab w:val="right" w:pos="9026" w:leader="dot"/>
            </w:tabs>
            <w:rPr/>
          </w:pPr>
          <w:hyperlink w:anchor="__RefHeading___Toc8443297_2870459653">
            <w:r>
              <w:rPr>
                <w:webHidden/>
                <w:rStyle w:val="IndexLink"/>
                <w:rtl w:val="true"/>
              </w:rPr>
              <w:t>سوريا</w:t>
            </w:r>
            <w:r>
              <w:rPr>
                <w:rStyle w:val="IndexLink"/>
                <w:rtl w:val="true"/>
              </w:rPr>
              <w:tab/>
            </w:r>
            <w:r>
              <w:rPr>
                <w:rStyle w:val="IndexLink"/>
              </w:rPr>
              <w:t>23</w:t>
            </w:r>
          </w:hyperlink>
        </w:p>
        <w:p>
          <w:pPr>
            <w:pStyle w:val="Contents3"/>
            <w:tabs>
              <w:tab w:val="clear" w:pos="8459"/>
              <w:tab w:val="right" w:pos="9026" w:leader="dot"/>
            </w:tabs>
            <w:rPr/>
          </w:pPr>
          <w:hyperlink w:anchor="__RefHeading___Toc8443299_2870459653">
            <w:r>
              <w:rPr>
                <w:webHidden/>
                <w:rStyle w:val="IndexLink"/>
                <w:rtl w:val="true"/>
              </w:rPr>
              <w:t>العراق</w:t>
            </w:r>
            <w:r>
              <w:rPr>
                <w:rStyle w:val="IndexLink"/>
                <w:rtl w:val="true"/>
              </w:rPr>
              <w:tab/>
            </w:r>
            <w:r>
              <w:rPr>
                <w:rStyle w:val="IndexLink"/>
              </w:rPr>
              <w:t>24</w:t>
            </w:r>
          </w:hyperlink>
        </w:p>
        <w:p>
          <w:pPr>
            <w:pStyle w:val="Contents2"/>
            <w:tabs>
              <w:tab w:val="clear" w:pos="8743"/>
              <w:tab w:val="right" w:pos="9026" w:leader="dot"/>
            </w:tabs>
            <w:rPr/>
          </w:pPr>
          <w:hyperlink w:anchor="__RefHeading___Toc8443301_2870459653">
            <w:r>
              <w:rPr>
                <w:webHidden/>
                <w:rStyle w:val="IndexLink"/>
                <w:rtl w:val="true"/>
              </w:rPr>
              <w:t>التشيع ومشيخة الأزهر</w:t>
            </w:r>
            <w:r>
              <w:rPr>
                <w:rStyle w:val="IndexLink"/>
                <w:rtl w:val="true"/>
              </w:rPr>
              <w:tab/>
            </w:r>
            <w:r>
              <w:rPr>
                <w:rStyle w:val="IndexLink"/>
              </w:rPr>
              <w:t>25</w:t>
            </w:r>
          </w:hyperlink>
        </w:p>
        <w:p>
          <w:pPr>
            <w:pStyle w:val="Contents2"/>
            <w:tabs>
              <w:tab w:val="clear" w:pos="8743"/>
              <w:tab w:val="right" w:pos="9026" w:leader="dot"/>
            </w:tabs>
            <w:rPr/>
          </w:pPr>
          <w:hyperlink w:anchor="__RefHeading___Toc8443303_2870459653">
            <w:r>
              <w:rPr>
                <w:webHidden/>
                <w:rStyle w:val="IndexLink"/>
                <w:rtl w:val="true"/>
              </w:rPr>
              <w:t>النصيحة للوهابية والسلفية</w:t>
            </w:r>
            <w:r>
              <w:rPr>
                <w:rStyle w:val="IndexLink"/>
                <w:rtl w:val="true"/>
              </w:rPr>
              <w:tab/>
            </w:r>
            <w:r>
              <w:rPr>
                <w:rStyle w:val="IndexLink"/>
              </w:rPr>
              <w:t>29</w:t>
            </w:r>
          </w:hyperlink>
        </w:p>
        <w:p>
          <w:pPr>
            <w:pStyle w:val="Contents2"/>
            <w:tabs>
              <w:tab w:val="clear" w:pos="8743"/>
              <w:tab w:val="right" w:pos="9026" w:leader="dot"/>
            </w:tabs>
            <w:rPr/>
          </w:pPr>
          <w:hyperlink w:anchor="__RefHeading___Toc8443305_2870459653">
            <w:r>
              <w:rPr>
                <w:webHidden/>
                <w:rStyle w:val="IndexLink"/>
                <w:rtl w:val="true"/>
              </w:rPr>
              <w:t>المصادر</w:t>
            </w:r>
            <w:r>
              <w:rPr>
                <w:rStyle w:val="IndexLink"/>
                <w:rtl w:val="true"/>
              </w:rPr>
              <w:tab/>
            </w:r>
            <w:r>
              <w:rPr>
                <w:rStyle w:val="IndexLink"/>
              </w:rPr>
              <w:t>33</w:t>
            </w:r>
          </w:hyperlink>
        </w:p>
        <w:p>
          <w:pPr>
            <w:pStyle w:val="Contents2"/>
            <w:tabs>
              <w:tab w:val="clear" w:pos="8743"/>
              <w:tab w:val="right" w:pos="9026" w:leader="dot"/>
            </w:tabs>
            <w:rPr/>
          </w:pPr>
          <w:hyperlink w:anchor="__RefHeading___Toc8443307_2870459653">
            <w:r>
              <w:rPr>
                <w:webHidden/>
                <w:rStyle w:val="IndexLink"/>
                <w:rtl w:val="true"/>
              </w:rPr>
              <w:t>محتويات الكتاب</w:t>
            </w:r>
            <w:r>
              <w:rPr>
                <w:rStyle w:val="IndexLink"/>
                <w:rtl w:val="true"/>
              </w:rPr>
              <w:tab/>
            </w:r>
            <w:r>
              <w:rPr>
                <w:rStyle w:val="IndexLink"/>
              </w:rPr>
              <w:t>34</w:t>
            </w:r>
          </w:hyperlink>
        </w:p>
        <w:p>
          <w:pPr>
            <w:pStyle w:val="Contents2"/>
            <w:tabs>
              <w:tab w:val="clear" w:pos="8743"/>
              <w:tab w:val="right" w:pos="9026" w:leader="dot"/>
            </w:tabs>
            <w:rPr/>
          </w:pPr>
          <w:hyperlink w:anchor="__RefHeading___Toc8443309_2870459653">
            <w:r>
              <w:rPr>
                <w:webHidden/>
                <w:rStyle w:val="IndexLink"/>
                <w:rtl w:val="true"/>
              </w:rPr>
              <w:t>كتب المؤلف</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9_82460"/>
      <w:bookmarkStart w:id="1" w:name="pg9709_82460"/>
      <w:bookmarkEnd w:id="1"/>
    </w:p>
    <w:p>
      <w:pPr>
        <w:pStyle w:val="Heading2"/>
        <w:numPr>
          <w:ilvl w:val="1"/>
          <w:numId w:val="1"/>
        </w:numPr>
        <w:rPr/>
      </w:pPr>
      <w:bookmarkStart w:id="2" w:name="pg9709_82460"/>
      <w:bookmarkStart w:id="3" w:name="__RefHeading___Toc8443269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 xml:space="preserve">التشيع فريضة 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عبدالکریم قزوینی </w:t>
      </w:r>
      <w:r>
        <w:rPr>
          <w:rFonts w:eastAsia="IRNazanin" w:cs="IRNazanin"/>
          <w:color w:val="111111"/>
          <w:sz w:val="28"/>
          <w:szCs w:val="28"/>
          <w:rtl w:val="true"/>
          <w:lang w:bidi="fa-IR"/>
        </w:rPr>
        <w:t>(</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همچنین بصورت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Amiri" w:hAnsi="Amiri" w:eastAsia="Amiri" w:cs="Amiri"/>
          <w:color w:val="111111"/>
          <w:sz w:val="28"/>
          <w:sz w:val="28"/>
          <w:szCs w:val="28"/>
          <w:rtl w:val="true"/>
          <w:lang w:bidi="ar-SA"/>
        </w:rPr>
        <w:t>التشيع فريضة اسلامية</w:t>
      </w:r>
    </w:p>
    <w:p>
      <w:pPr>
        <w:pStyle w:val="BookText"/>
        <w:rPr/>
      </w:pPr>
      <w:r>
        <w:rPr>
          <w:rFonts w:ascii="Amiri" w:hAnsi="Amiri" w:eastAsia="Amiri" w:cs="Amiri"/>
          <w:color w:val="111111"/>
          <w:sz w:val="28"/>
          <w:sz w:val="28"/>
          <w:szCs w:val="28"/>
          <w:rtl w:val="true"/>
          <w:lang w:bidi="ar-SA"/>
        </w:rPr>
        <w:t>عبدالكريم الحسيني القزويني</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الشاب 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w:t>
      </w:r>
      <w:r>
        <w:rPr>
          <w:rFonts w:eastAsia="IRNazanin" w:cs="IRNazanin"/>
          <w:color w:val="111111"/>
          <w:sz w:val="28"/>
          <w:szCs w:val="28"/>
          <w:rtl w:val="true"/>
          <w:lang w:bidi="fa-IR"/>
        </w:rPr>
        <w:t xml:space="preserve">/ </w:t>
      </w:r>
      <w:r>
        <w:rPr>
          <w:rFonts w:eastAsia="IRNazanin" w:cs="IRNazanin"/>
          <w:color w:val="111111"/>
          <w:sz w:val="28"/>
          <w:szCs w:val="28"/>
          <w:lang w:bidi="fa-IR"/>
        </w:rPr>
        <w:t>7744125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4327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w:t>
      </w:r>
    </w:p>
    <w:p>
      <w:pPr>
        <w:pStyle w:val="BookText"/>
        <w:rPr/>
      </w:pPr>
      <w:r>
        <w:rPr>
          <w:rFonts w:ascii="Amiri" w:hAnsi="Amiri" w:eastAsia="Amiri" w:cs="Amiri"/>
          <w:color w:val="111111"/>
          <w:sz w:val="28"/>
          <w:sz w:val="28"/>
          <w:szCs w:val="28"/>
          <w:rtl w:val="true"/>
          <w:lang w:bidi="ar-SA"/>
        </w:rPr>
        <w:t>مع وضوح النص القرآني والنبوى</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التشيّع فريضة إسلامية</w:t>
      </w:r>
    </w:p>
    <w:p>
      <w:pPr>
        <w:pStyle w:val="BookText"/>
        <w:rPr/>
      </w:pPr>
      <w:r>
        <w:rPr>
          <w:rFonts w:ascii="Amiri" w:hAnsi="Amiri" w:eastAsia="Amiri" w:cs="Amiri"/>
          <w:color w:val="111111"/>
          <w:sz w:val="28"/>
          <w:sz w:val="28"/>
          <w:szCs w:val="28"/>
          <w:rtl w:val="true"/>
          <w:lang w:bidi="ar-SA"/>
        </w:rPr>
        <w:t>عبدالكريم الحسيني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الطيبين الطاهرين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09_82464"/>
      <w:bookmarkStart w:id="8" w:name="pg9709_82464"/>
      <w:bookmarkEnd w:id="8"/>
    </w:p>
    <w:p>
      <w:pPr>
        <w:pStyle w:val="Heading2"/>
        <w:numPr>
          <w:ilvl w:val="1"/>
          <w:numId w:val="1"/>
        </w:numPr>
        <w:rPr/>
      </w:pPr>
      <w:bookmarkStart w:id="9" w:name="pg9709_82464"/>
      <w:bookmarkStart w:id="10" w:name="__RefHeading___Toc8443273_2870459653"/>
      <w:bookmarkStart w:id="11" w:name="_Toc3"/>
      <w:bookmarkEnd w:id="9"/>
      <w:bookmarkEnd w:id="10"/>
      <w:r>
        <w:rPr>
          <w:rtl w:val="true"/>
        </w:rPr>
        <w:t>التشيع فريضة إسلامية</w:t>
      </w:r>
      <w:bookmarkEnd w:id="11"/>
    </w:p>
    <w:p>
      <w:pPr>
        <w:pStyle w:val="BookText"/>
        <w:rPr/>
      </w:pPr>
      <w:r>
        <w:rPr>
          <w:rFonts w:ascii="Amiri" w:hAnsi="Amiri" w:eastAsia="Amiri" w:cs="Amiri"/>
          <w:color w:val="111111"/>
          <w:sz w:val="28"/>
          <w:sz w:val="28"/>
          <w:szCs w:val="28"/>
          <w:rtl w:val="true"/>
          <w:lang w:bidi="ar-SA"/>
        </w:rPr>
        <w:t xml:space="preserve">ظهرت في الآونة الأخيرة من على شاشة تلفزيون المستقلة وغيرها أصوات وأبواق مليئة بالتهم والافتراء على الذين يؤمنون بالله ورسوله ، من أمثال صوت عثمان خميس ونظائره من مرضى القلوب الذين يرغبون إشاعة المنكر والتهم والافتراء على الذين آمنوا وقد عبّر القرآن الكريم عن هؤلاء المرضى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أُقدّم هذا الكتاب الذي فيه دراسة مختصرة وواضحة عن مذهب أهل البيت علیهم السّلام و التشيّع له وأنّه هو </w:t>
      </w:r>
    </w:p>
    <w:p>
      <w:pPr>
        <w:pStyle w:val="BookText"/>
        <w:rPr/>
      </w:pPr>
      <w:r>
        <w:rPr>
          <w:rFonts w:ascii="Amiri" w:hAnsi="Amiri" w:eastAsia="Amiri" w:cs="Amiri"/>
          <w:color w:val="111111"/>
          <w:sz w:val="28"/>
          <w:sz w:val="28"/>
          <w:szCs w:val="28"/>
          <w:rtl w:val="true"/>
          <w:lang w:bidi="ar-SA"/>
        </w:rPr>
        <w:t xml:space="preserve">المذهب الرسمي للإسلام لأنه فريضة إسلامية كالفرائض الواجبة من الصلاة والزكاة والصيام والحج والإنسان المسلم هو طالب للحقيقة والواقع وهي ضالّته كما في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ضالَّة المؤمن فحيث وجدها فهو أحق بها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شعار المؤمنين وصفتهم التي عناهم الله بها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وانطلاقاً من هذا المفهوم لابدّ للمسلم أن يتحرّى في اعتقاداته وتعبّده النص الشرعى من قرآن وسنّة في ذلك  ولذا يتجه السؤال إلينا كمسلمين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تتعبّدون في عباداتكم وعلى أي سند تستندون ولماذا انتميتم لمذهب أهل البيت علیهم السّلام وتركتم بقية المذاهب الأُخرى ؟ </w:t>
      </w:r>
    </w:p>
    <w:p>
      <w:pPr>
        <w:pStyle w:val="BookText"/>
        <w:rPr/>
      </w:pPr>
      <w:r>
        <w:rPr>
          <w:rFonts w:ascii="Amiri" w:hAnsi="Amiri" w:eastAsia="Amiri" w:cs="Amiri"/>
          <w:color w:val="111111"/>
          <w:sz w:val="28"/>
          <w:sz w:val="28"/>
          <w:szCs w:val="28"/>
          <w:rtl w:val="true"/>
          <w:lang w:bidi="ar-SA"/>
        </w:rPr>
        <w:t xml:space="preserve">والجواب على ذلك أن التشيع فريضة إسلامية لا فريضة مذهبية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الفريضة الإسلامية والفريضة المذهبية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الفريضة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تستمدّ وجوبها من القرآن الكريم والسنة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والفريضة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تستمدّ وجوبها من أصحاب المذاهب ورجالها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فى الإسلام فرائض كثيرة فرضها الله على أتباعه والمؤمنين به وإليك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والزكاة فريضة إسلامية تستمدّ وجوبها من القرآن لأنّ الله أوجبها على المؤمنين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فريضة إسلامية أوجبها الله بقوله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فريضة إسلامية أوجبه الله تعالى على المؤمنين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التشيّع لأهل البيت علیهم السّلام فريضة إسلامية أوجبها الله</w:t>
      </w:r>
    </w:p>
    <w:p>
      <w:pPr>
        <w:pStyle w:val="BookText"/>
        <w:rPr/>
      </w:pPr>
      <w:r>
        <w:rPr>
          <w:rFonts w:ascii="IRNazanin" w:hAnsi="IRNazanin" w:eastAsia="IRNazanin"/>
          <w:color w:val="111111"/>
          <w:sz w:val="28"/>
          <w:sz w:val="28"/>
          <w:szCs w:val="28"/>
          <w:rtl w:val="true"/>
          <w:lang w:bidi="fa-IR"/>
        </w:rPr>
        <w:t xml:space="preserve">تعالى على العباد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ما هنالك من الفرائض الإسلامية كالجهاد والأمر بالمعروف والنهي عن المنكر لأنّها تستمد وجوبها وفرضيتها من القرآن والسنة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سبحانه وتعالى حينما أوجب علينا الصلاة بقوله 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يبيّن لنا أن صلاة الصبح ركعتين والظهر أربعة والعصر أربعة والمغرب ثلاثة والعشاء أربعة إلّا أنّ النبي الكريم صلی الله علیه و آله و سلّم هو الذي بيّن لنا ذلك بقوله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صلّوا كما تروني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فالتزمنا بها وكذلك الصوم والحجّ فهو الذي علّمنا كيف نصوم وكيف نحج ؟</w:t>
      </w:r>
    </w:p>
    <w:p>
      <w:pPr>
        <w:pStyle w:val="BookText"/>
        <w:rPr/>
      </w:pPr>
      <w:r>
        <w:rPr>
          <w:rFonts w:ascii="IRNazanin" w:hAnsi="IRNazanin" w:eastAsia="IRNazanin"/>
          <w:color w:val="111111"/>
          <w:sz w:val="28"/>
          <w:sz w:val="28"/>
          <w:szCs w:val="28"/>
          <w:rtl w:val="true"/>
          <w:lang w:bidi="fa-IR"/>
        </w:rPr>
        <w:t xml:space="preserve">فالرسول صلی الله علیه و آله و سلّم الذي علّمنا كيف نصلّي وكيف نصوم وكيف نحجّ هو نفسه علّمنا كيف نأخذ تعاليم وأحكام ديننا منهم وهم أهل البيت علیهم السّلام حينما قال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فالتشيّع فريضة من الفرائض الإسلامية لأنّه يستمدّ وجوبه من الكتاب والسنّة ونحن نستغرب من الوهّابية والسلفية حملتهم على التشيّع وحقدهم على أتباعه فهم مثلهم كمثل الذي ينهى عن الصلاة والزكاة والصوم والحج لأنّها مفردات وجمل قرآنية واحدة فرضها الله ورسوله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2" w:name="pg9709_82469"/>
    </w:p>
    <w:p>
      <w:pPr>
        <w:pStyle w:val="Heading2"/>
        <w:numPr>
          <w:ilvl w:val="1"/>
          <w:numId w:val="1"/>
        </w:numPr>
        <w:rPr/>
      </w:pPr>
      <w:bookmarkStart w:id="13" w:name="__RefHeading___Toc8443275_2870459653"/>
      <w:bookmarkStart w:id="14" w:name="_Toc4"/>
      <w:bookmarkEnd w:id="12"/>
      <w:bookmarkEnd w:id="13"/>
      <w:r>
        <w:rPr>
          <w:rtl w:val="true"/>
        </w:rPr>
        <w:t xml:space="preserve">والخلاصة هو ما يلي </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أهل البيت فريضة إسلامية لا مذهبية فكما أنّ الله تعالى فرض علينا الصلاة والزكاة والصوم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علينا مودة أهل البيت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وسئل النبي صلی الله علیه و آله و سلّم من هم قرابتك الذين أوجب الله علينا محبّتهم ومودَّتهم فقال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علي وفاطمة والحسن والحسين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الحاكم في مستدركه باسناده عن حنش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ذرٍّ 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بباب الكعبة من عرفني فأنا من عرفني ، ومن أنكرني فأنا أبوذرّ سمعت النبي صلی الله علیه و آله و سلّم يقول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أهل بيتي فيكم كمثل سفينة نوح في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قومه ، من ركبها نجا ومن تخلف عنها غرق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فالنبي صلی الله علیه و آله و سلّم هنا يبيّن لنا أنّ اتّباع مذهب أهل البيت هو واجب على كلّ مسلم ومسلمة لأنه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ولأنَّ النجاة فى اتّباع تعاليمه فإذا كانت المذاهب الإسلامية تابعة لمذهب أهل البيت علیهم السّلام وموافقة له فلا ضير في ذلك وإنّما الانحراف هو عدم المتابعة والمخالفة لمذهب أهل البيت علیهم السّلام لأن النبي صلی الله علیه و آله و سلّم نهى عن ذلك وعبّر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تخلّف عنها غرق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 يجوز للمسلم أن يخالف مذهب أهل البيت في تعبّده ومعاملاته و اعتقاداته وجميع التعاليم الإسلامية الأخرى لأنَّ النبي صلی الله علیه و آله و سلّم قوله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فنراه صلی الله علیه و آله و سلّم يحثّ المسلمين على اتّباع تعاليم هذا المذاهب </w:t>
      </w:r>
    </w:p>
    <w:p>
      <w:pPr>
        <w:pStyle w:val="BookText"/>
        <w:rPr/>
      </w:pPr>
      <w:r>
        <w:rPr>
          <w:rFonts w:ascii="Amiri" w:hAnsi="Amiri" w:eastAsia="Amiri" w:cs="Amiri"/>
          <w:color w:val="111111"/>
          <w:sz w:val="28"/>
          <w:sz w:val="28"/>
          <w:szCs w:val="28"/>
          <w:rtl w:val="true"/>
          <w:lang w:bidi="ar-SA"/>
        </w:rPr>
        <w:t xml:space="preserve">ويحذر من مخالفته والتخلّف عنه لأنّه غرق وضلال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أهل البيت هو المذهب الرسمي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تمتدّ جذوره إلى زمن النبي صلی الله علیه و آله و سلّم وهو الذي غرسه بيده ، ولا يوجد أي مذهب من المذاهب الإسلامية له جذوره هذه لأنها جميعاً استحدثت في أواخر الدولة الأموية وأوائل الدولة العباسية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الاستعراض نعلم بأن هذه المذاهب الموجودة في الساحة استحدثت بعد وفاة الرسول صلی الله علیه و آله و سلّم بينما المذهب الوحيد الذي أسّسه النبي صلی الله علیه و آله و سلّم في زمانه وأكَّد عليه في حياته كما يروي لنا ذلك الإمام السيوطي في تفسيره الدرّ المنثور في تفسير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فسُئل النبي صلی الله علیه و آله و سلّم  مَن هُم خير البرية فقال صلی الله علیه و آله و سلّم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وشيعته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5" w:name="pg9709_82472"/>
    </w:p>
    <w:p>
      <w:pPr>
        <w:pStyle w:val="Heading2"/>
        <w:numPr>
          <w:ilvl w:val="1"/>
          <w:numId w:val="1"/>
        </w:numPr>
        <w:rPr/>
      </w:pPr>
      <w:bookmarkStart w:id="16" w:name="__RefHeading___Toc8443277_2870459653"/>
      <w:bookmarkStart w:id="17" w:name="_Toc5"/>
      <w:bookmarkEnd w:id="15"/>
      <w:bookmarkEnd w:id="16"/>
      <w:r>
        <w:rPr>
          <w:rtl w:val="true"/>
        </w:rPr>
        <w:t>التشيع ظاهرة إسلامية</w:t>
      </w:r>
      <w:bookmarkEnd w:id="17"/>
    </w:p>
    <w:p>
      <w:pPr>
        <w:pStyle w:val="BookText"/>
        <w:rPr/>
      </w:pPr>
      <w:r>
        <w:rPr>
          <w:rFonts w:ascii="Amiri" w:hAnsi="Amiri" w:eastAsia="Amiri" w:cs="Amiri"/>
          <w:color w:val="111111"/>
          <w:sz w:val="28"/>
          <w:sz w:val="28"/>
          <w:szCs w:val="28"/>
          <w:rtl w:val="true"/>
          <w:lang w:bidi="ar-SA"/>
        </w:rPr>
        <w:t>من جميع ما رأيناه وقرأناه من الآيات القرآنية والأحاديث النبوية نستكشف أنّ التشيّع ظاهرة إسلامية بمعنيه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المودّتي والاتّباعي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فالتشيّع المودّتي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ظاهرة قرآنية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والتشيّع الاتّباعي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ظاهرة نبوية لقول الرسول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8443279_2870459653"/>
      <w:bookmarkStart w:id="19" w:name="_Toc6"/>
      <w:bookmarkEnd w:id="18"/>
      <w:r>
        <w:rPr>
          <w:rtl w:val="true"/>
        </w:rPr>
        <w:t>النبي الكريم يمنح الجائزة للمتشيّع</w:t>
      </w:r>
      <w:bookmarkEnd w:id="19"/>
    </w:p>
    <w:p>
      <w:pPr>
        <w:pStyle w:val="BookText"/>
        <w:rPr/>
      </w:pPr>
      <w:r>
        <w:rPr>
          <w:rFonts w:ascii="Amiri" w:hAnsi="Amiri" w:eastAsia="Amiri" w:cs="Amiri"/>
          <w:color w:val="111111"/>
          <w:sz w:val="28"/>
          <w:sz w:val="28"/>
          <w:szCs w:val="28"/>
          <w:rtl w:val="true"/>
          <w:lang w:bidi="ar-SA"/>
        </w:rPr>
        <w:t xml:space="preserve">النبي الكريم يمنح الجائزة </w:t>
      </w:r>
      <w:r>
        <w:rPr>
          <w:rStyle w:val="FootnoteAnchor"/>
          <w:rtl w:val="true"/>
        </w:rPr>
        <w:footnoteReference w:id="18"/>
      </w:r>
      <w:r>
        <w:rPr>
          <w:rFonts w:ascii="Amiri" w:hAnsi="Amiri" w:eastAsia="Amiri" w:cs="Amiri"/>
          <w:color w:val="111111"/>
          <w:sz w:val="28"/>
          <w:sz w:val="28"/>
          <w:szCs w:val="28"/>
          <w:rtl w:val="true"/>
          <w:lang w:bidi="ar-SA"/>
        </w:rPr>
        <w:t>للمتشيّع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فبموجب هذين النصين أوجب الإسلام التمسّك بالتشيّع والمتمسّك بهما يستحق كلّ تقدير وتكريم وتقديس كما جاء على لسان النبي الكريم صلی الله علیه و آله و سلّم وذكر ذلك </w:t>
      </w:r>
    </w:p>
    <w:p>
      <w:pPr>
        <w:pStyle w:val="BookText"/>
        <w:rPr/>
      </w:pPr>
      <w:r>
        <w:rPr>
          <w:rFonts w:ascii="IRNazanin" w:hAnsi="IRNazanin" w:eastAsia="IRNazanin"/>
          <w:color w:val="111111"/>
          <w:sz w:val="28"/>
          <w:sz w:val="28"/>
          <w:szCs w:val="28"/>
          <w:rtl w:val="true"/>
          <w:lang w:bidi="fa-IR"/>
        </w:rPr>
        <w:t xml:space="preserve">الزمخشري في تفسيره عن النبي بقوله النبي بقوله صلی الله علیه و آله و سلّم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من مات على حبّ آل محمّد مات مؤمناً مستكمل الإيمان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من مات على حبّ آل محمّد بشّره ملك الموت بالجنّة ثم منكر ونكير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من مات على حبّ آل محمّد يزفّ إلى الجنّة كما تزفّ العروس إلى بيت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ألا من مات على حبّ آل حمد فتح في قبره بابان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ومن مات على حبّ آل محمد جعل الله مزاره ملائكة الرحمة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ومن مات على حبّ آل محمّد مات على السنّة والجماعة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مات على بغض آل محمد جاء يوم القيامة مكتوباً بين عينيه آيس من رحمة الله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ومن مات على بغض آل محمد لم يشمّ رائحة </w:t>
      </w:r>
    </w:p>
    <w:p>
      <w:pPr>
        <w:pStyle w:val="BookText"/>
        <w:rPr/>
      </w:pPr>
      <w:r>
        <w:rPr>
          <w:rFonts w:ascii="Amiri" w:hAnsi="Amiri" w:eastAsia="Amiri" w:cs="Amiri"/>
          <w:color w:val="111111"/>
          <w:sz w:val="28"/>
          <w:sz w:val="28"/>
          <w:szCs w:val="28"/>
          <w:rtl w:val="true"/>
          <w:lang w:bidi="ar-SA"/>
        </w:rPr>
        <w:t xml:space="preserve">الجنّة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الثعالبي في تفسيره لآية المودّة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روي عن النبي صلی الله علیه و آله و 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على حبّ آل محمّد مات شهيداً ومن مات على بعضهم لم يشم رائحة الجنّة</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ما ذكره الزمخشري في تفسيره ولو ذكرت الروايات المذكورة لأي مذهب من المذاهب المتواجدة بالساحة لاستحقّت المتابعة والانتماء إليها ولكن قد اختصّها الله ورسوله بمذهب أهل البيت علیهم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هذه الأدلة القرآنية والنبوية الصريحة الواضحة نرى بعض العقول ترفضها وتضربها عرض الجدار وتخلق أساطير من أوهام ومنامات لبعض أصحاب المذاهب المتواجدة بالساحة الإسلامية وتجعلها أدلّة شرعية لأتباعها وإيجاد المبررات لها </w:t>
      </w:r>
      <w:bookmarkStart w:id="20" w:name="pg9709_82475"/>
    </w:p>
    <w:p>
      <w:pPr>
        <w:pStyle w:val="BookText"/>
        <w:rPr/>
      </w:pPr>
      <w:bookmarkEnd w:id="20"/>
      <w:r>
        <w:rPr>
          <w:rFonts w:ascii="IRNazanin" w:hAnsi="IRNazanin" w:eastAsia="IRNazanin"/>
          <w:color w:val="111111"/>
          <w:sz w:val="28"/>
          <w:sz w:val="28"/>
          <w:szCs w:val="28"/>
          <w:rtl w:val="true"/>
          <w:lang w:bidi="fa-IR"/>
        </w:rPr>
        <w:t xml:space="preserve">وترفض قول الله ورسوله </w:t>
      </w:r>
      <w:r>
        <w:rPr>
          <w:rFonts w:eastAsia="IRNazanin" w:cs="IRNazanin"/>
          <w:color w:val="111111"/>
          <w:sz w:val="28"/>
          <w:szCs w:val="28"/>
          <w:rtl w:val="true"/>
          <w:lang w:bidi="fa-IR"/>
        </w:rPr>
        <w:t>.</w:t>
      </w:r>
    </w:p>
    <w:p>
      <w:pPr>
        <w:pStyle w:val="Heading2"/>
        <w:numPr>
          <w:ilvl w:val="1"/>
          <w:numId w:val="1"/>
        </w:numPr>
        <w:rPr/>
      </w:pPr>
      <w:bookmarkStart w:id="21" w:name="__RefHeading___Toc8443281_2870459653"/>
      <w:bookmarkStart w:id="22" w:name="_Toc7"/>
      <w:bookmarkEnd w:id="21"/>
      <w:r>
        <w:rPr>
          <w:rtl w:val="true"/>
        </w:rPr>
        <w:t>نتائج البحث</w:t>
      </w:r>
      <w:bookmarkEnd w:id="22"/>
    </w:p>
    <w:p>
      <w:pPr>
        <w:pStyle w:val="Heading3"/>
        <w:numPr>
          <w:ilvl w:val="2"/>
          <w:numId w:val="1"/>
        </w:numPr>
        <w:rPr/>
      </w:pPr>
      <w:bookmarkStart w:id="23" w:name="__RefHeading___Toc8443283_2870459653"/>
      <w:bookmarkStart w:id="24" w:name="_Toc8"/>
      <w:bookmarkEnd w:id="23"/>
      <w:r>
        <w:rPr>
          <w:rtl w:val="true"/>
        </w:rPr>
        <w:t>اشارة</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والنتيجة من بحثنا هذا حول التشيع والبحوث الأُخرى إن أثرت في نفوس الكثيرين من المسلمين الصادقين في إيمانهم والطالبين للحقيقة والواقع فتشيّع المئات والالوف فى مختلف البلدان الإسلامية کاندونيسيا والأردن وتايلند وتونس والجزائر والسودان وسوريا ومصر والمغرب وألّفوا عشرات الكتب بل المئات من علماء ودكاترة ومهندسين ومثقّفين لأنّهم طالبين الحقّ واتّباع القرآن والسنّة ولهذا السبب لبّوا النداء القرآني والنبوي ومن مجموع هذه الآيات القرآنية والروايات الشريفة يكتشف وجوب التمسّك والتعبّد بمذهب أهل البيت علیهم السّلام لورود النصّ القرآني والنصّ النبوي فيه مما يوجبان الالتزام والتعبّد والتمسّك فيه دون بقية المذاهب الأخرى التي لم يرد فيها نصّ قرآني ولا نصّ نبوي لأنّها نشأت في العهد الأموي والعبّاسي والمذهب الذي فيه نص قرآني ونبوي مقدّم على </w:t>
      </w:r>
      <w:bookmarkStart w:id="25" w:name="pg9709_82476"/>
    </w:p>
    <w:p>
      <w:pPr>
        <w:pStyle w:val="BookText"/>
        <w:rPr/>
      </w:pPr>
      <w:bookmarkEnd w:id="25"/>
      <w:r>
        <w:rPr>
          <w:rFonts w:ascii="IRNazanin" w:hAnsi="IRNazanin" w:eastAsia="IRNazanin"/>
          <w:color w:val="111111"/>
          <w:sz w:val="28"/>
          <w:sz w:val="28"/>
          <w:szCs w:val="28"/>
          <w:rtl w:val="true"/>
          <w:lang w:bidi="fa-IR"/>
        </w:rPr>
        <w:t xml:space="preserve">المذاهب التي ليست فيها نصّ قرآني ولا نبوي ومن هذا المنطلق فقد لبّى هذا النداء القرآني والنبوي أُلوف من الناس الذين استجاب الله دعاءهم في صلواتهم وفرائضهم اليومية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وتمسكوا بمذهب أهل البيت علیهم السّلام وانتقلوا إليه وتعبّدوا على وفق تعاليمه ونهجوا بذلك منهج الحقيقة والواقع والصراط المستقيم ولهذا صار التشيّع لمذهب أهل البيت ظاهرة شعبية اجتماعية في كثير من عالمنا الإسلامي كمصر والجزائر والمغرب وتونس والأردن وماليزيا وأندونيسيا وتايلند وغيرها من المدن والدول الأخرى وإليك نماذج ممّن ألف ونشر من هؤلاء الذين هداهم الله لمذهب أهل البيت علیهم السّلام وهذه قائمة ببعض أسمائهم </w:t>
      </w:r>
      <w:r>
        <w:rPr>
          <w:rFonts w:eastAsia="IRNazanin" w:cs="IRNazanin"/>
          <w:color w:val="111111"/>
          <w:sz w:val="28"/>
          <w:szCs w:val="28"/>
          <w:rtl w:val="true"/>
          <w:lang w:bidi="fa-IR"/>
        </w:rPr>
        <w:t>:</w:t>
      </w:r>
    </w:p>
    <w:p>
      <w:pPr>
        <w:pStyle w:val="Heading3"/>
        <w:numPr>
          <w:ilvl w:val="2"/>
          <w:numId w:val="1"/>
        </w:numPr>
        <w:rPr/>
      </w:pPr>
      <w:bookmarkStart w:id="26" w:name="__RefHeading___Toc8443285_2870459653"/>
      <w:bookmarkStart w:id="27" w:name="_Toc9"/>
      <w:bookmarkEnd w:id="26"/>
      <w:r>
        <w:rPr>
          <w:rtl w:val="true"/>
        </w:rPr>
        <w:t>الأردن</w:t>
      </w:r>
      <w:bookmarkEnd w:id="27"/>
    </w:p>
    <w:p>
      <w:pPr>
        <w:pStyle w:val="BookText"/>
        <w:rPr/>
      </w:pP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تشيّع كثير من أهالي هذا البلد منهم الأستاذ الكبير المحامي أحمد حسين يعقوب وألّف عدد من الكتب القيّمة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المواجهة مع رسول الله وآله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عدالة الصحابة </w:t>
      </w:r>
      <w:bookmarkStart w:id="28" w:name="pg9709_82477"/>
    </w:p>
    <w:p>
      <w:pPr>
        <w:pStyle w:val="BookText"/>
        <w:rPr/>
      </w:pPr>
      <w:bookmarkEnd w:id="28"/>
      <w:r>
        <w:rPr>
          <w:rFonts w:ascii="Amiri" w:hAnsi="Amiri" w:eastAsia="Amiri" w:cs="Amiri"/>
          <w:color w:val="111111"/>
          <w:sz w:val="28"/>
          <w:sz w:val="28"/>
          <w:szCs w:val="28"/>
          <w:rtl w:val="true"/>
          <w:lang w:bidi="ar-SA"/>
        </w:rPr>
        <w:t xml:space="preserve">الاجتهاد بين الحقائق الشرعية والمهازل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بين الثورة والمأساة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الأخ الشاب الأردني مروان خليفات وكتابه القيّم وركبت السفينة وكتابه النبى ومستقبل الدعوة وكتابه أكرمتنى السماء وكتابه نحوالإسلام الصحيح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443287_2870459653"/>
      <w:bookmarkStart w:id="30" w:name="_Toc10"/>
      <w:bookmarkEnd w:id="29"/>
      <w:r>
        <w:rPr>
          <w:rtl w:val="true"/>
        </w:rPr>
        <w:t>تونس</w:t>
      </w:r>
      <w:bookmarkEnd w:id="30"/>
    </w:p>
    <w:p>
      <w:pPr>
        <w:pStyle w:val="BookText"/>
        <w:rPr/>
      </w:pP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تشيّع المئات من أبناء هذا البلد منهم الدكتور محمّد التيجاني السماوي وألّف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هم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وكذا الشاب التونسي الأسعد بن علي وكتابه التجديدالكلامي عند الشهيد الصدر وكذا الشاب التونسي الهاشمي بن علي وكتابه حوار مع صديقي الشيعي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443289_2870459653"/>
      <w:bookmarkStart w:id="32" w:name="_Toc11"/>
      <w:bookmarkEnd w:id="31"/>
      <w:r>
        <w:rPr>
          <w:rtl w:val="true"/>
        </w:rPr>
        <w:t>المغرب</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تشيّع من أبنائها المثقّف الأستاذ السيد إدريس الحسيني الكاتب الصحفي وله كتب قيّمة منها </w:t>
      </w:r>
      <w:r>
        <w:rPr>
          <w:rFonts w:eastAsia="Amiri" w:cs="Amiri" w:ascii="Amiri" w:hAnsi="Amiri"/>
          <w:color w:val="111111"/>
          <w:sz w:val="28"/>
          <w:szCs w:val="28"/>
          <w:rtl w:val="true"/>
          <w:lang w:bidi="ar-SA"/>
        </w:rPr>
        <w:t xml:space="preserve">: </w:t>
      </w:r>
      <w:bookmarkStart w:id="33" w:name="pg9709_82478"/>
    </w:p>
    <w:p>
      <w:pPr>
        <w:pStyle w:val="BookText"/>
        <w:rPr/>
      </w:pPr>
      <w:bookmarkEnd w:id="33"/>
      <w:r>
        <w:rPr>
          <w:rFonts w:ascii="Amiri" w:hAnsi="Amiri" w:eastAsia="Amiri" w:cs="Amiri"/>
          <w:color w:val="111111"/>
          <w:sz w:val="28"/>
          <w:sz w:val="28"/>
          <w:szCs w:val="28"/>
          <w:rtl w:val="true"/>
          <w:lang w:bidi="ar-SA"/>
        </w:rPr>
        <w:t xml:space="preserve">الخلافة المغتصبة وهكذا عرفت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شيّعني الحسين علیه السّلام </w:t>
      </w:r>
      <w:r>
        <w:rPr>
          <w:rFonts w:eastAsia="IRNazanin" w:cs="IRNazanin"/>
          <w:color w:val="111111"/>
          <w:sz w:val="28"/>
          <w:szCs w:val="28"/>
          <w:rtl w:val="true"/>
          <w:lang w:bidi="fa-IR"/>
        </w:rPr>
        <w:t>.</w:t>
      </w:r>
    </w:p>
    <w:p>
      <w:pPr>
        <w:pStyle w:val="Heading3"/>
        <w:numPr>
          <w:ilvl w:val="2"/>
          <w:numId w:val="1"/>
        </w:numPr>
        <w:rPr/>
      </w:pPr>
      <w:bookmarkStart w:id="34" w:name="__RefHeading___Toc8443291_2870459653"/>
      <w:bookmarkStart w:id="35" w:name="_Toc12"/>
      <w:bookmarkEnd w:id="34"/>
      <w:r>
        <w:rPr>
          <w:rtl w:val="true"/>
        </w:rPr>
        <w:t>مصر</w:t>
      </w:r>
      <w:bookmarkEnd w:id="35"/>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تشيّع المئات من رجالها ومفكّريها منهم الأُستاذ المستشار الدمرداش بن زكي العقالي والعالم الديني الكبير الشيخ حسن شحّادة ، والأُستاذ الباحث صالح الورداني وله مؤلّفات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والسيف</w:t>
      </w:r>
    </w:p>
    <w:p>
      <w:pPr>
        <w:pStyle w:val="BookText"/>
        <w:rPr/>
      </w:pPr>
      <w:r>
        <w:rPr>
          <w:rFonts w:ascii="Amiri" w:hAnsi="Amiri" w:eastAsia="Amiri" w:cs="Amiri"/>
          <w:color w:val="111111"/>
          <w:sz w:val="28"/>
          <w:sz w:val="28"/>
          <w:szCs w:val="28"/>
          <w:rtl w:val="true"/>
          <w:lang w:bidi="ar-SA"/>
        </w:rPr>
        <w:t xml:space="preserve">وفرق أهل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ودفاع عن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وفتاوی ابن باز وغيرها من كتبه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والأستاذ المصري سعيد أيوب وكتابه معالم الفتن جزئين والطريق إلى المهدي المنتظر والظلّ الممدود في الصلاة على النبي وأهل بيته الخ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والأستاذ المصري السيّد حسين ضرغام والشيخ الدكتور أبو حسين ، والدكتور الجامعي محمّد بيومي مهران أُستاذ جامعة كلّية الآداب وله كتب كثيرة في هذا المجال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وأهل البيت علیهم السّلام ثلاث مجلّدات ، </w:t>
      </w:r>
      <w:bookmarkStart w:id="36" w:name="pg9709_82479"/>
    </w:p>
    <w:p>
      <w:pPr>
        <w:pStyle w:val="BookText"/>
        <w:rPr/>
      </w:pPr>
      <w:bookmarkEnd w:id="36"/>
      <w:r>
        <w:rPr>
          <w:rFonts w:ascii="IRNazanin" w:hAnsi="IRNazanin" w:eastAsia="IRNazanin"/>
          <w:color w:val="111111"/>
          <w:sz w:val="28"/>
          <w:sz w:val="28"/>
          <w:szCs w:val="28"/>
          <w:rtl w:val="true"/>
          <w:lang w:bidi="fa-IR"/>
        </w:rPr>
        <w:t xml:space="preserve">والدكتور أحمد راسم النفيس وله كتب في طريقي إلى مذهب أهل البيت علیهم السّلام على خطى الحسين علیه السّلام والأخ محمّد عبد الحفيظ وكتابه لماذا أنا جعفري </w:t>
      </w:r>
      <w:r>
        <w:rPr>
          <w:rFonts w:eastAsia="IRNazanin" w:cs="IRNazanin"/>
          <w:color w:val="111111"/>
          <w:sz w:val="28"/>
          <w:szCs w:val="28"/>
          <w:rtl w:val="true"/>
          <w:lang w:bidi="fa-IR"/>
        </w:rPr>
        <w:t>.</w:t>
      </w:r>
    </w:p>
    <w:p>
      <w:pPr>
        <w:pStyle w:val="Heading3"/>
        <w:numPr>
          <w:ilvl w:val="2"/>
          <w:numId w:val="1"/>
        </w:numPr>
        <w:rPr/>
      </w:pPr>
      <w:bookmarkStart w:id="37" w:name="__RefHeading___Toc8443293_2870459653"/>
      <w:bookmarkStart w:id="38" w:name="_Toc13"/>
      <w:bookmarkEnd w:id="37"/>
      <w:r>
        <w:rPr>
          <w:rtl w:val="true"/>
        </w:rPr>
        <w:t>فلسطين</w:t>
      </w:r>
      <w:bookmarkEnd w:id="38"/>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تشيّع فيها العشرات والّفوا كتباً عديدة منهم الأستاذ الدكتور أسعد قاسم وله عدة مؤلفات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أزمة الخلافة والإمامة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الشيعة الاثنى عشرية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443295_2870459653"/>
      <w:bookmarkStart w:id="40" w:name="_Toc14"/>
      <w:bookmarkEnd w:id="39"/>
      <w:r>
        <w:rPr>
          <w:rtl w:val="true"/>
        </w:rPr>
        <w:t>السودان</w:t>
      </w:r>
      <w:bookmarkEnd w:id="40"/>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العدد الكثير من المتشيّعين ولا سيّما الطبقة المثقّفة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الشيخ معتصم سيّد أحمد وكتابه الحقيقة الضائعة رحلتي نحو مذهب أهل البيت علیهم السّلام والأستاذ السوداني المحامي عبدالمنعم حسن وكتابه اهتديت بنور فاطمة ، والمحامي محمد علي  المتوكل وكتابه ودخلنا التشيع سجّداً </w:t>
      </w:r>
      <w:r>
        <w:rPr>
          <w:rFonts w:eastAsia="IRNazanin" w:cs="IRNazanin"/>
          <w:color w:val="111111"/>
          <w:sz w:val="28"/>
          <w:szCs w:val="28"/>
          <w:rtl w:val="true"/>
          <w:lang w:bidi="fa-IR"/>
        </w:rPr>
        <w:t>.</w:t>
      </w:r>
    </w:p>
    <w:p>
      <w:pPr>
        <w:pStyle w:val="Heading3"/>
        <w:numPr>
          <w:ilvl w:val="2"/>
          <w:numId w:val="1"/>
        </w:numPr>
        <w:rPr/>
      </w:pPr>
      <w:bookmarkStart w:id="41" w:name="__RefHeading___Toc8443297_2870459653"/>
      <w:bookmarkStart w:id="42" w:name="_Toc15"/>
      <w:bookmarkEnd w:id="41"/>
      <w:r>
        <w:rPr>
          <w:rtl w:val="true"/>
        </w:rPr>
        <w:t>سوريا</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من السبّاقة لاعتناق مذهب أهل البيت علیهم السّلام و قد كتب منهم الأستاذ الشيخ هشام آل قطيط موسوعة المتحوّلون ثلاث مجلدات والسيّد عبدالمحسن سراوي له كتاب فاطمة الزهراء علیها السّلام في </w:t>
      </w:r>
      <w:bookmarkStart w:id="43" w:name="pg9709_82480"/>
    </w:p>
    <w:p>
      <w:pPr>
        <w:pStyle w:val="BookText"/>
        <w:rPr/>
      </w:pPr>
      <w:bookmarkEnd w:id="43"/>
      <w:r>
        <w:rPr>
          <w:rFonts w:ascii="IRNazanin" w:hAnsi="IRNazanin" w:eastAsia="IRNazanin"/>
          <w:color w:val="111111"/>
          <w:sz w:val="28"/>
          <w:sz w:val="28"/>
          <w:szCs w:val="28"/>
          <w:rtl w:val="true"/>
          <w:lang w:bidi="fa-IR"/>
        </w:rPr>
        <w:t xml:space="preserve">الأحاديث النبوية وقطوف دانية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خلافية والسيد حسين الرجا له کتاب دفاع من وحي الشريعة والأستاذ إدريس هاني وكتابها محنة التراث الآخر والأُستاذة لمياء حمادة وكتابها أخيراً أشرقت الروح وسماحة الشيخ أحمد المرعي وأخيه الشيخ محمد المرعي وكتابه لماذا اخترت مذهب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44" w:name="__RefHeading___Toc8443299_2870459653"/>
      <w:bookmarkStart w:id="45" w:name="_Toc16"/>
      <w:bookmarkEnd w:id="44"/>
      <w:r>
        <w:rPr>
          <w:rtl w:val="true"/>
        </w:rPr>
        <w:t>العراق</w:t>
      </w:r>
      <w:bookmarkEnd w:id="45"/>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تشيّع الكثير منهم وقد ألّفوا كتباً عديدة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صائب عبد الحميد ولد في مدينة عانة وقد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كتباً كثيرة وهي منهج في الانتماء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الثقافي والسياسي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مسار الإسلام بعد الرسول ونشأة المذاهب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سعيد السامرائي ولد بسامراء وله كتب عديدة منها النهج المختار من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الطائفية في العراق الواقع والحل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علي البياتي ولد في الموصل وله مؤلّفات </w:t>
      </w:r>
      <w:bookmarkStart w:id="46" w:name="pg9709_82481"/>
    </w:p>
    <w:p>
      <w:pPr>
        <w:pStyle w:val="BookText"/>
        <w:rPr/>
      </w:pPr>
      <w:bookmarkEnd w:id="46"/>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لا تخونوا الله والرسول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الصحوة رحلتي إلى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التشيع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المئات من الذين انتموا لمذهب أهل البيت علیهم السّلام و ما هذه إلّا هي عينات صغيرة من ذلك الزخم الهائل المنتمي لمذهب أهل البيت علیهم السّلام </w:t>
      </w:r>
      <w:r>
        <w:rPr>
          <w:rFonts w:eastAsia="IRNazanin" w:cs="IRNazanin"/>
          <w:color w:val="111111"/>
          <w:sz w:val="28"/>
          <w:szCs w:val="28"/>
          <w:rtl w:val="true"/>
          <w:lang w:bidi="fa-IR"/>
        </w:rPr>
        <w:t>.</w:t>
      </w:r>
    </w:p>
    <w:p>
      <w:pPr>
        <w:pStyle w:val="Heading2"/>
        <w:numPr>
          <w:ilvl w:val="1"/>
          <w:numId w:val="1"/>
        </w:numPr>
        <w:rPr/>
      </w:pPr>
      <w:bookmarkStart w:id="47" w:name="__RefHeading___Toc8443301_2870459653"/>
      <w:bookmarkStart w:id="48" w:name="_Toc17"/>
      <w:bookmarkEnd w:id="47"/>
      <w:r>
        <w:rPr>
          <w:rtl w:val="true"/>
        </w:rPr>
        <w:t>التشيع ومشيخة الأزهر</w:t>
      </w:r>
      <w:bookmarkEnd w:id="48"/>
    </w:p>
    <w:p>
      <w:pPr>
        <w:pStyle w:val="BookText"/>
        <w:rPr/>
      </w:pPr>
      <w:r>
        <w:rPr>
          <w:rFonts w:ascii="IRNazanin" w:hAnsi="IRNazanin" w:eastAsia="IRNazanin"/>
          <w:color w:val="111111"/>
          <w:sz w:val="28"/>
          <w:sz w:val="28"/>
          <w:szCs w:val="28"/>
          <w:rtl w:val="true"/>
          <w:lang w:bidi="fa-IR"/>
        </w:rPr>
        <w:t xml:space="preserve">وقد سبق لمشيخة الأزهر الشريف المتمثّلة بالإمام محمود شلتوت فقد أصدر فتوى بتاريخ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بجواز الانتقال والانتماء لمذهب أهل البيت علیهم السّلام وإليك صورتها ونصّها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يرى أنّه يجب على المسلم لكي تقع عبادته ومعاملاته على وجه صحيح يقلّد أحد المذاهب الأربعة المعروفة وليس من بينها مذهب الشيعة الإمامية ولا الشيعة الزيدية ، فهل توافقون فضيلتكم على هذا الرأي على إطلاقه فتمنعون تقليد </w:t>
      </w:r>
    </w:p>
    <w:p>
      <w:pPr>
        <w:pStyle w:val="BookText"/>
        <w:rPr/>
      </w:pPr>
      <w:r>
        <w:rPr>
          <w:rFonts w:ascii="Amiri" w:hAnsi="Amiri" w:eastAsia="Amiri" w:cs="Amiri"/>
          <w:color w:val="111111"/>
          <w:sz w:val="28"/>
          <w:sz w:val="28"/>
          <w:szCs w:val="28"/>
          <w:rtl w:val="true"/>
          <w:lang w:bidi="ar-SA"/>
        </w:rPr>
        <w:t>مذهب الشيعة الإمامية الاثنا عشرية مثلاً ؟</w:t>
      </w:r>
    </w:p>
    <w:p>
      <w:pPr>
        <w:pStyle w:val="BookText"/>
        <w:rPr/>
      </w:pPr>
      <w:r>
        <w:rPr>
          <w:rFonts w:ascii="Amiri" w:hAnsi="Amiri" w:eastAsia="Amiri" w:cs="Amiri"/>
          <w:color w:val="111111"/>
          <w:sz w:val="28"/>
          <w:sz w:val="28"/>
          <w:szCs w:val="28"/>
          <w:rtl w:val="true"/>
          <w:lang w:bidi="ar-SA"/>
        </w:rPr>
        <w:t>نصّ الفتوى</w:t>
      </w:r>
    </w:p>
    <w:p>
      <w:pPr>
        <w:pStyle w:val="BookText"/>
        <w:rPr/>
      </w:pPr>
      <w:r>
        <w:rPr>
          <w:rFonts w:ascii="Amiri" w:hAnsi="Amiri" w:eastAsia="Amiri" w:cs="Amiri"/>
          <w:color w:val="111111"/>
          <w:sz w:val="28"/>
          <w:sz w:val="28"/>
          <w:szCs w:val="28"/>
          <w:rtl w:val="true"/>
          <w:lang w:bidi="ar-SA"/>
        </w:rPr>
        <w:t xml:space="preserve">التي أصدر السيد صاحب الفضيلة الأستاذ الأكبر الشيخ محمود شلتوت شيخ الجامع الأزهر ، في شأن جواز التعبّد بمذهب الشيعة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فضيلته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لا يوجب على أحد من أتباعه مذهب معيّن بل نقول إنّ لكلّ مسلم الحق في أن يقلّد بادئ ذي بدء أي مذهب من المذاهب المنقولة نقلاً صحيحاً والمدوّنة أحكامها في كتبها الخاصّة ولمن قلّد مذهباً من هذه المذاهب أن ينتقل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حرج عليه في شيء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مذهب الجعفرية المعروف بمذهب الشيعة الإمامية الاثنا عشرية مذهب يجوز التعبّد به شرعاً كسائر مذاهب أهل السنّة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للمسلمين أن يعرفوا ذلك ، وأن يتخلّصوا من </w:t>
      </w:r>
    </w:p>
    <w:p>
      <w:pPr>
        <w:pStyle w:val="BookText"/>
        <w:rPr/>
      </w:pPr>
      <w:r>
        <w:rPr>
          <w:rFonts w:ascii="Amiri" w:hAnsi="Amiri" w:eastAsia="Amiri" w:cs="Amiri"/>
          <w:color w:val="111111"/>
          <w:sz w:val="28"/>
          <w:sz w:val="28"/>
          <w:szCs w:val="28"/>
          <w:rtl w:val="true"/>
          <w:lang w:bidi="ar-SA"/>
        </w:rPr>
        <w:t xml:space="preserve">العصبية بغير الحقّ لمذاهب معيّنة ، فما كان دين الله وما كانت شريعته بتابعة لمذهب أو مقصورة على مذهب فالكلّ مجتهدون مقبولون عند الله تعالى يجوز لمن ليس أهلاً للنظر والاجتهاد تقليدهم والعمل بما يقرّرونه في فقههم ، ولا فرق في ذلك بين العبادات والمعاملات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صاحب السماحة العلامة الجليل الأُستاذ محمّد تقي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السكرتير العام لجماعة التقريب بين المذاهب الإسلامية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ورحمة أمّا بعد فسرّني أن أبعث إلى سماحتكم بصورة موقّع عليها بامضاء من الفتوى التي أصدرت في شأن جواز التعبّد بمذهب الشيعة الإمامية راجياً أن تحفظوها في سجلات دار التقريب بين المذاهب الإسلامية التي أسهمنا معكم في تأسيسها ووفقنا الله لتحقيق رسالتها والسلام عليكم ورحمة الله </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709_82485"/>
      <w:bookmarkStart w:id="50" w:name="pg9709_82485"/>
      <w:bookmarkEnd w:id="50"/>
    </w:p>
    <w:p>
      <w:pPr>
        <w:pStyle w:val="Heading2"/>
        <w:numPr>
          <w:ilvl w:val="1"/>
          <w:numId w:val="1"/>
        </w:numPr>
        <w:rPr/>
      </w:pPr>
      <w:bookmarkStart w:id="51" w:name="pg9709_82485"/>
      <w:bookmarkStart w:id="52" w:name="__RefHeading___Toc8443303_2870459653"/>
      <w:bookmarkStart w:id="53" w:name="_Toc18"/>
      <w:bookmarkEnd w:id="51"/>
      <w:bookmarkEnd w:id="52"/>
      <w:r>
        <w:rPr>
          <w:rtl w:val="true"/>
        </w:rPr>
        <w:t>النصيحة للوهابية والسلفية</w:t>
      </w:r>
      <w:bookmarkEnd w:id="53"/>
    </w:p>
    <w:p>
      <w:pPr>
        <w:pStyle w:val="BookText"/>
        <w:rPr/>
      </w:pPr>
      <w:r>
        <w:rPr>
          <w:rFonts w:ascii="Amiri" w:hAnsi="Amiri" w:eastAsia="Amiri" w:cs="Amiri"/>
          <w:color w:val="111111"/>
          <w:sz w:val="28"/>
          <w:sz w:val="28"/>
          <w:szCs w:val="28"/>
          <w:rtl w:val="true"/>
          <w:lang w:bidi="ar-SA"/>
        </w:rPr>
        <w:t xml:space="preserve">وبهذه الوريقات ستجد الدراسة الوافية والبحث الموضوعى للإجابة على هذا السؤال لماذا اخترتم مذهب أهل البيت ؟ والإجابة هذه واضحة مختصرة ومبسّطة عسى أن تكون علاجاً لأولئك المرضى فى عقولهم وقلوبهم وننصحهم بالالتزام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بالقرآن والسنة له شرائطه وأحكامه وليس الالتزام بهما يعني فقط تطويل اللحى ولبس الملابس القصيرة بل لابد للإنسان المسلم الالتزام الكامل بالواجبات وترك المحرمات وألا ينطبق عليهم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 الدُّنْيَا وَيَوْمَ الْقِيَامَةِ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المسلّمات البديهية في الإسلام أنّ الافتراء </w:t>
      </w:r>
    </w:p>
    <w:p>
      <w:pPr>
        <w:pStyle w:val="BookText"/>
        <w:rPr/>
      </w:pPr>
      <w:r>
        <w:rPr>
          <w:rFonts w:ascii="Amiri" w:hAnsi="Amiri" w:eastAsia="Amiri" w:cs="Amiri"/>
          <w:color w:val="111111"/>
          <w:sz w:val="28"/>
          <w:sz w:val="28"/>
          <w:szCs w:val="28"/>
          <w:rtl w:val="true"/>
          <w:lang w:bidi="ar-SA"/>
        </w:rPr>
        <w:t xml:space="preserve">على المؤمنين ونسبة التّهم والأباطيل إليهم هو من المحرّمات الأكيدة في الإسلام وقد نهى الله عن ذلك في آيات كثيرة منها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افْتَرَى عَلَى اللهِ الكَذِبَ مِنْ بَعْدِ ذَلِكَ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معبّراً عن هؤلاء المفترين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يجوز لهؤلاء أن يفتروا الكذب على المؤمنين في حين إنّهم براء ممّا يفترون فهذه كتبهم وعقائدهم تدلّ على صدق إيمانهم وإسلامهم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يقرّون ويفتخرون بذلك وأنتم تكفّرونهم وتفترون عليهم البهتان وقد نهاكم الله عن ذلك وأنتم تصرّون على رفض كلام الله حيث يقول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هو العناد لله ولرسوله بغير سلطان والله يقول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 كَذَلِكَ يَطْبَعُ اللَّهُ عَلَى كُلِّ قَلْبِ مُتَكَتِرٍ جَبَّارٍ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طالما التقيت مع رجال من هؤلاء في ساحات المسجد الحرام ومسجد النبوي وإذا بهم يصرخون بأنّكم شيعة كفرة مشركين تعبدون قبور أئمَّتكم وهذا الافتراء مكذوب وواضح البطلان لو كانوا يعقلون وهو محرَّم شرعاً في الأماكن العادية فكيف في بيت الله الحرام والمسجد النبوي اللذين هما مصدر الوحدة والاتّحاد والإيمان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من هؤلاء الإصغاء للحقيقة والواقع ولو لفترة زمنية قصيرة وبقراءة هذا الكرّاس قراءة تفهم ووعي ثم لهم الحق في الحكم لنا أو علينا ولكن بدليل </w:t>
      </w:r>
    </w:p>
    <w:p>
      <w:pPr>
        <w:pStyle w:val="BookText"/>
        <w:rPr/>
      </w:pPr>
      <w:r>
        <w:rPr>
          <w:rFonts w:ascii="Amiri" w:hAnsi="Amiri" w:eastAsia="Amiri" w:cs="Amiri"/>
          <w:color w:val="111111"/>
          <w:sz w:val="28"/>
          <w:sz w:val="28"/>
          <w:szCs w:val="28"/>
          <w:rtl w:val="true"/>
          <w:lang w:bidi="ar-SA"/>
        </w:rPr>
        <w:t xml:space="preserve">وبرهان لأنّ هذا الكرّاس هو إجابة على أنَّ التشيّع هو المذهب الرسمي للإسلام وقد بحث هذا الموضوع بحثاً موضوعياً مستدلاً بالكتاب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يرغبون الاتّصال بنا عن طريق المراسلة والانترنيت بهذا العنوان والموقع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Qazvini.org.www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فنحن على أتمّ الاستعداد للإجابة على أسئلتهم أو أي شبهة تبدو لهم حتّى يعرفوا الحقّ وأهله إذا كانوا يحبّون الإسلام ويدعون إليه ويهتّمون بمعرفة الحقيقة والواقع والمسلم الحقيقي هو الذي يتحرّى الواقع وينجذب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يدعو غير المسلمين للمباحثة ومعرفة الحقيقة فكيف بالمسلمين فيما بينهم والله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54" w:name="pg9709_82489"/>
    </w:p>
    <w:p>
      <w:pPr>
        <w:pStyle w:val="Heading2"/>
        <w:numPr>
          <w:ilvl w:val="1"/>
          <w:numId w:val="1"/>
        </w:numPr>
        <w:rPr/>
      </w:pPr>
      <w:bookmarkStart w:id="55" w:name="__RefHeading___Toc8443305_2870459653"/>
      <w:bookmarkStart w:id="56" w:name="_Toc19"/>
      <w:bookmarkEnd w:id="54"/>
      <w:bookmarkEnd w:id="55"/>
      <w:r>
        <w:rPr>
          <w:rtl w:val="true"/>
        </w:rPr>
        <w:t>المصادر</w:t>
      </w:r>
      <w:bookmarkEnd w:id="5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ميزان الحكمة</w:t>
      </w:r>
    </w:p>
    <w:p>
      <w:pPr>
        <w:pStyle w:val="BookText"/>
        <w:rPr/>
      </w:pPr>
      <w:r>
        <w:rPr>
          <w:rFonts w:ascii="Amiri" w:hAnsi="Amiri" w:eastAsia="Amiri" w:cs="Amiri"/>
          <w:color w:val="111111"/>
          <w:sz w:val="28"/>
          <w:sz w:val="28"/>
          <w:szCs w:val="28"/>
          <w:rtl w:val="true"/>
          <w:lang w:bidi="ar-SA"/>
        </w:rPr>
        <w:t>المستدرك للحاكم</w:t>
      </w:r>
    </w:p>
    <w:p>
      <w:pPr>
        <w:pStyle w:val="BookText"/>
        <w:rPr/>
      </w:pPr>
      <w:r>
        <w:rPr>
          <w:rFonts w:ascii="Amiri" w:hAnsi="Amiri" w:eastAsia="Amiri" w:cs="Amiri"/>
          <w:color w:val="111111"/>
          <w:sz w:val="28"/>
          <w:sz w:val="28"/>
          <w:szCs w:val="28"/>
          <w:rtl w:val="true"/>
          <w:lang w:bidi="ar-SA"/>
        </w:rPr>
        <w:t>التشيع هو المذهب الرسمي للإسلام بالنص القرآني والنبوي</w:t>
      </w:r>
    </w:p>
    <w:p>
      <w:pPr>
        <w:pStyle w:val="BookText"/>
        <w:rPr/>
      </w:pPr>
      <w:r>
        <w:rPr>
          <w:rFonts w:ascii="Amiri" w:hAnsi="Amiri" w:eastAsia="Amiri" w:cs="Amiri"/>
          <w:color w:val="111111"/>
          <w:sz w:val="28"/>
          <w:sz w:val="28"/>
          <w:szCs w:val="28"/>
          <w:rtl w:val="true"/>
          <w:lang w:bidi="ar-SA"/>
        </w:rPr>
        <w:t>تفسير الدر المنثور للإمام السيوطي</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الكشاف للزمخشري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الثعالبي </w:t>
      </w:r>
      <w:bookmarkStart w:id="57" w:name="pg9709_82490"/>
    </w:p>
    <w:p>
      <w:pPr>
        <w:pStyle w:val="Heading2"/>
        <w:numPr>
          <w:ilvl w:val="1"/>
          <w:numId w:val="1"/>
        </w:numPr>
        <w:rPr/>
      </w:pPr>
      <w:bookmarkStart w:id="58" w:name="__RefHeading___Toc8443307_2870459653"/>
      <w:bookmarkStart w:id="59" w:name="_Toc20"/>
      <w:bookmarkEnd w:id="57"/>
      <w:bookmarkEnd w:id="58"/>
      <w:r>
        <w:rPr>
          <w:rtl w:val="true"/>
        </w:rPr>
        <w:t>محتويات الكتاب</w:t>
      </w:r>
      <w:bookmarkEnd w:id="59"/>
    </w:p>
    <w:p>
      <w:pPr>
        <w:pStyle w:val="BookText"/>
        <w:rPr/>
      </w:pPr>
      <w:r>
        <w:rPr>
          <w:rFonts w:ascii="Amiri" w:hAnsi="Amiri" w:eastAsia="Amiri" w:cs="Amiri"/>
          <w:color w:val="111111"/>
          <w:sz w:val="28"/>
          <w:sz w:val="28"/>
          <w:szCs w:val="28"/>
          <w:rtl w:val="true"/>
          <w:lang w:bidi="ar-SA"/>
        </w:rPr>
        <w:t xml:space="preserve">التشيع فريضة 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الفرق بين الفريضة الإسلامية وبين الفريضة المذهبية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والخلاصة هو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التشيّع ظاهرة 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النبي الكريم يمنح الجائزة للمتشيّع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نتائج البحث ان تشيع الكثير من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التشيع ومشيخة الأزهر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فتوى شيخ الأزهر بجواز التعبد بمذهب الجعفرية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النصيحة للوهّابية والسلفية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0" w:name="pg9709_82491"/>
    </w:p>
    <w:p>
      <w:pPr>
        <w:pStyle w:val="Heading2"/>
        <w:numPr>
          <w:ilvl w:val="1"/>
          <w:numId w:val="1"/>
        </w:numPr>
        <w:rPr/>
      </w:pPr>
      <w:bookmarkStart w:id="61" w:name="__RefHeading___Toc8443309_2870459653"/>
      <w:bookmarkStart w:id="62" w:name="_Toc21"/>
      <w:bookmarkEnd w:id="60"/>
      <w:bookmarkEnd w:id="61"/>
      <w:r>
        <w:rPr>
          <w:rtl w:val="true"/>
        </w:rPr>
        <w:t>كتب المؤلف</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الوثائق الرسمية لثورة الامام الحسين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علم الأخلاق النظرى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الأسئلة والأجوبة الإسلامية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بدر الكبرى حرب تحريرية إسلامية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النبوة والامامة والخلافة في الأسلام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واجباتها وأحكامها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المسافر في الشريعة إلاسلامية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الشعائر الحسينية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المدارس الأخلاقية قديماً وحديثاً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هو النبع الصافي في الإسلام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الاسلامي وتطور الزمن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 احمدالكاتب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مناظرات في مكة المكرمة والمدينة المنورة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 هو المذهب الرسمی للاسلام بالنص القرآني والنبوي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الوافیه لاتباع الوهابیه والسلفیه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فكرة الإمام المهدي فريضة اسلامیه بالنصّ القرآني والنبوي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الاختلاف بين المذاهب الإسلامية مع وضوح النص القرآني والنبوي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الانفال آیه </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أبو ذر وأنس وابن عباس وأبو سعيد الخدري وابن الزبير أخرجه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التوسعة حول التشيّع فليراجع كتابنا التشيع هو المذهب الرسمي للإسلام بالنص القرآني والنبوي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تفسيرها تفسير البيضاوي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للإمام السيوطي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البيضاوي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هذه الأحاديث الثمانية في كتاب تفسير الكشاف للإمام الزمخشري المتوفّى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3591</Words>
  <Characters>15716</Characters>
  <CharactersWithSpaces>19044</CharactersWithSpaces>
  <Paragraphs>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2026-08-20T18:50:31Z</dcterms:created>
  <dc:creator>ghaemiyeh.com</dc:creator>
  <dc:description/>
  <dc:language>en-US</dc:language>
  <cp:lastModifiedBy/>
  <dcterms:modified xsi:type="dcterms:W3CDTF">2026-08-20T22:20:33Z</dcterms:modified>
  <cp:revision>1</cp:revision>
  <dc:subject/>
  <dc:title>التشیع فریضة اسلامیة</dc:title>
</cp:coreProperties>
</file>

<file path=docProps/custom.xml><?xml version="1.0" encoding="utf-8"?>
<Properties xmlns="http://schemas.openxmlformats.org/officeDocument/2006/custom-properties" xmlns:vt="http://schemas.openxmlformats.org/officeDocument/2006/docPropsVTypes"/>
</file>