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گزیده مقالات ایفلا </w:t>
      </w:r>
      <w:r>
        <w:rPr/>
        <w:t>2014</w:t>
      </w:r>
      <w:r>
        <w:rPr>
          <w:rtl w:val="true"/>
        </w:rPr>
        <w:t xml:space="preserve"> </w:t>
      </w:r>
      <w:r>
        <w:rPr>
          <w:rtl w:val="true"/>
        </w:rPr>
        <w:t xml:space="preserve">لیون فرانسه </w:t>
      </w:r>
      <w:r>
        <w:rPr/>
        <w:t>16</w:t>
      </w:r>
      <w:r>
        <w:rPr>
          <w:rtl w:val="true"/>
        </w:rPr>
        <w:t xml:space="preserve"> - </w:t>
      </w:r>
      <w:r>
        <w:rPr/>
        <w:t>22</w:t>
      </w:r>
      <w:r>
        <w:rPr>
          <w:rtl w:val="true"/>
        </w:rPr>
        <w:t xml:space="preserve"> </w:t>
      </w:r>
      <w:r>
        <w:rPr>
          <w:rtl w:val="true"/>
        </w:rPr>
        <w:t xml:space="preserve">آگوست </w:t>
      </w:r>
      <w:r>
        <w:rPr/>
        <w:t>2014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25213_2870459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7825215_2870459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7825217_2870459653">
            <w:r>
              <w:rPr>
                <w:webHidden/>
                <w:rStyle w:val="IndexLink"/>
                <w:rtl w:val="true"/>
              </w:rPr>
              <w:t xml:space="preserve">فهرست مندرجات گزیده مقالات ایفلا </w:t>
            </w:r>
            <w:r>
              <w:rPr>
                <w:rStyle w:val="IndexLink"/>
              </w:rPr>
              <w:t>2014</w:t>
            </w:r>
            <w:r>
              <w:rPr>
                <w:rStyle w:val="IndexLink"/>
                <w:rtl w:val="true"/>
              </w:rPr>
              <w:tab/>
            </w:r>
            <w:r>
              <w:rPr>
                <w:rStyle w:val="IndexLink"/>
              </w:rPr>
              <w:t>19</w:t>
            </w:r>
          </w:hyperlink>
        </w:p>
        <w:p>
          <w:pPr>
            <w:pStyle w:val="Contents2"/>
            <w:tabs>
              <w:tab w:val="clear" w:pos="8743"/>
              <w:tab w:val="right" w:pos="9026" w:leader="dot"/>
            </w:tabs>
            <w:rPr/>
          </w:pPr>
          <w:hyperlink w:anchor="__RefHeading___Toc7825219_2870459653">
            <w:r>
              <w:rPr>
                <w:webHidden/>
                <w:rStyle w:val="IndexLink"/>
                <w:rtl w:val="true"/>
              </w:rPr>
              <w:t>سخن نخست</w:t>
            </w:r>
            <w:r>
              <w:rPr>
                <w:rStyle w:val="IndexLink"/>
                <w:rtl w:val="true"/>
              </w:rPr>
              <w:t>:</w:t>
              <w:tab/>
            </w:r>
            <w:r>
              <w:rPr>
                <w:rStyle w:val="IndexLink"/>
              </w:rPr>
              <w:t>23</w:t>
            </w:r>
          </w:hyperlink>
        </w:p>
        <w:p>
          <w:pPr>
            <w:pStyle w:val="Contents2"/>
            <w:tabs>
              <w:tab w:val="clear" w:pos="8743"/>
              <w:tab w:val="right" w:pos="9026" w:leader="dot"/>
            </w:tabs>
            <w:rPr/>
          </w:pPr>
          <w:hyperlink w:anchor="__RefHeading___Toc7825221_2870459653">
            <w:r>
              <w:rPr>
                <w:webHidden/>
                <w:rStyle w:val="IndexLink"/>
                <w:rtl w:val="true"/>
              </w:rPr>
              <w:t>مقدمه</w:t>
            </w:r>
            <w:r>
              <w:rPr>
                <w:rStyle w:val="IndexLink"/>
                <w:rtl w:val="true"/>
              </w:rPr>
              <w:t>:</w:t>
              <w:tab/>
            </w:r>
            <w:r>
              <w:rPr>
                <w:rStyle w:val="IndexLink"/>
              </w:rPr>
              <w:t>25</w:t>
            </w:r>
          </w:hyperlink>
        </w:p>
        <w:p>
          <w:pPr>
            <w:pStyle w:val="Contents2"/>
            <w:tabs>
              <w:tab w:val="clear" w:pos="8743"/>
              <w:tab w:val="right" w:pos="9026" w:leader="dot"/>
            </w:tabs>
            <w:rPr/>
          </w:pPr>
          <w:hyperlink w:anchor="__RefHeading___Toc7825223_2870459653">
            <w:r>
              <w:rPr>
                <w:webHidden/>
                <w:rStyle w:val="IndexLink"/>
                <w:rtl w:val="true"/>
              </w:rPr>
              <w:t>عضویت</w:t>
            </w:r>
            <w:r>
              <w:rPr>
                <w:rStyle w:val="IndexLink"/>
                <w:rtl w:val="true"/>
              </w:rPr>
              <w:t>:</w:t>
              <w:tab/>
            </w:r>
            <w:r>
              <w:rPr>
                <w:rStyle w:val="IndexLink"/>
              </w:rPr>
              <w:t>25</w:t>
            </w:r>
          </w:hyperlink>
        </w:p>
        <w:p>
          <w:pPr>
            <w:pStyle w:val="Contents2"/>
            <w:tabs>
              <w:tab w:val="clear" w:pos="8743"/>
              <w:tab w:val="right" w:pos="9026" w:leader="dot"/>
            </w:tabs>
            <w:rPr/>
          </w:pPr>
          <w:hyperlink w:anchor="__RefHeading___Toc7825225_2870459653">
            <w:r>
              <w:rPr>
                <w:webHidden/>
                <w:rStyle w:val="IndexLink"/>
                <w:rtl w:val="true"/>
              </w:rPr>
              <w:t>شاخه ها و بخش ها</w:t>
            </w:r>
            <w:r>
              <w:rPr>
                <w:rStyle w:val="IndexLink"/>
                <w:rtl w:val="true"/>
              </w:rPr>
              <w:tab/>
            </w:r>
            <w:r>
              <w:rPr>
                <w:rStyle w:val="IndexLink"/>
              </w:rPr>
              <w:t>26</w:t>
            </w:r>
          </w:hyperlink>
        </w:p>
        <w:p>
          <w:pPr>
            <w:pStyle w:val="Contents2"/>
            <w:tabs>
              <w:tab w:val="clear" w:pos="8743"/>
              <w:tab w:val="right" w:pos="9026" w:leader="dot"/>
            </w:tabs>
            <w:rPr/>
          </w:pPr>
          <w:hyperlink w:anchor="__RefHeading___Toc7825227_2870459653">
            <w:r>
              <w:rPr>
                <w:webHidden/>
                <w:rStyle w:val="IndexLink"/>
                <w:rtl w:val="true"/>
              </w:rPr>
              <w:t>برنامه های اصلی</w:t>
            </w:r>
            <w:r>
              <w:rPr>
                <w:rStyle w:val="IndexLink"/>
                <w:rtl w:val="true"/>
              </w:rPr>
              <w:tab/>
            </w:r>
            <w:r>
              <w:rPr>
                <w:rStyle w:val="IndexLink"/>
              </w:rPr>
              <w:t>26</w:t>
            </w:r>
          </w:hyperlink>
        </w:p>
        <w:p>
          <w:pPr>
            <w:pStyle w:val="Contents2"/>
            <w:tabs>
              <w:tab w:val="clear" w:pos="8743"/>
              <w:tab w:val="right" w:pos="9026" w:leader="dot"/>
            </w:tabs>
            <w:rPr/>
          </w:pPr>
          <w:hyperlink w:anchor="__RefHeading___Toc7825229_2870459653">
            <w:r>
              <w:rPr>
                <w:webHidden/>
                <w:rStyle w:val="IndexLink"/>
                <w:rtl w:val="true"/>
              </w:rPr>
              <w:t>بودجه</w:t>
            </w:r>
            <w:r>
              <w:rPr>
                <w:rStyle w:val="IndexLink"/>
                <w:rtl w:val="true"/>
              </w:rPr>
              <w:tab/>
            </w:r>
            <w:r>
              <w:rPr>
                <w:rStyle w:val="IndexLink"/>
              </w:rPr>
              <w:t>27</w:t>
            </w:r>
          </w:hyperlink>
        </w:p>
        <w:p>
          <w:pPr>
            <w:pStyle w:val="Contents2"/>
            <w:tabs>
              <w:tab w:val="clear" w:pos="8743"/>
              <w:tab w:val="right" w:pos="9026" w:leader="dot"/>
            </w:tabs>
            <w:rPr/>
          </w:pPr>
          <w:hyperlink w:anchor="__RefHeading___Toc7825231_2870459653">
            <w:r>
              <w:rPr>
                <w:webHidden/>
                <w:rStyle w:val="IndexLink"/>
                <w:rtl w:val="true"/>
              </w:rPr>
              <w:t>انتشارات</w:t>
            </w:r>
            <w:r>
              <w:rPr>
                <w:rStyle w:val="IndexLink"/>
                <w:rtl w:val="true"/>
              </w:rPr>
              <w:tab/>
            </w:r>
            <w:r>
              <w:rPr>
                <w:rStyle w:val="IndexLink"/>
              </w:rPr>
              <w:t>27</w:t>
            </w:r>
          </w:hyperlink>
        </w:p>
        <w:p>
          <w:pPr>
            <w:pStyle w:val="Contents2"/>
            <w:tabs>
              <w:tab w:val="clear" w:pos="8743"/>
              <w:tab w:val="right" w:pos="9026" w:leader="dot"/>
            </w:tabs>
            <w:rPr/>
          </w:pPr>
          <w:hyperlink w:anchor="__RefHeading___Toc7825233_2870459653">
            <w:r>
              <w:rPr>
                <w:webHidden/>
                <w:rStyle w:val="IndexLink"/>
                <w:rtl w:val="true"/>
              </w:rPr>
              <w:t>زبان</w:t>
            </w:r>
            <w:r>
              <w:rPr>
                <w:rStyle w:val="IndexLink"/>
                <w:rtl w:val="true"/>
              </w:rPr>
              <w:tab/>
            </w:r>
            <w:r>
              <w:rPr>
                <w:rStyle w:val="IndexLink"/>
              </w:rPr>
              <w:t>28</w:t>
            </w:r>
          </w:hyperlink>
        </w:p>
        <w:p>
          <w:pPr>
            <w:pStyle w:val="Contents2"/>
            <w:tabs>
              <w:tab w:val="clear" w:pos="8743"/>
              <w:tab w:val="right" w:pos="9026" w:leader="dot"/>
            </w:tabs>
            <w:rPr/>
          </w:pPr>
          <w:hyperlink w:anchor="__RefHeading___Toc7825235_2870459653">
            <w:r>
              <w:rPr>
                <w:webHidden/>
                <w:rStyle w:val="IndexLink"/>
                <w:rtl w:val="true"/>
              </w:rPr>
              <w:t>وب گاه های ایفلا</w:t>
            </w:r>
            <w:r>
              <w:rPr>
                <w:rStyle w:val="IndexLink"/>
                <w:rtl w:val="true"/>
              </w:rPr>
              <w:tab/>
            </w:r>
            <w:r>
              <w:rPr>
                <w:rStyle w:val="IndexLink"/>
              </w:rPr>
              <w:t>28</w:t>
            </w:r>
          </w:hyperlink>
        </w:p>
        <w:p>
          <w:pPr>
            <w:pStyle w:val="Contents2"/>
            <w:tabs>
              <w:tab w:val="clear" w:pos="8743"/>
              <w:tab w:val="right" w:pos="9026" w:leader="dot"/>
            </w:tabs>
            <w:rPr/>
          </w:pPr>
          <w:hyperlink w:anchor="__RefHeading___Toc7825237_2870459653">
            <w:r>
              <w:rPr>
                <w:webHidden/>
                <w:rStyle w:val="IndexLink"/>
                <w:rtl w:val="true"/>
              </w:rPr>
              <w:t>چکیده</w:t>
            </w:r>
            <w:r>
              <w:rPr>
                <w:rStyle w:val="IndexLink"/>
                <w:rtl w:val="true"/>
              </w:rPr>
              <w:tab/>
            </w:r>
            <w:r>
              <w:rPr>
                <w:rStyle w:val="IndexLink"/>
              </w:rPr>
              <w:t>30</w:t>
            </w:r>
          </w:hyperlink>
        </w:p>
        <w:p>
          <w:pPr>
            <w:pStyle w:val="Contents2"/>
            <w:tabs>
              <w:tab w:val="clear" w:pos="8743"/>
              <w:tab w:val="right" w:pos="9026" w:leader="dot"/>
            </w:tabs>
            <w:rPr/>
          </w:pPr>
          <w:hyperlink w:anchor="__RefHeading___Toc7825239_2870459653">
            <w:r>
              <w:rPr>
                <w:webHidden/>
                <w:rStyle w:val="IndexLink"/>
                <w:rtl w:val="true"/>
              </w:rPr>
              <w:t xml:space="preserve">کتابداری بین المللی در اروپا </w:t>
            </w:r>
            <w:r>
              <w:rPr>
                <w:rStyle w:val="IndexLink"/>
                <w:rtl w:val="true"/>
              </w:rPr>
              <w:t>(</w:t>
            </w:r>
            <w:r>
              <w:rPr>
                <w:rStyle w:val="IndexLink"/>
              </w:rPr>
              <w:t>2000</w:t>
            </w:r>
            <w:r>
              <w:rPr>
                <w:rStyle w:val="IndexLink"/>
                <w:rtl w:val="true"/>
              </w:rPr>
              <w:t xml:space="preserve"> - </w:t>
            </w:r>
            <w:r>
              <w:rPr>
                <w:rStyle w:val="IndexLink"/>
              </w:rPr>
              <w:t>1990</w:t>
            </w:r>
            <w:r>
              <w:rPr>
                <w:rStyle w:val="IndexLink"/>
                <w:rtl w:val="true"/>
              </w:rPr>
              <w:t>)</w:t>
              <w:tab/>
            </w:r>
            <w:r>
              <w:rPr>
                <w:rStyle w:val="IndexLink"/>
              </w:rPr>
              <w:t>31</w:t>
            </w:r>
          </w:hyperlink>
        </w:p>
        <w:p>
          <w:pPr>
            <w:pStyle w:val="Contents3"/>
            <w:tabs>
              <w:tab w:val="clear" w:pos="8459"/>
              <w:tab w:val="right" w:pos="9026" w:leader="dot"/>
            </w:tabs>
            <w:rPr/>
          </w:pPr>
          <w:hyperlink w:anchor="__RefHeading___Toc7825241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7825243_2870459653">
            <w:r>
              <w:rPr>
                <w:webHidden/>
                <w:rStyle w:val="IndexLink"/>
                <w:rtl w:val="true"/>
              </w:rPr>
              <w:t>به سمت فضای اروپایی برای کتاب خانه ها</w:t>
            </w:r>
            <w:r>
              <w:rPr>
                <w:rStyle w:val="IndexLink"/>
                <w:rtl w:val="true"/>
              </w:rPr>
              <w:tab/>
            </w:r>
            <w:r>
              <w:rPr>
                <w:rStyle w:val="IndexLink"/>
              </w:rPr>
              <w:t>31</w:t>
            </w:r>
          </w:hyperlink>
        </w:p>
        <w:p>
          <w:pPr>
            <w:pStyle w:val="Contents3"/>
            <w:tabs>
              <w:tab w:val="clear" w:pos="8459"/>
              <w:tab w:val="right" w:pos="9026" w:leader="dot"/>
            </w:tabs>
            <w:rPr/>
          </w:pPr>
          <w:hyperlink w:anchor="__RefHeading___Toc7825245_2870459653">
            <w:r>
              <w:rPr>
                <w:webHidden/>
                <w:rStyle w:val="IndexLink"/>
                <w:rtl w:val="true"/>
              </w:rPr>
              <w:t>برنامه های ایی سی برای کتاب خانه ها</w:t>
            </w:r>
            <w:r>
              <w:rPr>
                <w:rStyle w:val="IndexLink"/>
                <w:rtl w:val="true"/>
              </w:rPr>
              <w:tab/>
            </w:r>
            <w:r>
              <w:rPr>
                <w:rStyle w:val="IndexLink"/>
              </w:rPr>
              <w:t>34</w:t>
            </w:r>
          </w:hyperlink>
        </w:p>
        <w:p>
          <w:pPr>
            <w:pStyle w:val="Contents3"/>
            <w:tabs>
              <w:tab w:val="clear" w:pos="8459"/>
              <w:tab w:val="right" w:pos="9026" w:leader="dot"/>
            </w:tabs>
            <w:rPr/>
          </w:pPr>
          <w:hyperlink w:anchor="__RefHeading___Toc7825247_2870459653">
            <w:r>
              <w:rPr>
                <w:webHidden/>
                <w:rStyle w:val="IndexLink"/>
                <w:rtl w:val="true"/>
              </w:rPr>
              <w:t>برنامه انتشارات الکترونیکی، کتاب ها و آرشیوهای شورای اروپایی</w:t>
            </w:r>
            <w:r>
              <w:rPr>
                <w:rStyle w:val="IndexLink"/>
                <w:rtl w:val="true"/>
              </w:rPr>
              <w:tab/>
            </w:r>
            <w:r>
              <w:rPr>
                <w:rStyle w:val="IndexLink"/>
              </w:rPr>
              <w:t>37</w:t>
            </w:r>
          </w:hyperlink>
        </w:p>
        <w:p>
          <w:pPr>
            <w:pStyle w:val="Contents3"/>
            <w:tabs>
              <w:tab w:val="clear" w:pos="8459"/>
              <w:tab w:val="right" w:pos="9026" w:leader="dot"/>
            </w:tabs>
            <w:rPr/>
          </w:pPr>
          <w:hyperlink w:anchor="__RefHeading___Toc7825249_2870459653">
            <w:r>
              <w:rPr>
                <w:webHidden/>
                <w:rStyle w:val="IndexLink"/>
                <w:rtl w:val="true"/>
              </w:rPr>
              <w:t xml:space="preserve">برنامه های ایی سی برای کتاب خانه ها </w:t>
            </w:r>
            <w:r>
              <w:rPr>
                <w:rStyle w:val="IndexLink"/>
                <w:rtl w:val="true"/>
              </w:rPr>
              <w:t>(</w:t>
            </w:r>
            <w:r>
              <w:rPr>
                <w:rStyle w:val="IndexLink"/>
              </w:rPr>
              <w:t>1998</w:t>
            </w:r>
            <w:r>
              <w:rPr>
                <w:rStyle w:val="IndexLink"/>
                <w:rtl w:val="true"/>
              </w:rPr>
              <w:t>-</w:t>
            </w:r>
            <w:r>
              <w:rPr>
                <w:rStyle w:val="IndexLink"/>
              </w:rPr>
              <w:t>1991</w:t>
            </w:r>
            <w:r>
              <w:rPr>
                <w:rStyle w:val="IndexLink"/>
                <w:rtl w:val="true"/>
              </w:rPr>
              <w:t xml:space="preserve">): </w:t>
            </w:r>
            <w:r>
              <w:rPr>
                <w:rStyle w:val="IndexLink"/>
                <w:rtl w:val="true"/>
              </w:rPr>
              <w:t>ارزیابی رسمی و مشارکت ملی</w:t>
            </w:r>
            <w:r>
              <w:rPr>
                <w:rStyle w:val="IndexLink"/>
                <w:rtl w:val="true"/>
              </w:rPr>
              <w:tab/>
            </w:r>
            <w:r>
              <w:rPr>
                <w:rStyle w:val="IndexLink"/>
              </w:rPr>
              <w:t>42</w:t>
            </w:r>
          </w:hyperlink>
        </w:p>
        <w:p>
          <w:pPr>
            <w:pStyle w:val="Contents3"/>
            <w:tabs>
              <w:tab w:val="clear" w:pos="8459"/>
              <w:tab w:val="right" w:pos="9026" w:leader="dot"/>
            </w:tabs>
            <w:rPr/>
          </w:pPr>
          <w:hyperlink w:anchor="__RefHeading___Toc7825251_2870459653">
            <w:r>
              <w:rPr>
                <w:webHidden/>
                <w:rStyle w:val="IndexLink"/>
                <w:rtl w:val="true"/>
              </w:rPr>
              <w:t>سخنان پایانی</w:t>
            </w:r>
            <w:r>
              <w:rPr>
                <w:rStyle w:val="IndexLink"/>
                <w:rtl w:val="true"/>
              </w:rPr>
              <w:tab/>
            </w:r>
            <w:r>
              <w:rPr>
                <w:rStyle w:val="IndexLink"/>
              </w:rPr>
              <w:t>45</w:t>
            </w:r>
          </w:hyperlink>
        </w:p>
        <w:p>
          <w:pPr>
            <w:pStyle w:val="Contents2"/>
            <w:tabs>
              <w:tab w:val="clear" w:pos="8743"/>
              <w:tab w:val="right" w:pos="9026" w:leader="dot"/>
            </w:tabs>
            <w:rPr/>
          </w:pPr>
          <w:hyperlink w:anchor="__RefHeading___Toc7825253_2870459653">
            <w:r>
              <w:rPr>
                <w:webHidden/>
                <w:rStyle w:val="IndexLink"/>
                <w:rtl w:val="true"/>
              </w:rPr>
              <w:t>چکیده</w:t>
            </w:r>
            <w:r>
              <w:rPr>
                <w:rStyle w:val="IndexLink"/>
                <w:rtl w:val="true"/>
              </w:rPr>
              <w:tab/>
            </w:r>
            <w:r>
              <w:rPr>
                <w:rStyle w:val="IndexLink"/>
              </w:rPr>
              <w:t>48</w:t>
            </w:r>
          </w:hyperlink>
        </w:p>
        <w:p>
          <w:pPr>
            <w:pStyle w:val="Contents2"/>
            <w:tabs>
              <w:tab w:val="clear" w:pos="8743"/>
              <w:tab w:val="right" w:pos="9026" w:leader="dot"/>
            </w:tabs>
            <w:rPr/>
          </w:pPr>
          <w:hyperlink w:anchor="__RefHeading___Toc7825255_2870459653">
            <w:r>
              <w:rPr>
                <w:webHidden/>
                <w:rStyle w:val="IndexLink"/>
                <w:rtl w:val="true"/>
              </w:rPr>
              <w:t>نوآوری در سواد آموزی و مهارت ها مشارکت در کانادا</w:t>
            </w:r>
            <w:r>
              <w:rPr>
                <w:rStyle w:val="IndexLink"/>
                <w:rtl w:val="true"/>
              </w:rPr>
              <w:tab/>
            </w:r>
            <w:r>
              <w:rPr>
                <w:rStyle w:val="IndexLink"/>
              </w:rPr>
              <w:t>49</w:t>
            </w:r>
          </w:hyperlink>
        </w:p>
        <w:p>
          <w:pPr>
            <w:pStyle w:val="Contents3"/>
            <w:tabs>
              <w:tab w:val="clear" w:pos="8459"/>
              <w:tab w:val="right" w:pos="9026" w:leader="dot"/>
            </w:tabs>
            <w:rPr/>
          </w:pPr>
          <w:hyperlink w:anchor="__RefHeading___Toc7825257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825259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7825261_2870459653">
            <w:r>
              <w:rPr>
                <w:webHidden/>
                <w:rStyle w:val="IndexLink"/>
              </w:rPr>
              <w:t>2</w:t>
            </w:r>
            <w:r>
              <w:rPr>
                <w:rStyle w:val="IndexLink"/>
                <w:rtl w:val="true"/>
              </w:rPr>
              <w:t xml:space="preserve">. </w:t>
            </w:r>
            <w:r>
              <w:rPr>
                <w:rStyle w:val="IndexLink"/>
                <w:rtl w:val="true"/>
              </w:rPr>
              <w:t>مشارکت جدید در بافت جدید</w:t>
            </w:r>
            <w:r>
              <w:rPr>
                <w:rStyle w:val="IndexLink"/>
                <w:rtl w:val="true"/>
              </w:rPr>
              <w:tab/>
            </w:r>
            <w:r>
              <w:rPr>
                <w:rStyle w:val="IndexLink"/>
              </w:rPr>
              <w:t>51</w:t>
            </w:r>
          </w:hyperlink>
        </w:p>
        <w:p>
          <w:pPr>
            <w:pStyle w:val="Contents3"/>
            <w:tabs>
              <w:tab w:val="clear" w:pos="8459"/>
              <w:tab w:val="right" w:pos="9026" w:leader="dot"/>
            </w:tabs>
            <w:rPr/>
          </w:pPr>
          <w:hyperlink w:anchor="__RefHeading___Toc7825263_2870459653">
            <w:r>
              <w:rPr>
                <w:webHidden/>
                <w:rStyle w:val="IndexLink"/>
              </w:rPr>
              <w:t>3</w:t>
            </w:r>
            <w:r>
              <w:rPr>
                <w:rStyle w:val="IndexLink"/>
                <w:rtl w:val="true"/>
              </w:rPr>
              <w:t xml:space="preserve">. </w:t>
            </w:r>
            <w:r>
              <w:rPr>
                <w:rStyle w:val="IndexLink"/>
                <w:rtl w:val="true"/>
              </w:rPr>
              <w:t>همکاری اولیه</w:t>
            </w:r>
            <w:r>
              <w:rPr>
                <w:rStyle w:val="IndexLink"/>
                <w:rtl w:val="true"/>
              </w:rPr>
              <w:t xml:space="preserve">: </w:t>
            </w:r>
            <w:r>
              <w:rPr>
                <w:rStyle w:val="IndexLink"/>
                <w:rtl w:val="true"/>
              </w:rPr>
              <w:t>آمادگی برای برنامه بین المللی ارزیابی قابلیت های بزرگسالان</w:t>
            </w:r>
            <w:r>
              <w:rPr>
                <w:rStyle w:val="IndexLink"/>
                <w:rtl w:val="true"/>
              </w:rPr>
              <w:tab/>
            </w:r>
            <w:r>
              <w:rPr>
                <w:rStyle w:val="IndexLink"/>
              </w:rPr>
              <w:t>52</w:t>
            </w:r>
          </w:hyperlink>
        </w:p>
        <w:p>
          <w:pPr>
            <w:pStyle w:val="Contents3"/>
            <w:tabs>
              <w:tab w:val="clear" w:pos="8459"/>
              <w:tab w:val="right" w:pos="9026" w:leader="dot"/>
            </w:tabs>
            <w:rPr/>
          </w:pPr>
          <w:hyperlink w:anchor="__RefHeading___Toc7825265_2870459653">
            <w:r>
              <w:rPr>
                <w:webHidden/>
                <w:rStyle w:val="IndexLink"/>
              </w:rPr>
              <w:t>4</w:t>
            </w:r>
            <w:r>
              <w:rPr>
                <w:rStyle w:val="IndexLink"/>
                <w:rtl w:val="true"/>
              </w:rPr>
              <w:t xml:space="preserve">. </w:t>
            </w:r>
            <w:r>
              <w:rPr>
                <w:rStyle w:val="IndexLink"/>
                <w:rtl w:val="true"/>
              </w:rPr>
              <w:t>مشارکت در اشاعه اطلاعات تا کار برای سازمان های سواد آموزی</w:t>
            </w:r>
            <w:r>
              <w:rPr>
                <w:rStyle w:val="IndexLink"/>
                <w:rtl w:val="true"/>
              </w:rPr>
              <w:tab/>
            </w:r>
            <w:r>
              <w:rPr>
                <w:rStyle w:val="IndexLink"/>
              </w:rPr>
              <w:t>52</w:t>
            </w:r>
          </w:hyperlink>
        </w:p>
        <w:p>
          <w:pPr>
            <w:pStyle w:val="Contents4"/>
            <w:tabs>
              <w:tab w:val="clear" w:pos="8176"/>
              <w:tab w:val="right" w:pos="9026" w:leader="dot"/>
            </w:tabs>
            <w:rPr/>
          </w:pPr>
          <w:hyperlink w:anchor="__RefHeading___Toc7825267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825269_2870459653">
            <w:r>
              <w:rPr>
                <w:webHidden/>
                <w:rStyle w:val="IndexLink"/>
                <w:rtl w:val="true"/>
              </w:rPr>
              <w:t>نتایج</w:t>
            </w:r>
            <w:r>
              <w:rPr>
                <w:rStyle w:val="IndexLink"/>
                <w:rtl w:val="true"/>
              </w:rPr>
              <w:tab/>
            </w:r>
            <w:r>
              <w:rPr>
                <w:rStyle w:val="IndexLink"/>
              </w:rPr>
              <w:t>54</w:t>
            </w:r>
          </w:hyperlink>
        </w:p>
        <w:p>
          <w:pPr>
            <w:pStyle w:val="Contents3"/>
            <w:tabs>
              <w:tab w:val="clear" w:pos="8459"/>
              <w:tab w:val="right" w:pos="9026" w:leader="dot"/>
            </w:tabs>
            <w:rPr/>
          </w:pPr>
          <w:hyperlink w:anchor="__RefHeading___Toc7825271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825273_2870459653">
            <w:r>
              <w:rPr>
                <w:webHidden/>
                <w:rStyle w:val="IndexLink"/>
              </w:rPr>
              <w:t>5</w:t>
            </w:r>
            <w:r>
              <w:rPr>
                <w:rStyle w:val="IndexLink"/>
                <w:rtl w:val="true"/>
              </w:rPr>
              <w:t xml:space="preserve">. </w:t>
            </w:r>
            <w:r>
              <w:rPr>
                <w:rStyle w:val="IndexLink"/>
                <w:rtl w:val="true"/>
              </w:rPr>
              <w:t>مشارکت در اشتراک پژوهش و تجربه اندوزی</w:t>
            </w:r>
            <w:r>
              <w:rPr>
                <w:rStyle w:val="IndexLink"/>
                <w:rtl w:val="true"/>
              </w:rPr>
              <w:tab/>
            </w:r>
            <w:r>
              <w:rPr>
                <w:rStyle w:val="IndexLink"/>
              </w:rPr>
              <w:t>54</w:t>
            </w:r>
          </w:hyperlink>
        </w:p>
        <w:p>
          <w:pPr>
            <w:pStyle w:val="Contents4"/>
            <w:tabs>
              <w:tab w:val="clear" w:pos="8176"/>
              <w:tab w:val="right" w:pos="9026" w:leader="dot"/>
            </w:tabs>
            <w:rPr/>
          </w:pPr>
          <w:hyperlink w:anchor="__RefHeading___Toc7825275_2870459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825277_2870459653">
            <w:r>
              <w:rPr>
                <w:webHidden/>
                <w:rStyle w:val="IndexLink"/>
                <w:rtl w:val="true"/>
              </w:rPr>
              <w:t>نتایج</w:t>
            </w:r>
            <w:r>
              <w:rPr>
                <w:rStyle w:val="IndexLink"/>
                <w:rtl w:val="true"/>
              </w:rPr>
              <w:tab/>
            </w:r>
            <w:r>
              <w:rPr>
                <w:rStyle w:val="IndexLink"/>
              </w:rPr>
              <w:t>55</w:t>
            </w:r>
          </w:hyperlink>
        </w:p>
        <w:p>
          <w:pPr>
            <w:pStyle w:val="Contents3"/>
            <w:tabs>
              <w:tab w:val="clear" w:pos="8459"/>
              <w:tab w:val="right" w:pos="9026" w:leader="dot"/>
            </w:tabs>
            <w:rPr/>
          </w:pPr>
          <w:hyperlink w:anchor="__RefHeading___Toc7825279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7825281_2870459653">
            <w:r>
              <w:rPr>
                <w:webHidden/>
                <w:rStyle w:val="IndexLink"/>
              </w:rPr>
              <w:t>6</w:t>
            </w:r>
            <w:r>
              <w:rPr>
                <w:rStyle w:val="IndexLink"/>
                <w:rtl w:val="true"/>
              </w:rPr>
              <w:t xml:space="preserve">. </w:t>
            </w:r>
            <w:r>
              <w:rPr>
                <w:rStyle w:val="IndexLink"/>
                <w:rtl w:val="true"/>
              </w:rPr>
              <w:t>نتیجه گیری و آینده</w:t>
            </w:r>
            <w:r>
              <w:rPr>
                <w:rStyle w:val="IndexLink"/>
                <w:rtl w:val="true"/>
              </w:rPr>
              <w:tab/>
            </w:r>
            <w:r>
              <w:rPr>
                <w:rStyle w:val="IndexLink"/>
              </w:rPr>
              <w:t>56</w:t>
            </w:r>
          </w:hyperlink>
        </w:p>
        <w:p>
          <w:pPr>
            <w:pStyle w:val="Contents3"/>
            <w:tabs>
              <w:tab w:val="clear" w:pos="8459"/>
              <w:tab w:val="right" w:pos="9026" w:leader="dot"/>
            </w:tabs>
            <w:rPr/>
          </w:pPr>
          <w:hyperlink w:anchor="__RefHeading___Toc7825283_2870459653">
            <w:r>
              <w:rPr>
                <w:webHidden/>
                <w:rStyle w:val="IndexLink"/>
                <w:rtl w:val="true"/>
              </w:rPr>
              <w:t>منابع</w:t>
            </w:r>
            <w:r>
              <w:rPr>
                <w:rStyle w:val="IndexLink"/>
                <w:rtl w:val="true"/>
              </w:rPr>
              <w:tab/>
            </w:r>
            <w:r>
              <w:rPr>
                <w:rStyle w:val="IndexLink"/>
              </w:rPr>
              <w:t>57</w:t>
            </w:r>
          </w:hyperlink>
        </w:p>
        <w:p>
          <w:pPr>
            <w:pStyle w:val="Contents2"/>
            <w:tabs>
              <w:tab w:val="clear" w:pos="8743"/>
              <w:tab w:val="right" w:pos="9026" w:leader="dot"/>
            </w:tabs>
            <w:rPr/>
          </w:pPr>
          <w:hyperlink w:anchor="__RefHeading___Toc7825285_2870459653">
            <w:r>
              <w:rPr>
                <w:webHidden/>
                <w:rStyle w:val="IndexLink"/>
                <w:rtl w:val="true"/>
              </w:rPr>
              <w:t>چکیده</w:t>
            </w:r>
            <w:r>
              <w:rPr>
                <w:rStyle w:val="IndexLink"/>
                <w:rtl w:val="true"/>
              </w:rPr>
              <w:tab/>
            </w:r>
            <w:r>
              <w:rPr>
                <w:rStyle w:val="IndexLink"/>
              </w:rPr>
              <w:t>60</w:t>
            </w:r>
          </w:hyperlink>
        </w:p>
        <w:p>
          <w:pPr>
            <w:pStyle w:val="Contents2"/>
            <w:tabs>
              <w:tab w:val="clear" w:pos="8743"/>
              <w:tab w:val="right" w:pos="9026" w:leader="dot"/>
            </w:tabs>
            <w:rPr/>
          </w:pPr>
          <w:hyperlink w:anchor="__RefHeading___Toc7825287_2870459653">
            <w:r>
              <w:rPr>
                <w:webHidden/>
                <w:rStyle w:val="IndexLink"/>
                <w:rtl w:val="true"/>
              </w:rPr>
              <w:t>اطلاعات در زیست بوم دانش رقومی</w:t>
            </w:r>
            <w:r>
              <w:rPr>
                <w:rStyle w:val="IndexLink"/>
                <w:rtl w:val="true"/>
              </w:rPr>
              <w:t xml:space="preserve">: </w:t>
            </w:r>
            <w:r>
              <w:rPr>
                <w:rStyle w:val="IndexLink"/>
                <w:rtl w:val="true"/>
              </w:rPr>
              <w:t>چالش های آینده کتاب خانه ها</w:t>
            </w:r>
            <w:r>
              <w:rPr>
                <w:rStyle w:val="IndexLink"/>
                <w:rtl w:val="true"/>
              </w:rPr>
              <w:tab/>
            </w:r>
            <w:r>
              <w:rPr>
                <w:rStyle w:val="IndexLink"/>
              </w:rPr>
              <w:t>61</w:t>
            </w:r>
          </w:hyperlink>
        </w:p>
        <w:p>
          <w:pPr>
            <w:pStyle w:val="Contents3"/>
            <w:tabs>
              <w:tab w:val="clear" w:pos="8459"/>
              <w:tab w:val="right" w:pos="9026" w:leader="dot"/>
            </w:tabs>
            <w:rPr/>
          </w:pPr>
          <w:hyperlink w:anchor="__RefHeading___Toc7825289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7825291_2870459653">
            <w:r>
              <w:rPr>
                <w:webHidden/>
                <w:rStyle w:val="IndexLink"/>
                <w:rtl w:val="true"/>
              </w:rPr>
              <w:t>پژوهش، انتشار، دانش</w:t>
            </w:r>
            <w:r>
              <w:rPr>
                <w:rStyle w:val="IndexLink"/>
                <w:rtl w:val="true"/>
              </w:rPr>
              <w:tab/>
            </w:r>
            <w:r>
              <w:rPr>
                <w:rStyle w:val="IndexLink"/>
              </w:rPr>
              <w:t>61</w:t>
            </w:r>
          </w:hyperlink>
        </w:p>
        <w:p>
          <w:pPr>
            <w:pStyle w:val="Contents3"/>
            <w:tabs>
              <w:tab w:val="clear" w:pos="8459"/>
              <w:tab w:val="right" w:pos="9026" w:leader="dot"/>
            </w:tabs>
            <w:rPr/>
          </w:pPr>
          <w:hyperlink w:anchor="__RefHeading___Toc7825293_2870459653">
            <w:r>
              <w:rPr>
                <w:webHidden/>
                <w:rStyle w:val="IndexLink"/>
                <w:rtl w:val="true"/>
              </w:rPr>
              <w:t>عصر رقومی مرزهای فضای دانش را از بین می برد</w:t>
            </w:r>
            <w:r>
              <w:rPr>
                <w:rStyle w:val="IndexLink"/>
                <w:rtl w:val="true"/>
              </w:rPr>
              <w:tab/>
            </w:r>
            <w:r>
              <w:rPr>
                <w:rStyle w:val="IndexLink"/>
              </w:rPr>
              <w:t>62</w:t>
            </w:r>
          </w:hyperlink>
        </w:p>
        <w:p>
          <w:pPr>
            <w:pStyle w:val="Contents3"/>
            <w:tabs>
              <w:tab w:val="clear" w:pos="8459"/>
              <w:tab w:val="right" w:pos="9026" w:leader="dot"/>
            </w:tabs>
            <w:rPr/>
          </w:pPr>
          <w:hyperlink w:anchor="__RefHeading___Toc7825295_2870459653">
            <w:r>
              <w:rPr>
                <w:webHidden/>
                <w:rStyle w:val="IndexLink"/>
                <w:rtl w:val="true"/>
              </w:rPr>
              <w:t>کتاب خانه</w:t>
            </w:r>
            <w:r>
              <w:rPr>
                <w:rStyle w:val="IndexLink"/>
                <w:rtl w:val="true"/>
              </w:rPr>
              <w:t xml:space="preserve">: </w:t>
            </w:r>
            <w:r>
              <w:rPr>
                <w:rStyle w:val="IndexLink"/>
                <w:rtl w:val="true"/>
              </w:rPr>
              <w:t>متصدی دنیای داده های پیوند یافته باز دانش</w:t>
            </w:r>
            <w:r>
              <w:rPr>
                <w:rStyle w:val="IndexLink"/>
                <w:rtl w:val="true"/>
              </w:rPr>
              <w:tab/>
            </w:r>
            <w:r>
              <w:rPr>
                <w:rStyle w:val="IndexLink"/>
              </w:rPr>
              <w:t>63</w:t>
            </w:r>
          </w:hyperlink>
        </w:p>
        <w:p>
          <w:pPr>
            <w:pStyle w:val="Contents3"/>
            <w:tabs>
              <w:tab w:val="clear" w:pos="8459"/>
              <w:tab w:val="right" w:pos="9026" w:leader="dot"/>
            </w:tabs>
            <w:rPr/>
          </w:pPr>
          <w:hyperlink w:anchor="__RefHeading___Toc7825297_2870459653">
            <w:r>
              <w:rPr>
                <w:webHidden/>
                <w:rStyle w:val="IndexLink"/>
                <w:rtl w:val="true"/>
              </w:rPr>
              <w:t>طراحی دانش</w:t>
            </w:r>
            <w:r>
              <w:rPr>
                <w:rStyle w:val="IndexLink"/>
                <w:rtl w:val="true"/>
              </w:rPr>
              <w:t xml:space="preserve">: </w:t>
            </w:r>
            <w:r>
              <w:rPr>
                <w:rStyle w:val="IndexLink"/>
                <w:rtl w:val="true"/>
              </w:rPr>
              <w:t>متحرک، وابسته به موقعیت، طبیعی</w:t>
            </w:r>
            <w:r>
              <w:rPr>
                <w:rStyle w:val="IndexLink"/>
                <w:rtl w:val="true"/>
              </w:rPr>
              <w:tab/>
            </w:r>
            <w:r>
              <w:rPr>
                <w:rStyle w:val="IndexLink"/>
              </w:rPr>
              <w:t>64</w:t>
            </w:r>
          </w:hyperlink>
        </w:p>
        <w:p>
          <w:pPr>
            <w:pStyle w:val="Contents3"/>
            <w:tabs>
              <w:tab w:val="clear" w:pos="8459"/>
              <w:tab w:val="right" w:pos="9026" w:leader="dot"/>
            </w:tabs>
            <w:rPr/>
          </w:pPr>
          <w:hyperlink w:anchor="__RefHeading___Toc7825299_2870459653">
            <w:r>
              <w:rPr>
                <w:webHidden/>
                <w:rStyle w:val="IndexLink"/>
                <w:rtl w:val="true"/>
              </w:rPr>
              <w:t>«</w:t>
            </w:r>
            <w:r>
              <w:rPr>
                <w:rStyle w:val="IndexLink"/>
                <w:rtl w:val="true"/>
              </w:rPr>
              <w:t>صلاحیت</w:t>
            </w:r>
            <w:r>
              <w:rPr>
                <w:rStyle w:val="IndexLink"/>
                <w:rtl w:val="true"/>
              </w:rPr>
              <w:t xml:space="preserve">» </w:t>
            </w:r>
            <w:r>
              <w:rPr>
                <w:rStyle w:val="IndexLink"/>
                <w:rtl w:val="true"/>
              </w:rPr>
              <w:t>در فضاهای دانش رقومی</w:t>
            </w:r>
            <w:r>
              <w:rPr>
                <w:rStyle w:val="IndexLink"/>
                <w:rtl w:val="true"/>
              </w:rPr>
              <w:tab/>
            </w:r>
            <w:r>
              <w:rPr>
                <w:rStyle w:val="IndexLink"/>
              </w:rPr>
              <w:t>66</w:t>
            </w:r>
          </w:hyperlink>
        </w:p>
        <w:p>
          <w:pPr>
            <w:pStyle w:val="Contents3"/>
            <w:tabs>
              <w:tab w:val="clear" w:pos="8459"/>
              <w:tab w:val="right" w:pos="9026" w:leader="dot"/>
            </w:tabs>
            <w:rPr/>
          </w:pPr>
          <w:hyperlink w:anchor="__RefHeading___Toc7825301_2870459653">
            <w:r>
              <w:rPr>
                <w:webHidden/>
                <w:rStyle w:val="IndexLink"/>
                <w:rtl w:val="true"/>
              </w:rPr>
              <w:t>«</w:t>
            </w:r>
            <w:r>
              <w:rPr>
                <w:rStyle w:val="IndexLink"/>
                <w:rtl w:val="true"/>
              </w:rPr>
              <w:t>کتاب خانه ها</w:t>
            </w:r>
            <w:r>
              <w:rPr>
                <w:rStyle w:val="IndexLink"/>
                <w:rtl w:val="true"/>
              </w:rPr>
              <w:t xml:space="preserve">»: </w:t>
            </w:r>
            <w:r>
              <w:rPr>
                <w:rStyle w:val="IndexLink"/>
                <w:rtl w:val="true"/>
              </w:rPr>
              <w:t>آینده باز</w:t>
            </w:r>
            <w:r>
              <w:rPr>
                <w:rStyle w:val="IndexLink"/>
                <w:rtl w:val="true"/>
              </w:rPr>
              <w:tab/>
            </w:r>
            <w:r>
              <w:rPr>
                <w:rStyle w:val="IndexLink"/>
              </w:rPr>
              <w:t>67</w:t>
            </w:r>
          </w:hyperlink>
        </w:p>
        <w:p>
          <w:pPr>
            <w:pStyle w:val="Contents3"/>
            <w:tabs>
              <w:tab w:val="clear" w:pos="8459"/>
              <w:tab w:val="right" w:pos="9026" w:leader="dot"/>
            </w:tabs>
            <w:rPr/>
          </w:pPr>
          <w:hyperlink w:anchor="__RefHeading___Toc7825303_2870459653">
            <w:r>
              <w:rPr>
                <w:webHidden/>
                <w:rStyle w:val="IndexLink"/>
                <w:rtl w:val="true"/>
              </w:rPr>
              <w:t>منابع</w:t>
            </w:r>
            <w:r>
              <w:rPr>
                <w:rStyle w:val="IndexLink"/>
                <w:rtl w:val="true"/>
              </w:rPr>
              <w:tab/>
            </w:r>
            <w:r>
              <w:rPr>
                <w:rStyle w:val="IndexLink"/>
              </w:rPr>
              <w:t>68</w:t>
            </w:r>
          </w:hyperlink>
        </w:p>
        <w:p>
          <w:pPr>
            <w:pStyle w:val="Contents2"/>
            <w:tabs>
              <w:tab w:val="clear" w:pos="8743"/>
              <w:tab w:val="right" w:pos="9026" w:leader="dot"/>
            </w:tabs>
            <w:rPr/>
          </w:pPr>
          <w:hyperlink w:anchor="__RefHeading___Toc7825305_2870459653">
            <w:r>
              <w:rPr>
                <w:webHidden/>
                <w:rStyle w:val="IndexLink"/>
                <w:rtl w:val="true"/>
              </w:rPr>
              <w:t>چکیده</w:t>
            </w:r>
            <w:r>
              <w:rPr>
                <w:rStyle w:val="IndexLink"/>
                <w:rtl w:val="true"/>
              </w:rPr>
              <w:tab/>
            </w:r>
            <w:r>
              <w:rPr>
                <w:rStyle w:val="IndexLink"/>
              </w:rPr>
              <w:t>70</w:t>
            </w:r>
          </w:hyperlink>
        </w:p>
        <w:p>
          <w:pPr>
            <w:pStyle w:val="Contents2"/>
            <w:tabs>
              <w:tab w:val="clear" w:pos="8743"/>
              <w:tab w:val="right" w:pos="9026" w:leader="dot"/>
            </w:tabs>
            <w:rPr/>
          </w:pPr>
          <w:hyperlink w:anchor="__RefHeading___Toc7825307_2870459653">
            <w:r>
              <w:rPr>
                <w:webHidden/>
                <w:rStyle w:val="IndexLink"/>
                <w:rtl w:val="true"/>
              </w:rPr>
              <w:t>کمترین مخرج مشترک، نیازهای کاربران را برآورده نمی کند</w:t>
            </w:r>
            <w:r>
              <w:rPr>
                <w:rStyle w:val="IndexLink"/>
                <w:rtl w:val="true"/>
              </w:rPr>
              <w:t xml:space="preserve">: </w:t>
            </w:r>
            <w:r>
              <w:rPr>
                <w:rStyle w:val="IndexLink"/>
                <w:rtl w:val="true"/>
              </w:rPr>
              <w:t>طرح های فراداده برای آرشیوهای صوتی رقومی</w:t>
            </w:r>
            <w:r>
              <w:rPr>
                <w:rStyle w:val="IndexLink"/>
                <w:rtl w:val="true"/>
              </w:rPr>
              <w:tab/>
            </w:r>
            <w:r>
              <w:rPr>
                <w:rStyle w:val="IndexLink"/>
              </w:rPr>
              <w:t>71</w:t>
            </w:r>
          </w:hyperlink>
        </w:p>
        <w:p>
          <w:pPr>
            <w:pStyle w:val="Contents3"/>
            <w:tabs>
              <w:tab w:val="clear" w:pos="8459"/>
              <w:tab w:val="right" w:pos="9026" w:leader="dot"/>
            </w:tabs>
            <w:rPr/>
          </w:pPr>
          <w:hyperlink w:anchor="__RefHeading___Toc7825309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7825311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7825313_2870459653">
            <w:r>
              <w:rPr>
                <w:webHidden/>
                <w:rStyle w:val="IndexLink"/>
              </w:rPr>
              <w:t>2</w:t>
            </w:r>
            <w:r>
              <w:rPr>
                <w:rStyle w:val="IndexLink"/>
                <w:rtl w:val="true"/>
              </w:rPr>
              <w:t xml:space="preserve">. </w:t>
            </w:r>
            <w:r>
              <w:rPr>
                <w:rStyle w:val="IndexLink"/>
                <w:rtl w:val="true"/>
              </w:rPr>
              <w:t>پیش زمینه</w:t>
            </w:r>
            <w:r>
              <w:rPr>
                <w:rStyle w:val="IndexLink"/>
                <w:rtl w:val="true"/>
              </w:rPr>
              <w:tab/>
            </w:r>
            <w:r>
              <w:rPr>
                <w:rStyle w:val="IndexLink"/>
              </w:rPr>
              <w:t>72</w:t>
            </w:r>
          </w:hyperlink>
        </w:p>
        <w:p>
          <w:pPr>
            <w:pStyle w:val="Contents3"/>
            <w:tabs>
              <w:tab w:val="clear" w:pos="8459"/>
              <w:tab w:val="right" w:pos="9026" w:leader="dot"/>
            </w:tabs>
            <w:rPr/>
          </w:pPr>
          <w:hyperlink w:anchor="__RefHeading___Toc7825315_2870459653">
            <w:r>
              <w:rPr>
                <w:webHidden/>
                <w:rStyle w:val="IndexLink"/>
              </w:rPr>
              <w:t>3</w:t>
            </w:r>
            <w:r>
              <w:rPr>
                <w:rStyle w:val="IndexLink"/>
                <w:rtl w:val="true"/>
              </w:rPr>
              <w:t xml:space="preserve">. </w:t>
            </w:r>
            <w:r>
              <w:rPr>
                <w:rStyle w:val="IndexLink"/>
                <w:rtl w:val="true"/>
              </w:rPr>
              <w:t>سوالات پژوهش</w:t>
            </w:r>
            <w:r>
              <w:rPr>
                <w:rStyle w:val="IndexLink"/>
                <w:rtl w:val="true"/>
              </w:rPr>
              <w:tab/>
            </w:r>
            <w:r>
              <w:rPr>
                <w:rStyle w:val="IndexLink"/>
              </w:rPr>
              <w:t>74</w:t>
            </w:r>
          </w:hyperlink>
        </w:p>
        <w:p>
          <w:pPr>
            <w:pStyle w:val="Contents3"/>
            <w:tabs>
              <w:tab w:val="clear" w:pos="8459"/>
              <w:tab w:val="right" w:pos="9026" w:leader="dot"/>
            </w:tabs>
            <w:rPr/>
          </w:pPr>
          <w:hyperlink w:anchor="__RefHeading___Toc7825317_2870459653">
            <w:r>
              <w:rPr>
                <w:webHidden/>
                <w:rStyle w:val="IndexLink"/>
              </w:rPr>
              <w:t>4</w:t>
            </w:r>
            <w:r>
              <w:rPr>
                <w:rStyle w:val="IndexLink"/>
                <w:rtl w:val="true"/>
              </w:rPr>
              <w:t xml:space="preserve">. </w:t>
            </w:r>
            <w:r>
              <w:rPr>
                <w:rStyle w:val="IndexLink"/>
                <w:rtl w:val="true"/>
              </w:rPr>
              <w:t>پرسشنامه</w:t>
            </w:r>
            <w:r>
              <w:rPr>
                <w:rStyle w:val="IndexLink"/>
                <w:rtl w:val="true"/>
              </w:rPr>
              <w:t xml:space="preserve">: </w:t>
            </w:r>
            <w:r>
              <w:rPr>
                <w:rStyle w:val="IndexLink"/>
                <w:rtl w:val="true"/>
              </w:rPr>
              <w:t>شناسایی نیازهای کاربران</w:t>
            </w:r>
            <w:r>
              <w:rPr>
                <w:rStyle w:val="IndexLink"/>
                <w:rtl w:val="true"/>
              </w:rPr>
              <w:tab/>
            </w:r>
            <w:r>
              <w:rPr>
                <w:rStyle w:val="IndexLink"/>
              </w:rPr>
              <w:t>75</w:t>
            </w:r>
          </w:hyperlink>
        </w:p>
        <w:p>
          <w:pPr>
            <w:pStyle w:val="Contents3"/>
            <w:tabs>
              <w:tab w:val="clear" w:pos="8459"/>
              <w:tab w:val="right" w:pos="9026" w:leader="dot"/>
            </w:tabs>
            <w:rPr/>
          </w:pPr>
          <w:hyperlink w:anchor="__RefHeading___Toc7825319_2870459653">
            <w:r>
              <w:rPr>
                <w:webHidden/>
                <w:rStyle w:val="IndexLink"/>
              </w:rPr>
              <w:t>5</w:t>
            </w:r>
            <w:r>
              <w:rPr>
                <w:rStyle w:val="IndexLink"/>
                <w:rtl w:val="true"/>
              </w:rPr>
              <w:t xml:space="preserve">. </w:t>
            </w:r>
            <w:r>
              <w:rPr>
                <w:rStyle w:val="IndexLink"/>
                <w:rtl w:val="true"/>
              </w:rPr>
              <w:t>طرح فراداده ای اجرا شده</w:t>
            </w:r>
            <w:r>
              <w:rPr>
                <w:rStyle w:val="IndexLink"/>
                <w:rtl w:val="true"/>
              </w:rPr>
              <w:tab/>
            </w:r>
            <w:r>
              <w:rPr>
                <w:rStyle w:val="IndexLink"/>
              </w:rPr>
              <w:t>76</w:t>
            </w:r>
          </w:hyperlink>
        </w:p>
        <w:p>
          <w:pPr>
            <w:pStyle w:val="Contents3"/>
            <w:tabs>
              <w:tab w:val="clear" w:pos="8459"/>
              <w:tab w:val="right" w:pos="9026" w:leader="dot"/>
            </w:tabs>
            <w:rPr/>
          </w:pPr>
          <w:hyperlink w:anchor="__RefHeading___Toc7825321_2870459653">
            <w:r>
              <w:rPr>
                <w:webHidden/>
                <w:rStyle w:val="IndexLink"/>
              </w:rPr>
              <w:t>6</w:t>
            </w:r>
            <w:r>
              <w:rPr>
                <w:rStyle w:val="IndexLink"/>
                <w:rtl w:val="true"/>
              </w:rPr>
              <w:t xml:space="preserve">. </w:t>
            </w:r>
            <w:r>
              <w:rPr>
                <w:rStyle w:val="IndexLink"/>
                <w:rtl w:val="true"/>
              </w:rPr>
              <w:t>مصاحبه های پیوسته</w:t>
            </w:r>
            <w:r>
              <w:rPr>
                <w:rStyle w:val="IndexLink"/>
                <w:rtl w:val="true"/>
              </w:rPr>
              <w:t xml:space="preserve">: </w:t>
            </w:r>
            <w:r>
              <w:rPr>
                <w:rStyle w:val="IndexLink"/>
                <w:rtl w:val="true"/>
              </w:rPr>
              <w:t>ارزیابی طرح های فراداده ای</w:t>
            </w:r>
            <w:r>
              <w:rPr>
                <w:rStyle w:val="IndexLink"/>
                <w:rtl w:val="true"/>
              </w:rPr>
              <w:tab/>
            </w:r>
            <w:r>
              <w:rPr>
                <w:rStyle w:val="IndexLink"/>
              </w:rPr>
              <w:t>78</w:t>
            </w:r>
          </w:hyperlink>
        </w:p>
        <w:p>
          <w:pPr>
            <w:pStyle w:val="Contents3"/>
            <w:tabs>
              <w:tab w:val="clear" w:pos="8459"/>
              <w:tab w:val="right" w:pos="9026" w:leader="dot"/>
            </w:tabs>
            <w:rPr/>
          </w:pPr>
          <w:hyperlink w:anchor="__RefHeading___Toc7825323_2870459653">
            <w:r>
              <w:rPr>
                <w:webHidden/>
                <w:rStyle w:val="IndexLink"/>
              </w:rPr>
              <w:t>7</w:t>
            </w:r>
            <w:r>
              <w:rPr>
                <w:rStyle w:val="IndexLink"/>
                <w:rtl w:val="true"/>
              </w:rPr>
              <w:t xml:space="preserve">. </w:t>
            </w:r>
            <w:r>
              <w:rPr>
                <w:rStyle w:val="IndexLink"/>
                <w:rtl w:val="true"/>
              </w:rPr>
              <w:t>نتیجه گیری</w:t>
            </w:r>
            <w:r>
              <w:rPr>
                <w:rStyle w:val="IndexLink"/>
                <w:rtl w:val="true"/>
              </w:rPr>
              <w:tab/>
            </w:r>
            <w:r>
              <w:rPr>
                <w:rStyle w:val="IndexLink"/>
              </w:rPr>
              <w:t>83</w:t>
            </w:r>
          </w:hyperlink>
        </w:p>
        <w:p>
          <w:pPr>
            <w:pStyle w:val="Contents3"/>
            <w:tabs>
              <w:tab w:val="clear" w:pos="8459"/>
              <w:tab w:val="right" w:pos="9026" w:leader="dot"/>
            </w:tabs>
            <w:rPr/>
          </w:pPr>
          <w:hyperlink w:anchor="__RefHeading___Toc7825325_2870459653">
            <w:r>
              <w:rPr>
                <w:webHidden/>
                <w:rStyle w:val="IndexLink"/>
                <w:rtl w:val="true"/>
              </w:rPr>
              <w:t>تشکر و قدردانی</w:t>
            </w:r>
            <w:r>
              <w:rPr>
                <w:rStyle w:val="IndexLink"/>
                <w:rtl w:val="true"/>
              </w:rPr>
              <w:tab/>
            </w:r>
            <w:r>
              <w:rPr>
                <w:rStyle w:val="IndexLink"/>
              </w:rPr>
              <w:t>84</w:t>
            </w:r>
          </w:hyperlink>
        </w:p>
        <w:p>
          <w:pPr>
            <w:pStyle w:val="Contents3"/>
            <w:tabs>
              <w:tab w:val="clear" w:pos="8459"/>
              <w:tab w:val="right" w:pos="9026" w:leader="dot"/>
            </w:tabs>
            <w:rPr/>
          </w:pPr>
          <w:hyperlink w:anchor="__RefHeading___Toc7825327_2870459653">
            <w:r>
              <w:rPr>
                <w:webHidden/>
                <w:rStyle w:val="IndexLink"/>
                <w:rtl w:val="true"/>
              </w:rPr>
              <w:t>منابع</w:t>
            </w:r>
            <w:r>
              <w:rPr>
                <w:rStyle w:val="IndexLink"/>
                <w:rtl w:val="true"/>
              </w:rPr>
              <w:tab/>
            </w:r>
            <w:r>
              <w:rPr>
                <w:rStyle w:val="IndexLink"/>
              </w:rPr>
              <w:t>84</w:t>
            </w:r>
          </w:hyperlink>
        </w:p>
        <w:p>
          <w:pPr>
            <w:pStyle w:val="Contents2"/>
            <w:tabs>
              <w:tab w:val="clear" w:pos="8743"/>
              <w:tab w:val="right" w:pos="9026" w:leader="dot"/>
            </w:tabs>
            <w:rPr/>
          </w:pPr>
          <w:hyperlink w:anchor="__RefHeading___Toc7825329_2870459653">
            <w:r>
              <w:rPr>
                <w:webHidden/>
                <w:rStyle w:val="IndexLink"/>
                <w:rtl w:val="true"/>
              </w:rPr>
              <w:t>چکیده</w:t>
            </w:r>
            <w:r>
              <w:rPr>
                <w:rStyle w:val="IndexLink"/>
                <w:rtl w:val="true"/>
              </w:rPr>
              <w:tab/>
            </w:r>
            <w:r>
              <w:rPr>
                <w:rStyle w:val="IndexLink"/>
              </w:rPr>
              <w:t>88</w:t>
            </w:r>
          </w:hyperlink>
        </w:p>
        <w:p>
          <w:pPr>
            <w:pStyle w:val="Contents2"/>
            <w:tabs>
              <w:tab w:val="clear" w:pos="8743"/>
              <w:tab w:val="right" w:pos="9026" w:leader="dot"/>
            </w:tabs>
            <w:rPr/>
          </w:pPr>
          <w:hyperlink w:anchor="__RefHeading___Toc7825331_2870459653">
            <w:r>
              <w:rPr>
                <w:webHidden/>
                <w:rStyle w:val="IndexLink"/>
                <w:rtl w:val="true"/>
              </w:rPr>
              <w:t>محلی در بطن جهانی</w:t>
            </w:r>
            <w:r>
              <w:rPr>
                <w:rStyle w:val="IndexLink"/>
                <w:rtl w:val="true"/>
              </w:rPr>
              <w:t xml:space="preserve">: </w:t>
            </w:r>
            <w:r>
              <w:rPr>
                <w:rStyle w:val="IndexLink"/>
                <w:rtl w:val="true"/>
              </w:rPr>
              <w:t>کنترل کتاب شناختی جهانی با رویکرد روش شناختی پایین به بالا</w:t>
            </w:r>
            <w:r>
              <w:rPr>
                <w:rStyle w:val="IndexLink"/>
                <w:rtl w:val="true"/>
              </w:rPr>
              <w:tab/>
            </w:r>
            <w:r>
              <w:rPr>
                <w:rStyle w:val="IndexLink"/>
              </w:rPr>
              <w:t>89</w:t>
            </w:r>
          </w:hyperlink>
        </w:p>
        <w:p>
          <w:pPr>
            <w:pStyle w:val="Contents3"/>
            <w:tabs>
              <w:tab w:val="clear" w:pos="8459"/>
              <w:tab w:val="right" w:pos="9026" w:leader="dot"/>
            </w:tabs>
            <w:rPr/>
          </w:pPr>
          <w:hyperlink w:anchor="__RefHeading___Toc7825333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7825335_2870459653">
            <w:r>
              <w:rPr>
                <w:webHidden/>
                <w:rStyle w:val="IndexLink"/>
              </w:rPr>
              <w:t>1</w:t>
            </w:r>
            <w:r>
              <w:rPr>
                <w:rStyle w:val="IndexLink"/>
                <w:rtl w:val="true"/>
              </w:rPr>
              <w:t xml:space="preserve">. </w:t>
            </w:r>
            <w:r>
              <w:rPr>
                <w:rStyle w:val="IndexLink"/>
                <w:rtl w:val="true"/>
              </w:rPr>
              <w:t>مقدمه و پیشینه</w:t>
            </w:r>
            <w:r>
              <w:rPr>
                <w:rStyle w:val="IndexLink"/>
                <w:rtl w:val="true"/>
              </w:rPr>
              <w:tab/>
            </w:r>
            <w:r>
              <w:rPr>
                <w:rStyle w:val="IndexLink"/>
              </w:rPr>
              <w:t>89</w:t>
            </w:r>
          </w:hyperlink>
        </w:p>
        <w:p>
          <w:pPr>
            <w:pStyle w:val="Contents3"/>
            <w:tabs>
              <w:tab w:val="clear" w:pos="8459"/>
              <w:tab w:val="right" w:pos="9026" w:leader="dot"/>
            </w:tabs>
            <w:rPr/>
          </w:pPr>
          <w:hyperlink w:anchor="__RefHeading___Toc7825337_2870459653">
            <w:r>
              <w:rPr>
                <w:webHidden/>
                <w:rStyle w:val="IndexLink"/>
                <w:rtl w:val="true"/>
              </w:rPr>
              <w:t>مسائل مربوط به رویکرد روش شناختی از بالا به پایین</w:t>
            </w:r>
            <w:r>
              <w:rPr>
                <w:rStyle w:val="IndexLink"/>
                <w:rtl w:val="true"/>
              </w:rPr>
              <w:tab/>
            </w:r>
            <w:r>
              <w:rPr>
                <w:rStyle w:val="IndexLink"/>
              </w:rPr>
              <w:t>91</w:t>
            </w:r>
          </w:hyperlink>
        </w:p>
        <w:p>
          <w:pPr>
            <w:pStyle w:val="Contents3"/>
            <w:tabs>
              <w:tab w:val="clear" w:pos="8459"/>
              <w:tab w:val="right" w:pos="9026" w:leader="dot"/>
            </w:tabs>
            <w:rPr/>
          </w:pPr>
          <w:hyperlink w:anchor="__RefHeading___Toc7825339_2870459653">
            <w:r>
              <w:rPr>
                <w:webHidden/>
                <w:rStyle w:val="IndexLink"/>
                <w:rtl w:val="true"/>
              </w:rPr>
              <w:t>محلی سازی و جهانی سازی</w:t>
            </w:r>
            <w:r>
              <w:rPr>
                <w:rStyle w:val="IndexLink"/>
                <w:rtl w:val="true"/>
              </w:rPr>
              <w:tab/>
            </w:r>
            <w:r>
              <w:rPr>
                <w:rStyle w:val="IndexLink"/>
              </w:rPr>
              <w:t>93</w:t>
            </w:r>
          </w:hyperlink>
        </w:p>
        <w:p>
          <w:pPr>
            <w:pStyle w:val="Contents3"/>
            <w:tabs>
              <w:tab w:val="clear" w:pos="8459"/>
              <w:tab w:val="right" w:pos="9026" w:leader="dot"/>
            </w:tabs>
            <w:rPr/>
          </w:pPr>
          <w:hyperlink w:anchor="__RefHeading___Toc7825341_2870459653">
            <w:r>
              <w:rPr>
                <w:webHidden/>
                <w:rStyle w:val="IndexLink"/>
                <w:rtl w:val="true"/>
              </w:rPr>
              <w:t>داده های پیوندی و آر دی اِف</w:t>
            </w:r>
            <w:r>
              <w:rPr>
                <w:rStyle w:val="IndexLink"/>
                <w:rtl w:val="true"/>
              </w:rPr>
              <w:tab/>
            </w:r>
            <w:r>
              <w:rPr>
                <w:rStyle w:val="IndexLink"/>
              </w:rPr>
              <w:t>94</w:t>
            </w:r>
          </w:hyperlink>
        </w:p>
        <w:p>
          <w:pPr>
            <w:pStyle w:val="Contents3"/>
            <w:tabs>
              <w:tab w:val="clear" w:pos="8459"/>
              <w:tab w:val="right" w:pos="9026" w:leader="dot"/>
            </w:tabs>
            <w:rPr/>
          </w:pPr>
          <w:hyperlink w:anchor="__RefHeading___Toc7825343_2870459653">
            <w:r>
              <w:rPr>
                <w:webHidden/>
                <w:rStyle w:val="IndexLink"/>
                <w:rtl w:val="true"/>
              </w:rPr>
              <w:t>چگونه جهانی فکر کنیم؟</w:t>
            </w:r>
            <w:r>
              <w:rPr>
                <w:rStyle w:val="IndexLink"/>
                <w:rtl w:val="true"/>
              </w:rPr>
              <w:tab/>
            </w:r>
            <w:r>
              <w:rPr>
                <w:rStyle w:val="IndexLink"/>
              </w:rPr>
              <w:t>102</w:t>
            </w:r>
          </w:hyperlink>
        </w:p>
        <w:p>
          <w:pPr>
            <w:pStyle w:val="Contents3"/>
            <w:tabs>
              <w:tab w:val="clear" w:pos="8459"/>
              <w:tab w:val="right" w:pos="9026" w:leader="dot"/>
            </w:tabs>
            <w:rPr/>
          </w:pPr>
          <w:hyperlink w:anchor="__RefHeading___Toc7825345_2870459653">
            <w:r>
              <w:rPr>
                <w:webHidden/>
                <w:rStyle w:val="IndexLink"/>
                <w:rtl w:val="true"/>
              </w:rPr>
              <w:t>چگونه محلی اقدام کنیم؟</w:t>
            </w:r>
            <w:r>
              <w:rPr>
                <w:rStyle w:val="IndexLink"/>
                <w:rtl w:val="true"/>
              </w:rPr>
              <w:tab/>
            </w:r>
            <w:r>
              <w:rPr>
                <w:rStyle w:val="IndexLink"/>
              </w:rPr>
              <w:t>103</w:t>
            </w:r>
          </w:hyperlink>
        </w:p>
        <w:p>
          <w:pPr>
            <w:pStyle w:val="Contents3"/>
            <w:tabs>
              <w:tab w:val="clear" w:pos="8459"/>
              <w:tab w:val="right" w:pos="9026" w:leader="dot"/>
            </w:tabs>
            <w:rPr/>
          </w:pPr>
          <w:hyperlink w:anchor="__RefHeading___Toc7825347_2870459653">
            <w:r>
              <w:rPr>
                <w:webHidden/>
                <w:rStyle w:val="IndexLink"/>
                <w:rtl w:val="true"/>
              </w:rPr>
              <w:t>نتیجه گیری</w:t>
            </w:r>
            <w:r>
              <w:rPr>
                <w:rStyle w:val="IndexLink"/>
                <w:rtl w:val="true"/>
              </w:rPr>
              <w:tab/>
            </w:r>
            <w:r>
              <w:rPr>
                <w:rStyle w:val="IndexLink"/>
              </w:rPr>
              <w:t>105</w:t>
            </w:r>
          </w:hyperlink>
        </w:p>
        <w:p>
          <w:pPr>
            <w:pStyle w:val="Contents3"/>
            <w:tabs>
              <w:tab w:val="clear" w:pos="8459"/>
              <w:tab w:val="right" w:pos="9026" w:leader="dot"/>
            </w:tabs>
            <w:rPr/>
          </w:pPr>
          <w:hyperlink w:anchor="__RefHeading___Toc7825349_2870459653">
            <w:r>
              <w:rPr>
                <w:webHidden/>
                <w:rStyle w:val="IndexLink"/>
                <w:rtl w:val="true"/>
              </w:rPr>
              <w:t>منابع</w:t>
            </w:r>
            <w:r>
              <w:rPr>
                <w:rStyle w:val="IndexLink"/>
                <w:rtl w:val="true"/>
              </w:rPr>
              <w:t>:</w:t>
              <w:tab/>
            </w:r>
            <w:r>
              <w:rPr>
                <w:rStyle w:val="IndexLink"/>
              </w:rPr>
              <w:t>106</w:t>
            </w:r>
          </w:hyperlink>
        </w:p>
        <w:p>
          <w:pPr>
            <w:pStyle w:val="Contents2"/>
            <w:tabs>
              <w:tab w:val="clear" w:pos="8743"/>
              <w:tab w:val="right" w:pos="9026" w:leader="dot"/>
            </w:tabs>
            <w:rPr/>
          </w:pPr>
          <w:hyperlink w:anchor="__RefHeading___Toc7825351_2870459653">
            <w:r>
              <w:rPr>
                <w:webHidden/>
                <w:rStyle w:val="IndexLink"/>
                <w:rtl w:val="true"/>
              </w:rPr>
              <w:t>چکیده</w:t>
            </w:r>
            <w:r>
              <w:rPr>
                <w:rStyle w:val="IndexLink"/>
                <w:rtl w:val="true"/>
              </w:rPr>
              <w:tab/>
            </w:r>
            <w:r>
              <w:rPr>
                <w:rStyle w:val="IndexLink"/>
              </w:rPr>
              <w:t>110</w:t>
            </w:r>
          </w:hyperlink>
        </w:p>
        <w:p>
          <w:pPr>
            <w:pStyle w:val="Contents2"/>
            <w:tabs>
              <w:tab w:val="clear" w:pos="8743"/>
              <w:tab w:val="right" w:pos="9026" w:leader="dot"/>
            </w:tabs>
            <w:rPr/>
          </w:pPr>
          <w:hyperlink w:anchor="__RefHeading___Toc7825353_2870459653">
            <w:r>
              <w:rPr>
                <w:webHidden/>
                <w:rStyle w:val="IndexLink"/>
                <w:rtl w:val="true"/>
              </w:rPr>
              <w:t>پشت میز مرجع</w:t>
            </w:r>
            <w:r>
              <w:rPr>
                <w:rStyle w:val="IndexLink"/>
                <w:rtl w:val="true"/>
              </w:rPr>
              <w:t xml:space="preserve">: </w:t>
            </w:r>
            <w:r>
              <w:rPr>
                <w:rStyle w:val="IndexLink"/>
                <w:rtl w:val="true"/>
              </w:rPr>
              <w:t>خدمت مرجع چشم انداز تغییر اطلاعات</w:t>
            </w:r>
            <w:r>
              <w:rPr>
                <w:rStyle w:val="IndexLink"/>
                <w:rtl w:val="true"/>
              </w:rPr>
              <w:tab/>
            </w:r>
            <w:r>
              <w:rPr>
                <w:rStyle w:val="IndexLink"/>
              </w:rPr>
              <w:t>111</w:t>
            </w:r>
          </w:hyperlink>
        </w:p>
        <w:p>
          <w:pPr>
            <w:pStyle w:val="Contents3"/>
            <w:tabs>
              <w:tab w:val="clear" w:pos="8459"/>
              <w:tab w:val="right" w:pos="9026" w:leader="dot"/>
            </w:tabs>
            <w:rPr/>
          </w:pPr>
          <w:hyperlink w:anchor="__RefHeading___Toc7825355_2870459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7825357_2870459653">
            <w:r>
              <w:rPr>
                <w:webHidden/>
                <w:rStyle w:val="IndexLink"/>
                <w:rtl w:val="true"/>
              </w:rPr>
              <w:t>مقدمه</w:t>
            </w:r>
            <w:r>
              <w:rPr>
                <w:rStyle w:val="IndexLink"/>
                <w:rtl w:val="true"/>
              </w:rPr>
              <w:tab/>
            </w:r>
            <w:r>
              <w:rPr>
                <w:rStyle w:val="IndexLink"/>
              </w:rPr>
              <w:t>111</w:t>
            </w:r>
          </w:hyperlink>
        </w:p>
        <w:p>
          <w:pPr>
            <w:pStyle w:val="Contents3"/>
            <w:tabs>
              <w:tab w:val="clear" w:pos="8459"/>
              <w:tab w:val="right" w:pos="9026" w:leader="dot"/>
            </w:tabs>
            <w:rPr/>
          </w:pPr>
          <w:hyperlink w:anchor="__RefHeading___Toc7825359_2870459653">
            <w:r>
              <w:rPr>
                <w:webHidden/>
                <w:rStyle w:val="IndexLink"/>
                <w:rtl w:val="true"/>
              </w:rPr>
              <w:t>تا اندازهی زیادی اغراق در زوال و مرگ</w:t>
            </w:r>
            <w:r>
              <w:rPr>
                <w:rStyle w:val="IndexLink"/>
                <w:rtl w:val="true"/>
              </w:rPr>
              <w:tab/>
            </w:r>
            <w:r>
              <w:rPr>
                <w:rStyle w:val="IndexLink"/>
              </w:rPr>
              <w:t>113</w:t>
            </w:r>
          </w:hyperlink>
        </w:p>
        <w:p>
          <w:pPr>
            <w:pStyle w:val="Contents3"/>
            <w:tabs>
              <w:tab w:val="clear" w:pos="8459"/>
              <w:tab w:val="right" w:pos="9026" w:leader="dot"/>
            </w:tabs>
            <w:rPr/>
          </w:pPr>
          <w:hyperlink w:anchor="__RefHeading___Toc7825361_2870459653">
            <w:r>
              <w:rPr>
                <w:webHidden/>
                <w:rStyle w:val="IndexLink"/>
                <w:rtl w:val="true"/>
              </w:rPr>
              <w:t>سازگاری و تطابق با منابع الکترونیکی</w:t>
            </w:r>
            <w:r>
              <w:rPr>
                <w:rStyle w:val="IndexLink"/>
                <w:rtl w:val="true"/>
              </w:rPr>
              <w:tab/>
            </w:r>
            <w:r>
              <w:rPr>
                <w:rStyle w:val="IndexLink"/>
              </w:rPr>
              <w:t>114</w:t>
            </w:r>
          </w:hyperlink>
        </w:p>
        <w:p>
          <w:pPr>
            <w:pStyle w:val="Contents3"/>
            <w:tabs>
              <w:tab w:val="clear" w:pos="8459"/>
              <w:tab w:val="right" w:pos="9026" w:leader="dot"/>
            </w:tabs>
            <w:rPr/>
          </w:pPr>
          <w:hyperlink w:anchor="__RefHeading___Toc7825363_2870459653">
            <w:r>
              <w:rPr>
                <w:webHidden/>
                <w:rStyle w:val="IndexLink"/>
                <w:rtl w:val="true"/>
              </w:rPr>
              <w:t>رشد جدید در سواد اطلاعاتی</w:t>
            </w:r>
            <w:r>
              <w:rPr>
                <w:rStyle w:val="IndexLink"/>
                <w:rtl w:val="true"/>
              </w:rPr>
              <w:tab/>
            </w:r>
            <w:r>
              <w:rPr>
                <w:rStyle w:val="IndexLink"/>
              </w:rPr>
              <w:t>116</w:t>
            </w:r>
          </w:hyperlink>
        </w:p>
        <w:p>
          <w:pPr>
            <w:pStyle w:val="Contents3"/>
            <w:tabs>
              <w:tab w:val="clear" w:pos="8459"/>
              <w:tab w:val="right" w:pos="9026" w:leader="dot"/>
            </w:tabs>
            <w:rPr/>
          </w:pPr>
          <w:hyperlink w:anchor="__RefHeading___Toc7825365_2870459653">
            <w:r>
              <w:rPr>
                <w:webHidden/>
                <w:rStyle w:val="IndexLink"/>
                <w:rtl w:val="true"/>
              </w:rPr>
              <w:t>منابع</w:t>
            </w:r>
            <w:r>
              <w:rPr>
                <w:rStyle w:val="IndexLink"/>
                <w:rtl w:val="true"/>
              </w:rPr>
              <w:tab/>
            </w:r>
            <w:r>
              <w:rPr>
                <w:rStyle w:val="IndexLink"/>
              </w:rPr>
              <w:t>120</w:t>
            </w:r>
          </w:hyperlink>
        </w:p>
        <w:p>
          <w:pPr>
            <w:pStyle w:val="Contents2"/>
            <w:tabs>
              <w:tab w:val="clear" w:pos="8743"/>
              <w:tab w:val="right" w:pos="9026" w:leader="dot"/>
            </w:tabs>
            <w:rPr/>
          </w:pPr>
          <w:hyperlink w:anchor="__RefHeading___Toc7825367_2870459653">
            <w:r>
              <w:rPr>
                <w:webHidden/>
                <w:rStyle w:val="IndexLink"/>
                <w:rtl w:val="true"/>
              </w:rPr>
              <w:t>چکیده</w:t>
            </w:r>
            <w:r>
              <w:rPr>
                <w:rStyle w:val="IndexLink"/>
                <w:rtl w:val="true"/>
              </w:rPr>
              <w:tab/>
            </w:r>
            <w:r>
              <w:rPr>
                <w:rStyle w:val="IndexLink"/>
              </w:rPr>
              <w:t>124</w:t>
            </w:r>
          </w:hyperlink>
        </w:p>
        <w:p>
          <w:pPr>
            <w:pStyle w:val="Contents2"/>
            <w:tabs>
              <w:tab w:val="clear" w:pos="8743"/>
              <w:tab w:val="right" w:pos="9026" w:leader="dot"/>
            </w:tabs>
            <w:rPr/>
          </w:pPr>
          <w:hyperlink w:anchor="__RefHeading___Toc7825369_2870459653">
            <w:r>
              <w:rPr>
                <w:webHidden/>
                <w:rStyle w:val="IndexLink"/>
                <w:rtl w:val="true"/>
              </w:rPr>
              <w:t>چرا اتحادیه ها باید از کتاب خانه های مدارس حمایت کنند؟ نمونه نروژی</w:t>
            </w:r>
            <w:r>
              <w:rPr>
                <w:rStyle w:val="IndexLink"/>
                <w:rtl w:val="true"/>
              </w:rPr>
              <w:tab/>
            </w:r>
            <w:r>
              <w:rPr>
                <w:rStyle w:val="IndexLink"/>
              </w:rPr>
              <w:t>125</w:t>
            </w:r>
          </w:hyperlink>
        </w:p>
        <w:p>
          <w:pPr>
            <w:pStyle w:val="Contents3"/>
            <w:tabs>
              <w:tab w:val="clear" w:pos="8459"/>
              <w:tab w:val="right" w:pos="9026" w:leader="dot"/>
            </w:tabs>
            <w:rPr/>
          </w:pPr>
          <w:hyperlink w:anchor="__RefHeading___Toc7825371_287045965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7825373_2870459653">
            <w:r>
              <w:rPr>
                <w:webHidden/>
                <w:rStyle w:val="IndexLink"/>
                <w:rtl w:val="true"/>
              </w:rPr>
              <w:t>مقدمه</w:t>
            </w:r>
            <w:r>
              <w:rPr>
                <w:rStyle w:val="IndexLink"/>
                <w:rtl w:val="true"/>
              </w:rPr>
              <w:tab/>
            </w:r>
            <w:r>
              <w:rPr>
                <w:rStyle w:val="IndexLink"/>
              </w:rPr>
              <w:t>125</w:t>
            </w:r>
          </w:hyperlink>
        </w:p>
        <w:p>
          <w:pPr>
            <w:pStyle w:val="Contents3"/>
            <w:tabs>
              <w:tab w:val="clear" w:pos="8459"/>
              <w:tab w:val="right" w:pos="9026" w:leader="dot"/>
            </w:tabs>
            <w:rPr/>
          </w:pPr>
          <w:hyperlink w:anchor="__RefHeading___Toc7825375_2870459653">
            <w:r>
              <w:rPr>
                <w:webHidden/>
                <w:rStyle w:val="IndexLink"/>
                <w:rtl w:val="true"/>
              </w:rPr>
              <w:t>روابط صنعتی</w:t>
            </w:r>
            <w:r>
              <w:rPr>
                <w:rStyle w:val="IndexLink"/>
                <w:rtl w:val="true"/>
              </w:rPr>
              <w:tab/>
            </w:r>
            <w:r>
              <w:rPr>
                <w:rStyle w:val="IndexLink"/>
              </w:rPr>
              <w:t>127</w:t>
            </w:r>
          </w:hyperlink>
        </w:p>
        <w:p>
          <w:pPr>
            <w:pStyle w:val="Contents3"/>
            <w:tabs>
              <w:tab w:val="clear" w:pos="8459"/>
              <w:tab w:val="right" w:pos="9026" w:leader="dot"/>
            </w:tabs>
            <w:rPr/>
          </w:pPr>
          <w:hyperlink w:anchor="__RefHeading___Toc7825377_2870459653">
            <w:r>
              <w:rPr>
                <w:webHidden/>
                <w:rStyle w:val="IndexLink"/>
                <w:rtl w:val="true"/>
              </w:rPr>
              <w:t>مشارکت اجتماعی سه جانبه</w:t>
            </w:r>
            <w:r>
              <w:rPr>
                <w:rStyle w:val="IndexLink"/>
                <w:rtl w:val="true"/>
              </w:rPr>
              <w:t>:</w:t>
              <w:tab/>
            </w:r>
            <w:r>
              <w:rPr>
                <w:rStyle w:val="IndexLink"/>
              </w:rPr>
              <w:t>127</w:t>
            </w:r>
          </w:hyperlink>
        </w:p>
        <w:p>
          <w:pPr>
            <w:pStyle w:val="Contents3"/>
            <w:tabs>
              <w:tab w:val="clear" w:pos="8459"/>
              <w:tab w:val="right" w:pos="9026" w:leader="dot"/>
            </w:tabs>
            <w:rPr/>
          </w:pPr>
          <w:hyperlink w:anchor="__RefHeading___Toc7825379_2870459653">
            <w:r>
              <w:rPr>
                <w:webHidden/>
                <w:rStyle w:val="IndexLink"/>
                <w:rtl w:val="true"/>
              </w:rPr>
              <w:t>چرا فَگفوربِندِت به عنوان اتحادیه ای تجاری برای کتاب خانه های مدارس مبارزه می کند؟</w:t>
            </w:r>
            <w:r>
              <w:rPr>
                <w:rStyle w:val="IndexLink"/>
                <w:rtl w:val="true"/>
              </w:rPr>
              <w:tab/>
            </w:r>
            <w:r>
              <w:rPr>
                <w:rStyle w:val="IndexLink"/>
              </w:rPr>
              <w:t>128</w:t>
            </w:r>
          </w:hyperlink>
        </w:p>
        <w:p>
          <w:pPr>
            <w:pStyle w:val="Contents3"/>
            <w:tabs>
              <w:tab w:val="clear" w:pos="8459"/>
              <w:tab w:val="right" w:pos="9026" w:leader="dot"/>
            </w:tabs>
            <w:rPr/>
          </w:pPr>
          <w:hyperlink w:anchor="__RefHeading___Toc7825381_2870459653">
            <w:r>
              <w:rPr>
                <w:webHidden/>
                <w:rStyle w:val="IndexLink"/>
                <w:rtl w:val="true"/>
              </w:rPr>
              <w:t xml:space="preserve">مسائل آینده </w:t>
            </w:r>
            <w:r>
              <w:rPr>
                <w:rStyle w:val="IndexLink"/>
                <w:rtl w:val="true"/>
              </w:rPr>
              <w:t xml:space="preserve">/ </w:t>
            </w:r>
            <w:r>
              <w:rPr>
                <w:rStyle w:val="IndexLink"/>
                <w:rtl w:val="true"/>
              </w:rPr>
              <w:t>مبارزه هنوز مبارزه شود</w:t>
            </w:r>
            <w:r>
              <w:rPr>
                <w:rStyle w:val="IndexLink"/>
                <w:rtl w:val="true"/>
              </w:rPr>
              <w:tab/>
            </w:r>
            <w:r>
              <w:rPr>
                <w:rStyle w:val="IndexLink"/>
              </w:rPr>
              <w:t>129</w:t>
            </w:r>
          </w:hyperlink>
        </w:p>
        <w:p>
          <w:pPr>
            <w:pStyle w:val="Contents3"/>
            <w:tabs>
              <w:tab w:val="clear" w:pos="8459"/>
              <w:tab w:val="right" w:pos="9026" w:leader="dot"/>
            </w:tabs>
            <w:rPr/>
          </w:pPr>
          <w:hyperlink w:anchor="__RefHeading___Toc7825383_2870459653">
            <w:r>
              <w:rPr>
                <w:webHidden/>
                <w:rStyle w:val="IndexLink"/>
                <w:rtl w:val="true"/>
              </w:rPr>
              <w:t>جوامع قوی نیازمند کتاب خانه های مدرسه قوی</w:t>
            </w:r>
            <w:r>
              <w:rPr>
                <w:rStyle w:val="IndexLink"/>
                <w:rtl w:val="true"/>
              </w:rPr>
              <w:tab/>
            </w:r>
            <w:r>
              <w:rPr>
                <w:rStyle w:val="IndexLink"/>
              </w:rPr>
              <w:t>130</w:t>
            </w:r>
          </w:hyperlink>
        </w:p>
        <w:p>
          <w:pPr>
            <w:pStyle w:val="Contents3"/>
            <w:tabs>
              <w:tab w:val="clear" w:pos="8459"/>
              <w:tab w:val="right" w:pos="9026" w:leader="dot"/>
            </w:tabs>
            <w:rPr/>
          </w:pPr>
          <w:hyperlink w:anchor="__RefHeading___Toc7825385_2870459653">
            <w:r>
              <w:rPr>
                <w:webHidden/>
                <w:rStyle w:val="IndexLink"/>
                <w:rtl w:val="true"/>
              </w:rPr>
              <w:t>درباره نویسنده</w:t>
            </w:r>
            <w:r>
              <w:rPr>
                <w:rStyle w:val="IndexLink"/>
                <w:rtl w:val="true"/>
              </w:rPr>
              <w:t>:</w:t>
              <w:tab/>
            </w:r>
            <w:r>
              <w:rPr>
                <w:rStyle w:val="IndexLink"/>
              </w:rPr>
              <w:t>132</w:t>
            </w:r>
          </w:hyperlink>
        </w:p>
        <w:p>
          <w:pPr>
            <w:pStyle w:val="Contents2"/>
            <w:tabs>
              <w:tab w:val="clear" w:pos="8743"/>
              <w:tab w:val="right" w:pos="9026" w:leader="dot"/>
            </w:tabs>
            <w:rPr/>
          </w:pPr>
          <w:hyperlink w:anchor="__RefHeading___Toc7825387_2870459653">
            <w:r>
              <w:rPr>
                <w:webHidden/>
                <w:rStyle w:val="IndexLink"/>
                <w:rtl w:val="true"/>
              </w:rPr>
              <w:t>چکیده</w:t>
            </w:r>
            <w:r>
              <w:rPr>
                <w:rStyle w:val="IndexLink"/>
                <w:rtl w:val="true"/>
              </w:rPr>
              <w:tab/>
            </w:r>
            <w:r>
              <w:rPr>
                <w:rStyle w:val="IndexLink"/>
              </w:rPr>
              <w:t>134</w:t>
            </w:r>
          </w:hyperlink>
        </w:p>
        <w:p>
          <w:pPr>
            <w:pStyle w:val="Contents2"/>
            <w:tabs>
              <w:tab w:val="clear" w:pos="8743"/>
              <w:tab w:val="right" w:pos="9026" w:leader="dot"/>
            </w:tabs>
            <w:rPr/>
          </w:pPr>
          <w:hyperlink w:anchor="__RefHeading___Toc7825389_2870459653">
            <w:r>
              <w:rPr>
                <w:webHidden/>
                <w:rStyle w:val="IndexLink"/>
                <w:rtl w:val="true"/>
              </w:rPr>
              <w:t xml:space="preserve">تخطی از قرارداد قانونی </w:t>
            </w:r>
            <w:r>
              <w:rPr>
                <w:rStyle w:val="IndexLink"/>
                <w:rtl w:val="true"/>
              </w:rPr>
              <w:t>(</w:t>
            </w:r>
            <w:r>
              <w:rPr>
                <w:rStyle w:val="IndexLink"/>
                <w:rtl w:val="true"/>
              </w:rPr>
              <w:t>مجوز</w:t>
            </w:r>
            <w:r>
              <w:rPr>
                <w:rStyle w:val="IndexLink"/>
                <w:rtl w:val="true"/>
              </w:rPr>
              <w:t xml:space="preserve">) </w:t>
            </w:r>
            <w:r>
              <w:rPr>
                <w:rStyle w:val="IndexLink"/>
                <w:rtl w:val="true"/>
              </w:rPr>
              <w:t>در کتاب خانه</w:t>
            </w:r>
            <w:r>
              <w:rPr>
                <w:rStyle w:val="IndexLink"/>
                <w:rtl w:val="true"/>
              </w:rPr>
              <w:t xml:space="preserve">: </w:t>
            </w:r>
            <w:r>
              <w:rPr>
                <w:rStyle w:val="IndexLink"/>
                <w:rtl w:val="true"/>
              </w:rPr>
              <w:t>دغدغه ها، چالش ها، فرصت ها و خطرات</w:t>
            </w:r>
            <w:r>
              <w:rPr>
                <w:rStyle w:val="IndexLink"/>
                <w:rtl w:val="true"/>
              </w:rPr>
              <w:tab/>
            </w:r>
            <w:r>
              <w:rPr>
                <w:rStyle w:val="IndexLink"/>
              </w:rPr>
              <w:t>135</w:t>
            </w:r>
          </w:hyperlink>
        </w:p>
        <w:p>
          <w:pPr>
            <w:pStyle w:val="Contents3"/>
            <w:tabs>
              <w:tab w:val="clear" w:pos="8459"/>
              <w:tab w:val="right" w:pos="9026" w:leader="dot"/>
            </w:tabs>
            <w:rPr/>
          </w:pPr>
          <w:hyperlink w:anchor="__RefHeading___Toc7825391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825393_2870459653">
            <w:r>
              <w:rPr>
                <w:webHidden/>
                <w:rStyle w:val="IndexLink"/>
                <w:rtl w:val="true"/>
              </w:rPr>
              <w:t>مقدمه</w:t>
            </w:r>
            <w:r>
              <w:rPr>
                <w:rStyle w:val="IndexLink"/>
                <w:rtl w:val="true"/>
              </w:rPr>
              <w:tab/>
            </w:r>
            <w:r>
              <w:rPr>
                <w:rStyle w:val="IndexLink"/>
              </w:rPr>
              <w:t>135</w:t>
            </w:r>
          </w:hyperlink>
        </w:p>
        <w:p>
          <w:pPr>
            <w:pStyle w:val="Contents3"/>
            <w:tabs>
              <w:tab w:val="clear" w:pos="8459"/>
              <w:tab w:val="right" w:pos="9026" w:leader="dot"/>
            </w:tabs>
            <w:rPr/>
          </w:pPr>
          <w:hyperlink w:anchor="__RefHeading___Toc7825395_2870459653">
            <w:r>
              <w:rPr>
                <w:webHidden/>
                <w:rStyle w:val="IndexLink"/>
                <w:rtl w:val="true"/>
              </w:rPr>
              <w:t>دغدغه ها</w:t>
            </w:r>
            <w:r>
              <w:rPr>
                <w:rStyle w:val="IndexLink"/>
                <w:rtl w:val="true"/>
              </w:rPr>
              <w:tab/>
            </w:r>
            <w:r>
              <w:rPr>
                <w:rStyle w:val="IndexLink"/>
              </w:rPr>
              <w:t>136</w:t>
            </w:r>
          </w:hyperlink>
        </w:p>
        <w:p>
          <w:pPr>
            <w:pStyle w:val="Contents3"/>
            <w:tabs>
              <w:tab w:val="clear" w:pos="8459"/>
              <w:tab w:val="right" w:pos="9026" w:leader="dot"/>
            </w:tabs>
            <w:rPr/>
          </w:pPr>
          <w:hyperlink w:anchor="__RefHeading___Toc7825397_2870459653">
            <w:r>
              <w:rPr>
                <w:webHidden/>
                <w:rStyle w:val="IndexLink"/>
                <w:rtl w:val="true"/>
              </w:rPr>
              <w:t>چالش ها</w:t>
            </w:r>
            <w:r>
              <w:rPr>
                <w:rStyle w:val="IndexLink"/>
                <w:rtl w:val="true"/>
              </w:rPr>
              <w:tab/>
            </w:r>
            <w:r>
              <w:rPr>
                <w:rStyle w:val="IndexLink"/>
              </w:rPr>
              <w:t>139</w:t>
            </w:r>
          </w:hyperlink>
        </w:p>
        <w:p>
          <w:pPr>
            <w:pStyle w:val="Contents3"/>
            <w:tabs>
              <w:tab w:val="clear" w:pos="8459"/>
              <w:tab w:val="right" w:pos="9026" w:leader="dot"/>
            </w:tabs>
            <w:rPr/>
          </w:pPr>
          <w:hyperlink w:anchor="__RefHeading___Toc7825399_2870459653">
            <w:r>
              <w:rPr>
                <w:webHidden/>
                <w:rStyle w:val="IndexLink"/>
                <w:rtl w:val="true"/>
              </w:rPr>
              <w:t>فرصت ها</w:t>
            </w:r>
            <w:r>
              <w:rPr>
                <w:rStyle w:val="IndexLink"/>
                <w:rtl w:val="true"/>
              </w:rPr>
              <w:tab/>
            </w:r>
            <w:r>
              <w:rPr>
                <w:rStyle w:val="IndexLink"/>
              </w:rPr>
              <w:t>141</w:t>
            </w:r>
          </w:hyperlink>
        </w:p>
        <w:p>
          <w:pPr>
            <w:pStyle w:val="Contents3"/>
            <w:tabs>
              <w:tab w:val="clear" w:pos="8459"/>
              <w:tab w:val="right" w:pos="9026" w:leader="dot"/>
            </w:tabs>
            <w:rPr/>
          </w:pPr>
          <w:hyperlink w:anchor="__RefHeading___Toc7825401_2870459653">
            <w:r>
              <w:rPr>
                <w:webHidden/>
                <w:rStyle w:val="IndexLink"/>
                <w:rtl w:val="true"/>
              </w:rPr>
              <w:t>مخاطره ها</w:t>
            </w:r>
            <w:r>
              <w:rPr>
                <w:rStyle w:val="IndexLink"/>
                <w:rtl w:val="true"/>
              </w:rPr>
              <w:tab/>
            </w:r>
            <w:r>
              <w:rPr>
                <w:rStyle w:val="IndexLink"/>
              </w:rPr>
              <w:t>143</w:t>
            </w:r>
          </w:hyperlink>
        </w:p>
        <w:p>
          <w:pPr>
            <w:pStyle w:val="Contents3"/>
            <w:tabs>
              <w:tab w:val="clear" w:pos="8459"/>
              <w:tab w:val="right" w:pos="9026" w:leader="dot"/>
            </w:tabs>
            <w:rPr/>
          </w:pPr>
          <w:hyperlink w:anchor="__RefHeading___Toc7825403_2870459653">
            <w:r>
              <w:rPr>
                <w:webHidden/>
                <w:rStyle w:val="IndexLink"/>
                <w:rtl w:val="true"/>
              </w:rPr>
              <w:t>حرکت به سوی آینده</w:t>
            </w:r>
            <w:r>
              <w:rPr>
                <w:rStyle w:val="IndexLink"/>
                <w:rtl w:val="true"/>
              </w:rPr>
              <w:tab/>
            </w:r>
            <w:r>
              <w:rPr>
                <w:rStyle w:val="IndexLink"/>
              </w:rPr>
              <w:t>145</w:t>
            </w:r>
          </w:hyperlink>
        </w:p>
        <w:p>
          <w:pPr>
            <w:pStyle w:val="Contents3"/>
            <w:tabs>
              <w:tab w:val="clear" w:pos="8459"/>
              <w:tab w:val="right" w:pos="9026" w:leader="dot"/>
            </w:tabs>
            <w:rPr/>
          </w:pPr>
          <w:hyperlink w:anchor="__RefHeading___Toc7825405_2870459653">
            <w:r>
              <w:rPr>
                <w:webHidden/>
                <w:rStyle w:val="IndexLink"/>
                <w:rtl w:val="true"/>
              </w:rPr>
              <w:t>منابع</w:t>
            </w:r>
            <w:r>
              <w:rPr>
                <w:rStyle w:val="IndexLink"/>
                <w:rtl w:val="true"/>
              </w:rPr>
              <w:tab/>
            </w:r>
            <w:r>
              <w:rPr>
                <w:rStyle w:val="IndexLink"/>
              </w:rPr>
              <w:t>146</w:t>
            </w:r>
          </w:hyperlink>
        </w:p>
        <w:p>
          <w:pPr>
            <w:pStyle w:val="Contents2"/>
            <w:tabs>
              <w:tab w:val="clear" w:pos="8743"/>
              <w:tab w:val="right" w:pos="9026" w:leader="dot"/>
            </w:tabs>
            <w:rPr/>
          </w:pPr>
          <w:hyperlink w:anchor="__RefHeading___Toc7825407_2870459653">
            <w:r>
              <w:rPr>
                <w:webHidden/>
                <w:rStyle w:val="IndexLink"/>
                <w:rtl w:val="true"/>
              </w:rPr>
              <w:t>چکیده</w:t>
            </w:r>
            <w:r>
              <w:rPr>
                <w:rStyle w:val="IndexLink"/>
                <w:rtl w:val="true"/>
              </w:rPr>
              <w:tab/>
            </w:r>
            <w:r>
              <w:rPr>
                <w:rStyle w:val="IndexLink"/>
              </w:rPr>
              <w:t>152</w:t>
            </w:r>
          </w:hyperlink>
        </w:p>
        <w:p>
          <w:pPr>
            <w:pStyle w:val="Contents2"/>
            <w:tabs>
              <w:tab w:val="clear" w:pos="8743"/>
              <w:tab w:val="right" w:pos="9026" w:leader="dot"/>
            </w:tabs>
            <w:rPr/>
          </w:pPr>
          <w:hyperlink w:anchor="__RefHeading___Toc7825409_2870459653">
            <w:r>
              <w:rPr>
                <w:webHidden/>
                <w:rStyle w:val="IndexLink"/>
                <w:rtl w:val="true"/>
              </w:rPr>
              <w:t>مستندات، موجودیت ها و انجمن ها</w:t>
            </w:r>
            <w:r>
              <w:rPr>
                <w:rStyle w:val="IndexLink"/>
                <w:rtl w:val="true"/>
              </w:rPr>
              <w:tab/>
            </w:r>
            <w:r>
              <w:rPr>
                <w:rStyle w:val="IndexLink"/>
              </w:rPr>
              <w:t>153</w:t>
            </w:r>
          </w:hyperlink>
        </w:p>
        <w:p>
          <w:pPr>
            <w:pStyle w:val="Contents3"/>
            <w:tabs>
              <w:tab w:val="clear" w:pos="8459"/>
              <w:tab w:val="right" w:pos="9026" w:leader="dot"/>
            </w:tabs>
            <w:rPr/>
          </w:pPr>
          <w:hyperlink w:anchor="__RefHeading___Toc7825411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7825413_2870459653">
            <w:r>
              <w:rPr>
                <w:webHidden/>
                <w:rStyle w:val="IndexLink"/>
                <w:rtl w:val="true"/>
              </w:rPr>
              <w:t>مقدمه</w:t>
            </w:r>
            <w:r>
              <w:rPr>
                <w:rStyle w:val="IndexLink"/>
                <w:rtl w:val="true"/>
              </w:rPr>
              <w:tab/>
            </w:r>
            <w:r>
              <w:rPr>
                <w:rStyle w:val="IndexLink"/>
              </w:rPr>
              <w:t>153</w:t>
            </w:r>
          </w:hyperlink>
        </w:p>
        <w:p>
          <w:pPr>
            <w:pStyle w:val="Contents3"/>
            <w:tabs>
              <w:tab w:val="clear" w:pos="8459"/>
              <w:tab w:val="right" w:pos="9026" w:leader="dot"/>
            </w:tabs>
            <w:rPr/>
          </w:pPr>
          <w:hyperlink w:anchor="__RefHeading___Toc7825415_2870459653">
            <w:r>
              <w:rPr>
                <w:webHidden/>
                <w:rStyle w:val="IndexLink"/>
                <w:rtl w:val="true"/>
              </w:rPr>
              <w:t>موجودیت ها و برگه دان های مستند سنتی</w:t>
            </w:r>
            <w:r>
              <w:rPr>
                <w:rStyle w:val="IndexLink"/>
                <w:rtl w:val="true"/>
              </w:rPr>
              <w:tab/>
            </w:r>
            <w:r>
              <w:rPr>
                <w:rStyle w:val="IndexLink"/>
              </w:rPr>
              <w:t>154</w:t>
            </w:r>
          </w:hyperlink>
        </w:p>
        <w:p>
          <w:pPr>
            <w:pStyle w:val="Contents3"/>
            <w:tabs>
              <w:tab w:val="clear" w:pos="8459"/>
              <w:tab w:val="right" w:pos="9026" w:leader="dot"/>
            </w:tabs>
            <w:rPr/>
          </w:pPr>
          <w:hyperlink w:anchor="__RefHeading___Toc7825417_2870459653">
            <w:r>
              <w:rPr>
                <w:webHidden/>
                <w:rStyle w:val="IndexLink"/>
                <w:rtl w:val="true"/>
              </w:rPr>
              <w:t>منافعی برای امور کتاب خانه ای</w:t>
            </w:r>
            <w:r>
              <w:rPr>
                <w:rStyle w:val="IndexLink"/>
                <w:rtl w:val="true"/>
              </w:rPr>
              <w:tab/>
            </w:r>
            <w:r>
              <w:rPr>
                <w:rStyle w:val="IndexLink"/>
              </w:rPr>
              <w:t>155</w:t>
            </w:r>
          </w:hyperlink>
        </w:p>
        <w:p>
          <w:pPr>
            <w:pStyle w:val="Contents3"/>
            <w:tabs>
              <w:tab w:val="clear" w:pos="8459"/>
              <w:tab w:val="right" w:pos="9026" w:leader="dot"/>
            </w:tabs>
            <w:rPr/>
          </w:pPr>
          <w:hyperlink w:anchor="__RefHeading___Toc7825419_2870459653">
            <w:r>
              <w:rPr>
                <w:webHidden/>
                <w:rStyle w:val="IndexLink"/>
                <w:rtl w:val="true"/>
              </w:rPr>
              <w:t>آینده</w:t>
            </w:r>
            <w:r>
              <w:rPr>
                <w:rStyle w:val="IndexLink"/>
                <w:rtl w:val="true"/>
              </w:rPr>
              <w:tab/>
            </w:r>
            <w:r>
              <w:rPr>
                <w:rStyle w:val="IndexLink"/>
              </w:rPr>
              <w:t>156</w:t>
            </w:r>
          </w:hyperlink>
        </w:p>
        <w:p>
          <w:pPr>
            <w:pStyle w:val="Contents3"/>
            <w:tabs>
              <w:tab w:val="clear" w:pos="8459"/>
              <w:tab w:val="right" w:pos="9026" w:leader="dot"/>
            </w:tabs>
            <w:rPr/>
          </w:pPr>
          <w:hyperlink w:anchor="__RefHeading___Toc7825421_2870459653">
            <w:r>
              <w:rPr>
                <w:webHidden/>
                <w:rStyle w:val="IndexLink"/>
                <w:rtl w:val="true"/>
              </w:rPr>
              <w:t>سرمایه گذاری مستمر و مدیریت مشارکتی برگه دان های مستند محلی و بین المللی</w:t>
            </w:r>
            <w:r>
              <w:rPr>
                <w:rStyle w:val="IndexLink"/>
                <w:rtl w:val="true"/>
              </w:rPr>
              <w:t>.</w:t>
              <w:tab/>
            </w:r>
            <w:r>
              <w:rPr>
                <w:rStyle w:val="IndexLink"/>
              </w:rPr>
              <w:t>156</w:t>
            </w:r>
          </w:hyperlink>
        </w:p>
        <w:p>
          <w:pPr>
            <w:pStyle w:val="Contents3"/>
            <w:tabs>
              <w:tab w:val="clear" w:pos="8459"/>
              <w:tab w:val="right" w:pos="9026" w:leader="dot"/>
            </w:tabs>
            <w:rPr/>
          </w:pPr>
          <w:hyperlink w:anchor="__RefHeading___Toc7825423_2870459653">
            <w:r>
              <w:rPr>
                <w:webHidden/>
                <w:rStyle w:val="IndexLink"/>
                <w:rtl w:val="true"/>
              </w:rPr>
              <w:t>سرمایه گذاری مستمر در جمع آوری داده های مستند مانند ویاف و آی</w:t>
            </w:r>
            <w:r>
              <w:rPr>
                <w:rStyle w:val="IndexLink"/>
                <w:rtl w:val="true"/>
              </w:rPr>
              <w:t xml:space="preserve">. </w:t>
            </w:r>
            <w:r>
              <w:rPr>
                <w:rStyle w:val="IndexLink"/>
                <w:rtl w:val="true"/>
              </w:rPr>
              <w:t>اس</w:t>
            </w:r>
            <w:r>
              <w:rPr>
                <w:rStyle w:val="IndexLink"/>
                <w:rtl w:val="true"/>
              </w:rPr>
              <w:t xml:space="preserve">. </w:t>
            </w:r>
            <w:r>
              <w:rPr>
                <w:rStyle w:val="IndexLink"/>
                <w:rtl w:val="true"/>
              </w:rPr>
              <w:t>ان</w:t>
            </w:r>
            <w:r>
              <w:rPr>
                <w:rStyle w:val="IndexLink"/>
                <w:rtl w:val="true"/>
              </w:rPr>
              <w:t xml:space="preserve">. </w:t>
            </w:r>
            <w:r>
              <w:rPr>
                <w:rStyle w:val="IndexLink"/>
                <w:rtl w:val="true"/>
              </w:rPr>
              <w:t>آی</w:t>
            </w:r>
            <w:r>
              <w:rPr>
                <w:rStyle w:val="IndexLink"/>
                <w:rtl w:val="true"/>
              </w:rPr>
              <w:t xml:space="preserve">. </w:t>
            </w:r>
            <w:r>
              <w:rPr>
                <w:rStyle w:val="IndexLink"/>
                <w:rtl w:val="true"/>
              </w:rPr>
              <w:t>به منظور افزودن ارزش داده های مستند</w:t>
            </w:r>
            <w:r>
              <w:rPr>
                <w:rStyle w:val="IndexLink"/>
                <w:rtl w:val="true"/>
              </w:rPr>
              <w:t xml:space="preserve">. </w:t>
            </w:r>
            <w:r>
              <w:rPr>
                <w:rStyle w:val="IndexLink"/>
                <w:rtl w:val="true"/>
              </w:rPr>
              <w:t>این چنین جمع آوری هایی در محیط اینترنت، موجب ارتقا شیوه فهرست نویسی و انتشار هر چه بیشتر شناسگرهای استاندارد می گردد</w:t>
            </w:r>
            <w:r>
              <w:rPr>
                <w:rStyle w:val="IndexLink"/>
                <w:rtl w:val="true"/>
              </w:rPr>
              <w:t>.</w:t>
              <w:tab/>
            </w:r>
            <w:r>
              <w:rPr>
                <w:rStyle w:val="IndexLink"/>
              </w:rPr>
              <w:t>156</w:t>
            </w:r>
          </w:hyperlink>
        </w:p>
        <w:p>
          <w:pPr>
            <w:pStyle w:val="Contents3"/>
            <w:tabs>
              <w:tab w:val="clear" w:pos="8459"/>
              <w:tab w:val="right" w:pos="9026" w:leader="dot"/>
            </w:tabs>
            <w:rPr/>
          </w:pPr>
          <w:hyperlink w:anchor="__RefHeading___Toc7825425_2870459653">
            <w:r>
              <w:rPr>
                <w:webHidden/>
                <w:rStyle w:val="IndexLink"/>
                <w:rtl w:val="true"/>
              </w:rPr>
              <w:t>منابع</w:t>
            </w:r>
            <w:r>
              <w:rPr>
                <w:rStyle w:val="IndexLink"/>
                <w:rtl w:val="true"/>
              </w:rPr>
              <w:tab/>
            </w:r>
            <w:r>
              <w:rPr>
                <w:rStyle w:val="IndexLink"/>
              </w:rPr>
              <w:t>156</w:t>
            </w:r>
          </w:hyperlink>
        </w:p>
        <w:p>
          <w:pPr>
            <w:pStyle w:val="Contents2"/>
            <w:tabs>
              <w:tab w:val="clear" w:pos="8743"/>
              <w:tab w:val="right" w:pos="9026" w:leader="dot"/>
            </w:tabs>
            <w:rPr/>
          </w:pPr>
          <w:hyperlink w:anchor="__RefHeading___Toc7825427_2870459653">
            <w:r>
              <w:rPr>
                <w:webHidden/>
                <w:rStyle w:val="IndexLink"/>
                <w:rtl w:val="true"/>
              </w:rPr>
              <w:t>چکیده</w:t>
            </w:r>
            <w:r>
              <w:rPr>
                <w:rStyle w:val="IndexLink"/>
                <w:rtl w:val="true"/>
              </w:rPr>
              <w:tab/>
            </w:r>
            <w:r>
              <w:rPr>
                <w:rStyle w:val="IndexLink"/>
              </w:rPr>
              <w:t>158</w:t>
            </w:r>
          </w:hyperlink>
        </w:p>
        <w:p>
          <w:pPr>
            <w:pStyle w:val="Contents2"/>
            <w:tabs>
              <w:tab w:val="clear" w:pos="8743"/>
              <w:tab w:val="right" w:pos="9026" w:leader="dot"/>
            </w:tabs>
            <w:rPr/>
          </w:pPr>
          <w:hyperlink w:anchor="__RefHeading___Toc7825429_2870459653">
            <w:r>
              <w:rPr>
                <w:webHidden/>
                <w:rStyle w:val="IndexLink"/>
                <w:rtl w:val="true"/>
              </w:rPr>
              <w:t>دبیران کل سازمان های بین المللی</w:t>
            </w:r>
            <w:r>
              <w:rPr>
                <w:rStyle w:val="IndexLink"/>
                <w:rtl w:val="true"/>
              </w:rPr>
              <w:t xml:space="preserve">: </w:t>
            </w:r>
            <w:r>
              <w:rPr>
                <w:rStyle w:val="IndexLink"/>
                <w:rtl w:val="true"/>
              </w:rPr>
              <w:t>منابع اطلاعاتی در کتاب خانه ها و آرشیوها</w:t>
            </w:r>
            <w:r>
              <w:rPr>
                <w:rStyle w:val="IndexLink"/>
                <w:rtl w:val="true"/>
              </w:rPr>
              <w:tab/>
            </w:r>
            <w:r>
              <w:rPr>
                <w:rStyle w:val="IndexLink"/>
              </w:rPr>
              <w:t>159</w:t>
            </w:r>
          </w:hyperlink>
        </w:p>
        <w:p>
          <w:pPr>
            <w:pStyle w:val="Contents3"/>
            <w:tabs>
              <w:tab w:val="clear" w:pos="8459"/>
              <w:tab w:val="right" w:pos="9026" w:leader="dot"/>
            </w:tabs>
            <w:rPr/>
          </w:pPr>
          <w:hyperlink w:anchor="__RefHeading___Toc7825431_287045965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7825433_2870459653">
            <w:r>
              <w:rPr>
                <w:webHidden/>
                <w:rStyle w:val="IndexLink"/>
                <w:rtl w:val="true"/>
              </w:rPr>
              <w:t>مقدمه</w:t>
            </w:r>
            <w:r>
              <w:rPr>
                <w:rStyle w:val="IndexLink"/>
                <w:rtl w:val="true"/>
              </w:rPr>
              <w:tab/>
            </w:r>
            <w:r>
              <w:rPr>
                <w:rStyle w:val="IndexLink"/>
              </w:rPr>
              <w:t>159</w:t>
            </w:r>
          </w:hyperlink>
        </w:p>
        <w:p>
          <w:pPr>
            <w:pStyle w:val="Contents3"/>
            <w:tabs>
              <w:tab w:val="clear" w:pos="8459"/>
              <w:tab w:val="right" w:pos="9026" w:leader="dot"/>
            </w:tabs>
            <w:rPr/>
          </w:pPr>
          <w:hyperlink w:anchor="__RefHeading___Toc7825435_2870459653">
            <w:r>
              <w:rPr>
                <w:webHidden/>
                <w:rStyle w:val="IndexLink"/>
                <w:rtl w:val="true"/>
              </w:rPr>
              <w:t>چگونه به استفاده از اسناد رسمی علاقه مند شدم؟</w:t>
            </w:r>
            <w:r>
              <w:rPr>
                <w:rStyle w:val="IndexLink"/>
                <w:rtl w:val="true"/>
              </w:rPr>
              <w:tab/>
            </w:r>
            <w:r>
              <w:rPr>
                <w:rStyle w:val="IndexLink"/>
              </w:rPr>
              <w:t>159</w:t>
            </w:r>
          </w:hyperlink>
        </w:p>
        <w:p>
          <w:pPr>
            <w:pStyle w:val="Contents3"/>
            <w:tabs>
              <w:tab w:val="clear" w:pos="8459"/>
              <w:tab w:val="right" w:pos="9026" w:leader="dot"/>
            </w:tabs>
            <w:rPr/>
          </w:pPr>
          <w:hyperlink w:anchor="__RefHeading___Toc7825437_2870459653">
            <w:r>
              <w:rPr>
                <w:webHidden/>
                <w:rStyle w:val="IndexLink"/>
                <w:rtl w:val="true"/>
              </w:rPr>
              <w:t>چگونه دانشجویان را برای کار با اسناد رسمی آیو تعلیم دهیم؟</w:t>
            </w:r>
            <w:r>
              <w:rPr>
                <w:rStyle w:val="IndexLink"/>
                <w:rtl w:val="true"/>
              </w:rPr>
              <w:tab/>
            </w:r>
            <w:r>
              <w:rPr>
                <w:rStyle w:val="IndexLink"/>
              </w:rPr>
              <w:t>160</w:t>
            </w:r>
          </w:hyperlink>
        </w:p>
        <w:p>
          <w:pPr>
            <w:pStyle w:val="Contents3"/>
            <w:tabs>
              <w:tab w:val="clear" w:pos="8459"/>
              <w:tab w:val="right" w:pos="9026" w:leader="dot"/>
            </w:tabs>
            <w:rPr/>
          </w:pPr>
          <w:hyperlink w:anchor="__RefHeading___Toc7825439_2870459653">
            <w:r>
              <w:rPr>
                <w:webHidden/>
                <w:rStyle w:val="IndexLink"/>
                <w:rtl w:val="true"/>
              </w:rPr>
              <w:t>تاریخچه سازمان های بین المللی به عنوان یک ابزار</w:t>
            </w:r>
            <w:r>
              <w:rPr>
                <w:rStyle w:val="IndexLink"/>
                <w:rtl w:val="true"/>
              </w:rPr>
              <w:tab/>
            </w:r>
            <w:r>
              <w:rPr>
                <w:rStyle w:val="IndexLink"/>
              </w:rPr>
              <w:t>162</w:t>
            </w:r>
          </w:hyperlink>
        </w:p>
        <w:p>
          <w:pPr>
            <w:pStyle w:val="Contents3"/>
            <w:tabs>
              <w:tab w:val="clear" w:pos="8459"/>
              <w:tab w:val="right" w:pos="9026" w:leader="dot"/>
            </w:tabs>
            <w:rPr/>
          </w:pPr>
          <w:hyperlink w:anchor="__RefHeading___Toc7825441_2870459653">
            <w:r>
              <w:rPr>
                <w:webHidden/>
                <w:rStyle w:val="IndexLink"/>
                <w:rtl w:val="true"/>
              </w:rPr>
              <w:t>تسهیل استفاده از اطلاعات و پایگاه داده های بین المللی</w:t>
            </w:r>
            <w:r>
              <w:rPr>
                <w:rStyle w:val="IndexLink"/>
                <w:rtl w:val="true"/>
              </w:rPr>
              <w:tab/>
            </w:r>
            <w:r>
              <w:rPr>
                <w:rStyle w:val="IndexLink"/>
              </w:rPr>
              <w:t>164</w:t>
            </w:r>
          </w:hyperlink>
        </w:p>
        <w:p>
          <w:pPr>
            <w:pStyle w:val="Contents3"/>
            <w:tabs>
              <w:tab w:val="clear" w:pos="8459"/>
              <w:tab w:val="right" w:pos="9026" w:leader="dot"/>
            </w:tabs>
            <w:rPr/>
          </w:pPr>
          <w:hyperlink w:anchor="__RefHeading___Toc7825443_2870459653">
            <w:r>
              <w:rPr>
                <w:webHidden/>
                <w:rStyle w:val="IndexLink"/>
                <w:rtl w:val="true"/>
              </w:rPr>
              <w:t xml:space="preserve">نوشتن شرح حال کوتاه دبیران </w:t>
            </w:r>
            <w:r>
              <w:rPr>
                <w:rStyle w:val="IndexLink"/>
                <w:rtl w:val="true"/>
              </w:rPr>
              <w:t xml:space="preserve">- </w:t>
            </w:r>
            <w:r>
              <w:rPr>
                <w:rStyle w:val="IndexLink"/>
                <w:rtl w:val="true"/>
              </w:rPr>
              <w:t>عمومی</w:t>
            </w:r>
            <w:r>
              <w:rPr>
                <w:rStyle w:val="IndexLink"/>
                <w:rtl w:val="true"/>
              </w:rPr>
              <w:t xml:space="preserve">: </w:t>
            </w:r>
            <w:r>
              <w:rPr>
                <w:rStyle w:val="IndexLink"/>
                <w:rtl w:val="true"/>
              </w:rPr>
              <w:t>طرح زندگی نامه های آیو</w:t>
            </w:r>
            <w:r>
              <w:rPr>
                <w:rStyle w:val="IndexLink"/>
                <w:rtl w:val="true"/>
              </w:rPr>
              <w:tab/>
            </w:r>
            <w:r>
              <w:rPr>
                <w:rStyle w:val="IndexLink"/>
              </w:rPr>
              <w:t>166</w:t>
            </w:r>
          </w:hyperlink>
        </w:p>
        <w:p>
          <w:pPr>
            <w:pStyle w:val="Contents3"/>
            <w:tabs>
              <w:tab w:val="clear" w:pos="8459"/>
              <w:tab w:val="right" w:pos="9026" w:leader="dot"/>
            </w:tabs>
            <w:rPr/>
          </w:pPr>
          <w:hyperlink w:anchor="__RefHeading___Toc7825445_2870459653">
            <w:r>
              <w:rPr>
                <w:webHidden/>
                <w:rStyle w:val="IndexLink"/>
                <w:rtl w:val="true"/>
              </w:rPr>
              <w:t>جست وجوی اطلاعات مربوط به دبیران کل در سراسر جهان</w:t>
            </w:r>
            <w:r>
              <w:rPr>
                <w:rStyle w:val="IndexLink"/>
                <w:rtl w:val="true"/>
              </w:rPr>
              <w:tab/>
            </w:r>
            <w:r>
              <w:rPr>
                <w:rStyle w:val="IndexLink"/>
              </w:rPr>
              <w:t>168</w:t>
            </w:r>
          </w:hyperlink>
        </w:p>
        <w:p>
          <w:pPr>
            <w:pStyle w:val="Contents3"/>
            <w:tabs>
              <w:tab w:val="clear" w:pos="8459"/>
              <w:tab w:val="right" w:pos="9026" w:leader="dot"/>
            </w:tabs>
            <w:rPr/>
          </w:pPr>
          <w:hyperlink w:anchor="__RefHeading___Toc7825447_2870459653">
            <w:r>
              <w:rPr>
                <w:webHidden/>
                <w:rStyle w:val="IndexLink"/>
                <w:rtl w:val="true"/>
              </w:rPr>
              <w:t>نتیجه گیری</w:t>
            </w:r>
            <w:r>
              <w:rPr>
                <w:rStyle w:val="IndexLink"/>
                <w:rtl w:val="true"/>
              </w:rPr>
              <w:tab/>
            </w:r>
            <w:r>
              <w:rPr>
                <w:rStyle w:val="IndexLink"/>
              </w:rPr>
              <w:t>169</w:t>
            </w:r>
          </w:hyperlink>
        </w:p>
        <w:p>
          <w:pPr>
            <w:pStyle w:val="Contents3"/>
            <w:tabs>
              <w:tab w:val="clear" w:pos="8459"/>
              <w:tab w:val="right" w:pos="9026" w:leader="dot"/>
            </w:tabs>
            <w:rPr/>
          </w:pPr>
          <w:hyperlink w:anchor="__RefHeading___Toc7825449_2870459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7825451_2870459653">
            <w:r>
              <w:rPr>
                <w:webHidden/>
                <w:rStyle w:val="IndexLink"/>
                <w:rtl w:val="true"/>
              </w:rPr>
              <w:t>منابع</w:t>
            </w:r>
            <w:r>
              <w:rPr>
                <w:rStyle w:val="IndexLink"/>
                <w:rtl w:val="true"/>
              </w:rPr>
              <w:tab/>
            </w:r>
            <w:r>
              <w:rPr>
                <w:rStyle w:val="IndexLink"/>
              </w:rPr>
              <w:t>170</w:t>
            </w:r>
          </w:hyperlink>
        </w:p>
        <w:p>
          <w:pPr>
            <w:pStyle w:val="Contents2"/>
            <w:tabs>
              <w:tab w:val="clear" w:pos="8743"/>
              <w:tab w:val="right" w:pos="9026" w:leader="dot"/>
            </w:tabs>
            <w:rPr/>
          </w:pPr>
          <w:hyperlink w:anchor="__RefHeading___Toc7825453_2870459653">
            <w:r>
              <w:rPr>
                <w:webHidden/>
                <w:rStyle w:val="IndexLink"/>
                <w:rtl w:val="true"/>
              </w:rPr>
              <w:t>چکیده</w:t>
            </w:r>
            <w:r>
              <w:rPr>
                <w:rStyle w:val="IndexLink"/>
                <w:rtl w:val="true"/>
              </w:rPr>
              <w:tab/>
            </w:r>
            <w:r>
              <w:rPr>
                <w:rStyle w:val="IndexLink"/>
              </w:rPr>
              <w:t>172</w:t>
            </w:r>
          </w:hyperlink>
        </w:p>
        <w:p>
          <w:pPr>
            <w:pStyle w:val="Contents2"/>
            <w:tabs>
              <w:tab w:val="clear" w:pos="8743"/>
              <w:tab w:val="right" w:pos="9026" w:leader="dot"/>
            </w:tabs>
            <w:rPr/>
          </w:pPr>
          <w:hyperlink w:anchor="__RefHeading___Toc7825455_2870459653">
            <w:r>
              <w:rPr>
                <w:webHidden/>
                <w:rStyle w:val="IndexLink"/>
                <w:rtl w:val="true"/>
              </w:rPr>
              <w:t xml:space="preserve">برون سپاری در کتاب خانه های تخصصی شرکت های حقوقی انگلستان </w:t>
            </w:r>
            <w:r>
              <w:rPr>
                <w:rStyle w:val="IndexLink"/>
                <w:rtl w:val="true"/>
              </w:rPr>
              <w:t xml:space="preserve">- </w:t>
            </w:r>
            <w:r>
              <w:rPr>
                <w:rStyle w:val="IndexLink"/>
                <w:rtl w:val="true"/>
              </w:rPr>
              <w:t>فرصت یا تهدید؟ نمونه های جدید مدیریتی و چالش های آینده خدمات اطلاع رسانی حقوقی</w:t>
            </w:r>
            <w:r>
              <w:rPr>
                <w:rStyle w:val="IndexLink"/>
                <w:rtl w:val="true"/>
              </w:rPr>
              <w:tab/>
            </w:r>
            <w:r>
              <w:rPr>
                <w:rStyle w:val="IndexLink"/>
              </w:rPr>
              <w:t>173</w:t>
            </w:r>
          </w:hyperlink>
        </w:p>
        <w:p>
          <w:pPr>
            <w:pStyle w:val="Contents3"/>
            <w:tabs>
              <w:tab w:val="clear" w:pos="8459"/>
              <w:tab w:val="right" w:pos="9026" w:leader="dot"/>
            </w:tabs>
            <w:rPr/>
          </w:pPr>
          <w:hyperlink w:anchor="__RefHeading___Toc7825457_2870459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7825459_2870459653">
            <w:r>
              <w:rPr>
                <w:webHidden/>
                <w:rStyle w:val="IndexLink"/>
                <w:rtl w:val="true"/>
              </w:rPr>
              <w:t>مقدمه</w:t>
            </w:r>
            <w:r>
              <w:rPr>
                <w:rStyle w:val="IndexLink"/>
                <w:rtl w:val="true"/>
              </w:rPr>
              <w:tab/>
            </w:r>
            <w:r>
              <w:rPr>
                <w:rStyle w:val="IndexLink"/>
              </w:rPr>
              <w:t>173</w:t>
            </w:r>
          </w:hyperlink>
        </w:p>
        <w:p>
          <w:pPr>
            <w:pStyle w:val="Contents3"/>
            <w:tabs>
              <w:tab w:val="clear" w:pos="8459"/>
              <w:tab w:val="right" w:pos="9026" w:leader="dot"/>
            </w:tabs>
            <w:rPr/>
          </w:pPr>
          <w:hyperlink w:anchor="__RefHeading___Toc7825461_2870459653">
            <w:r>
              <w:rPr>
                <w:webHidden/>
                <w:rStyle w:val="IndexLink"/>
                <w:rtl w:val="true"/>
              </w:rPr>
              <w:t>پژوهش اخیر درباره برون سپاری</w:t>
            </w:r>
            <w:r>
              <w:rPr>
                <w:rStyle w:val="IndexLink"/>
                <w:rtl w:val="true"/>
              </w:rPr>
              <w:tab/>
            </w:r>
            <w:r>
              <w:rPr>
                <w:rStyle w:val="IndexLink"/>
              </w:rPr>
              <w:t>174</w:t>
            </w:r>
          </w:hyperlink>
        </w:p>
        <w:p>
          <w:pPr>
            <w:pStyle w:val="Contents3"/>
            <w:tabs>
              <w:tab w:val="clear" w:pos="8459"/>
              <w:tab w:val="right" w:pos="9026" w:leader="dot"/>
            </w:tabs>
            <w:rPr/>
          </w:pPr>
          <w:hyperlink w:anchor="__RefHeading___Toc7825463_2870459653">
            <w:r>
              <w:rPr>
                <w:webHidden/>
                <w:rStyle w:val="IndexLink"/>
                <w:rtl w:val="true"/>
              </w:rPr>
              <w:t>پاسخ انگلستان به برون سپاری</w:t>
            </w:r>
            <w:r>
              <w:rPr>
                <w:rStyle w:val="IndexLink"/>
                <w:rtl w:val="true"/>
              </w:rPr>
              <w:t xml:space="preserve">: </w:t>
            </w:r>
            <w:r>
              <w:rPr>
                <w:rStyle w:val="IndexLink"/>
                <w:rtl w:val="true"/>
              </w:rPr>
              <w:t>موافق یا مخالف</w:t>
            </w:r>
            <w:r>
              <w:rPr>
                <w:rStyle w:val="IndexLink"/>
                <w:rtl w:val="true"/>
              </w:rPr>
              <w:tab/>
            </w:r>
            <w:r>
              <w:rPr>
                <w:rStyle w:val="IndexLink"/>
              </w:rPr>
              <w:t>175</w:t>
            </w:r>
          </w:hyperlink>
        </w:p>
        <w:p>
          <w:pPr>
            <w:pStyle w:val="Contents3"/>
            <w:tabs>
              <w:tab w:val="clear" w:pos="8459"/>
              <w:tab w:val="right" w:pos="9026" w:leader="dot"/>
            </w:tabs>
            <w:rPr/>
          </w:pPr>
          <w:hyperlink w:anchor="__RefHeading___Toc7825465_2870459653">
            <w:r>
              <w:rPr>
                <w:webHidden/>
                <w:rStyle w:val="IndexLink"/>
                <w:rtl w:val="true"/>
              </w:rPr>
              <w:t>برون سپاری انگلستان</w:t>
            </w:r>
            <w:r>
              <w:rPr>
                <w:rStyle w:val="IndexLink"/>
                <w:rtl w:val="true"/>
              </w:rPr>
              <w:t xml:space="preserve">: </w:t>
            </w:r>
            <w:r>
              <w:rPr>
                <w:rStyle w:val="IndexLink"/>
                <w:rtl w:val="true"/>
              </w:rPr>
              <w:t>بافت تاریخی</w:t>
            </w:r>
            <w:r>
              <w:rPr>
                <w:rStyle w:val="IndexLink"/>
                <w:rtl w:val="true"/>
              </w:rPr>
              <w:tab/>
            </w:r>
            <w:r>
              <w:rPr>
                <w:rStyle w:val="IndexLink"/>
              </w:rPr>
              <w:t>177</w:t>
            </w:r>
          </w:hyperlink>
        </w:p>
        <w:p>
          <w:pPr>
            <w:pStyle w:val="Contents3"/>
            <w:tabs>
              <w:tab w:val="clear" w:pos="8459"/>
              <w:tab w:val="right" w:pos="9026" w:leader="dot"/>
            </w:tabs>
            <w:rPr/>
          </w:pPr>
          <w:hyperlink w:anchor="__RefHeading___Toc7825467_2870459653">
            <w:r>
              <w:rPr>
                <w:webHidden/>
                <w:rStyle w:val="IndexLink"/>
                <w:rtl w:val="true"/>
              </w:rPr>
              <w:t xml:space="preserve">دولت انگلستان و آزمون </w:t>
            </w:r>
            <w:r>
              <w:rPr>
                <w:rStyle w:val="IndexLink"/>
                <w:rtl w:val="true"/>
              </w:rPr>
              <w:t xml:space="preserve">/ </w:t>
            </w:r>
            <w:r>
              <w:rPr>
                <w:rStyle w:val="IndexLink"/>
                <w:rtl w:val="true"/>
              </w:rPr>
              <w:t>سنجش بازار</w:t>
            </w:r>
            <w:r>
              <w:rPr>
                <w:rStyle w:val="IndexLink"/>
                <w:rtl w:val="true"/>
              </w:rPr>
              <w:tab/>
            </w:r>
            <w:r>
              <w:rPr>
                <w:rStyle w:val="IndexLink"/>
              </w:rPr>
              <w:t>177</w:t>
            </w:r>
          </w:hyperlink>
        </w:p>
        <w:p>
          <w:pPr>
            <w:pStyle w:val="Contents3"/>
            <w:tabs>
              <w:tab w:val="clear" w:pos="8459"/>
              <w:tab w:val="right" w:pos="9026" w:leader="dot"/>
            </w:tabs>
            <w:rPr/>
          </w:pPr>
          <w:hyperlink w:anchor="__RefHeading___Toc7825469_2870459653">
            <w:r>
              <w:rPr>
                <w:webHidden/>
                <w:rStyle w:val="IndexLink"/>
                <w:rtl w:val="true"/>
              </w:rPr>
              <w:t>پیامدهای آزمون بازار</w:t>
            </w:r>
            <w:r>
              <w:rPr>
                <w:rStyle w:val="IndexLink"/>
                <w:rtl w:val="true"/>
              </w:rPr>
              <w:tab/>
            </w:r>
            <w:r>
              <w:rPr>
                <w:rStyle w:val="IndexLink"/>
              </w:rPr>
              <w:t>178</w:t>
            </w:r>
          </w:hyperlink>
        </w:p>
        <w:p>
          <w:pPr>
            <w:pStyle w:val="Contents3"/>
            <w:tabs>
              <w:tab w:val="clear" w:pos="8459"/>
              <w:tab w:val="right" w:pos="9026" w:leader="dot"/>
            </w:tabs>
            <w:rPr/>
          </w:pPr>
          <w:hyperlink w:anchor="__RefHeading___Toc7825471_2870459653">
            <w:r>
              <w:rPr>
                <w:webHidden/>
                <w:rStyle w:val="IndexLink"/>
                <w:rtl w:val="true"/>
              </w:rPr>
              <w:t>برون سپاری انگلستان</w:t>
            </w:r>
            <w:r>
              <w:rPr>
                <w:rStyle w:val="IndexLink"/>
                <w:rtl w:val="true"/>
              </w:rPr>
              <w:t xml:space="preserve">: </w:t>
            </w:r>
            <w:r>
              <w:rPr>
                <w:rStyle w:val="IndexLink"/>
                <w:rtl w:val="true"/>
              </w:rPr>
              <w:t>پاسخ های اخیر</w:t>
            </w:r>
            <w:r>
              <w:rPr>
                <w:rStyle w:val="IndexLink"/>
                <w:rtl w:val="true"/>
              </w:rPr>
              <w:tab/>
            </w:r>
            <w:r>
              <w:rPr>
                <w:rStyle w:val="IndexLink"/>
              </w:rPr>
              <w:t>180</w:t>
            </w:r>
          </w:hyperlink>
        </w:p>
        <w:p>
          <w:pPr>
            <w:pStyle w:val="Contents3"/>
            <w:tabs>
              <w:tab w:val="clear" w:pos="8459"/>
              <w:tab w:val="right" w:pos="9026" w:leader="dot"/>
            </w:tabs>
            <w:rPr/>
          </w:pPr>
          <w:hyperlink w:anchor="__RefHeading___Toc7825473_2870459653">
            <w:r>
              <w:rPr>
                <w:webHidden/>
                <w:rStyle w:val="IndexLink"/>
                <w:rtl w:val="true"/>
              </w:rPr>
              <w:t>ثابت کردن ارزش</w:t>
            </w:r>
            <w:r>
              <w:rPr>
                <w:rStyle w:val="IndexLink"/>
                <w:rtl w:val="true"/>
              </w:rPr>
              <w:tab/>
            </w:r>
            <w:r>
              <w:rPr>
                <w:rStyle w:val="IndexLink"/>
              </w:rPr>
              <w:t>180</w:t>
            </w:r>
          </w:hyperlink>
        </w:p>
        <w:p>
          <w:pPr>
            <w:pStyle w:val="Contents3"/>
            <w:tabs>
              <w:tab w:val="clear" w:pos="8459"/>
              <w:tab w:val="right" w:pos="9026" w:leader="dot"/>
            </w:tabs>
            <w:rPr/>
          </w:pPr>
          <w:hyperlink w:anchor="__RefHeading___Toc7825475_2870459653">
            <w:r>
              <w:rPr>
                <w:webHidden/>
                <w:rStyle w:val="IndexLink"/>
                <w:rtl w:val="true"/>
              </w:rPr>
              <w:t>بانیان کار</w:t>
            </w:r>
            <w:r>
              <w:rPr>
                <w:rStyle w:val="IndexLink"/>
                <w:rtl w:val="true"/>
              </w:rPr>
              <w:tab/>
            </w:r>
            <w:r>
              <w:rPr>
                <w:rStyle w:val="IndexLink"/>
              </w:rPr>
              <w:t>180</w:t>
            </w:r>
          </w:hyperlink>
        </w:p>
        <w:p>
          <w:pPr>
            <w:pStyle w:val="Contents3"/>
            <w:tabs>
              <w:tab w:val="clear" w:pos="8459"/>
              <w:tab w:val="right" w:pos="9026" w:leader="dot"/>
            </w:tabs>
            <w:rPr/>
          </w:pPr>
          <w:hyperlink w:anchor="__RefHeading___Toc7825477_2870459653">
            <w:r>
              <w:rPr>
                <w:webHidden/>
                <w:rStyle w:val="IndexLink"/>
                <w:rtl w:val="true"/>
              </w:rPr>
              <w:t>فعالیت های جدید و مجموعه مهارت های جدید</w:t>
            </w:r>
            <w:r>
              <w:rPr>
                <w:rStyle w:val="IndexLink"/>
                <w:rtl w:val="true"/>
              </w:rPr>
              <w:tab/>
            </w:r>
            <w:r>
              <w:rPr>
                <w:rStyle w:val="IndexLink"/>
              </w:rPr>
              <w:t>181</w:t>
            </w:r>
          </w:hyperlink>
        </w:p>
        <w:p>
          <w:pPr>
            <w:pStyle w:val="Contents3"/>
            <w:tabs>
              <w:tab w:val="clear" w:pos="8459"/>
              <w:tab w:val="right" w:pos="9026" w:leader="dot"/>
            </w:tabs>
            <w:rPr/>
          </w:pPr>
          <w:hyperlink w:anchor="__RefHeading___Toc7825479_2870459653">
            <w:r>
              <w:rPr>
                <w:webHidden/>
                <w:rStyle w:val="IndexLink"/>
                <w:rtl w:val="true"/>
              </w:rPr>
              <w:t>چالش های واگذاری به بیرون</w:t>
            </w:r>
            <w:r>
              <w:rPr>
                <w:rStyle w:val="IndexLink"/>
                <w:rtl w:val="true"/>
              </w:rPr>
              <w:tab/>
            </w:r>
            <w:r>
              <w:rPr>
                <w:rStyle w:val="IndexLink"/>
              </w:rPr>
              <w:t>181</w:t>
            </w:r>
          </w:hyperlink>
        </w:p>
        <w:p>
          <w:pPr>
            <w:pStyle w:val="Contents3"/>
            <w:tabs>
              <w:tab w:val="clear" w:pos="8459"/>
              <w:tab w:val="right" w:pos="9026" w:leader="dot"/>
            </w:tabs>
            <w:rPr/>
          </w:pPr>
          <w:hyperlink w:anchor="__RefHeading___Toc7825481_2870459653">
            <w:r>
              <w:rPr>
                <w:webHidden/>
                <w:rStyle w:val="IndexLink"/>
                <w:rtl w:val="true"/>
              </w:rPr>
              <w:t>چالش های موجود</w:t>
            </w:r>
            <w:r>
              <w:rPr>
                <w:rStyle w:val="IndexLink"/>
                <w:rtl w:val="true"/>
              </w:rPr>
              <w:t xml:space="preserve">: </w:t>
            </w:r>
            <w:r>
              <w:rPr>
                <w:rStyle w:val="IndexLink"/>
                <w:rtl w:val="true"/>
              </w:rPr>
              <w:t>گزارش انجمن کتاب خانه های تخصصی</w:t>
            </w:r>
            <w:r>
              <w:rPr>
                <w:rStyle w:val="IndexLink"/>
                <w:rtl w:val="true"/>
              </w:rPr>
              <w:tab/>
            </w:r>
            <w:r>
              <w:rPr>
                <w:rStyle w:val="IndexLink"/>
              </w:rPr>
              <w:t>182</w:t>
            </w:r>
          </w:hyperlink>
        </w:p>
        <w:p>
          <w:pPr>
            <w:pStyle w:val="Contents3"/>
            <w:tabs>
              <w:tab w:val="clear" w:pos="8459"/>
              <w:tab w:val="right" w:pos="9026" w:leader="dot"/>
            </w:tabs>
            <w:rPr/>
          </w:pPr>
          <w:hyperlink w:anchor="__RefHeading___Toc7825483_2870459653">
            <w:r>
              <w:rPr>
                <w:webHidden/>
                <w:rStyle w:val="IndexLink"/>
              </w:rPr>
              <w:t>1</w:t>
            </w:r>
            <w:r>
              <w:rPr>
                <w:rStyle w:val="IndexLink"/>
                <w:rtl w:val="true"/>
              </w:rPr>
              <w:t xml:space="preserve">. </w:t>
            </w:r>
            <w:r>
              <w:rPr>
                <w:rStyle w:val="IndexLink"/>
                <w:rtl w:val="true"/>
              </w:rPr>
              <w:t>ارزشتان را بیان کنید</w:t>
            </w:r>
            <w:r>
              <w:rPr>
                <w:rStyle w:val="IndexLink"/>
                <w:rtl w:val="true"/>
              </w:rPr>
              <w:t>.</w:t>
              <w:tab/>
            </w:r>
            <w:r>
              <w:rPr>
                <w:rStyle w:val="IndexLink"/>
              </w:rPr>
              <w:t>183</w:t>
            </w:r>
          </w:hyperlink>
        </w:p>
        <w:p>
          <w:pPr>
            <w:pStyle w:val="Contents3"/>
            <w:tabs>
              <w:tab w:val="clear" w:pos="8459"/>
              <w:tab w:val="right" w:pos="9026" w:leader="dot"/>
            </w:tabs>
            <w:rPr/>
          </w:pPr>
          <w:hyperlink w:anchor="__RefHeading___Toc7825485_2870459653">
            <w:r>
              <w:rPr>
                <w:webHidden/>
                <w:rStyle w:val="IndexLink"/>
              </w:rPr>
              <w:t>2</w:t>
            </w:r>
            <w:r>
              <w:rPr>
                <w:rStyle w:val="IndexLink"/>
                <w:rtl w:val="true"/>
              </w:rPr>
              <w:t xml:space="preserve">. </w:t>
            </w:r>
            <w:r>
              <w:rPr>
                <w:rStyle w:val="IndexLink"/>
                <w:rtl w:val="true"/>
              </w:rPr>
              <w:t>بانیان کارتان را بشناسید</w:t>
            </w:r>
            <w:r>
              <w:rPr>
                <w:rStyle w:val="IndexLink"/>
                <w:rtl w:val="true"/>
              </w:rPr>
              <w:t>.</w:t>
              <w:tab/>
            </w:r>
            <w:r>
              <w:rPr>
                <w:rStyle w:val="IndexLink"/>
              </w:rPr>
              <w:t>183</w:t>
            </w:r>
          </w:hyperlink>
        </w:p>
        <w:p>
          <w:pPr>
            <w:pStyle w:val="Contents3"/>
            <w:tabs>
              <w:tab w:val="clear" w:pos="8459"/>
              <w:tab w:val="right" w:pos="9026" w:leader="dot"/>
            </w:tabs>
            <w:rPr/>
          </w:pPr>
          <w:hyperlink w:anchor="__RefHeading___Toc7825487_2870459653">
            <w:r>
              <w:rPr>
                <w:webHidden/>
                <w:rStyle w:val="IndexLink"/>
              </w:rPr>
              <w:t>3</w:t>
            </w:r>
            <w:r>
              <w:rPr>
                <w:rStyle w:val="IndexLink"/>
                <w:rtl w:val="true"/>
              </w:rPr>
              <w:t xml:space="preserve">. </w:t>
            </w:r>
            <w:r>
              <w:rPr>
                <w:rStyle w:val="IndexLink"/>
                <w:rtl w:val="true"/>
              </w:rPr>
              <w:t>فرایند را مدیریت کنید</w:t>
            </w:r>
            <w:r>
              <w:rPr>
                <w:rStyle w:val="IndexLink"/>
                <w:rtl w:val="true"/>
              </w:rPr>
              <w:t>.</w:t>
              <w:tab/>
            </w:r>
            <w:r>
              <w:rPr>
                <w:rStyle w:val="IndexLink"/>
              </w:rPr>
              <w:t>184</w:t>
            </w:r>
          </w:hyperlink>
        </w:p>
        <w:p>
          <w:pPr>
            <w:pStyle w:val="Contents3"/>
            <w:tabs>
              <w:tab w:val="clear" w:pos="8459"/>
              <w:tab w:val="right" w:pos="9026" w:leader="dot"/>
            </w:tabs>
            <w:rPr/>
          </w:pPr>
          <w:hyperlink w:anchor="__RefHeading___Toc7825489_2870459653">
            <w:r>
              <w:rPr>
                <w:webHidden/>
                <w:rStyle w:val="IndexLink"/>
              </w:rPr>
              <w:t>4</w:t>
            </w:r>
            <w:r>
              <w:rPr>
                <w:rStyle w:val="IndexLink"/>
                <w:rtl w:val="true"/>
              </w:rPr>
              <w:t xml:space="preserve">. </w:t>
            </w:r>
            <w:r>
              <w:rPr>
                <w:rStyle w:val="IndexLink"/>
                <w:rtl w:val="true"/>
              </w:rPr>
              <w:t>مهارت های فنی را حفظ کنید</w:t>
            </w:r>
            <w:r>
              <w:rPr>
                <w:rStyle w:val="IndexLink"/>
                <w:rtl w:val="true"/>
              </w:rPr>
              <w:t>.</w:t>
              <w:tab/>
            </w:r>
            <w:r>
              <w:rPr>
                <w:rStyle w:val="IndexLink"/>
              </w:rPr>
              <w:t>184</w:t>
            </w:r>
          </w:hyperlink>
        </w:p>
        <w:p>
          <w:pPr>
            <w:pStyle w:val="Contents3"/>
            <w:tabs>
              <w:tab w:val="clear" w:pos="8459"/>
              <w:tab w:val="right" w:pos="9026" w:leader="dot"/>
            </w:tabs>
            <w:rPr/>
          </w:pPr>
          <w:hyperlink w:anchor="__RefHeading___Toc7825491_2870459653">
            <w:r>
              <w:rPr>
                <w:webHidden/>
                <w:rStyle w:val="IndexLink"/>
              </w:rPr>
              <w:t>5</w:t>
            </w:r>
            <w:r>
              <w:rPr>
                <w:rStyle w:val="IndexLink"/>
                <w:rtl w:val="true"/>
              </w:rPr>
              <w:t xml:space="preserve">. </w:t>
            </w:r>
            <w:r>
              <w:rPr>
                <w:rStyle w:val="IndexLink"/>
                <w:rtl w:val="true"/>
              </w:rPr>
              <w:t>اطلاعات آماده تصمیم گیری فراهم کنید</w:t>
            </w:r>
            <w:r>
              <w:rPr>
                <w:rStyle w:val="IndexLink"/>
                <w:rtl w:val="true"/>
              </w:rPr>
              <w:t>.</w:t>
              <w:tab/>
            </w:r>
            <w:r>
              <w:rPr>
                <w:rStyle w:val="IndexLink"/>
              </w:rPr>
              <w:t>184</w:t>
            </w:r>
          </w:hyperlink>
        </w:p>
        <w:p>
          <w:pPr>
            <w:pStyle w:val="Contents3"/>
            <w:tabs>
              <w:tab w:val="clear" w:pos="8459"/>
              <w:tab w:val="right" w:pos="9026" w:leader="dot"/>
            </w:tabs>
            <w:rPr/>
          </w:pPr>
          <w:hyperlink w:anchor="__RefHeading___Toc7825493_2870459653">
            <w:r>
              <w:rPr>
                <w:webHidden/>
                <w:rStyle w:val="IndexLink"/>
                <w:rtl w:val="true"/>
              </w:rPr>
              <w:t>نتیجه گیری</w:t>
            </w:r>
            <w:r>
              <w:rPr>
                <w:rStyle w:val="IndexLink"/>
                <w:rtl w:val="true"/>
              </w:rPr>
              <w:tab/>
            </w:r>
            <w:r>
              <w:rPr>
                <w:rStyle w:val="IndexLink"/>
              </w:rPr>
              <w:t>185</w:t>
            </w:r>
          </w:hyperlink>
        </w:p>
        <w:p>
          <w:pPr>
            <w:pStyle w:val="Contents3"/>
            <w:tabs>
              <w:tab w:val="clear" w:pos="8459"/>
              <w:tab w:val="right" w:pos="9026" w:leader="dot"/>
            </w:tabs>
            <w:rPr/>
          </w:pPr>
          <w:hyperlink w:anchor="__RefHeading___Toc7825495_2870459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7825497_2870459653">
            <w:r>
              <w:rPr>
                <w:webHidden/>
                <w:rStyle w:val="IndexLink"/>
                <w:rtl w:val="true"/>
              </w:rPr>
              <w:t>منابع</w:t>
            </w:r>
            <w:r>
              <w:rPr>
                <w:rStyle w:val="IndexLink"/>
                <w:rtl w:val="true"/>
              </w:rPr>
              <w:tab/>
            </w:r>
            <w:r>
              <w:rPr>
                <w:rStyle w:val="IndexLink"/>
              </w:rPr>
              <w:t>185</w:t>
            </w:r>
          </w:hyperlink>
        </w:p>
        <w:p>
          <w:pPr>
            <w:pStyle w:val="Contents2"/>
            <w:tabs>
              <w:tab w:val="clear" w:pos="8743"/>
              <w:tab w:val="right" w:pos="9026" w:leader="dot"/>
            </w:tabs>
            <w:rPr/>
          </w:pPr>
          <w:hyperlink w:anchor="__RefHeading___Toc7825499_2870459653">
            <w:r>
              <w:rPr>
                <w:webHidden/>
                <w:rStyle w:val="IndexLink"/>
                <w:rtl w:val="true"/>
              </w:rPr>
              <w:t>چکیده</w:t>
            </w:r>
            <w:r>
              <w:rPr>
                <w:rStyle w:val="IndexLink"/>
                <w:rtl w:val="true"/>
              </w:rPr>
              <w:tab/>
            </w:r>
            <w:r>
              <w:rPr>
                <w:rStyle w:val="IndexLink"/>
              </w:rPr>
              <w:t>186</w:t>
            </w:r>
          </w:hyperlink>
        </w:p>
        <w:p>
          <w:pPr>
            <w:pStyle w:val="Contents2"/>
            <w:tabs>
              <w:tab w:val="clear" w:pos="8743"/>
              <w:tab w:val="right" w:pos="9026" w:leader="dot"/>
            </w:tabs>
            <w:rPr/>
          </w:pPr>
          <w:hyperlink w:anchor="__RefHeading___Toc7825501_2870459653">
            <w:r>
              <w:rPr>
                <w:webHidden/>
                <w:rStyle w:val="IndexLink"/>
                <w:rtl w:val="true"/>
              </w:rPr>
              <w:t xml:space="preserve">فانوس دریایی برای آزادی بیان </w:t>
            </w:r>
            <w:r>
              <w:rPr>
                <w:rStyle w:val="IndexLink"/>
                <w:rtl w:val="true"/>
              </w:rPr>
              <w:t>«</w:t>
            </w:r>
            <w:r>
              <w:rPr>
                <w:rStyle w:val="IndexLink"/>
                <w:rtl w:val="true"/>
              </w:rPr>
              <w:t>سانسور و فعالیت های مرجع</w:t>
            </w:r>
            <w:r>
              <w:rPr>
                <w:rStyle w:val="IndexLink"/>
                <w:rtl w:val="true"/>
              </w:rPr>
              <w:t xml:space="preserve">» </w:t>
            </w:r>
            <w:r>
              <w:rPr>
                <w:rStyle w:val="IndexLink"/>
                <w:rtl w:val="true"/>
              </w:rPr>
              <w:t>در یک چشم انداز جهانی</w:t>
            </w:r>
            <w:r>
              <w:rPr>
                <w:rStyle w:val="IndexLink"/>
                <w:rtl w:val="true"/>
              </w:rPr>
              <w:tab/>
            </w:r>
            <w:r>
              <w:rPr>
                <w:rStyle w:val="IndexLink"/>
              </w:rPr>
              <w:t>187</w:t>
            </w:r>
          </w:hyperlink>
        </w:p>
        <w:p>
          <w:pPr>
            <w:pStyle w:val="Contents3"/>
            <w:tabs>
              <w:tab w:val="clear" w:pos="8459"/>
              <w:tab w:val="right" w:pos="9026" w:leader="dot"/>
            </w:tabs>
            <w:rPr/>
          </w:pPr>
          <w:hyperlink w:anchor="__RefHeading___Toc7825503_2870459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7825505_2870459653">
            <w:r>
              <w:rPr>
                <w:webHidden/>
                <w:rStyle w:val="IndexLink"/>
                <w:rtl w:val="true"/>
              </w:rPr>
              <w:t>کتاب خانه به عنوان زیر ساخت</w:t>
            </w:r>
            <w:r>
              <w:rPr>
                <w:rStyle w:val="IndexLink"/>
                <w:rtl w:val="true"/>
              </w:rPr>
              <w:t xml:space="preserve">: </w:t>
            </w:r>
            <w:r>
              <w:rPr>
                <w:rStyle w:val="IndexLink"/>
                <w:rtl w:val="true"/>
              </w:rPr>
              <w:t>کتاب خانه و فعالیت</w:t>
            </w:r>
            <w:r>
              <w:rPr>
                <w:rStyle w:val="IndexLink"/>
                <w:rtl w:val="true"/>
              </w:rPr>
              <w:tab/>
            </w:r>
            <w:r>
              <w:rPr>
                <w:rStyle w:val="IndexLink"/>
              </w:rPr>
              <w:t>188</w:t>
            </w:r>
          </w:hyperlink>
        </w:p>
        <w:p>
          <w:pPr>
            <w:pStyle w:val="Contents3"/>
            <w:tabs>
              <w:tab w:val="clear" w:pos="8459"/>
              <w:tab w:val="right" w:pos="9026" w:leader="dot"/>
            </w:tabs>
            <w:rPr/>
          </w:pPr>
          <w:hyperlink w:anchor="__RefHeading___Toc7825507_2870459653">
            <w:r>
              <w:rPr>
                <w:webHidden/>
                <w:rStyle w:val="IndexLink"/>
                <w:rtl w:val="true"/>
              </w:rPr>
              <w:t>ایفلا و اِف اِی آی اِف ای</w:t>
            </w:r>
            <w:r>
              <w:rPr>
                <w:rStyle w:val="IndexLink"/>
                <w:rtl w:val="true"/>
              </w:rPr>
              <w:tab/>
            </w:r>
            <w:r>
              <w:rPr>
                <w:rStyle w:val="IndexLink"/>
              </w:rPr>
              <w:t>188</w:t>
            </w:r>
          </w:hyperlink>
        </w:p>
        <w:p>
          <w:pPr>
            <w:pStyle w:val="Contents3"/>
            <w:tabs>
              <w:tab w:val="clear" w:pos="8459"/>
              <w:tab w:val="right" w:pos="9026" w:leader="dot"/>
            </w:tabs>
            <w:rPr/>
          </w:pPr>
          <w:hyperlink w:anchor="__RefHeading___Toc7825509_2870459653">
            <w:r>
              <w:rPr>
                <w:webHidden/>
                <w:rStyle w:val="IndexLink"/>
                <w:rtl w:val="true"/>
              </w:rPr>
              <w:t>کتاب خانه و انتقال ارزش ها</w:t>
            </w:r>
            <w:r>
              <w:rPr>
                <w:rStyle w:val="IndexLink"/>
                <w:rtl w:val="true"/>
              </w:rPr>
              <w:tab/>
            </w:r>
            <w:r>
              <w:rPr>
                <w:rStyle w:val="IndexLink"/>
              </w:rPr>
              <w:t>189</w:t>
            </w:r>
          </w:hyperlink>
        </w:p>
        <w:p>
          <w:pPr>
            <w:pStyle w:val="Contents3"/>
            <w:tabs>
              <w:tab w:val="clear" w:pos="8459"/>
              <w:tab w:val="right" w:pos="9026" w:leader="dot"/>
            </w:tabs>
            <w:rPr/>
          </w:pPr>
          <w:hyperlink w:anchor="__RefHeading___Toc7825511_2870459653">
            <w:r>
              <w:rPr>
                <w:webHidden/>
                <w:rStyle w:val="IndexLink"/>
                <w:rtl w:val="true"/>
              </w:rPr>
              <w:t>سانسور</w:t>
            </w:r>
            <w:r>
              <w:rPr>
                <w:rStyle w:val="IndexLink"/>
                <w:rtl w:val="true"/>
              </w:rPr>
              <w:tab/>
            </w:r>
            <w:r>
              <w:rPr>
                <w:rStyle w:val="IndexLink"/>
              </w:rPr>
              <w:t>190</w:t>
            </w:r>
          </w:hyperlink>
        </w:p>
        <w:p>
          <w:pPr>
            <w:pStyle w:val="Contents3"/>
            <w:tabs>
              <w:tab w:val="clear" w:pos="8459"/>
              <w:tab w:val="right" w:pos="9026" w:leader="dot"/>
            </w:tabs>
            <w:rPr/>
          </w:pPr>
          <w:hyperlink w:anchor="__RefHeading___Toc7825513_2870459653">
            <w:r>
              <w:rPr>
                <w:webHidden/>
                <w:rStyle w:val="IndexLink"/>
                <w:rtl w:val="true"/>
              </w:rPr>
              <w:t>فانوس دریایی برای آزادی بیان</w:t>
            </w:r>
            <w:r>
              <w:rPr>
                <w:rStyle w:val="IndexLink"/>
                <w:rtl w:val="true"/>
              </w:rPr>
              <w:tab/>
            </w:r>
            <w:r>
              <w:rPr>
                <w:rStyle w:val="IndexLink"/>
              </w:rPr>
              <w:t>190</w:t>
            </w:r>
          </w:hyperlink>
        </w:p>
        <w:p>
          <w:pPr>
            <w:pStyle w:val="Contents3"/>
            <w:tabs>
              <w:tab w:val="clear" w:pos="8459"/>
              <w:tab w:val="right" w:pos="9026" w:leader="dot"/>
            </w:tabs>
            <w:rPr/>
          </w:pPr>
          <w:hyperlink w:anchor="__RefHeading___Toc7825515_2870459653">
            <w:r>
              <w:rPr>
                <w:webHidden/>
                <w:rStyle w:val="IndexLink"/>
                <w:rtl w:val="true"/>
              </w:rPr>
              <w:t>پیش زمینه و چشم انداز</w:t>
            </w:r>
            <w:r>
              <w:rPr>
                <w:rStyle w:val="IndexLink"/>
                <w:rtl w:val="true"/>
              </w:rPr>
              <w:tab/>
            </w:r>
            <w:r>
              <w:rPr>
                <w:rStyle w:val="IndexLink"/>
              </w:rPr>
              <w:t>191</w:t>
            </w:r>
          </w:hyperlink>
        </w:p>
        <w:p>
          <w:pPr>
            <w:pStyle w:val="Contents4"/>
            <w:tabs>
              <w:tab w:val="clear" w:pos="8176"/>
              <w:tab w:val="right" w:pos="9026" w:leader="dot"/>
            </w:tabs>
            <w:rPr/>
          </w:pPr>
          <w:hyperlink w:anchor="__RefHeading___Toc7825517_287045965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7825519_2870459653">
            <w:r>
              <w:rPr>
                <w:webHidden/>
                <w:rStyle w:val="IndexLink"/>
                <w:rtl w:val="true"/>
              </w:rPr>
              <w:t>.</w:t>
            </w:r>
            <w:r>
              <w:rPr>
                <w:rStyle w:val="IndexLink"/>
              </w:rPr>
              <w:t>12</w:t>
            </w:r>
            <w:r>
              <w:rPr>
                <w:rStyle w:val="IndexLink"/>
                <w:rtl w:val="true"/>
              </w:rPr>
              <w:t xml:space="preserve">ژانویه </w:t>
            </w:r>
            <w:r>
              <w:rPr>
                <w:rStyle w:val="IndexLink"/>
              </w:rPr>
              <w:t>2011</w:t>
            </w:r>
            <w:r>
              <w:rPr>
                <w:rStyle w:val="IndexLink"/>
                <w:rtl w:val="true"/>
              </w:rPr>
              <w:t xml:space="preserve">: </w:t>
            </w:r>
            <w:r>
              <w:rPr>
                <w:rStyle w:val="IndexLink"/>
                <w:rtl w:val="true"/>
              </w:rPr>
              <w:t>مقر دولت پوشش خبری ناآرامی را هک و نابود می کند</w:t>
            </w:r>
            <w:r>
              <w:rPr>
                <w:rStyle w:val="IndexLink"/>
                <w:rtl w:val="true"/>
              </w:rPr>
              <w:tab/>
            </w:r>
            <w:r>
              <w:rPr>
                <w:rStyle w:val="IndexLink"/>
              </w:rPr>
              <w:t>193</w:t>
            </w:r>
          </w:hyperlink>
        </w:p>
        <w:p>
          <w:pPr>
            <w:pStyle w:val="Contents3"/>
            <w:tabs>
              <w:tab w:val="clear" w:pos="8459"/>
              <w:tab w:val="right" w:pos="9026" w:leader="dot"/>
            </w:tabs>
            <w:rPr/>
          </w:pPr>
          <w:hyperlink w:anchor="__RefHeading___Toc7825521_2870459653">
            <w:r>
              <w:rPr>
                <w:webHidden/>
                <w:rStyle w:val="IndexLink"/>
                <w:rtl w:val="true"/>
              </w:rPr>
              <w:t xml:space="preserve">پیامدهای محلی </w:t>
            </w:r>
            <w:r>
              <w:rPr>
                <w:rStyle w:val="IndexLink"/>
                <w:rtl w:val="true"/>
              </w:rPr>
              <w:t xml:space="preserve">- </w:t>
            </w:r>
            <w:r>
              <w:rPr>
                <w:rStyle w:val="IndexLink"/>
                <w:rtl w:val="true"/>
              </w:rPr>
              <w:t>جهانی سانسور چیست؟</w:t>
            </w:r>
            <w:r>
              <w:rPr>
                <w:rStyle w:val="IndexLink"/>
                <w:rtl w:val="true"/>
              </w:rPr>
              <w:tab/>
            </w:r>
            <w:r>
              <w:rPr>
                <w:rStyle w:val="IndexLink"/>
              </w:rPr>
              <w:t>193</w:t>
            </w:r>
          </w:hyperlink>
        </w:p>
        <w:p>
          <w:pPr>
            <w:pStyle w:val="Contents3"/>
            <w:tabs>
              <w:tab w:val="clear" w:pos="8459"/>
              <w:tab w:val="right" w:pos="9026" w:leader="dot"/>
            </w:tabs>
            <w:rPr/>
          </w:pPr>
          <w:hyperlink w:anchor="__RefHeading___Toc7825523_2870459653">
            <w:r>
              <w:rPr>
                <w:webHidden/>
                <w:rStyle w:val="IndexLink"/>
                <w:rtl w:val="true"/>
              </w:rPr>
              <w:t>فعالیت های بیشتر مرجع</w:t>
            </w:r>
            <w:r>
              <w:rPr>
                <w:rStyle w:val="IndexLink"/>
                <w:rtl w:val="true"/>
              </w:rPr>
              <w:tab/>
            </w:r>
            <w:r>
              <w:rPr>
                <w:rStyle w:val="IndexLink"/>
              </w:rPr>
              <w:t>194</w:t>
            </w:r>
          </w:hyperlink>
        </w:p>
        <w:p>
          <w:pPr>
            <w:pStyle w:val="Contents4"/>
            <w:tabs>
              <w:tab w:val="clear" w:pos="8176"/>
              <w:tab w:val="right" w:pos="9026" w:leader="dot"/>
            </w:tabs>
            <w:rPr/>
          </w:pPr>
          <w:hyperlink w:anchor="__RefHeading___Toc7825525_2870459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825527_2870459653">
            <w:r>
              <w:rPr>
                <w:webHidden/>
                <w:rStyle w:val="IndexLink"/>
              </w:rPr>
              <w:t>1</w:t>
            </w:r>
            <w:r>
              <w:rPr>
                <w:rStyle w:val="IndexLink"/>
                <w:rtl w:val="true"/>
              </w:rPr>
              <w:t xml:space="preserve">- </w:t>
            </w:r>
            <w:r>
              <w:rPr>
                <w:rStyle w:val="IndexLink"/>
                <w:rtl w:val="true"/>
              </w:rPr>
              <w:t>جستجو برای به روز رسانی منظم در مورد سانسور از منظر جهانی</w:t>
            </w:r>
            <w:r>
              <w:rPr>
                <w:rStyle w:val="IndexLink"/>
                <w:rtl w:val="true"/>
              </w:rPr>
              <w:tab/>
            </w:r>
            <w:r>
              <w:rPr>
                <w:rStyle w:val="IndexLink"/>
              </w:rPr>
              <w:t>194</w:t>
            </w:r>
          </w:hyperlink>
        </w:p>
        <w:p>
          <w:pPr>
            <w:pStyle w:val="Contents5"/>
            <w:tabs>
              <w:tab w:val="clear" w:pos="7892"/>
              <w:tab w:val="right" w:pos="9026" w:leader="dot"/>
            </w:tabs>
            <w:rPr/>
          </w:pPr>
          <w:hyperlink w:anchor="__RefHeading___Toc7825529_287045965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7825531_2870459653">
            <w:r>
              <w:rPr>
                <w:webHidden/>
                <w:rStyle w:val="IndexLink"/>
                <w:rtl w:val="true"/>
              </w:rPr>
              <w:t>انجمن بین المللی قلم</w:t>
            </w:r>
            <w:r>
              <w:rPr>
                <w:rStyle w:val="IndexLink"/>
                <w:rtl w:val="true"/>
              </w:rPr>
              <w:tab/>
            </w:r>
            <w:r>
              <w:rPr>
                <w:rStyle w:val="IndexLink"/>
              </w:rPr>
              <w:t>195</w:t>
            </w:r>
          </w:hyperlink>
        </w:p>
        <w:p>
          <w:pPr>
            <w:pStyle w:val="Contents4"/>
            <w:tabs>
              <w:tab w:val="clear" w:pos="8176"/>
              <w:tab w:val="right" w:pos="9026" w:leader="dot"/>
            </w:tabs>
            <w:rPr/>
          </w:pPr>
          <w:hyperlink w:anchor="__RefHeading___Toc7825533_2870459653">
            <w:r>
              <w:rPr>
                <w:webHidden/>
                <w:rStyle w:val="IndexLink"/>
              </w:rPr>
              <w:t>2</w:t>
            </w:r>
            <w:r>
              <w:rPr>
                <w:rStyle w:val="IndexLink"/>
                <w:rtl w:val="true"/>
              </w:rPr>
              <w:t xml:space="preserve">- </w:t>
            </w:r>
            <w:r>
              <w:rPr>
                <w:rStyle w:val="IndexLink"/>
                <w:rtl w:val="true"/>
              </w:rPr>
              <w:t>در مورد آیکورن و پناهگاه های شهری در کشور شما بیشتر بدانیم</w:t>
            </w:r>
            <w:r>
              <w:rPr>
                <w:rStyle w:val="IndexLink"/>
                <w:rtl w:val="true"/>
              </w:rPr>
              <w:t>.</w:t>
              <w:tab/>
            </w:r>
            <w:r>
              <w:rPr>
                <w:rStyle w:val="IndexLink"/>
              </w:rPr>
              <w:t>195</w:t>
            </w:r>
          </w:hyperlink>
        </w:p>
        <w:p>
          <w:pPr>
            <w:pStyle w:val="Contents4"/>
            <w:tabs>
              <w:tab w:val="clear" w:pos="8176"/>
              <w:tab w:val="right" w:pos="9026" w:leader="dot"/>
            </w:tabs>
            <w:rPr/>
          </w:pPr>
          <w:hyperlink w:anchor="__RefHeading___Toc7825535_2870459653">
            <w:r>
              <w:rPr>
                <w:webHidden/>
                <w:rStyle w:val="IndexLink"/>
              </w:rPr>
              <w:t>3</w:t>
            </w:r>
            <w:r>
              <w:rPr>
                <w:rStyle w:val="IndexLink"/>
                <w:rtl w:val="true"/>
              </w:rPr>
              <w:t xml:space="preserve">- </w:t>
            </w:r>
            <w:r>
              <w:rPr>
                <w:rStyle w:val="IndexLink"/>
                <w:rtl w:val="true"/>
              </w:rPr>
              <w:t>اطلاعات در مورد فانوس دریایی برای آزادی بیان را به اشتراک بگذارید و اطلاعات در مورد سانسور رسانه ها را برای ثبت در پایگاه داده ارائه نمایید</w:t>
            </w:r>
            <w:r>
              <w:rPr>
                <w:rStyle w:val="IndexLink"/>
                <w:rtl w:val="true"/>
              </w:rPr>
              <w:t>.</w:t>
              <w:tab/>
            </w:r>
            <w:r>
              <w:rPr>
                <w:rStyle w:val="IndexLink"/>
              </w:rPr>
              <w:t>196</w:t>
            </w:r>
          </w:hyperlink>
        </w:p>
        <w:p>
          <w:pPr>
            <w:pStyle w:val="Contents4"/>
            <w:tabs>
              <w:tab w:val="clear" w:pos="8176"/>
              <w:tab w:val="right" w:pos="9026" w:leader="dot"/>
            </w:tabs>
            <w:rPr/>
          </w:pPr>
          <w:hyperlink w:anchor="__RefHeading___Toc7825537_2870459653">
            <w:r>
              <w:rPr>
                <w:webHidden/>
                <w:rStyle w:val="IndexLink"/>
              </w:rPr>
              <w:t>4</w:t>
            </w:r>
            <w:r>
              <w:rPr>
                <w:rStyle w:val="IndexLink"/>
                <w:rtl w:val="true"/>
              </w:rPr>
              <w:t xml:space="preserve">- </w:t>
            </w:r>
            <w:r>
              <w:rPr>
                <w:rStyle w:val="IndexLink"/>
                <w:rtl w:val="true"/>
              </w:rPr>
              <w:t>درباره فعالیت و حمایت سازمان های مربوط به رشته خاص مورد علاقه و مسئولیتتان و هم چنین در مورد آزادی بیان و فعالیت ضد سانسور بیشتر بدانید</w:t>
            </w:r>
            <w:r>
              <w:rPr>
                <w:rStyle w:val="IndexLink"/>
                <w:rtl w:val="true"/>
              </w:rPr>
              <w:tab/>
            </w:r>
            <w:r>
              <w:rPr>
                <w:rStyle w:val="IndexLink"/>
              </w:rPr>
              <w:t>196</w:t>
            </w:r>
          </w:hyperlink>
        </w:p>
        <w:p>
          <w:pPr>
            <w:pStyle w:val="Contents3"/>
            <w:tabs>
              <w:tab w:val="clear" w:pos="8459"/>
              <w:tab w:val="right" w:pos="9026" w:leader="dot"/>
            </w:tabs>
            <w:rPr/>
          </w:pPr>
          <w:hyperlink w:anchor="__RefHeading___Toc7825539_2870459653">
            <w:r>
              <w:rPr>
                <w:webHidden/>
                <w:rStyle w:val="IndexLink"/>
                <w:rtl w:val="true"/>
              </w:rPr>
              <w:t>ملاحظات نهایی</w:t>
            </w:r>
            <w:r>
              <w:rPr>
                <w:rStyle w:val="IndexLink"/>
                <w:rtl w:val="true"/>
              </w:rPr>
              <w:tab/>
            </w:r>
            <w:r>
              <w:rPr>
                <w:rStyle w:val="IndexLink"/>
              </w:rPr>
              <w:t>197</w:t>
            </w:r>
          </w:hyperlink>
        </w:p>
        <w:p>
          <w:pPr>
            <w:pStyle w:val="Contents3"/>
            <w:tabs>
              <w:tab w:val="clear" w:pos="8459"/>
              <w:tab w:val="right" w:pos="9026" w:leader="dot"/>
            </w:tabs>
            <w:rPr/>
          </w:pPr>
          <w:hyperlink w:anchor="__RefHeading___Toc7825541_2870459653">
            <w:r>
              <w:rPr>
                <w:webHidden/>
                <w:rStyle w:val="IndexLink"/>
                <w:rtl w:val="true"/>
              </w:rPr>
              <w:t>منابع</w:t>
            </w:r>
            <w:r>
              <w:rPr>
                <w:rStyle w:val="IndexLink"/>
                <w:rtl w:val="true"/>
              </w:rPr>
              <w:tab/>
            </w:r>
            <w:r>
              <w:rPr>
                <w:rStyle w:val="IndexLink"/>
              </w:rPr>
              <w:t>198</w:t>
            </w:r>
          </w:hyperlink>
        </w:p>
        <w:p>
          <w:pPr>
            <w:pStyle w:val="Contents2"/>
            <w:tabs>
              <w:tab w:val="clear" w:pos="8743"/>
              <w:tab w:val="right" w:pos="9026" w:leader="dot"/>
            </w:tabs>
            <w:rPr/>
          </w:pPr>
          <w:hyperlink w:anchor="__RefHeading___Toc7825543_2870459653">
            <w:r>
              <w:rPr>
                <w:webHidden/>
                <w:rStyle w:val="IndexLink"/>
                <w:rtl w:val="true"/>
              </w:rPr>
              <w:t>چکیده</w:t>
            </w:r>
            <w:r>
              <w:rPr>
                <w:rStyle w:val="IndexLink"/>
                <w:rtl w:val="true"/>
              </w:rPr>
              <w:tab/>
            </w:r>
            <w:r>
              <w:rPr>
                <w:rStyle w:val="IndexLink"/>
              </w:rPr>
              <w:t>200</w:t>
            </w:r>
          </w:hyperlink>
        </w:p>
        <w:p>
          <w:pPr>
            <w:pStyle w:val="Contents2"/>
            <w:tabs>
              <w:tab w:val="clear" w:pos="8743"/>
              <w:tab w:val="right" w:pos="9026" w:leader="dot"/>
            </w:tabs>
            <w:rPr/>
          </w:pPr>
          <w:hyperlink w:anchor="__RefHeading___Toc7825545_2870459653">
            <w:r>
              <w:rPr>
                <w:webHidden/>
                <w:rStyle w:val="IndexLink"/>
                <w:rtl w:val="true"/>
              </w:rPr>
              <w:t>«</w:t>
            </w:r>
            <w:r>
              <w:rPr>
                <w:rStyle w:val="IndexLink"/>
                <w:rtl w:val="true"/>
              </w:rPr>
              <w:t>دوره های آموزشی برخط فراگیر رایگان</w:t>
            </w:r>
            <w:r>
              <w:rPr>
                <w:rStyle w:val="IndexLink"/>
                <w:rtl w:val="true"/>
              </w:rPr>
              <w:t xml:space="preserve">» </w:t>
            </w:r>
            <w:r>
              <w:rPr>
                <w:rStyle w:val="IndexLink"/>
                <w:rtl w:val="true"/>
              </w:rPr>
              <w:t>ابزاری برای دسترسی به اطلاعات در کشورهای در حال توسعه</w:t>
            </w:r>
            <w:r>
              <w:rPr>
                <w:rStyle w:val="IndexLink"/>
                <w:rtl w:val="true"/>
              </w:rPr>
              <w:t xml:space="preserve">: </w:t>
            </w:r>
            <w:r>
              <w:rPr>
                <w:rStyle w:val="IndexLink"/>
                <w:rtl w:val="true"/>
              </w:rPr>
              <w:t>روشی جدید برای کمک به رفع چالش های آموزش و پرورش با استفاده از فناوری های اطلاعات و ارتباطات</w:t>
            </w:r>
            <w:r>
              <w:rPr>
                <w:rStyle w:val="IndexLink"/>
                <w:rtl w:val="true"/>
              </w:rPr>
              <w:tab/>
            </w:r>
            <w:r>
              <w:rPr>
                <w:rStyle w:val="IndexLink"/>
              </w:rPr>
              <w:t>201</w:t>
            </w:r>
          </w:hyperlink>
        </w:p>
        <w:p>
          <w:pPr>
            <w:pStyle w:val="Contents3"/>
            <w:tabs>
              <w:tab w:val="clear" w:pos="8459"/>
              <w:tab w:val="right" w:pos="9026" w:leader="dot"/>
            </w:tabs>
            <w:rPr/>
          </w:pPr>
          <w:hyperlink w:anchor="__RefHeading___Toc7825547_287045965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7825549_2870459653">
            <w:r>
              <w:rPr>
                <w:webHidden/>
                <w:rStyle w:val="IndexLink"/>
                <w:rtl w:val="true"/>
              </w:rPr>
              <w:t>چه کار باید کرد؟</w:t>
            </w:r>
            <w:r>
              <w:rPr>
                <w:rStyle w:val="IndexLink"/>
                <w:rtl w:val="true"/>
              </w:rPr>
              <w:tab/>
            </w:r>
            <w:r>
              <w:rPr>
                <w:rStyle w:val="IndexLink"/>
              </w:rPr>
              <w:t>203</w:t>
            </w:r>
          </w:hyperlink>
        </w:p>
        <w:p>
          <w:pPr>
            <w:pStyle w:val="Contents3"/>
            <w:tabs>
              <w:tab w:val="clear" w:pos="8459"/>
              <w:tab w:val="right" w:pos="9026" w:leader="dot"/>
            </w:tabs>
            <w:rPr/>
          </w:pPr>
          <w:hyperlink w:anchor="__RefHeading___Toc7825551_2870459653">
            <w:r>
              <w:rPr>
                <w:webHidden/>
                <w:rStyle w:val="IndexLink"/>
                <w:rtl w:val="true"/>
              </w:rPr>
              <w:t>چالش ها</w:t>
            </w:r>
            <w:r>
              <w:rPr>
                <w:rStyle w:val="IndexLink"/>
                <w:rtl w:val="true"/>
              </w:rPr>
              <w:tab/>
            </w:r>
            <w:r>
              <w:rPr>
                <w:rStyle w:val="IndexLink"/>
              </w:rPr>
              <w:t>204</w:t>
            </w:r>
          </w:hyperlink>
        </w:p>
        <w:p>
          <w:pPr>
            <w:pStyle w:val="Contents3"/>
            <w:tabs>
              <w:tab w:val="clear" w:pos="8459"/>
              <w:tab w:val="right" w:pos="9026" w:leader="dot"/>
            </w:tabs>
            <w:rPr/>
          </w:pPr>
          <w:hyperlink w:anchor="__RefHeading___Toc7825553_2870459653">
            <w:r>
              <w:rPr>
                <w:webHidden/>
                <w:rStyle w:val="IndexLink"/>
                <w:rtl w:val="true"/>
              </w:rPr>
              <w:t>پژوهش</w:t>
            </w:r>
            <w:r>
              <w:rPr>
                <w:rStyle w:val="IndexLink"/>
                <w:rtl w:val="true"/>
              </w:rPr>
              <w:tab/>
            </w:r>
            <w:r>
              <w:rPr>
                <w:rStyle w:val="IndexLink"/>
              </w:rPr>
              <w:t>205</w:t>
            </w:r>
          </w:hyperlink>
        </w:p>
        <w:p>
          <w:pPr>
            <w:pStyle w:val="Contents3"/>
            <w:tabs>
              <w:tab w:val="clear" w:pos="8459"/>
              <w:tab w:val="right" w:pos="9026" w:leader="dot"/>
            </w:tabs>
            <w:rPr/>
          </w:pPr>
          <w:hyperlink w:anchor="__RefHeading___Toc7825555_2870459653">
            <w:r>
              <w:rPr>
                <w:webHidden/>
                <w:rStyle w:val="IndexLink"/>
                <w:rtl w:val="true"/>
              </w:rPr>
              <w:t>چگونه دوره های آموزشی را اجرا کنیم؟</w:t>
            </w:r>
            <w:r>
              <w:rPr>
                <w:rStyle w:val="IndexLink"/>
                <w:rtl w:val="true"/>
              </w:rPr>
              <w:tab/>
            </w:r>
            <w:r>
              <w:rPr>
                <w:rStyle w:val="IndexLink"/>
              </w:rPr>
              <w:t>205</w:t>
            </w:r>
          </w:hyperlink>
        </w:p>
        <w:p>
          <w:pPr>
            <w:pStyle w:val="Contents3"/>
            <w:tabs>
              <w:tab w:val="clear" w:pos="8459"/>
              <w:tab w:val="right" w:pos="9026" w:leader="dot"/>
            </w:tabs>
            <w:rPr/>
          </w:pPr>
          <w:hyperlink w:anchor="__RefHeading___Toc7825557_2870459653">
            <w:r>
              <w:rPr>
                <w:webHidden/>
                <w:rStyle w:val="IndexLink"/>
                <w:rtl w:val="true"/>
              </w:rPr>
              <w:t>منابع</w:t>
            </w:r>
            <w:r>
              <w:rPr>
                <w:rStyle w:val="IndexLink"/>
                <w:rtl w:val="true"/>
              </w:rPr>
              <w:tab/>
            </w:r>
            <w:r>
              <w:rPr>
                <w:rStyle w:val="IndexLink"/>
              </w:rPr>
              <w:t>206</w:t>
            </w:r>
          </w:hyperlink>
        </w:p>
        <w:p>
          <w:pPr>
            <w:pStyle w:val="Contents2"/>
            <w:tabs>
              <w:tab w:val="clear" w:pos="8743"/>
              <w:tab w:val="right" w:pos="9026" w:leader="dot"/>
            </w:tabs>
            <w:rPr/>
          </w:pPr>
          <w:hyperlink w:anchor="__RefHeading___Toc7825559_2870459653">
            <w:r>
              <w:rPr>
                <w:webHidden/>
                <w:rStyle w:val="IndexLink"/>
                <w:rtl w:val="true"/>
              </w:rPr>
              <w:t>چکیده</w:t>
            </w:r>
            <w:r>
              <w:rPr>
                <w:rStyle w:val="IndexLink"/>
                <w:rtl w:val="true"/>
              </w:rPr>
              <w:tab/>
            </w:r>
            <w:r>
              <w:rPr>
                <w:rStyle w:val="IndexLink"/>
              </w:rPr>
              <w:t>208</w:t>
            </w:r>
          </w:hyperlink>
        </w:p>
        <w:p>
          <w:pPr>
            <w:pStyle w:val="Contents2"/>
            <w:tabs>
              <w:tab w:val="clear" w:pos="8743"/>
              <w:tab w:val="right" w:pos="9026" w:leader="dot"/>
            </w:tabs>
            <w:rPr/>
          </w:pPr>
          <w:hyperlink w:anchor="__RefHeading___Toc7825561_2870459653">
            <w:r>
              <w:rPr>
                <w:webHidden/>
                <w:rStyle w:val="IndexLink"/>
                <w:rtl w:val="true"/>
              </w:rPr>
              <w:t xml:space="preserve">نوسازی و سازماندهی مجدد مجموعه ها از نظام ذخیره سازی منفعل قدیمی به نظام پویای نوین در کتاب خانه دانشگاه سوربن فرانسه </w:t>
            </w:r>
            <w:r>
              <w:rPr>
                <w:rStyle w:val="IndexLink"/>
                <w:rtl w:val="true"/>
              </w:rPr>
              <w:t>(</w:t>
            </w:r>
            <w:r>
              <w:rPr>
                <w:rStyle w:val="IndexLink"/>
              </w:rPr>
              <w:t>2003</w:t>
            </w:r>
            <w:r>
              <w:rPr>
                <w:rStyle w:val="IndexLink"/>
                <w:rtl w:val="true"/>
              </w:rPr>
              <w:t>-</w:t>
            </w:r>
            <w:r>
              <w:rPr>
                <w:rStyle w:val="IndexLink"/>
              </w:rPr>
              <w:t>2016</w:t>
            </w:r>
            <w:r>
              <w:rPr>
                <w:rStyle w:val="IndexLink"/>
                <w:rtl w:val="true"/>
              </w:rPr>
              <w:t>)</w:t>
              <w:tab/>
            </w:r>
            <w:r>
              <w:rPr>
                <w:rStyle w:val="IndexLink"/>
              </w:rPr>
              <w:t>209</w:t>
            </w:r>
          </w:hyperlink>
        </w:p>
        <w:p>
          <w:pPr>
            <w:pStyle w:val="Contents3"/>
            <w:tabs>
              <w:tab w:val="clear" w:pos="8459"/>
              <w:tab w:val="right" w:pos="9026" w:leader="dot"/>
            </w:tabs>
            <w:rPr/>
          </w:pPr>
          <w:hyperlink w:anchor="__RefHeading___Toc7825563_2870459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7825565_2870459653">
            <w:r>
              <w:rPr>
                <w:webHidden/>
                <w:rStyle w:val="IndexLink"/>
                <w:rtl w:val="true"/>
              </w:rPr>
              <w:t>مشکلات و انجام طرح</w:t>
            </w:r>
            <w:r>
              <w:rPr>
                <w:rStyle w:val="IndexLink"/>
                <w:rtl w:val="true"/>
              </w:rPr>
              <w:tab/>
            </w:r>
            <w:r>
              <w:rPr>
                <w:rStyle w:val="IndexLink"/>
              </w:rPr>
              <w:t>210</w:t>
            </w:r>
          </w:hyperlink>
        </w:p>
        <w:p>
          <w:pPr>
            <w:pStyle w:val="Contents3"/>
            <w:tabs>
              <w:tab w:val="clear" w:pos="8459"/>
              <w:tab w:val="right" w:pos="9026" w:leader="dot"/>
            </w:tabs>
            <w:rPr/>
          </w:pPr>
          <w:hyperlink w:anchor="__RefHeading___Toc7825567_2870459653">
            <w:r>
              <w:rPr>
                <w:webHidden/>
                <w:rStyle w:val="IndexLink"/>
                <w:rtl w:val="true"/>
              </w:rPr>
              <w:t>اهمیت میراث فرهنگی و تاریخچه انجام طرح</w:t>
            </w:r>
            <w:r>
              <w:rPr>
                <w:rStyle w:val="IndexLink"/>
                <w:rtl w:val="true"/>
              </w:rPr>
              <w:tab/>
            </w:r>
            <w:r>
              <w:rPr>
                <w:rStyle w:val="IndexLink"/>
              </w:rPr>
              <w:t>211</w:t>
            </w:r>
          </w:hyperlink>
        </w:p>
        <w:p>
          <w:pPr>
            <w:pStyle w:val="Contents3"/>
            <w:tabs>
              <w:tab w:val="clear" w:pos="8459"/>
              <w:tab w:val="right" w:pos="9026" w:leader="dot"/>
            </w:tabs>
            <w:rPr/>
          </w:pPr>
          <w:hyperlink w:anchor="__RefHeading___Toc7825569_2870459653">
            <w:r>
              <w:rPr>
                <w:webHidden/>
                <w:rStyle w:val="IndexLink"/>
                <w:rtl w:val="true"/>
              </w:rPr>
              <w:t xml:space="preserve">فرآیند انجام طرح از سال </w:t>
            </w:r>
            <w:r>
              <w:rPr>
                <w:rStyle w:val="IndexLink"/>
              </w:rPr>
              <w:t>2009</w:t>
            </w:r>
            <w:r>
              <w:rPr>
                <w:rStyle w:val="IndexLink"/>
                <w:rtl w:val="true"/>
              </w:rPr>
              <w:t xml:space="preserve"> - </w:t>
            </w:r>
            <w:r>
              <w:rPr>
                <w:rStyle w:val="IndexLink"/>
              </w:rPr>
              <w:t>2013</w:t>
            </w:r>
            <w:r>
              <w:rPr>
                <w:rStyle w:val="IndexLink"/>
                <w:rtl w:val="true"/>
              </w:rPr>
              <w:tab/>
            </w:r>
            <w:r>
              <w:rPr>
                <w:rStyle w:val="IndexLink"/>
              </w:rPr>
              <w:t>211</w:t>
            </w:r>
          </w:hyperlink>
        </w:p>
        <w:p>
          <w:pPr>
            <w:pStyle w:val="Contents3"/>
            <w:tabs>
              <w:tab w:val="clear" w:pos="8459"/>
              <w:tab w:val="right" w:pos="9026" w:leader="dot"/>
            </w:tabs>
            <w:rPr/>
          </w:pPr>
          <w:hyperlink w:anchor="__RefHeading___Toc7825571_2870459653">
            <w:r>
              <w:rPr>
                <w:webHidden/>
                <w:rStyle w:val="IndexLink"/>
                <w:rtl w:val="true"/>
              </w:rPr>
              <w:t>محل جدید کتاب ها</w:t>
            </w:r>
            <w:r>
              <w:rPr>
                <w:rStyle w:val="IndexLink"/>
                <w:rtl w:val="true"/>
              </w:rPr>
              <w:tab/>
            </w:r>
            <w:r>
              <w:rPr>
                <w:rStyle w:val="IndexLink"/>
              </w:rPr>
              <w:t>212</w:t>
            </w:r>
          </w:hyperlink>
        </w:p>
        <w:p>
          <w:pPr>
            <w:pStyle w:val="Contents3"/>
            <w:tabs>
              <w:tab w:val="clear" w:pos="8459"/>
              <w:tab w:val="right" w:pos="9026" w:leader="dot"/>
            </w:tabs>
            <w:rPr/>
          </w:pPr>
          <w:hyperlink w:anchor="__RefHeading___Toc7825573_2870459653">
            <w:r>
              <w:rPr>
                <w:webHidden/>
                <w:rStyle w:val="IndexLink"/>
                <w:rtl w:val="true"/>
              </w:rPr>
              <w:t xml:space="preserve">ثمره انجام طرح </w:t>
            </w:r>
            <w:r>
              <w:rPr>
                <w:rStyle w:val="IndexLink"/>
                <w:rtl w:val="true"/>
              </w:rPr>
              <w:t>(</w:t>
            </w:r>
            <w:r>
              <w:rPr>
                <w:rStyle w:val="IndexLink"/>
              </w:rPr>
              <w:t>2013</w:t>
            </w:r>
            <w:r>
              <w:rPr>
                <w:rStyle w:val="IndexLink"/>
                <w:rtl w:val="true"/>
              </w:rPr>
              <w:t>-</w:t>
            </w:r>
            <w:r>
              <w:rPr>
                <w:rStyle w:val="IndexLink"/>
              </w:rPr>
              <w:t>2016</w:t>
            </w:r>
            <w:r>
              <w:rPr>
                <w:rStyle w:val="IndexLink"/>
                <w:rtl w:val="true"/>
              </w:rPr>
              <w:t>)</w:t>
              <w:tab/>
            </w:r>
            <w:r>
              <w:rPr>
                <w:rStyle w:val="IndexLink"/>
              </w:rPr>
              <w:t>213</w:t>
            </w:r>
          </w:hyperlink>
        </w:p>
        <w:p>
          <w:pPr>
            <w:pStyle w:val="Contents3"/>
            <w:tabs>
              <w:tab w:val="clear" w:pos="8459"/>
              <w:tab w:val="right" w:pos="9026" w:leader="dot"/>
            </w:tabs>
            <w:rPr/>
          </w:pPr>
          <w:hyperlink w:anchor="__RefHeading___Toc7825575_2870459653">
            <w:r>
              <w:rPr>
                <w:webHidden/>
                <w:rStyle w:val="IndexLink"/>
                <w:rtl w:val="true"/>
              </w:rPr>
              <w:t>نگاه دقیق تر به طرح</w:t>
            </w:r>
            <w:r>
              <w:rPr>
                <w:rStyle w:val="IndexLink"/>
                <w:rtl w:val="true"/>
              </w:rPr>
              <w:tab/>
            </w:r>
            <w:r>
              <w:rPr>
                <w:rStyle w:val="IndexLink"/>
              </w:rPr>
              <w:t>214</w:t>
            </w:r>
          </w:hyperlink>
        </w:p>
        <w:p>
          <w:pPr>
            <w:pStyle w:val="Contents3"/>
            <w:tabs>
              <w:tab w:val="clear" w:pos="8459"/>
              <w:tab w:val="right" w:pos="9026" w:leader="dot"/>
            </w:tabs>
            <w:rPr/>
          </w:pPr>
          <w:hyperlink w:anchor="__RefHeading___Toc7825577_2870459653">
            <w:r>
              <w:rPr>
                <w:webHidden/>
                <w:rStyle w:val="IndexLink"/>
                <w:rtl w:val="true"/>
              </w:rPr>
              <w:t xml:space="preserve">آرزوهای بزرگ </w:t>
            </w:r>
            <w:r>
              <w:rPr>
                <w:rStyle w:val="IndexLink"/>
              </w:rPr>
              <w:t>2016</w:t>
            </w:r>
            <w:r>
              <w:rPr>
                <w:rStyle w:val="IndexLink"/>
                <w:rtl w:val="true"/>
              </w:rPr>
              <w:t>-</w:t>
            </w:r>
            <w:r>
              <w:rPr>
                <w:rStyle w:val="IndexLink"/>
              </w:rPr>
              <w:t>2020</w:t>
            </w:r>
            <w:r>
              <w:rPr>
                <w:rStyle w:val="IndexLink"/>
                <w:rtl w:val="true"/>
              </w:rPr>
              <w:tab/>
            </w:r>
            <w:r>
              <w:rPr>
                <w:rStyle w:val="IndexLink"/>
              </w:rPr>
              <w:t>215</w:t>
            </w:r>
          </w:hyperlink>
        </w:p>
        <w:p>
          <w:pPr>
            <w:pStyle w:val="Contents2"/>
            <w:tabs>
              <w:tab w:val="clear" w:pos="8743"/>
              <w:tab w:val="right" w:pos="9026" w:leader="dot"/>
            </w:tabs>
            <w:rPr/>
          </w:pPr>
          <w:hyperlink w:anchor="__RefHeading___Toc7825579_2870459653">
            <w:r>
              <w:rPr>
                <w:webHidden/>
                <w:rStyle w:val="IndexLink"/>
                <w:rtl w:val="true"/>
              </w:rPr>
              <w:t>چکیده</w:t>
            </w:r>
            <w:r>
              <w:rPr>
                <w:rStyle w:val="IndexLink"/>
                <w:rtl w:val="true"/>
              </w:rPr>
              <w:tab/>
            </w:r>
            <w:r>
              <w:rPr>
                <w:rStyle w:val="IndexLink"/>
              </w:rPr>
              <w:t>218</w:t>
            </w:r>
          </w:hyperlink>
        </w:p>
        <w:p>
          <w:pPr>
            <w:pStyle w:val="Contents2"/>
            <w:tabs>
              <w:tab w:val="clear" w:pos="8743"/>
              <w:tab w:val="right" w:pos="9026" w:leader="dot"/>
            </w:tabs>
            <w:rPr/>
          </w:pPr>
          <w:hyperlink w:anchor="__RefHeading___Toc7825581_2870459653">
            <w:r>
              <w:rPr>
                <w:webHidden/>
                <w:rStyle w:val="IndexLink"/>
                <w:rtl w:val="true"/>
              </w:rPr>
              <w:t xml:space="preserve">کتاب خانه </w:t>
            </w:r>
            <w:r>
              <w:rPr>
                <w:rStyle w:val="IndexLink"/>
                <w:rtl w:val="true"/>
              </w:rPr>
              <w:t>«</w:t>
            </w:r>
            <w:r>
              <w:rPr>
                <w:rStyle w:val="IndexLink"/>
                <w:rtl w:val="true"/>
              </w:rPr>
              <w:t>گرو</w:t>
            </w:r>
            <w:r>
              <w:rPr>
                <w:rStyle w:val="IndexLink"/>
                <w:rtl w:val="true"/>
              </w:rPr>
              <w:t xml:space="preserve">» </w:t>
            </w:r>
            <w:r>
              <w:rPr>
                <w:rStyle w:val="IndexLink"/>
                <w:rtl w:val="true"/>
              </w:rPr>
              <w:t>به عنوان نمونه کتاب خانه سبز از لحاظ تعامل مداوم جامعه، انتظارات جامعه، فراهم آوری و اشتراک اطلاعات و مشارکت</w:t>
            </w:r>
            <w:r>
              <w:rPr>
                <w:rStyle w:val="IndexLink"/>
                <w:rtl w:val="true"/>
              </w:rPr>
              <w:tab/>
            </w:r>
            <w:r>
              <w:rPr>
                <w:rStyle w:val="IndexLink"/>
              </w:rPr>
              <w:t>219</w:t>
            </w:r>
          </w:hyperlink>
        </w:p>
        <w:p>
          <w:pPr>
            <w:pStyle w:val="Contents3"/>
            <w:tabs>
              <w:tab w:val="clear" w:pos="8459"/>
              <w:tab w:val="right" w:pos="9026" w:leader="dot"/>
            </w:tabs>
            <w:rPr/>
          </w:pPr>
          <w:hyperlink w:anchor="__RefHeading___Toc7825583_287045965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7825585_2870459653">
            <w:r>
              <w:rPr>
                <w:webHidden/>
                <w:rStyle w:val="IndexLink"/>
                <w:rtl w:val="true"/>
              </w:rPr>
              <w:t>جایگاه شهرگرو بر روی سیاره زمین</w:t>
            </w:r>
            <w:r>
              <w:rPr>
                <w:rStyle w:val="IndexLink"/>
                <w:rtl w:val="true"/>
              </w:rPr>
              <w:tab/>
            </w:r>
            <w:r>
              <w:rPr>
                <w:rStyle w:val="IndexLink"/>
              </w:rPr>
              <w:t>219</w:t>
            </w:r>
          </w:hyperlink>
        </w:p>
        <w:p>
          <w:pPr>
            <w:pStyle w:val="Contents3"/>
            <w:tabs>
              <w:tab w:val="clear" w:pos="8459"/>
              <w:tab w:val="right" w:pos="9026" w:leader="dot"/>
            </w:tabs>
            <w:rPr/>
          </w:pPr>
          <w:hyperlink w:anchor="__RefHeading___Toc7825587_2870459653">
            <w:r>
              <w:rPr>
                <w:webHidden/>
                <w:rStyle w:val="IndexLink"/>
                <w:rtl w:val="true"/>
              </w:rPr>
              <w:t>کتاب خانه جدید گرو پا به عرصه وجود می گذارد</w:t>
            </w:r>
            <w:r>
              <w:rPr>
                <w:rStyle w:val="IndexLink"/>
                <w:rtl w:val="true"/>
              </w:rPr>
              <w:t>.</w:t>
              <w:tab/>
            </w:r>
            <w:r>
              <w:rPr>
                <w:rStyle w:val="IndexLink"/>
              </w:rPr>
              <w:t>220</w:t>
            </w:r>
          </w:hyperlink>
        </w:p>
        <w:p>
          <w:pPr>
            <w:pStyle w:val="Contents3"/>
            <w:tabs>
              <w:tab w:val="clear" w:pos="8459"/>
              <w:tab w:val="right" w:pos="9026" w:leader="dot"/>
            </w:tabs>
            <w:rPr/>
          </w:pPr>
          <w:hyperlink w:anchor="__RefHeading___Toc7825589_2870459653">
            <w:r>
              <w:rPr>
                <w:webHidden/>
                <w:rStyle w:val="IndexLink"/>
                <w:rtl w:val="true"/>
              </w:rPr>
              <w:t>گرو سبز می شود</w:t>
            </w:r>
            <w:r>
              <w:rPr>
                <w:rStyle w:val="IndexLink"/>
                <w:rtl w:val="true"/>
              </w:rPr>
              <w:t>.</w:t>
              <w:tab/>
            </w:r>
            <w:r>
              <w:rPr>
                <w:rStyle w:val="IndexLink"/>
              </w:rPr>
              <w:t>220</w:t>
            </w:r>
          </w:hyperlink>
        </w:p>
        <w:p>
          <w:pPr>
            <w:pStyle w:val="Contents3"/>
            <w:tabs>
              <w:tab w:val="clear" w:pos="8459"/>
              <w:tab w:val="right" w:pos="9026" w:leader="dot"/>
            </w:tabs>
            <w:rPr/>
          </w:pPr>
          <w:hyperlink w:anchor="__RefHeading___Toc7825591_2870459653">
            <w:r>
              <w:rPr>
                <w:webHidden/>
                <w:rStyle w:val="IndexLink"/>
                <w:rtl w:val="true"/>
              </w:rPr>
              <w:t>توسعه پرمخاطره گرو</w:t>
            </w:r>
            <w:r>
              <w:rPr>
                <w:rStyle w:val="IndexLink"/>
                <w:rtl w:val="true"/>
              </w:rPr>
              <w:tab/>
            </w:r>
            <w:r>
              <w:rPr>
                <w:rStyle w:val="IndexLink"/>
              </w:rPr>
              <w:t>221</w:t>
            </w:r>
          </w:hyperlink>
        </w:p>
        <w:p>
          <w:pPr>
            <w:pStyle w:val="Contents3"/>
            <w:tabs>
              <w:tab w:val="clear" w:pos="8459"/>
              <w:tab w:val="right" w:pos="9026" w:leader="dot"/>
            </w:tabs>
            <w:rPr/>
          </w:pPr>
          <w:hyperlink w:anchor="__RefHeading___Toc7825593_2870459653">
            <w:r>
              <w:rPr>
                <w:webHidden/>
                <w:rStyle w:val="IndexLink"/>
                <w:rtl w:val="true"/>
              </w:rPr>
              <w:t>سرانجام کتاب خانه گرو تأسیس شد</w:t>
            </w:r>
            <w:r>
              <w:rPr>
                <w:rStyle w:val="IndexLink"/>
                <w:rtl w:val="true"/>
              </w:rPr>
              <w:tab/>
            </w:r>
            <w:r>
              <w:rPr>
                <w:rStyle w:val="IndexLink"/>
              </w:rPr>
              <w:t>222</w:t>
            </w:r>
          </w:hyperlink>
        </w:p>
        <w:p>
          <w:pPr>
            <w:pStyle w:val="Contents3"/>
            <w:tabs>
              <w:tab w:val="clear" w:pos="8459"/>
              <w:tab w:val="right" w:pos="9026" w:leader="dot"/>
            </w:tabs>
            <w:rPr/>
          </w:pPr>
          <w:hyperlink w:anchor="__RefHeading___Toc7825595_2870459653">
            <w:r>
              <w:rPr>
                <w:webHidden/>
                <w:rStyle w:val="IndexLink"/>
                <w:rtl w:val="true"/>
              </w:rPr>
              <w:t xml:space="preserve">کتاب خانه گرو </w:t>
            </w:r>
            <w:r>
              <w:rPr>
                <w:rStyle w:val="IndexLink"/>
                <w:rtl w:val="true"/>
              </w:rPr>
              <w:t xml:space="preserve">- </w:t>
            </w:r>
            <w:r>
              <w:rPr>
                <w:rStyle w:val="IndexLink"/>
                <w:rtl w:val="true"/>
              </w:rPr>
              <w:t>نخستین گام ها</w:t>
            </w:r>
            <w:r>
              <w:rPr>
                <w:rStyle w:val="IndexLink"/>
                <w:rtl w:val="true"/>
              </w:rPr>
              <w:tab/>
            </w:r>
            <w:r>
              <w:rPr>
                <w:rStyle w:val="IndexLink"/>
              </w:rPr>
              <w:t>224</w:t>
            </w:r>
          </w:hyperlink>
        </w:p>
        <w:p>
          <w:pPr>
            <w:pStyle w:val="Contents3"/>
            <w:tabs>
              <w:tab w:val="clear" w:pos="8459"/>
              <w:tab w:val="right" w:pos="9026" w:leader="dot"/>
            </w:tabs>
            <w:rPr/>
          </w:pPr>
          <w:hyperlink w:anchor="__RefHeading___Toc7825597_2870459653">
            <w:r>
              <w:rPr>
                <w:webHidden/>
                <w:rStyle w:val="IndexLink"/>
                <w:rtl w:val="true"/>
              </w:rPr>
              <w:t>آموختن از تجربیات</w:t>
            </w:r>
            <w:r>
              <w:rPr>
                <w:rStyle w:val="IndexLink"/>
                <w:rtl w:val="true"/>
              </w:rPr>
              <w:tab/>
            </w:r>
            <w:r>
              <w:rPr>
                <w:rStyle w:val="IndexLink"/>
              </w:rPr>
              <w:t>225</w:t>
            </w:r>
          </w:hyperlink>
        </w:p>
        <w:p>
          <w:pPr>
            <w:pStyle w:val="Contents3"/>
            <w:tabs>
              <w:tab w:val="clear" w:pos="8459"/>
              <w:tab w:val="right" w:pos="9026" w:leader="dot"/>
            </w:tabs>
            <w:rPr/>
          </w:pPr>
          <w:hyperlink w:anchor="__RefHeading___Toc7825599_2870459653">
            <w:r>
              <w:rPr>
                <w:webHidden/>
                <w:rStyle w:val="IndexLink"/>
                <w:rtl w:val="true"/>
              </w:rPr>
              <w:t>گرو به عنوان مثالی زنده</w:t>
            </w:r>
            <w:r>
              <w:rPr>
                <w:rStyle w:val="IndexLink"/>
                <w:rtl w:val="true"/>
              </w:rPr>
              <w:t xml:space="preserve">: </w:t>
            </w:r>
            <w:r>
              <w:rPr>
                <w:rStyle w:val="IndexLink"/>
                <w:rtl w:val="true"/>
              </w:rPr>
              <w:t>چشم انداز و مأموریت</w:t>
            </w:r>
            <w:r>
              <w:rPr>
                <w:rStyle w:val="IndexLink"/>
                <w:rtl w:val="true"/>
              </w:rPr>
              <w:tab/>
            </w:r>
            <w:r>
              <w:rPr>
                <w:rStyle w:val="IndexLink"/>
              </w:rPr>
              <w:t>226</w:t>
            </w:r>
          </w:hyperlink>
        </w:p>
        <w:p>
          <w:pPr>
            <w:pStyle w:val="Contents3"/>
            <w:tabs>
              <w:tab w:val="clear" w:pos="8459"/>
              <w:tab w:val="right" w:pos="9026" w:leader="dot"/>
            </w:tabs>
            <w:rPr/>
          </w:pPr>
          <w:hyperlink w:anchor="__RefHeading___Toc7825601_2870459653">
            <w:r>
              <w:rPr>
                <w:webHidden/>
                <w:rStyle w:val="IndexLink"/>
                <w:rtl w:val="true"/>
              </w:rPr>
              <w:t>گرو در قالب یک الهام پایان ناپذیر</w:t>
            </w:r>
            <w:r>
              <w:rPr>
                <w:rStyle w:val="IndexLink"/>
                <w:rtl w:val="true"/>
              </w:rPr>
              <w:tab/>
            </w:r>
            <w:r>
              <w:rPr>
                <w:rStyle w:val="IndexLink"/>
              </w:rPr>
              <w:t>227</w:t>
            </w:r>
          </w:hyperlink>
        </w:p>
        <w:p>
          <w:pPr>
            <w:pStyle w:val="Contents3"/>
            <w:tabs>
              <w:tab w:val="clear" w:pos="8459"/>
              <w:tab w:val="right" w:pos="9026" w:leader="dot"/>
            </w:tabs>
            <w:rPr/>
          </w:pPr>
          <w:hyperlink w:anchor="__RefHeading___Toc7825603_2870459653">
            <w:r>
              <w:rPr>
                <w:webHidden/>
                <w:rStyle w:val="IndexLink"/>
                <w:rtl w:val="true"/>
              </w:rPr>
              <w:t>تورهای صنعت</w:t>
            </w:r>
            <w:r>
              <w:rPr>
                <w:rStyle w:val="IndexLink"/>
                <w:rtl w:val="true"/>
              </w:rPr>
              <w:tab/>
            </w:r>
            <w:r>
              <w:rPr>
                <w:rStyle w:val="IndexLink"/>
              </w:rPr>
              <w:t>228</w:t>
            </w:r>
          </w:hyperlink>
        </w:p>
        <w:p>
          <w:pPr>
            <w:pStyle w:val="Contents3"/>
            <w:tabs>
              <w:tab w:val="clear" w:pos="8459"/>
              <w:tab w:val="right" w:pos="9026" w:leader="dot"/>
            </w:tabs>
            <w:rPr/>
          </w:pPr>
          <w:hyperlink w:anchor="__RefHeading___Toc7825605_2870459653">
            <w:r>
              <w:rPr>
                <w:webHidden/>
                <w:rStyle w:val="IndexLink"/>
                <w:rtl w:val="true"/>
              </w:rPr>
              <w:t>تعامل با جامعه</w:t>
            </w:r>
            <w:r>
              <w:rPr>
                <w:rStyle w:val="IndexLink"/>
                <w:rtl w:val="true"/>
              </w:rPr>
              <w:tab/>
            </w:r>
            <w:r>
              <w:rPr>
                <w:rStyle w:val="IndexLink"/>
              </w:rPr>
              <w:t>228</w:t>
            </w:r>
          </w:hyperlink>
        </w:p>
        <w:p>
          <w:pPr>
            <w:pStyle w:val="Contents3"/>
            <w:tabs>
              <w:tab w:val="clear" w:pos="8459"/>
              <w:tab w:val="right" w:pos="9026" w:leader="dot"/>
            </w:tabs>
            <w:rPr/>
          </w:pPr>
          <w:hyperlink w:anchor="__RefHeading___Toc7825607_2870459653">
            <w:r>
              <w:rPr>
                <w:webHidden/>
                <w:rStyle w:val="IndexLink"/>
                <w:rtl w:val="true"/>
              </w:rPr>
              <w:t xml:space="preserve">تعامل با گرو </w:t>
            </w:r>
            <w:r>
              <w:rPr>
                <w:rStyle w:val="IndexLink"/>
                <w:rtl w:val="true"/>
              </w:rPr>
              <w:t xml:space="preserve">... </w:t>
            </w:r>
            <w:r>
              <w:rPr>
                <w:rStyle w:val="IndexLink"/>
                <w:rtl w:val="true"/>
              </w:rPr>
              <w:t>به عنوان یک کتاب خانه</w:t>
            </w:r>
            <w:r>
              <w:rPr>
                <w:rStyle w:val="IndexLink"/>
                <w:rtl w:val="true"/>
              </w:rPr>
              <w:tab/>
            </w:r>
            <w:r>
              <w:rPr>
                <w:rStyle w:val="IndexLink"/>
              </w:rPr>
              <w:t>230</w:t>
            </w:r>
          </w:hyperlink>
        </w:p>
        <w:p>
          <w:pPr>
            <w:pStyle w:val="Contents3"/>
            <w:tabs>
              <w:tab w:val="clear" w:pos="8459"/>
              <w:tab w:val="right" w:pos="9026" w:leader="dot"/>
            </w:tabs>
            <w:rPr/>
          </w:pPr>
          <w:hyperlink w:anchor="__RefHeading___Toc7825609_2870459653">
            <w:r>
              <w:rPr>
                <w:webHidden/>
                <w:rStyle w:val="IndexLink"/>
                <w:rtl w:val="true"/>
              </w:rPr>
              <w:t>جمع بندی</w:t>
            </w:r>
            <w:r>
              <w:rPr>
                <w:rStyle w:val="IndexLink"/>
                <w:rtl w:val="true"/>
              </w:rPr>
              <w:tab/>
            </w:r>
            <w:r>
              <w:rPr>
                <w:rStyle w:val="IndexLink"/>
              </w:rPr>
              <w:t>230</w:t>
            </w:r>
          </w:hyperlink>
        </w:p>
        <w:p>
          <w:pPr>
            <w:pStyle w:val="Contents3"/>
            <w:tabs>
              <w:tab w:val="clear" w:pos="8459"/>
              <w:tab w:val="right" w:pos="9026" w:leader="dot"/>
            </w:tabs>
            <w:rPr/>
          </w:pPr>
          <w:hyperlink w:anchor="__RefHeading___Toc7825611_2870459653">
            <w:r>
              <w:rPr>
                <w:webHidden/>
                <w:rStyle w:val="IndexLink"/>
                <w:rtl w:val="true"/>
              </w:rPr>
              <w:t>منابع</w:t>
            </w:r>
            <w:r>
              <w:rPr>
                <w:rStyle w:val="IndexLink"/>
                <w:rtl w:val="true"/>
              </w:rPr>
              <w:tab/>
            </w:r>
            <w:r>
              <w:rPr>
                <w:rStyle w:val="IndexLink"/>
              </w:rPr>
              <w:t>231</w:t>
            </w:r>
          </w:hyperlink>
        </w:p>
        <w:p>
          <w:pPr>
            <w:pStyle w:val="Contents2"/>
            <w:tabs>
              <w:tab w:val="clear" w:pos="8743"/>
              <w:tab w:val="right" w:pos="9026" w:leader="dot"/>
            </w:tabs>
            <w:rPr/>
          </w:pPr>
          <w:hyperlink w:anchor="__RefHeading___Toc7825613_2870459653">
            <w:r>
              <w:rPr>
                <w:webHidden/>
                <w:rStyle w:val="IndexLink"/>
                <w:rtl w:val="true"/>
              </w:rPr>
              <w:t>چکیده</w:t>
            </w:r>
            <w:r>
              <w:rPr>
                <w:rStyle w:val="IndexLink"/>
                <w:rtl w:val="true"/>
              </w:rPr>
              <w:tab/>
            </w:r>
            <w:r>
              <w:rPr>
                <w:rStyle w:val="IndexLink"/>
              </w:rPr>
              <w:t>234</w:t>
            </w:r>
          </w:hyperlink>
        </w:p>
        <w:p>
          <w:pPr>
            <w:pStyle w:val="Contents2"/>
            <w:tabs>
              <w:tab w:val="clear" w:pos="8743"/>
              <w:tab w:val="right" w:pos="9026" w:leader="dot"/>
            </w:tabs>
            <w:rPr/>
          </w:pPr>
          <w:hyperlink w:anchor="__RefHeading___Toc7825615_2870459653">
            <w:r>
              <w:rPr>
                <w:webHidden/>
                <w:rStyle w:val="IndexLink"/>
                <w:rtl w:val="true"/>
              </w:rPr>
              <w:t>هنر زندگی</w:t>
            </w:r>
            <w:r>
              <w:rPr>
                <w:rStyle w:val="IndexLink"/>
                <w:rtl w:val="true"/>
              </w:rPr>
              <w:t xml:space="preserve">: </w:t>
            </w:r>
            <w:r>
              <w:rPr>
                <w:rStyle w:val="IndexLink"/>
                <w:rtl w:val="true"/>
              </w:rPr>
              <w:t>پیوند دنیای هنر و علم</w:t>
            </w:r>
            <w:r>
              <w:rPr>
                <w:rStyle w:val="IndexLink"/>
                <w:rtl w:val="true"/>
              </w:rPr>
              <w:tab/>
            </w:r>
            <w:r>
              <w:rPr>
                <w:rStyle w:val="IndexLink"/>
              </w:rPr>
              <w:t>235</w:t>
            </w:r>
          </w:hyperlink>
        </w:p>
        <w:p>
          <w:pPr>
            <w:pStyle w:val="Contents3"/>
            <w:tabs>
              <w:tab w:val="clear" w:pos="8459"/>
              <w:tab w:val="right" w:pos="9026" w:leader="dot"/>
            </w:tabs>
            <w:rPr/>
          </w:pPr>
          <w:hyperlink w:anchor="__RefHeading___Toc7825617_2870459653">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7825619_2870459653">
            <w:r>
              <w:rPr>
                <w:webHidden/>
                <w:rStyle w:val="IndexLink"/>
                <w:rtl w:val="true"/>
              </w:rPr>
              <w:t>مقدمه</w:t>
            </w:r>
            <w:r>
              <w:rPr>
                <w:rStyle w:val="IndexLink"/>
                <w:rtl w:val="true"/>
              </w:rPr>
              <w:tab/>
            </w:r>
            <w:r>
              <w:rPr>
                <w:rStyle w:val="IndexLink"/>
              </w:rPr>
              <w:t>235</w:t>
            </w:r>
          </w:hyperlink>
        </w:p>
        <w:p>
          <w:pPr>
            <w:pStyle w:val="Contents3"/>
            <w:tabs>
              <w:tab w:val="clear" w:pos="8459"/>
              <w:tab w:val="right" w:pos="9026" w:leader="dot"/>
            </w:tabs>
            <w:rPr/>
          </w:pPr>
          <w:hyperlink w:anchor="__RefHeading___Toc7825621_2870459653">
            <w:r>
              <w:rPr>
                <w:webHidden/>
                <w:rStyle w:val="IndexLink"/>
                <w:rtl w:val="true"/>
              </w:rPr>
              <w:t>جستجوگر کتاب خانه میراث گونه های زیستی</w:t>
            </w:r>
            <w:r>
              <w:rPr>
                <w:rStyle w:val="IndexLink"/>
                <w:rtl w:val="true"/>
              </w:rPr>
              <w:tab/>
            </w:r>
            <w:r>
              <w:rPr>
                <w:rStyle w:val="IndexLink"/>
              </w:rPr>
              <w:t>236</w:t>
            </w:r>
          </w:hyperlink>
        </w:p>
        <w:p>
          <w:pPr>
            <w:pStyle w:val="Contents3"/>
            <w:tabs>
              <w:tab w:val="clear" w:pos="8459"/>
              <w:tab w:val="right" w:pos="9026" w:leader="dot"/>
            </w:tabs>
            <w:rPr/>
          </w:pPr>
          <w:hyperlink w:anchor="__RefHeading___Toc7825623_2870459653">
            <w:r>
              <w:rPr>
                <w:webHidden/>
                <w:rStyle w:val="IndexLink"/>
                <w:rtl w:val="true"/>
              </w:rPr>
              <w:t>هنر زندگی</w:t>
            </w:r>
            <w:r>
              <w:rPr>
                <w:rStyle w:val="IndexLink"/>
                <w:rtl w:val="true"/>
              </w:rPr>
              <w:tab/>
            </w:r>
            <w:r>
              <w:rPr>
                <w:rStyle w:val="IndexLink"/>
              </w:rPr>
              <w:t>237</w:t>
            </w:r>
          </w:hyperlink>
        </w:p>
        <w:p>
          <w:pPr>
            <w:pStyle w:val="Contents3"/>
            <w:tabs>
              <w:tab w:val="clear" w:pos="8459"/>
              <w:tab w:val="right" w:pos="9026" w:leader="dot"/>
            </w:tabs>
            <w:rPr/>
          </w:pPr>
          <w:hyperlink w:anchor="__RefHeading___Toc7825625_2870459653">
            <w:r>
              <w:rPr>
                <w:webHidden/>
                <w:rStyle w:val="IndexLink"/>
                <w:rtl w:val="true"/>
              </w:rPr>
              <w:t xml:space="preserve">طرح </w:t>
            </w:r>
            <w:r>
              <w:rPr>
                <w:rStyle w:val="IndexLink"/>
                <w:rtl w:val="true"/>
              </w:rPr>
              <w:t>(</w:t>
            </w:r>
            <w:r>
              <w:rPr>
                <w:rStyle w:val="IndexLink"/>
                <w:rtl w:val="true"/>
              </w:rPr>
              <w:t>اِن ایی اِچ</w:t>
            </w:r>
            <w:r>
              <w:rPr>
                <w:rStyle w:val="IndexLink"/>
                <w:rtl w:val="true"/>
              </w:rPr>
              <w:t>)</w:t>
              <w:tab/>
            </w:r>
            <w:r>
              <w:rPr>
                <w:rStyle w:val="IndexLink"/>
              </w:rPr>
              <w:t>239</w:t>
            </w:r>
          </w:hyperlink>
        </w:p>
        <w:p>
          <w:pPr>
            <w:pStyle w:val="Contents3"/>
            <w:tabs>
              <w:tab w:val="clear" w:pos="8459"/>
              <w:tab w:val="right" w:pos="9026" w:leader="dot"/>
            </w:tabs>
            <w:rPr/>
          </w:pPr>
          <w:hyperlink w:anchor="__RefHeading___Toc7825627_2870459653">
            <w:r>
              <w:rPr>
                <w:webHidden/>
                <w:rStyle w:val="IndexLink"/>
                <w:rtl w:val="true"/>
              </w:rPr>
              <w:t>هدف ها</w:t>
            </w:r>
            <w:r>
              <w:rPr>
                <w:rStyle w:val="IndexLink"/>
                <w:rtl w:val="true"/>
              </w:rPr>
              <w:tab/>
            </w:r>
            <w:r>
              <w:rPr>
                <w:rStyle w:val="IndexLink"/>
              </w:rPr>
              <w:t>240</w:t>
            </w:r>
          </w:hyperlink>
        </w:p>
        <w:p>
          <w:pPr>
            <w:pStyle w:val="Contents3"/>
            <w:tabs>
              <w:tab w:val="clear" w:pos="8459"/>
              <w:tab w:val="right" w:pos="9026" w:leader="dot"/>
            </w:tabs>
            <w:rPr/>
          </w:pPr>
          <w:hyperlink w:anchor="__RefHeading___Toc7825629_2870459653">
            <w:r>
              <w:rPr>
                <w:webHidden/>
                <w:rStyle w:val="IndexLink"/>
                <w:rtl w:val="true"/>
              </w:rPr>
              <w:t>شناسایی خودکار تصاویر</w:t>
            </w:r>
            <w:r>
              <w:rPr>
                <w:rStyle w:val="IndexLink"/>
                <w:rtl w:val="true"/>
              </w:rPr>
              <w:tab/>
            </w:r>
            <w:r>
              <w:rPr>
                <w:rStyle w:val="IndexLink"/>
              </w:rPr>
              <w:t>242</w:t>
            </w:r>
          </w:hyperlink>
        </w:p>
        <w:p>
          <w:pPr>
            <w:pStyle w:val="Contents3"/>
            <w:tabs>
              <w:tab w:val="clear" w:pos="8459"/>
              <w:tab w:val="right" w:pos="9026" w:leader="dot"/>
            </w:tabs>
            <w:rPr/>
          </w:pPr>
          <w:hyperlink w:anchor="__RefHeading___Toc7825631_2870459653">
            <w:r>
              <w:rPr>
                <w:webHidden/>
                <w:rStyle w:val="IndexLink"/>
                <w:rtl w:val="true"/>
              </w:rPr>
              <w:t>پذیرش فراداده در درگاه کتاب خانه میراث گونه های زیستی</w:t>
            </w:r>
            <w:r>
              <w:rPr>
                <w:rStyle w:val="IndexLink"/>
                <w:rtl w:val="true"/>
              </w:rPr>
              <w:tab/>
            </w:r>
            <w:r>
              <w:rPr>
                <w:rStyle w:val="IndexLink"/>
              </w:rPr>
              <w:t>243</w:t>
            </w:r>
          </w:hyperlink>
        </w:p>
        <w:p>
          <w:pPr>
            <w:pStyle w:val="Contents3"/>
            <w:tabs>
              <w:tab w:val="clear" w:pos="8459"/>
              <w:tab w:val="right" w:pos="9026" w:leader="dot"/>
            </w:tabs>
            <w:rPr/>
          </w:pPr>
          <w:hyperlink w:anchor="__RefHeading___Toc7825633_2870459653">
            <w:r>
              <w:rPr>
                <w:webHidden/>
                <w:rStyle w:val="IndexLink"/>
                <w:rtl w:val="true"/>
              </w:rPr>
              <w:t>ابزارها و گردش کار هنر زندگی</w:t>
            </w:r>
            <w:r>
              <w:rPr>
                <w:rStyle w:val="IndexLink"/>
                <w:rtl w:val="true"/>
              </w:rPr>
              <w:tab/>
            </w:r>
            <w:r>
              <w:rPr>
                <w:rStyle w:val="IndexLink"/>
              </w:rPr>
              <w:t>243</w:t>
            </w:r>
          </w:hyperlink>
        </w:p>
        <w:p>
          <w:pPr>
            <w:pStyle w:val="Contents3"/>
            <w:tabs>
              <w:tab w:val="clear" w:pos="8459"/>
              <w:tab w:val="right" w:pos="9026" w:leader="dot"/>
            </w:tabs>
            <w:rPr/>
          </w:pPr>
          <w:hyperlink w:anchor="__RefHeading___Toc7825635_2870459653">
            <w:r>
              <w:rPr>
                <w:webHidden/>
                <w:rStyle w:val="IndexLink"/>
                <w:rtl w:val="true"/>
              </w:rPr>
              <w:t>وضعیت فعلی</w:t>
            </w:r>
            <w:r>
              <w:rPr>
                <w:rStyle w:val="IndexLink"/>
                <w:rtl w:val="true"/>
              </w:rPr>
              <w:tab/>
            </w:r>
            <w:r>
              <w:rPr>
                <w:rStyle w:val="IndexLink"/>
              </w:rPr>
              <w:t>246</w:t>
            </w:r>
          </w:hyperlink>
        </w:p>
        <w:p>
          <w:pPr>
            <w:pStyle w:val="Contents3"/>
            <w:tabs>
              <w:tab w:val="clear" w:pos="8459"/>
              <w:tab w:val="right" w:pos="9026" w:leader="dot"/>
            </w:tabs>
            <w:rPr/>
          </w:pPr>
          <w:hyperlink w:anchor="__RefHeading___Toc7825637_2870459653">
            <w:r>
              <w:rPr>
                <w:webHidden/>
                <w:rStyle w:val="IndexLink"/>
                <w:rtl w:val="true"/>
              </w:rPr>
              <w:t>وضعیت فعلی</w:t>
            </w:r>
            <w:r>
              <w:rPr>
                <w:rStyle w:val="IndexLink"/>
                <w:rtl w:val="true"/>
              </w:rPr>
              <w:tab/>
            </w:r>
            <w:r>
              <w:rPr>
                <w:rStyle w:val="IndexLink"/>
              </w:rPr>
              <w:t>247</w:t>
            </w:r>
          </w:hyperlink>
        </w:p>
        <w:p>
          <w:pPr>
            <w:pStyle w:val="Contents3"/>
            <w:tabs>
              <w:tab w:val="clear" w:pos="8459"/>
              <w:tab w:val="right" w:pos="9026" w:leader="dot"/>
            </w:tabs>
            <w:rPr/>
          </w:pPr>
          <w:hyperlink w:anchor="__RefHeading___Toc7825639_2870459653">
            <w:r>
              <w:rPr>
                <w:webHidden/>
                <w:rStyle w:val="IndexLink"/>
                <w:rtl w:val="true"/>
              </w:rPr>
              <w:t>فواید موجود برای محققان علوم و علوم انسانی</w:t>
            </w:r>
            <w:r>
              <w:rPr>
                <w:rStyle w:val="IndexLink"/>
                <w:rtl w:val="true"/>
              </w:rPr>
              <w:tab/>
            </w:r>
            <w:r>
              <w:rPr>
                <w:rStyle w:val="IndexLink"/>
              </w:rPr>
              <w:t>247</w:t>
            </w:r>
          </w:hyperlink>
        </w:p>
        <w:p>
          <w:pPr>
            <w:pStyle w:val="Contents3"/>
            <w:tabs>
              <w:tab w:val="clear" w:pos="8459"/>
              <w:tab w:val="right" w:pos="9026" w:leader="dot"/>
            </w:tabs>
            <w:rPr/>
          </w:pPr>
          <w:hyperlink w:anchor="__RefHeading___Toc7825641_2870459653">
            <w:r>
              <w:rPr>
                <w:webHidden/>
                <w:rStyle w:val="IndexLink"/>
                <w:rtl w:val="true"/>
              </w:rPr>
              <w:t>منابع</w:t>
            </w:r>
            <w:r>
              <w:rPr>
                <w:rStyle w:val="IndexLink"/>
                <w:rtl w:val="true"/>
              </w:rPr>
              <w:tab/>
            </w:r>
            <w:r>
              <w:rPr>
                <w:rStyle w:val="IndexLink"/>
              </w:rPr>
              <w:t>249</w:t>
            </w:r>
          </w:hyperlink>
        </w:p>
        <w:p>
          <w:pPr>
            <w:pStyle w:val="Contents2"/>
            <w:tabs>
              <w:tab w:val="clear" w:pos="8743"/>
              <w:tab w:val="right" w:pos="9026" w:leader="dot"/>
            </w:tabs>
            <w:rPr/>
          </w:pPr>
          <w:hyperlink w:anchor="__RefHeading___Toc7825643_2870459653">
            <w:r>
              <w:rPr>
                <w:webHidden/>
                <w:rStyle w:val="IndexLink"/>
                <w:rtl w:val="true"/>
              </w:rPr>
              <w:t>چکیده</w:t>
            </w:r>
            <w:r>
              <w:rPr>
                <w:rStyle w:val="IndexLink"/>
                <w:rtl w:val="true"/>
              </w:rPr>
              <w:tab/>
            </w:r>
            <w:r>
              <w:rPr>
                <w:rStyle w:val="IndexLink"/>
              </w:rPr>
              <w:t>252</w:t>
            </w:r>
          </w:hyperlink>
        </w:p>
        <w:p>
          <w:pPr>
            <w:pStyle w:val="Contents2"/>
            <w:tabs>
              <w:tab w:val="clear" w:pos="8743"/>
              <w:tab w:val="right" w:pos="9026" w:leader="dot"/>
            </w:tabs>
            <w:rPr/>
          </w:pPr>
          <w:hyperlink w:anchor="__RefHeading___Toc7825645_2870459653">
            <w:r>
              <w:rPr>
                <w:webHidden/>
                <w:rStyle w:val="IndexLink"/>
                <w:rtl w:val="true"/>
              </w:rPr>
              <w:t>امروزه ما همه فهرست نویس هستیم</w:t>
            </w:r>
            <w:r>
              <w:rPr>
                <w:rStyle w:val="IndexLink"/>
                <w:rtl w:val="true"/>
              </w:rPr>
              <w:t xml:space="preserve">: </w:t>
            </w:r>
            <w:r>
              <w:rPr>
                <w:rStyle w:val="IndexLink"/>
                <w:rtl w:val="true"/>
              </w:rPr>
              <w:t>شما نیز قادر خواهید بود فراداده ها را برای مجموعه های تحقیقاتی خودتان سازماندهی کنید</w:t>
            </w:r>
            <w:r>
              <w:rPr>
                <w:rStyle w:val="IndexLink"/>
                <w:rtl w:val="true"/>
              </w:rPr>
              <w:tab/>
            </w:r>
            <w:r>
              <w:rPr>
                <w:rStyle w:val="IndexLink"/>
              </w:rPr>
              <w:t>253</w:t>
            </w:r>
          </w:hyperlink>
        </w:p>
        <w:p>
          <w:pPr>
            <w:pStyle w:val="Contents3"/>
            <w:tabs>
              <w:tab w:val="clear" w:pos="8459"/>
              <w:tab w:val="right" w:pos="9026" w:leader="dot"/>
            </w:tabs>
            <w:rPr/>
          </w:pPr>
          <w:hyperlink w:anchor="__RefHeading___Toc7825647_2870459653">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7825649_2870459653">
            <w:r>
              <w:rPr>
                <w:webHidden/>
                <w:rStyle w:val="IndexLink"/>
                <w:rtl w:val="true"/>
              </w:rPr>
              <w:t>آمادگی برای بهره برداری غنی</w:t>
            </w:r>
            <w:r>
              <w:rPr>
                <w:rStyle w:val="IndexLink"/>
                <w:rtl w:val="true"/>
              </w:rPr>
              <w:tab/>
            </w:r>
            <w:r>
              <w:rPr>
                <w:rStyle w:val="IndexLink"/>
              </w:rPr>
              <w:t>255</w:t>
            </w:r>
          </w:hyperlink>
        </w:p>
        <w:p>
          <w:pPr>
            <w:pStyle w:val="Contents3"/>
            <w:tabs>
              <w:tab w:val="clear" w:pos="8459"/>
              <w:tab w:val="right" w:pos="9026" w:leader="dot"/>
            </w:tabs>
            <w:rPr/>
          </w:pPr>
          <w:hyperlink w:anchor="__RefHeading___Toc7825651_2870459653">
            <w:r>
              <w:rPr>
                <w:webHidden/>
                <w:rStyle w:val="IndexLink"/>
                <w:rtl w:val="true"/>
              </w:rPr>
              <w:t>حقوق</w:t>
            </w:r>
            <w:r>
              <w:rPr>
                <w:rStyle w:val="IndexLink"/>
                <w:rtl w:val="true"/>
              </w:rPr>
              <w:tab/>
            </w:r>
            <w:r>
              <w:rPr>
                <w:rStyle w:val="IndexLink"/>
              </w:rPr>
              <w:t>256</w:t>
            </w:r>
          </w:hyperlink>
        </w:p>
        <w:p>
          <w:pPr>
            <w:pStyle w:val="Contents3"/>
            <w:tabs>
              <w:tab w:val="clear" w:pos="8459"/>
              <w:tab w:val="right" w:pos="9026" w:leader="dot"/>
            </w:tabs>
            <w:rPr/>
          </w:pPr>
          <w:hyperlink w:anchor="__RefHeading___Toc7825653_2870459653">
            <w:r>
              <w:rPr>
                <w:webHidden/>
                <w:rStyle w:val="IndexLink"/>
                <w:rtl w:val="true"/>
              </w:rPr>
              <w:t>واسپاری و تحویل</w:t>
            </w:r>
            <w:r>
              <w:rPr>
                <w:rStyle w:val="IndexLink"/>
                <w:rtl w:val="true"/>
              </w:rPr>
              <w:tab/>
            </w:r>
            <w:r>
              <w:rPr>
                <w:rStyle w:val="IndexLink"/>
              </w:rPr>
              <w:t>257</w:t>
            </w:r>
          </w:hyperlink>
        </w:p>
        <w:p>
          <w:pPr>
            <w:pStyle w:val="Contents3"/>
            <w:tabs>
              <w:tab w:val="clear" w:pos="8459"/>
              <w:tab w:val="right" w:pos="9026" w:leader="dot"/>
            </w:tabs>
            <w:rPr/>
          </w:pPr>
          <w:hyperlink w:anchor="__RefHeading___Toc7825655_2870459653">
            <w:r>
              <w:rPr>
                <w:webHidden/>
                <w:rStyle w:val="IndexLink"/>
                <w:rtl w:val="true"/>
              </w:rPr>
              <w:t>فراداده های توصیفی</w:t>
            </w:r>
            <w:r>
              <w:rPr>
                <w:rStyle w:val="IndexLink"/>
                <w:rtl w:val="true"/>
              </w:rPr>
              <w:tab/>
            </w:r>
            <w:r>
              <w:rPr>
                <w:rStyle w:val="IndexLink"/>
              </w:rPr>
              <w:t>257</w:t>
            </w:r>
          </w:hyperlink>
        </w:p>
        <w:p>
          <w:pPr>
            <w:pStyle w:val="Contents3"/>
            <w:tabs>
              <w:tab w:val="clear" w:pos="8459"/>
              <w:tab w:val="right" w:pos="9026" w:leader="dot"/>
            </w:tabs>
            <w:rPr/>
          </w:pPr>
          <w:hyperlink w:anchor="__RefHeading___Toc7825657_2870459653">
            <w:r>
              <w:rPr>
                <w:webHidden/>
                <w:rStyle w:val="IndexLink"/>
                <w:rtl w:val="true"/>
              </w:rPr>
              <w:t xml:space="preserve">دوام و پایداری </w:t>
            </w:r>
            <w:r>
              <w:rPr>
                <w:rStyle w:val="IndexLink"/>
                <w:rtl w:val="true"/>
              </w:rPr>
              <w:t>(</w:t>
            </w:r>
            <w:r>
              <w:rPr>
                <w:rStyle w:val="IndexLink"/>
                <w:rtl w:val="true"/>
              </w:rPr>
              <w:t>مجموعه</w:t>
            </w:r>
            <w:r>
              <w:rPr>
                <w:rStyle w:val="IndexLink"/>
                <w:rtl w:val="true"/>
              </w:rPr>
              <w:t>)</w:t>
              <w:tab/>
            </w:r>
            <w:r>
              <w:rPr>
                <w:rStyle w:val="IndexLink"/>
              </w:rPr>
              <w:t>258</w:t>
            </w:r>
          </w:hyperlink>
        </w:p>
        <w:p>
          <w:pPr>
            <w:pStyle w:val="Contents3"/>
            <w:tabs>
              <w:tab w:val="clear" w:pos="8459"/>
              <w:tab w:val="right" w:pos="9026" w:leader="dot"/>
            </w:tabs>
            <w:rPr/>
          </w:pPr>
          <w:hyperlink w:anchor="__RefHeading___Toc7825659_2870459653">
            <w:r>
              <w:rPr>
                <w:webHidden/>
                <w:rStyle w:val="IndexLink"/>
                <w:rtl w:val="true"/>
              </w:rPr>
              <w:t>سیاه هی مقابله برای جمع آوری منابع</w:t>
            </w:r>
            <w:r>
              <w:rPr>
                <w:rStyle w:val="IndexLink"/>
                <w:rtl w:val="true"/>
              </w:rPr>
              <w:tab/>
            </w:r>
            <w:r>
              <w:rPr>
                <w:rStyle w:val="IndexLink"/>
              </w:rPr>
              <w:t>259</w:t>
            </w:r>
          </w:hyperlink>
        </w:p>
        <w:p>
          <w:pPr>
            <w:pStyle w:val="Contents3"/>
            <w:tabs>
              <w:tab w:val="clear" w:pos="8459"/>
              <w:tab w:val="right" w:pos="9026" w:leader="dot"/>
            </w:tabs>
            <w:rPr/>
          </w:pPr>
          <w:hyperlink w:anchor="__RefHeading___Toc7825661_2870459653">
            <w:r>
              <w:rPr>
                <w:webHidden/>
                <w:rStyle w:val="IndexLink"/>
                <w:rtl w:val="true"/>
              </w:rPr>
              <w:t>گزینش داده ها از وب گاه های مختلف و قرار دادن در وب گاه مرکزی جهت نمایه سازی</w:t>
            </w:r>
            <w:r>
              <w:rPr>
                <w:rStyle w:val="IndexLink"/>
                <w:rtl w:val="true"/>
              </w:rPr>
              <w:tab/>
            </w:r>
            <w:r>
              <w:rPr>
                <w:rStyle w:val="IndexLink"/>
              </w:rPr>
              <w:t>259</w:t>
            </w:r>
          </w:hyperlink>
        </w:p>
        <w:p>
          <w:pPr>
            <w:pStyle w:val="Contents3"/>
            <w:tabs>
              <w:tab w:val="clear" w:pos="8459"/>
              <w:tab w:val="right" w:pos="9026" w:leader="dot"/>
            </w:tabs>
            <w:rPr/>
          </w:pPr>
          <w:hyperlink w:anchor="__RefHeading___Toc7825663_2870459653">
            <w:r>
              <w:rPr>
                <w:webHidden/>
                <w:rStyle w:val="IndexLink"/>
                <w:rtl w:val="true"/>
              </w:rPr>
              <w:t>واسپاری</w:t>
            </w:r>
            <w:r>
              <w:rPr>
                <w:rStyle w:val="IndexLink"/>
                <w:rtl w:val="true"/>
              </w:rPr>
              <w:tab/>
            </w:r>
            <w:r>
              <w:rPr>
                <w:rStyle w:val="IndexLink"/>
              </w:rPr>
              <w:t>259</w:t>
            </w:r>
          </w:hyperlink>
        </w:p>
        <w:p>
          <w:pPr>
            <w:pStyle w:val="Contents3"/>
            <w:tabs>
              <w:tab w:val="clear" w:pos="8459"/>
              <w:tab w:val="right" w:pos="9026" w:leader="dot"/>
            </w:tabs>
            <w:rPr/>
          </w:pPr>
          <w:hyperlink w:anchor="__RefHeading___Toc7825665_2870459653">
            <w:r>
              <w:rPr>
                <w:webHidden/>
                <w:rStyle w:val="IndexLink"/>
                <w:rtl w:val="true"/>
              </w:rPr>
              <w:t>سوالات حقوقی</w:t>
            </w:r>
            <w:r>
              <w:rPr>
                <w:rStyle w:val="IndexLink"/>
                <w:rtl w:val="true"/>
              </w:rPr>
              <w:tab/>
            </w:r>
            <w:r>
              <w:rPr>
                <w:rStyle w:val="IndexLink"/>
              </w:rPr>
              <w:t>259</w:t>
            </w:r>
          </w:hyperlink>
        </w:p>
        <w:p>
          <w:pPr>
            <w:pStyle w:val="Contents3"/>
            <w:tabs>
              <w:tab w:val="clear" w:pos="8459"/>
              <w:tab w:val="right" w:pos="9026" w:leader="dot"/>
            </w:tabs>
            <w:rPr/>
          </w:pPr>
          <w:hyperlink w:anchor="__RefHeading___Toc7825667_2870459653">
            <w:r>
              <w:rPr>
                <w:webHidden/>
                <w:rStyle w:val="IndexLink"/>
                <w:rtl w:val="true"/>
              </w:rPr>
              <w:t>فراداده</w:t>
            </w:r>
            <w:r>
              <w:rPr>
                <w:rStyle w:val="IndexLink"/>
                <w:rtl w:val="true"/>
              </w:rPr>
              <w:tab/>
            </w:r>
            <w:r>
              <w:rPr>
                <w:rStyle w:val="IndexLink"/>
              </w:rPr>
              <w:t>260</w:t>
            </w:r>
          </w:hyperlink>
        </w:p>
        <w:p>
          <w:pPr>
            <w:pStyle w:val="Contents3"/>
            <w:tabs>
              <w:tab w:val="clear" w:pos="8459"/>
              <w:tab w:val="right" w:pos="9026" w:leader="dot"/>
            </w:tabs>
            <w:rPr/>
          </w:pPr>
          <w:hyperlink w:anchor="__RefHeading___Toc7825669_2870459653">
            <w:r>
              <w:rPr>
                <w:webHidden/>
                <w:rStyle w:val="IndexLink"/>
                <w:rtl w:val="true"/>
              </w:rPr>
              <w:t>تعهد</w:t>
            </w:r>
            <w:r>
              <w:rPr>
                <w:rStyle w:val="IndexLink"/>
                <w:rtl w:val="true"/>
              </w:rPr>
              <w:tab/>
            </w:r>
            <w:r>
              <w:rPr>
                <w:rStyle w:val="IndexLink"/>
              </w:rPr>
              <w:t>260</w:t>
            </w:r>
          </w:hyperlink>
        </w:p>
        <w:p>
          <w:pPr>
            <w:pStyle w:val="Contents2"/>
            <w:tabs>
              <w:tab w:val="clear" w:pos="8743"/>
              <w:tab w:val="right" w:pos="9026" w:leader="dot"/>
            </w:tabs>
            <w:rPr/>
          </w:pPr>
          <w:hyperlink w:anchor="__RefHeading___Toc7825671_2870459653">
            <w:r>
              <w:rPr>
                <w:webHidden/>
                <w:rStyle w:val="IndexLink"/>
                <w:rtl w:val="true"/>
              </w:rPr>
              <w:t>نتیجه</w:t>
            </w:r>
            <w:r>
              <w:rPr>
                <w:rStyle w:val="IndexLink"/>
                <w:rtl w:val="true"/>
              </w:rPr>
              <w:tab/>
            </w:r>
            <w:r>
              <w:rPr>
                <w:rStyle w:val="IndexLink"/>
              </w:rPr>
              <w:t>260</w:t>
            </w:r>
          </w:hyperlink>
        </w:p>
        <w:p>
          <w:pPr>
            <w:pStyle w:val="Contents3"/>
            <w:tabs>
              <w:tab w:val="clear" w:pos="8459"/>
              <w:tab w:val="right" w:pos="9026" w:leader="dot"/>
            </w:tabs>
            <w:rPr/>
          </w:pPr>
          <w:hyperlink w:anchor="__RefHeading___Toc7825673_2870459653">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7825675_2870459653">
            <w:r>
              <w:rPr>
                <w:webHidden/>
                <w:rStyle w:val="IndexLink"/>
                <w:rtl w:val="true"/>
              </w:rPr>
              <w:t>منابع</w:t>
            </w:r>
            <w:r>
              <w:rPr>
                <w:rStyle w:val="IndexLink"/>
                <w:rtl w:val="true"/>
              </w:rPr>
              <w:tab/>
            </w:r>
            <w:r>
              <w:rPr>
                <w:rStyle w:val="IndexLink"/>
              </w:rPr>
              <w:t>260</w:t>
            </w:r>
          </w:hyperlink>
        </w:p>
        <w:p>
          <w:pPr>
            <w:pStyle w:val="Contents2"/>
            <w:tabs>
              <w:tab w:val="clear" w:pos="8743"/>
              <w:tab w:val="right" w:pos="9026" w:leader="dot"/>
            </w:tabs>
            <w:rPr/>
          </w:pPr>
          <w:hyperlink w:anchor="__RefHeading___Toc7825677_2870459653">
            <w:r>
              <w:rPr>
                <w:webHidden/>
                <w:rStyle w:val="IndexLink"/>
                <w:rtl w:val="true"/>
              </w:rPr>
              <w:t>چکیده</w:t>
            </w:r>
            <w:r>
              <w:rPr>
                <w:rStyle w:val="IndexLink"/>
                <w:rtl w:val="true"/>
              </w:rPr>
              <w:tab/>
            </w:r>
            <w:r>
              <w:rPr>
                <w:rStyle w:val="IndexLink"/>
              </w:rPr>
              <w:t>262</w:t>
            </w:r>
          </w:hyperlink>
        </w:p>
        <w:p>
          <w:pPr>
            <w:pStyle w:val="Contents2"/>
            <w:tabs>
              <w:tab w:val="clear" w:pos="8743"/>
              <w:tab w:val="right" w:pos="9026" w:leader="dot"/>
            </w:tabs>
            <w:rPr/>
          </w:pPr>
          <w:hyperlink w:anchor="__RefHeading___Toc7825679_2870459653">
            <w:r>
              <w:rPr>
                <w:webHidden/>
                <w:rStyle w:val="IndexLink"/>
                <w:rtl w:val="true"/>
              </w:rPr>
              <w:t>همکاری با هدف قانون گذاری در کتاب خانه مدارس و توسعه کتاب خانه مدارس در کشور سوئد</w:t>
            </w:r>
            <w:r>
              <w:rPr>
                <w:rStyle w:val="IndexLink"/>
                <w:rtl w:val="true"/>
              </w:rPr>
              <w:tab/>
            </w:r>
            <w:r>
              <w:rPr>
                <w:rStyle w:val="IndexLink"/>
              </w:rPr>
              <w:t>263</w:t>
            </w:r>
          </w:hyperlink>
        </w:p>
        <w:p>
          <w:pPr>
            <w:pStyle w:val="Contents3"/>
            <w:tabs>
              <w:tab w:val="clear" w:pos="8459"/>
              <w:tab w:val="right" w:pos="9026" w:leader="dot"/>
            </w:tabs>
            <w:rPr/>
          </w:pPr>
          <w:hyperlink w:anchor="__RefHeading___Toc7825681_2870459653">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7825683_2870459653">
            <w:r>
              <w:rPr>
                <w:webHidden/>
                <w:rStyle w:val="IndexLink"/>
                <w:rtl w:val="true"/>
              </w:rPr>
              <w:t>مقدمه</w:t>
            </w:r>
            <w:r>
              <w:rPr>
                <w:rStyle w:val="IndexLink"/>
                <w:rtl w:val="true"/>
              </w:rPr>
              <w:tab/>
            </w:r>
            <w:r>
              <w:rPr>
                <w:rStyle w:val="IndexLink"/>
              </w:rPr>
              <w:t>263</w:t>
            </w:r>
          </w:hyperlink>
        </w:p>
        <w:p>
          <w:pPr>
            <w:pStyle w:val="Contents3"/>
            <w:tabs>
              <w:tab w:val="clear" w:pos="8459"/>
              <w:tab w:val="right" w:pos="9026" w:leader="dot"/>
            </w:tabs>
            <w:rPr/>
          </w:pPr>
          <w:hyperlink w:anchor="__RefHeading___Toc7825685_2870459653">
            <w:r>
              <w:rPr>
                <w:webHidden/>
                <w:rStyle w:val="IndexLink"/>
                <w:rtl w:val="true"/>
              </w:rPr>
              <w:t>پیشینه تحقیق</w:t>
            </w:r>
            <w:r>
              <w:rPr>
                <w:rStyle w:val="IndexLink"/>
                <w:rtl w:val="true"/>
              </w:rPr>
              <w:tab/>
            </w:r>
            <w:r>
              <w:rPr>
                <w:rStyle w:val="IndexLink"/>
              </w:rPr>
              <w:t>264</w:t>
            </w:r>
          </w:hyperlink>
        </w:p>
        <w:p>
          <w:pPr>
            <w:pStyle w:val="Contents3"/>
            <w:tabs>
              <w:tab w:val="clear" w:pos="8459"/>
              <w:tab w:val="right" w:pos="9026" w:leader="dot"/>
            </w:tabs>
            <w:rPr/>
          </w:pPr>
          <w:hyperlink w:anchor="__RefHeading___Toc7825687_2870459653">
            <w:r>
              <w:rPr>
                <w:webHidden/>
                <w:rStyle w:val="IndexLink"/>
                <w:rtl w:val="true"/>
              </w:rPr>
              <w:t>حمایت از قوانین در حال تغییر و تحول</w:t>
            </w:r>
            <w:r>
              <w:rPr>
                <w:rStyle w:val="IndexLink"/>
                <w:rtl w:val="true"/>
              </w:rPr>
              <w:tab/>
            </w:r>
            <w:r>
              <w:rPr>
                <w:rStyle w:val="IndexLink"/>
              </w:rPr>
              <w:t>265</w:t>
            </w:r>
          </w:hyperlink>
        </w:p>
        <w:p>
          <w:pPr>
            <w:pStyle w:val="Contents3"/>
            <w:tabs>
              <w:tab w:val="clear" w:pos="8459"/>
              <w:tab w:val="right" w:pos="9026" w:leader="dot"/>
            </w:tabs>
            <w:rPr/>
          </w:pPr>
          <w:hyperlink w:anchor="__RefHeading___Toc7825689_2870459653">
            <w:r>
              <w:rPr>
                <w:webHidden/>
                <w:rStyle w:val="IndexLink"/>
                <w:rtl w:val="true"/>
              </w:rPr>
              <w:t>ذینفعان</w:t>
            </w:r>
            <w:r>
              <w:rPr>
                <w:rStyle w:val="IndexLink"/>
                <w:rtl w:val="true"/>
              </w:rPr>
              <w:tab/>
            </w:r>
            <w:r>
              <w:rPr>
                <w:rStyle w:val="IndexLink"/>
              </w:rPr>
              <w:t>265</w:t>
            </w:r>
          </w:hyperlink>
        </w:p>
        <w:p>
          <w:pPr>
            <w:pStyle w:val="Contents3"/>
            <w:tabs>
              <w:tab w:val="clear" w:pos="8459"/>
              <w:tab w:val="right" w:pos="9026" w:leader="dot"/>
            </w:tabs>
            <w:rPr/>
          </w:pPr>
          <w:hyperlink w:anchor="__RefHeading___Toc7825691_2870459653">
            <w:r>
              <w:rPr>
                <w:webHidden/>
                <w:rStyle w:val="IndexLink"/>
                <w:rtl w:val="true"/>
              </w:rPr>
              <w:t>انتشار طرح های پژوهشی و حرفه ای</w:t>
            </w:r>
            <w:r>
              <w:rPr>
                <w:rStyle w:val="IndexLink"/>
                <w:rtl w:val="true"/>
              </w:rPr>
              <w:tab/>
            </w:r>
            <w:r>
              <w:rPr>
                <w:rStyle w:val="IndexLink"/>
              </w:rPr>
              <w:t>269</w:t>
            </w:r>
          </w:hyperlink>
        </w:p>
        <w:p>
          <w:pPr>
            <w:pStyle w:val="Contents3"/>
            <w:tabs>
              <w:tab w:val="clear" w:pos="8459"/>
              <w:tab w:val="right" w:pos="9026" w:leader="dot"/>
            </w:tabs>
            <w:rPr/>
          </w:pPr>
          <w:hyperlink w:anchor="__RefHeading___Toc7825693_2870459653">
            <w:r>
              <w:rPr>
                <w:webHidden/>
                <w:rStyle w:val="IndexLink"/>
                <w:rtl w:val="true"/>
              </w:rPr>
              <w:t>فراهمایی ها</w:t>
            </w:r>
            <w:r>
              <w:rPr>
                <w:rStyle w:val="IndexLink"/>
                <w:rtl w:val="true"/>
              </w:rPr>
              <w:tab/>
            </w:r>
            <w:r>
              <w:rPr>
                <w:rStyle w:val="IndexLink"/>
              </w:rPr>
              <w:t>270</w:t>
            </w:r>
          </w:hyperlink>
        </w:p>
        <w:p>
          <w:pPr>
            <w:pStyle w:val="Contents3"/>
            <w:tabs>
              <w:tab w:val="clear" w:pos="8459"/>
              <w:tab w:val="right" w:pos="9026" w:leader="dot"/>
            </w:tabs>
            <w:rPr/>
          </w:pPr>
          <w:hyperlink w:anchor="__RefHeading___Toc7825695_2870459653">
            <w:r>
              <w:rPr>
                <w:webHidden/>
                <w:rStyle w:val="IndexLink"/>
                <w:rtl w:val="true"/>
              </w:rPr>
              <w:t>آمار، بخشی از حمایت و مدافعه</w:t>
            </w:r>
            <w:r>
              <w:rPr>
                <w:rStyle w:val="IndexLink"/>
                <w:rtl w:val="true"/>
              </w:rPr>
              <w:tab/>
            </w:r>
            <w:r>
              <w:rPr>
                <w:rStyle w:val="IndexLink"/>
              </w:rPr>
              <w:t>271</w:t>
            </w:r>
          </w:hyperlink>
        </w:p>
        <w:p>
          <w:pPr>
            <w:pStyle w:val="Contents3"/>
            <w:tabs>
              <w:tab w:val="clear" w:pos="8459"/>
              <w:tab w:val="right" w:pos="9026" w:leader="dot"/>
            </w:tabs>
            <w:rPr/>
          </w:pPr>
          <w:hyperlink w:anchor="__RefHeading___Toc7825697_2870459653">
            <w:r>
              <w:rPr>
                <w:webHidden/>
                <w:rStyle w:val="IndexLink"/>
                <w:rtl w:val="true"/>
              </w:rPr>
              <w:t>همکاری سازماندهی شده توسط مقامات محلی مدارس</w:t>
            </w:r>
            <w:r>
              <w:rPr>
                <w:rStyle w:val="IndexLink"/>
                <w:rtl w:val="true"/>
              </w:rPr>
              <w:tab/>
            </w:r>
            <w:r>
              <w:rPr>
                <w:rStyle w:val="IndexLink"/>
              </w:rPr>
              <w:t>272</w:t>
            </w:r>
          </w:hyperlink>
        </w:p>
        <w:p>
          <w:pPr>
            <w:pStyle w:val="Contents3"/>
            <w:tabs>
              <w:tab w:val="clear" w:pos="8459"/>
              <w:tab w:val="right" w:pos="9026" w:leader="dot"/>
            </w:tabs>
            <w:rPr/>
          </w:pPr>
          <w:hyperlink w:anchor="__RefHeading___Toc7825699_2870459653">
            <w:r>
              <w:rPr>
                <w:webHidden/>
                <w:rStyle w:val="IndexLink"/>
                <w:rtl w:val="true"/>
              </w:rPr>
              <w:t>نکات اصلی حمایت</w:t>
            </w:r>
            <w:r>
              <w:rPr>
                <w:rStyle w:val="IndexLink"/>
                <w:rtl w:val="true"/>
              </w:rPr>
              <w:tab/>
            </w:r>
            <w:r>
              <w:rPr>
                <w:rStyle w:val="IndexLink"/>
              </w:rPr>
              <w:t>273</w:t>
            </w:r>
          </w:hyperlink>
        </w:p>
        <w:p>
          <w:pPr>
            <w:pStyle w:val="Contents3"/>
            <w:tabs>
              <w:tab w:val="clear" w:pos="8459"/>
              <w:tab w:val="right" w:pos="9026" w:leader="dot"/>
            </w:tabs>
            <w:rPr/>
          </w:pPr>
          <w:hyperlink w:anchor="__RefHeading___Toc7825701_2870459653">
            <w:r>
              <w:rPr>
                <w:webHidden/>
                <w:rStyle w:val="IndexLink"/>
                <w:rtl w:val="true"/>
              </w:rPr>
              <w:t>منابع</w:t>
            </w:r>
            <w:r>
              <w:rPr>
                <w:rStyle w:val="IndexLink"/>
                <w:rtl w:val="true"/>
              </w:rPr>
              <w:tab/>
            </w:r>
            <w:r>
              <w:rPr>
                <w:rStyle w:val="IndexLink"/>
              </w:rPr>
              <w:t>273</w:t>
            </w:r>
          </w:hyperlink>
        </w:p>
        <w:p>
          <w:pPr>
            <w:pStyle w:val="Contents2"/>
            <w:tabs>
              <w:tab w:val="clear" w:pos="8743"/>
              <w:tab w:val="right" w:pos="9026" w:leader="dot"/>
            </w:tabs>
            <w:rPr/>
          </w:pPr>
          <w:hyperlink w:anchor="__RefHeading___Toc7825703_2870459653">
            <w:r>
              <w:rPr>
                <w:webHidden/>
                <w:rStyle w:val="IndexLink"/>
                <w:rtl w:val="true"/>
              </w:rPr>
              <w:t>چکیده</w:t>
            </w:r>
            <w:r>
              <w:rPr>
                <w:rStyle w:val="IndexLink"/>
                <w:rtl w:val="true"/>
              </w:rPr>
              <w:t>:</w:t>
              <w:tab/>
            </w:r>
            <w:r>
              <w:rPr>
                <w:rStyle w:val="IndexLink"/>
              </w:rPr>
              <w:t>276</w:t>
            </w:r>
          </w:hyperlink>
        </w:p>
        <w:p>
          <w:pPr>
            <w:pStyle w:val="Contents2"/>
            <w:tabs>
              <w:tab w:val="clear" w:pos="8743"/>
              <w:tab w:val="right" w:pos="9026" w:leader="dot"/>
            </w:tabs>
            <w:rPr/>
          </w:pPr>
          <w:hyperlink w:anchor="__RefHeading___Toc7825705_2870459653">
            <w:r>
              <w:rPr>
                <w:webHidden/>
                <w:rStyle w:val="IndexLink"/>
                <w:rtl w:val="true"/>
              </w:rPr>
              <w:t>استفاده از داده های موجود برای ایجاد داده های جدید به منظور تصمیمات جدید</w:t>
            </w:r>
            <w:r>
              <w:rPr>
                <w:rStyle w:val="IndexLink"/>
                <w:rtl w:val="true"/>
              </w:rPr>
              <w:tab/>
            </w:r>
            <w:r>
              <w:rPr>
                <w:rStyle w:val="IndexLink"/>
              </w:rPr>
              <w:t>277</w:t>
            </w:r>
          </w:hyperlink>
        </w:p>
        <w:p>
          <w:pPr>
            <w:pStyle w:val="Contents3"/>
            <w:tabs>
              <w:tab w:val="clear" w:pos="8459"/>
              <w:tab w:val="right" w:pos="9026" w:leader="dot"/>
            </w:tabs>
            <w:rPr/>
          </w:pPr>
          <w:hyperlink w:anchor="__RefHeading___Toc7825707_2870459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7825709_2870459653">
            <w:r>
              <w:rPr>
                <w:webHidden/>
                <w:rStyle w:val="IndexLink"/>
                <w:rtl w:val="true"/>
              </w:rPr>
              <w:t>مقدمه</w:t>
            </w:r>
            <w:r>
              <w:rPr>
                <w:rStyle w:val="IndexLink"/>
                <w:rtl w:val="true"/>
              </w:rPr>
              <w:tab/>
            </w:r>
            <w:r>
              <w:rPr>
                <w:rStyle w:val="IndexLink"/>
              </w:rPr>
              <w:t>277</w:t>
            </w:r>
          </w:hyperlink>
        </w:p>
        <w:p>
          <w:pPr>
            <w:pStyle w:val="Contents3"/>
            <w:tabs>
              <w:tab w:val="clear" w:pos="8459"/>
              <w:tab w:val="right" w:pos="9026" w:leader="dot"/>
            </w:tabs>
            <w:rPr/>
          </w:pPr>
          <w:hyperlink w:anchor="__RefHeading___Toc7825711_2870459653">
            <w:r>
              <w:rPr>
                <w:webHidden/>
                <w:rStyle w:val="IndexLink"/>
                <w:rtl w:val="true"/>
              </w:rPr>
              <w:t>فقدان داده ضروری مشتری در اغلب اوقات</w:t>
            </w:r>
            <w:r>
              <w:rPr>
                <w:rStyle w:val="IndexLink"/>
                <w:rtl w:val="true"/>
              </w:rPr>
              <w:tab/>
            </w:r>
            <w:r>
              <w:rPr>
                <w:rStyle w:val="IndexLink"/>
              </w:rPr>
              <w:t>278</w:t>
            </w:r>
          </w:hyperlink>
        </w:p>
        <w:p>
          <w:pPr>
            <w:pStyle w:val="Contents3"/>
            <w:tabs>
              <w:tab w:val="clear" w:pos="8459"/>
              <w:tab w:val="right" w:pos="9026" w:leader="dot"/>
            </w:tabs>
            <w:rPr/>
          </w:pPr>
          <w:hyperlink w:anchor="__RefHeading___Toc7825713_2870459653">
            <w:r>
              <w:rPr>
                <w:webHidden/>
                <w:rStyle w:val="IndexLink"/>
                <w:rtl w:val="true"/>
              </w:rPr>
              <w:t>استفاده از داده جمعیت خدمت گیر برای تعریف ناحیه بازار</w:t>
            </w:r>
            <w:r>
              <w:rPr>
                <w:rStyle w:val="IndexLink"/>
                <w:rtl w:val="true"/>
              </w:rPr>
              <w:tab/>
            </w:r>
            <w:r>
              <w:rPr>
                <w:rStyle w:val="IndexLink"/>
              </w:rPr>
              <w:t>278</w:t>
            </w:r>
          </w:hyperlink>
        </w:p>
        <w:p>
          <w:pPr>
            <w:pStyle w:val="Contents3"/>
            <w:tabs>
              <w:tab w:val="clear" w:pos="8459"/>
              <w:tab w:val="right" w:pos="9026" w:leader="dot"/>
            </w:tabs>
            <w:rPr/>
          </w:pPr>
          <w:hyperlink w:anchor="__RefHeading___Toc7825715_2870459653">
            <w:r>
              <w:rPr>
                <w:webHidden/>
                <w:rStyle w:val="IndexLink"/>
                <w:rtl w:val="true"/>
              </w:rPr>
              <w:t>منابع داده بیرونی</w:t>
            </w:r>
            <w:r>
              <w:rPr>
                <w:rStyle w:val="IndexLink"/>
                <w:rtl w:val="true"/>
              </w:rPr>
              <w:t>:</w:t>
              <w:tab/>
            </w:r>
            <w:r>
              <w:rPr>
                <w:rStyle w:val="IndexLink"/>
              </w:rPr>
              <w:t>280</w:t>
            </w:r>
          </w:hyperlink>
        </w:p>
        <w:p>
          <w:pPr>
            <w:pStyle w:val="Contents3"/>
            <w:tabs>
              <w:tab w:val="clear" w:pos="8459"/>
              <w:tab w:val="right" w:pos="9026" w:leader="dot"/>
            </w:tabs>
            <w:rPr/>
          </w:pPr>
          <w:hyperlink w:anchor="__RefHeading___Toc7825717_2870459653">
            <w:r>
              <w:rPr>
                <w:webHidden/>
                <w:rStyle w:val="IndexLink"/>
                <w:rtl w:val="true"/>
              </w:rPr>
              <w:t>داده داخلی کتاب خانه عمومی</w:t>
            </w:r>
            <w:r>
              <w:rPr>
                <w:rStyle w:val="IndexLink"/>
                <w:rtl w:val="true"/>
              </w:rPr>
              <w:tab/>
            </w:r>
            <w:r>
              <w:rPr>
                <w:rStyle w:val="IndexLink"/>
              </w:rPr>
              <w:t>281</w:t>
            </w:r>
          </w:hyperlink>
        </w:p>
        <w:p>
          <w:pPr>
            <w:pStyle w:val="Contents3"/>
            <w:tabs>
              <w:tab w:val="clear" w:pos="8459"/>
              <w:tab w:val="right" w:pos="9026" w:leader="dot"/>
            </w:tabs>
            <w:rPr/>
          </w:pPr>
          <w:hyperlink w:anchor="__RefHeading___Toc7825719_2870459653">
            <w:r>
              <w:rPr>
                <w:webHidden/>
                <w:rStyle w:val="IndexLink"/>
                <w:rtl w:val="true"/>
              </w:rPr>
              <w:t>شمارش کلیه استفاده های کتاب خانه</w:t>
            </w:r>
            <w:r>
              <w:rPr>
                <w:rStyle w:val="IndexLink"/>
                <w:rtl w:val="true"/>
              </w:rPr>
              <w:tab/>
            </w:r>
            <w:r>
              <w:rPr>
                <w:rStyle w:val="IndexLink"/>
              </w:rPr>
              <w:t>282</w:t>
            </w:r>
          </w:hyperlink>
        </w:p>
        <w:p>
          <w:pPr>
            <w:pStyle w:val="Contents3"/>
            <w:tabs>
              <w:tab w:val="clear" w:pos="8459"/>
              <w:tab w:val="right" w:pos="9026" w:leader="dot"/>
            </w:tabs>
            <w:rPr/>
          </w:pPr>
          <w:hyperlink w:anchor="__RefHeading___Toc7825721_2870459653">
            <w:r>
              <w:rPr>
                <w:webHidden/>
                <w:rStyle w:val="IndexLink"/>
                <w:rtl w:val="true"/>
              </w:rPr>
              <w:t>داده های مشتریان از شبکه وب و رسانه های اجتماعی</w:t>
            </w:r>
            <w:r>
              <w:rPr>
                <w:rStyle w:val="IndexLink"/>
                <w:rtl w:val="true"/>
              </w:rPr>
              <w:tab/>
            </w:r>
            <w:r>
              <w:rPr>
                <w:rStyle w:val="IndexLink"/>
              </w:rPr>
              <w:t>282</w:t>
            </w:r>
          </w:hyperlink>
        </w:p>
        <w:p>
          <w:pPr>
            <w:pStyle w:val="Contents3"/>
            <w:tabs>
              <w:tab w:val="clear" w:pos="8459"/>
              <w:tab w:val="right" w:pos="9026" w:leader="dot"/>
            </w:tabs>
            <w:rPr/>
          </w:pPr>
          <w:hyperlink w:anchor="__RefHeading___Toc7825723_2870459653">
            <w:r>
              <w:rPr>
                <w:webHidden/>
                <w:rStyle w:val="IndexLink"/>
                <w:rtl w:val="true"/>
              </w:rPr>
              <w:t>تحقیق در عمل</w:t>
            </w:r>
            <w:r>
              <w:rPr>
                <w:rStyle w:val="IndexLink"/>
                <w:rtl w:val="true"/>
              </w:rPr>
              <w:tab/>
            </w:r>
            <w:r>
              <w:rPr>
                <w:rStyle w:val="IndexLink"/>
              </w:rPr>
              <w:t>284</w:t>
            </w:r>
          </w:hyperlink>
        </w:p>
        <w:p>
          <w:pPr>
            <w:pStyle w:val="Contents3"/>
            <w:tabs>
              <w:tab w:val="clear" w:pos="8459"/>
              <w:tab w:val="right" w:pos="9026" w:leader="dot"/>
            </w:tabs>
            <w:rPr/>
          </w:pPr>
          <w:hyperlink w:anchor="__RefHeading___Toc7825725_2870459653">
            <w:r>
              <w:rPr>
                <w:webHidden/>
                <w:rStyle w:val="IndexLink"/>
                <w:rtl w:val="true"/>
              </w:rPr>
              <w:t>خلاصه</w:t>
            </w:r>
            <w:r>
              <w:rPr>
                <w:rStyle w:val="IndexLink"/>
                <w:rtl w:val="true"/>
              </w:rPr>
              <w:tab/>
            </w:r>
            <w:r>
              <w:rPr>
                <w:rStyle w:val="IndexLink"/>
              </w:rPr>
              <w:t>286</w:t>
            </w:r>
          </w:hyperlink>
        </w:p>
        <w:p>
          <w:pPr>
            <w:pStyle w:val="Contents3"/>
            <w:tabs>
              <w:tab w:val="clear" w:pos="8459"/>
              <w:tab w:val="right" w:pos="9026" w:leader="dot"/>
            </w:tabs>
            <w:rPr/>
          </w:pPr>
          <w:hyperlink w:anchor="__RefHeading___Toc7825727_2870459653">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7825729_2870459653">
            <w:r>
              <w:rPr>
                <w:webHidden/>
                <w:rStyle w:val="IndexLink"/>
                <w:rtl w:val="true"/>
              </w:rPr>
              <w:t>منابع</w:t>
            </w:r>
            <w:r>
              <w:rPr>
                <w:rStyle w:val="IndexLink"/>
                <w:rtl w:val="true"/>
              </w:rPr>
              <w:tab/>
            </w:r>
            <w:r>
              <w:rPr>
                <w:rStyle w:val="IndexLink"/>
              </w:rPr>
              <w:t>286</w:t>
            </w:r>
          </w:hyperlink>
        </w:p>
        <w:p>
          <w:pPr>
            <w:pStyle w:val="Contents2"/>
            <w:tabs>
              <w:tab w:val="clear" w:pos="8743"/>
              <w:tab w:val="right" w:pos="9026" w:leader="dot"/>
            </w:tabs>
            <w:rPr/>
          </w:pPr>
          <w:hyperlink w:anchor="__RefHeading___Toc7825731_2870459653">
            <w:r>
              <w:rPr>
                <w:webHidden/>
                <w:rStyle w:val="IndexLink"/>
                <w:rtl w:val="true"/>
              </w:rPr>
              <w:t>چکیده</w:t>
            </w:r>
            <w:r>
              <w:rPr>
                <w:rStyle w:val="IndexLink"/>
                <w:rtl w:val="true"/>
              </w:rPr>
              <w:tab/>
            </w:r>
            <w:r>
              <w:rPr>
                <w:rStyle w:val="IndexLink"/>
              </w:rPr>
              <w:t>290</w:t>
            </w:r>
          </w:hyperlink>
        </w:p>
        <w:p>
          <w:pPr>
            <w:pStyle w:val="Contents2"/>
            <w:tabs>
              <w:tab w:val="clear" w:pos="8743"/>
              <w:tab w:val="right" w:pos="9026" w:leader="dot"/>
            </w:tabs>
            <w:rPr/>
          </w:pPr>
          <w:hyperlink w:anchor="__RefHeading___Toc7825733_2870459653">
            <w:r>
              <w:rPr>
                <w:webHidden/>
                <w:rStyle w:val="IndexLink"/>
                <w:rtl w:val="true"/>
              </w:rPr>
              <w:t>ماژول دریافت کتاب الکترونیکی در کتاب خانه ملی و دانشگاهی زاگرب</w:t>
            </w:r>
            <w:r>
              <w:rPr>
                <w:rStyle w:val="IndexLink"/>
                <w:rtl w:val="true"/>
              </w:rPr>
              <w:tab/>
            </w:r>
            <w:r>
              <w:rPr>
                <w:rStyle w:val="IndexLink"/>
              </w:rPr>
              <w:t>291</w:t>
            </w:r>
          </w:hyperlink>
        </w:p>
        <w:p>
          <w:pPr>
            <w:pStyle w:val="Contents3"/>
            <w:tabs>
              <w:tab w:val="clear" w:pos="8459"/>
              <w:tab w:val="right" w:pos="9026" w:leader="dot"/>
            </w:tabs>
            <w:rPr/>
          </w:pPr>
          <w:hyperlink w:anchor="__RefHeading___Toc7825735_2870459653">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7825737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291</w:t>
            </w:r>
          </w:hyperlink>
        </w:p>
        <w:p>
          <w:pPr>
            <w:pStyle w:val="Contents3"/>
            <w:tabs>
              <w:tab w:val="clear" w:pos="8459"/>
              <w:tab w:val="right" w:pos="9026" w:leader="dot"/>
            </w:tabs>
            <w:rPr/>
          </w:pPr>
          <w:hyperlink w:anchor="__RefHeading___Toc7825739_2870459653">
            <w:r>
              <w:rPr>
                <w:webHidden/>
                <w:rStyle w:val="IndexLink"/>
              </w:rPr>
              <w:t>2</w:t>
            </w:r>
            <w:r>
              <w:rPr>
                <w:rStyle w:val="IndexLink"/>
                <w:rtl w:val="true"/>
              </w:rPr>
              <w:t xml:space="preserve">. </w:t>
            </w:r>
            <w:r>
              <w:rPr>
                <w:rStyle w:val="IndexLink"/>
                <w:rtl w:val="true"/>
              </w:rPr>
              <w:t>كتاب الکترونیکی چیست؟</w:t>
            </w:r>
            <w:r>
              <w:rPr>
                <w:rStyle w:val="IndexLink"/>
                <w:rtl w:val="true"/>
              </w:rPr>
              <w:tab/>
            </w:r>
            <w:r>
              <w:rPr>
                <w:rStyle w:val="IndexLink"/>
              </w:rPr>
              <w:t>292</w:t>
            </w:r>
          </w:hyperlink>
        </w:p>
        <w:p>
          <w:pPr>
            <w:pStyle w:val="Contents3"/>
            <w:tabs>
              <w:tab w:val="clear" w:pos="8459"/>
              <w:tab w:val="right" w:pos="9026" w:leader="dot"/>
            </w:tabs>
            <w:rPr/>
          </w:pPr>
          <w:hyperlink w:anchor="__RefHeading___Toc7825741_2870459653">
            <w:r>
              <w:rPr>
                <w:webHidden/>
                <w:rStyle w:val="IndexLink"/>
              </w:rPr>
              <w:t>3</w:t>
            </w:r>
            <w:r>
              <w:rPr>
                <w:rStyle w:val="IndexLink"/>
                <w:rtl w:val="true"/>
              </w:rPr>
              <w:t xml:space="preserve">. </w:t>
            </w:r>
            <w:r>
              <w:rPr>
                <w:rStyle w:val="IndexLink"/>
                <w:rtl w:val="true"/>
              </w:rPr>
              <w:t>تحلیل مطالب انتشارات رقومی تک شماره ای و ناشران شان</w:t>
            </w:r>
            <w:r>
              <w:rPr>
                <w:rStyle w:val="IndexLink"/>
                <w:rtl w:val="true"/>
              </w:rPr>
              <w:tab/>
            </w:r>
            <w:r>
              <w:rPr>
                <w:rStyle w:val="IndexLink"/>
              </w:rPr>
              <w:t>296</w:t>
            </w:r>
          </w:hyperlink>
        </w:p>
        <w:p>
          <w:pPr>
            <w:pStyle w:val="Contents3"/>
            <w:tabs>
              <w:tab w:val="clear" w:pos="8459"/>
              <w:tab w:val="right" w:pos="9026" w:leader="dot"/>
            </w:tabs>
            <w:rPr/>
          </w:pPr>
          <w:hyperlink w:anchor="__RefHeading___Toc7825743_2870459653">
            <w:r>
              <w:rPr>
                <w:webHidden/>
                <w:rStyle w:val="IndexLink"/>
              </w:rPr>
              <w:t>4</w:t>
            </w:r>
            <w:r>
              <w:rPr>
                <w:rStyle w:val="IndexLink"/>
                <w:rtl w:val="true"/>
              </w:rPr>
              <w:t xml:space="preserve">. </w:t>
            </w:r>
            <w:r>
              <w:rPr>
                <w:rStyle w:val="IndexLink"/>
                <w:rtl w:val="true"/>
              </w:rPr>
              <w:t xml:space="preserve">تجربه های پیشینِ </w:t>
            </w:r>
            <w:r>
              <w:rPr>
                <w:rStyle w:val="IndexLink"/>
                <w:rtl w:val="true"/>
              </w:rPr>
              <w:t>«</w:t>
            </w:r>
            <w:r>
              <w:rPr>
                <w:rStyle w:val="IndexLink"/>
                <w:rtl w:val="true"/>
              </w:rPr>
              <w:t>کتاب خانه ملی و دانشگاهی زاگرب</w:t>
            </w:r>
            <w:r>
              <w:rPr>
                <w:rStyle w:val="IndexLink"/>
                <w:rtl w:val="true"/>
              </w:rPr>
              <w:t xml:space="preserve">» </w:t>
            </w:r>
            <w:r>
              <w:rPr>
                <w:rStyle w:val="IndexLink"/>
                <w:rtl w:val="true"/>
              </w:rPr>
              <w:t>از مدیریت دارایی رقومی</w:t>
            </w:r>
            <w:r>
              <w:rPr>
                <w:rStyle w:val="IndexLink"/>
                <w:rtl w:val="true"/>
              </w:rPr>
              <w:tab/>
            </w:r>
            <w:r>
              <w:rPr>
                <w:rStyle w:val="IndexLink"/>
              </w:rPr>
              <w:t>298</w:t>
            </w:r>
          </w:hyperlink>
        </w:p>
        <w:p>
          <w:pPr>
            <w:pStyle w:val="Contents4"/>
            <w:tabs>
              <w:tab w:val="clear" w:pos="8176"/>
              <w:tab w:val="right" w:pos="9026" w:leader="dot"/>
            </w:tabs>
            <w:rPr/>
          </w:pPr>
          <w:hyperlink w:anchor="__RefHeading___Toc7825745_2870459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7825747_2870459653">
            <w:r>
              <w:rPr>
                <w:webHidden/>
                <w:rStyle w:val="IndexLink"/>
              </w:rPr>
              <w:t>1.4</w:t>
            </w:r>
            <w:r>
              <w:rPr>
                <w:rStyle w:val="IndexLink"/>
                <w:rtl w:val="true"/>
              </w:rPr>
              <w:t xml:space="preserve">. </w:t>
            </w:r>
            <w:r>
              <w:rPr>
                <w:rStyle w:val="IndexLink"/>
                <w:rtl w:val="true"/>
              </w:rPr>
              <w:t>انتشارات الکترونیک روی رسانه ملموس</w:t>
            </w:r>
            <w:r>
              <w:rPr>
                <w:rStyle w:val="IndexLink"/>
                <w:rtl w:val="true"/>
              </w:rPr>
              <w:tab/>
            </w:r>
            <w:r>
              <w:rPr>
                <w:rStyle w:val="IndexLink"/>
              </w:rPr>
              <w:t>298</w:t>
            </w:r>
          </w:hyperlink>
        </w:p>
        <w:p>
          <w:pPr>
            <w:pStyle w:val="Contents4"/>
            <w:tabs>
              <w:tab w:val="clear" w:pos="8176"/>
              <w:tab w:val="right" w:pos="9026" w:leader="dot"/>
            </w:tabs>
            <w:rPr/>
          </w:pPr>
          <w:hyperlink w:anchor="__RefHeading___Toc7825749_2870459653">
            <w:r>
              <w:rPr>
                <w:webHidden/>
                <w:rStyle w:val="IndexLink"/>
              </w:rPr>
              <w:t>2/4</w:t>
            </w:r>
            <w:r>
              <w:rPr>
                <w:rStyle w:val="IndexLink"/>
                <w:rtl w:val="true"/>
              </w:rPr>
              <w:t xml:space="preserve">. </w:t>
            </w:r>
            <w:r>
              <w:rPr>
                <w:rStyle w:val="IndexLink"/>
                <w:rtl w:val="true"/>
              </w:rPr>
              <w:t xml:space="preserve">منابع وب </w:t>
            </w:r>
            <w:r>
              <w:rPr>
                <w:rStyle w:val="IndexLink"/>
                <w:rtl w:val="true"/>
              </w:rPr>
              <w:t>(«</w:t>
            </w:r>
            <w:r>
              <w:rPr>
                <w:rStyle w:val="IndexLink"/>
                <w:rtl w:val="true"/>
              </w:rPr>
              <w:t>ارشیو وب کروانی</w:t>
            </w:r>
            <w:r>
              <w:rPr>
                <w:rStyle w:val="IndexLink"/>
                <w:rtl w:val="true"/>
              </w:rPr>
              <w:t xml:space="preserve">» </w:t>
            </w:r>
            <w:r>
              <w:rPr>
                <w:rStyle w:val="IndexLink"/>
                <w:rtl w:val="true"/>
              </w:rPr>
              <w:t>ایچ ای تبلیو</w:t>
            </w:r>
            <w:r>
              <w:rPr>
                <w:rStyle w:val="IndexLink"/>
                <w:rtl w:val="true"/>
              </w:rPr>
              <w:t>)</w:t>
              <w:tab/>
            </w:r>
            <w:r>
              <w:rPr>
                <w:rStyle w:val="IndexLink"/>
              </w:rPr>
              <w:t>299</w:t>
            </w:r>
          </w:hyperlink>
        </w:p>
        <w:p>
          <w:pPr>
            <w:pStyle w:val="Contents4"/>
            <w:tabs>
              <w:tab w:val="clear" w:pos="8176"/>
              <w:tab w:val="right" w:pos="9026" w:leader="dot"/>
            </w:tabs>
            <w:rPr/>
          </w:pPr>
          <w:hyperlink w:anchor="__RefHeading___Toc7825751_2870459653">
            <w:r>
              <w:rPr>
                <w:webHidden/>
                <w:rStyle w:val="IndexLink"/>
              </w:rPr>
              <w:t>3/4</w:t>
            </w:r>
            <w:r>
              <w:rPr>
                <w:rStyle w:val="IndexLink"/>
                <w:rtl w:val="true"/>
              </w:rPr>
              <w:t xml:space="preserve">. </w:t>
            </w:r>
            <w:r>
              <w:rPr>
                <w:rStyle w:val="IndexLink"/>
                <w:rtl w:val="true"/>
              </w:rPr>
              <w:t xml:space="preserve">رساله ها و پایان نامه های رقومی </w:t>
            </w:r>
            <w:r>
              <w:rPr>
                <w:rStyle w:val="IndexLink"/>
                <w:rtl w:val="true"/>
              </w:rPr>
              <w:t>(</w:t>
            </w:r>
            <w:r>
              <w:rPr>
                <w:rStyle w:val="IndexLink"/>
                <w:rtl w:val="true"/>
              </w:rPr>
              <w:t>انباره دانشگاهی رقومی</w:t>
            </w:r>
            <w:r>
              <w:rPr>
                <w:rStyle w:val="IndexLink"/>
                <w:rtl w:val="true"/>
              </w:rPr>
              <w:t>)</w:t>
              <w:tab/>
            </w:r>
            <w:r>
              <w:rPr>
                <w:rStyle w:val="IndexLink"/>
              </w:rPr>
              <w:t>301</w:t>
            </w:r>
          </w:hyperlink>
        </w:p>
        <w:p>
          <w:pPr>
            <w:pStyle w:val="Contents4"/>
            <w:tabs>
              <w:tab w:val="clear" w:pos="8176"/>
              <w:tab w:val="right" w:pos="9026" w:leader="dot"/>
            </w:tabs>
            <w:rPr/>
          </w:pPr>
          <w:hyperlink w:anchor="__RefHeading___Toc7825753_2870459653">
            <w:r>
              <w:rPr>
                <w:webHidden/>
                <w:rStyle w:val="IndexLink"/>
              </w:rPr>
              <w:t>4/4</w:t>
            </w:r>
            <w:r>
              <w:rPr>
                <w:rStyle w:val="IndexLink"/>
                <w:rtl w:val="true"/>
              </w:rPr>
              <w:t xml:space="preserve">. </w:t>
            </w:r>
            <w:r>
              <w:rPr>
                <w:rStyle w:val="IndexLink"/>
                <w:rtl w:val="true"/>
              </w:rPr>
              <w:t xml:space="preserve">کتاب های رقومی شده </w:t>
            </w:r>
            <w:r>
              <w:rPr>
                <w:rStyle w:val="IndexLink"/>
                <w:rtl w:val="true"/>
              </w:rPr>
              <w:t>(</w:t>
            </w:r>
            <w:r>
              <w:rPr>
                <w:rStyle w:val="IndexLink"/>
                <w:rtl w:val="true"/>
              </w:rPr>
              <w:t>نظام دی بوک</w:t>
            </w:r>
            <w:r>
              <w:rPr>
                <w:rStyle w:val="IndexLink"/>
                <w:rtl w:val="true"/>
              </w:rPr>
              <w:t>)</w:t>
              <w:tab/>
            </w:r>
            <w:r>
              <w:rPr>
                <w:rStyle w:val="IndexLink"/>
              </w:rPr>
              <w:t>302</w:t>
            </w:r>
          </w:hyperlink>
        </w:p>
        <w:p>
          <w:pPr>
            <w:pStyle w:val="Contents3"/>
            <w:tabs>
              <w:tab w:val="clear" w:pos="8459"/>
              <w:tab w:val="right" w:pos="9026" w:leader="dot"/>
            </w:tabs>
            <w:rPr/>
          </w:pPr>
          <w:hyperlink w:anchor="__RefHeading___Toc7825755_2870459653">
            <w:r>
              <w:rPr>
                <w:webHidden/>
                <w:rStyle w:val="IndexLink"/>
              </w:rPr>
              <w:t>5</w:t>
            </w:r>
            <w:r>
              <w:rPr>
                <w:rStyle w:val="IndexLink"/>
                <w:rtl w:val="true"/>
              </w:rPr>
              <w:t xml:space="preserve">. </w:t>
            </w:r>
            <w:r>
              <w:rPr>
                <w:rStyle w:val="IndexLink"/>
                <w:rtl w:val="true"/>
              </w:rPr>
              <w:t>ماژول دریافت کتاب های الکترونیک</w:t>
            </w:r>
            <w:r>
              <w:rPr>
                <w:rStyle w:val="IndexLink"/>
                <w:rtl w:val="true"/>
              </w:rPr>
              <w:tab/>
            </w:r>
            <w:r>
              <w:rPr>
                <w:rStyle w:val="IndexLink"/>
              </w:rPr>
              <w:t>304</w:t>
            </w:r>
          </w:hyperlink>
        </w:p>
        <w:p>
          <w:pPr>
            <w:pStyle w:val="Contents4"/>
            <w:tabs>
              <w:tab w:val="clear" w:pos="8176"/>
              <w:tab w:val="right" w:pos="9026" w:leader="dot"/>
            </w:tabs>
            <w:rPr/>
          </w:pPr>
          <w:hyperlink w:anchor="__RefHeading___Toc7825757_2870459653">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7825759_2870459653">
            <w:r>
              <w:rPr>
                <w:webHidden/>
                <w:rStyle w:val="IndexLink"/>
              </w:rPr>
              <w:t>1.5</w:t>
            </w:r>
            <w:r>
              <w:rPr>
                <w:rStyle w:val="IndexLink"/>
                <w:rtl w:val="true"/>
              </w:rPr>
              <w:t xml:space="preserve">. </w:t>
            </w:r>
            <w:r>
              <w:rPr>
                <w:rStyle w:val="IndexLink"/>
                <w:rtl w:val="true"/>
              </w:rPr>
              <w:t>قابلیت های نظام کتاب الکترونیک</w:t>
            </w:r>
            <w:r>
              <w:rPr>
                <w:rStyle w:val="IndexLink"/>
                <w:rtl w:val="true"/>
              </w:rPr>
              <w:tab/>
            </w:r>
            <w:r>
              <w:rPr>
                <w:rStyle w:val="IndexLink"/>
              </w:rPr>
              <w:t>305</w:t>
            </w:r>
          </w:hyperlink>
        </w:p>
        <w:p>
          <w:pPr>
            <w:pStyle w:val="Contents4"/>
            <w:tabs>
              <w:tab w:val="clear" w:pos="8176"/>
              <w:tab w:val="right" w:pos="9026" w:leader="dot"/>
            </w:tabs>
            <w:rPr/>
          </w:pPr>
          <w:hyperlink w:anchor="__RefHeading___Toc7825761_2870459653">
            <w:r>
              <w:rPr>
                <w:webHidden/>
                <w:rStyle w:val="IndexLink"/>
              </w:rPr>
              <w:t>2.5</w:t>
            </w:r>
            <w:r>
              <w:rPr>
                <w:rStyle w:val="IndexLink"/>
                <w:rtl w:val="true"/>
              </w:rPr>
              <w:t xml:space="preserve">. </w:t>
            </w:r>
            <w:r>
              <w:rPr>
                <w:rStyle w:val="IndexLink"/>
                <w:rtl w:val="true"/>
              </w:rPr>
              <w:t>دریافت فراداده و اشیاء رقومی</w:t>
            </w:r>
            <w:r>
              <w:rPr>
                <w:rStyle w:val="IndexLink"/>
                <w:rtl w:val="true"/>
              </w:rPr>
              <w:tab/>
            </w:r>
            <w:r>
              <w:rPr>
                <w:rStyle w:val="IndexLink"/>
              </w:rPr>
              <w:t>305</w:t>
            </w:r>
          </w:hyperlink>
        </w:p>
        <w:p>
          <w:pPr>
            <w:pStyle w:val="Contents4"/>
            <w:tabs>
              <w:tab w:val="clear" w:pos="8176"/>
              <w:tab w:val="right" w:pos="9026" w:leader="dot"/>
            </w:tabs>
            <w:rPr/>
          </w:pPr>
          <w:hyperlink w:anchor="__RefHeading___Toc7825763_2870459653">
            <w:r>
              <w:rPr>
                <w:webHidden/>
                <w:rStyle w:val="IndexLink"/>
              </w:rPr>
              <w:t>3.5</w:t>
            </w:r>
            <w:r>
              <w:rPr>
                <w:rStyle w:val="IndexLink"/>
                <w:rtl w:val="true"/>
              </w:rPr>
              <w:t xml:space="preserve">. </w:t>
            </w:r>
            <w:r>
              <w:rPr>
                <w:rStyle w:val="IndexLink"/>
                <w:rtl w:val="true"/>
              </w:rPr>
              <w:t>سیاست دستیابی</w:t>
            </w:r>
            <w:r>
              <w:rPr>
                <w:rStyle w:val="IndexLink"/>
                <w:rtl w:val="true"/>
              </w:rPr>
              <w:tab/>
            </w:r>
            <w:r>
              <w:rPr>
                <w:rStyle w:val="IndexLink"/>
              </w:rPr>
              <w:t>306</w:t>
            </w:r>
          </w:hyperlink>
        </w:p>
        <w:p>
          <w:pPr>
            <w:pStyle w:val="Contents3"/>
            <w:tabs>
              <w:tab w:val="clear" w:pos="8459"/>
              <w:tab w:val="right" w:pos="9026" w:leader="dot"/>
            </w:tabs>
            <w:rPr/>
          </w:pPr>
          <w:hyperlink w:anchor="__RefHeading___Toc7825765_2870459653">
            <w:r>
              <w:rPr>
                <w:webHidden/>
                <w:rStyle w:val="IndexLink"/>
              </w:rPr>
              <w:t>6</w:t>
            </w:r>
            <w:r>
              <w:rPr>
                <w:rStyle w:val="IndexLink"/>
                <w:rtl w:val="true"/>
              </w:rPr>
              <w:t xml:space="preserve">. </w:t>
            </w:r>
            <w:r>
              <w:rPr>
                <w:rStyle w:val="IndexLink"/>
                <w:rtl w:val="true"/>
              </w:rPr>
              <w:t>طرح های آتی</w:t>
            </w:r>
            <w:r>
              <w:rPr>
                <w:rStyle w:val="IndexLink"/>
                <w:rtl w:val="true"/>
              </w:rPr>
              <w:tab/>
            </w:r>
            <w:r>
              <w:rPr>
                <w:rStyle w:val="IndexLink"/>
              </w:rPr>
              <w:t>307</w:t>
            </w:r>
          </w:hyperlink>
        </w:p>
        <w:p>
          <w:pPr>
            <w:pStyle w:val="Contents3"/>
            <w:tabs>
              <w:tab w:val="clear" w:pos="8459"/>
              <w:tab w:val="right" w:pos="9026" w:leader="dot"/>
            </w:tabs>
            <w:rPr/>
          </w:pPr>
          <w:hyperlink w:anchor="__RefHeading___Toc7825767_2870459653">
            <w:r>
              <w:rPr>
                <w:webHidden/>
                <w:rStyle w:val="IndexLink"/>
                <w:rtl w:val="true"/>
              </w:rPr>
              <w:t>منابع</w:t>
            </w:r>
            <w:r>
              <w:rPr>
                <w:rStyle w:val="IndexLink"/>
                <w:rtl w:val="true"/>
              </w:rPr>
              <w:t>:</w:t>
              <w:tab/>
            </w:r>
            <w:r>
              <w:rPr>
                <w:rStyle w:val="IndexLink"/>
              </w:rPr>
              <w:t>308</w:t>
            </w:r>
          </w:hyperlink>
        </w:p>
        <w:p>
          <w:pPr>
            <w:pStyle w:val="Contents2"/>
            <w:tabs>
              <w:tab w:val="clear" w:pos="8743"/>
              <w:tab w:val="right" w:pos="9026" w:leader="dot"/>
            </w:tabs>
            <w:rPr/>
          </w:pPr>
          <w:hyperlink w:anchor="__RefHeading___Toc7825769_2870459653">
            <w:r>
              <w:rPr>
                <w:webHidden/>
                <w:rStyle w:val="IndexLink"/>
                <w:rtl w:val="true"/>
              </w:rPr>
              <w:t>چکیده</w:t>
            </w:r>
            <w:r>
              <w:rPr>
                <w:rStyle w:val="IndexLink"/>
                <w:rtl w:val="true"/>
              </w:rPr>
              <w:tab/>
            </w:r>
            <w:r>
              <w:rPr>
                <w:rStyle w:val="IndexLink"/>
              </w:rPr>
              <w:t>312</w:t>
            </w:r>
          </w:hyperlink>
        </w:p>
        <w:p>
          <w:pPr>
            <w:pStyle w:val="Contents2"/>
            <w:tabs>
              <w:tab w:val="clear" w:pos="8743"/>
              <w:tab w:val="right" w:pos="9026" w:leader="dot"/>
            </w:tabs>
            <w:rPr/>
          </w:pPr>
          <w:hyperlink w:anchor="__RefHeading___Toc7825771_2870459653">
            <w:r>
              <w:rPr>
                <w:webHidden/>
                <w:rStyle w:val="IndexLink"/>
                <w:rtl w:val="true"/>
              </w:rPr>
              <w:t>منازعات کتاب خانه شورای ملی بر سر گردآوری انتشارات برخط در ژاپن</w:t>
            </w:r>
            <w:r>
              <w:rPr>
                <w:rStyle w:val="IndexLink"/>
                <w:rtl w:val="true"/>
              </w:rPr>
              <w:tab/>
            </w:r>
            <w:r>
              <w:rPr>
                <w:rStyle w:val="IndexLink"/>
              </w:rPr>
              <w:t>313</w:t>
            </w:r>
          </w:hyperlink>
        </w:p>
        <w:p>
          <w:pPr>
            <w:pStyle w:val="Contents3"/>
            <w:tabs>
              <w:tab w:val="clear" w:pos="8459"/>
              <w:tab w:val="right" w:pos="9026" w:leader="dot"/>
            </w:tabs>
            <w:rPr/>
          </w:pPr>
          <w:hyperlink w:anchor="__RefHeading___Toc7825773_2870459653">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7825775_2870459653">
            <w:r>
              <w:rPr>
                <w:webHidden/>
                <w:rStyle w:val="IndexLink"/>
              </w:rPr>
              <w:t>1</w:t>
            </w:r>
            <w:r>
              <w:rPr>
                <w:rStyle w:val="IndexLink"/>
                <w:rtl w:val="true"/>
              </w:rPr>
              <w:t xml:space="preserve">. </w:t>
            </w:r>
            <w:r>
              <w:rPr>
                <w:rStyle w:val="IndexLink"/>
                <w:rtl w:val="true"/>
              </w:rPr>
              <w:t>تاریخچه مختصر گردآوری مطالب الکترونیک در اِن دی اِل</w:t>
            </w:r>
            <w:r>
              <w:rPr>
                <w:rStyle w:val="IndexLink"/>
                <w:rtl w:val="true"/>
              </w:rPr>
              <w:tab/>
            </w:r>
            <w:r>
              <w:rPr>
                <w:rStyle w:val="IndexLink"/>
              </w:rPr>
              <w:t>313</w:t>
            </w:r>
          </w:hyperlink>
        </w:p>
        <w:p>
          <w:pPr>
            <w:pStyle w:val="Contents3"/>
            <w:tabs>
              <w:tab w:val="clear" w:pos="8459"/>
              <w:tab w:val="right" w:pos="9026" w:leader="dot"/>
            </w:tabs>
            <w:rPr/>
          </w:pPr>
          <w:hyperlink w:anchor="__RefHeading___Toc7825777_2870459653">
            <w:r>
              <w:rPr>
                <w:webHidden/>
                <w:rStyle w:val="IndexLink"/>
              </w:rPr>
              <w:t>2</w:t>
            </w:r>
            <w:r>
              <w:rPr>
                <w:rStyle w:val="IndexLink"/>
                <w:rtl w:val="true"/>
              </w:rPr>
              <w:t xml:space="preserve">. </w:t>
            </w:r>
            <w:r>
              <w:rPr>
                <w:rStyle w:val="IndexLink"/>
                <w:rtl w:val="true"/>
              </w:rPr>
              <w:t>سابقه گردآوری انتشارات الکترونیک شبکه ای</w:t>
            </w:r>
            <w:r>
              <w:rPr>
                <w:rStyle w:val="IndexLink"/>
                <w:rtl w:val="true"/>
              </w:rPr>
              <w:t>:</w:t>
              <w:tab/>
            </w:r>
            <w:r>
              <w:rPr>
                <w:rStyle w:val="IndexLink"/>
              </w:rPr>
              <w:t>314</w:t>
            </w:r>
          </w:hyperlink>
        </w:p>
        <w:p>
          <w:pPr>
            <w:pStyle w:val="Contents3"/>
            <w:tabs>
              <w:tab w:val="clear" w:pos="8459"/>
              <w:tab w:val="right" w:pos="9026" w:leader="dot"/>
            </w:tabs>
            <w:rPr/>
          </w:pPr>
          <w:hyperlink w:anchor="__RefHeading___Toc7825779_2870459653">
            <w:r>
              <w:rPr>
                <w:webHidden/>
                <w:rStyle w:val="IndexLink"/>
              </w:rPr>
              <w:t>3</w:t>
            </w:r>
            <w:r>
              <w:rPr>
                <w:rStyle w:val="IndexLink"/>
                <w:rtl w:val="true"/>
              </w:rPr>
              <w:t xml:space="preserve">. </w:t>
            </w:r>
            <w:r>
              <w:rPr>
                <w:rStyle w:val="IndexLink"/>
                <w:rtl w:val="true"/>
              </w:rPr>
              <w:t>تعریف انتشارات برخط در قانون اِن دی اِل</w:t>
            </w:r>
            <w:r>
              <w:rPr>
                <w:rStyle w:val="IndexLink"/>
                <w:rtl w:val="true"/>
              </w:rPr>
              <w:tab/>
            </w:r>
            <w:r>
              <w:rPr>
                <w:rStyle w:val="IndexLink"/>
              </w:rPr>
              <w:t>315</w:t>
            </w:r>
          </w:hyperlink>
        </w:p>
        <w:p>
          <w:pPr>
            <w:pStyle w:val="Contents3"/>
            <w:tabs>
              <w:tab w:val="clear" w:pos="8459"/>
              <w:tab w:val="right" w:pos="9026" w:leader="dot"/>
            </w:tabs>
            <w:rPr/>
          </w:pPr>
          <w:hyperlink w:anchor="__RefHeading___Toc7825781_2870459653">
            <w:r>
              <w:rPr>
                <w:webHidden/>
                <w:rStyle w:val="IndexLink"/>
              </w:rPr>
              <w:t>4</w:t>
            </w:r>
            <w:r>
              <w:rPr>
                <w:rStyle w:val="IndexLink"/>
                <w:rtl w:val="true"/>
              </w:rPr>
              <w:t xml:space="preserve">. </w:t>
            </w:r>
            <w:r>
              <w:rPr>
                <w:rStyle w:val="IndexLink"/>
                <w:rtl w:val="true"/>
              </w:rPr>
              <w:t>مسائل بحرانی مالکیت انتشارات برخط کارمزدی یا حفاظت شده با دی آر اِم</w:t>
            </w:r>
            <w:r>
              <w:rPr>
                <w:rStyle w:val="IndexLink"/>
                <w:rtl w:val="true"/>
              </w:rPr>
              <w:tab/>
            </w:r>
            <w:r>
              <w:rPr>
                <w:rStyle w:val="IndexLink"/>
              </w:rPr>
              <w:t>316</w:t>
            </w:r>
          </w:hyperlink>
        </w:p>
        <w:p>
          <w:pPr>
            <w:pStyle w:val="Contents3"/>
            <w:tabs>
              <w:tab w:val="clear" w:pos="8459"/>
              <w:tab w:val="right" w:pos="9026" w:leader="dot"/>
            </w:tabs>
            <w:rPr/>
          </w:pPr>
          <w:hyperlink w:anchor="__RefHeading___Toc7825783_2870459653">
            <w:r>
              <w:rPr>
                <w:webHidden/>
                <w:rStyle w:val="IndexLink"/>
                <w:rtl w:val="true"/>
              </w:rPr>
              <w:t>پرداخت غرامت</w:t>
            </w:r>
            <w:r>
              <w:rPr>
                <w:rStyle w:val="IndexLink"/>
                <w:rtl w:val="true"/>
              </w:rPr>
              <w:tab/>
            </w:r>
            <w:r>
              <w:rPr>
                <w:rStyle w:val="IndexLink"/>
              </w:rPr>
              <w:t>316</w:t>
            </w:r>
          </w:hyperlink>
        </w:p>
        <w:p>
          <w:pPr>
            <w:pStyle w:val="Contents3"/>
            <w:tabs>
              <w:tab w:val="clear" w:pos="8459"/>
              <w:tab w:val="right" w:pos="9026" w:leader="dot"/>
            </w:tabs>
            <w:rPr/>
          </w:pPr>
          <w:hyperlink w:anchor="__RefHeading___Toc7825785_2870459653">
            <w:r>
              <w:rPr>
                <w:webHidden/>
                <w:rStyle w:val="IndexLink"/>
                <w:rtl w:val="true"/>
              </w:rPr>
              <w:t>مشکلات فنی</w:t>
            </w:r>
            <w:r>
              <w:rPr>
                <w:rStyle w:val="IndexLink"/>
                <w:rtl w:val="true"/>
              </w:rPr>
              <w:tab/>
            </w:r>
            <w:r>
              <w:rPr>
                <w:rStyle w:val="IndexLink"/>
              </w:rPr>
              <w:t>317</w:t>
            </w:r>
          </w:hyperlink>
        </w:p>
        <w:p>
          <w:pPr>
            <w:pStyle w:val="Contents3"/>
            <w:tabs>
              <w:tab w:val="clear" w:pos="8459"/>
              <w:tab w:val="right" w:pos="9026" w:leader="dot"/>
            </w:tabs>
            <w:rPr/>
          </w:pPr>
          <w:hyperlink w:anchor="__RefHeading___Toc7825787_2870459653">
            <w:r>
              <w:rPr>
                <w:webHidden/>
                <w:rStyle w:val="IndexLink"/>
                <w:rtl w:val="true"/>
              </w:rPr>
              <w:t>طرح ذخیره سازی موقت انتشارات برخط کارمزدی</w:t>
            </w:r>
            <w:r>
              <w:rPr>
                <w:rStyle w:val="IndexLink"/>
                <w:rtl w:val="true"/>
              </w:rPr>
              <w:tab/>
            </w:r>
            <w:r>
              <w:rPr>
                <w:rStyle w:val="IndexLink"/>
              </w:rPr>
              <w:t>318</w:t>
            </w:r>
          </w:hyperlink>
        </w:p>
        <w:p>
          <w:pPr>
            <w:pStyle w:val="Contents2"/>
            <w:tabs>
              <w:tab w:val="clear" w:pos="8743"/>
              <w:tab w:val="right" w:pos="9026" w:leader="dot"/>
            </w:tabs>
            <w:rPr/>
          </w:pPr>
          <w:hyperlink w:anchor="__RefHeading___Toc7825789_2870459653">
            <w:r>
              <w:rPr>
                <w:webHidden/>
                <w:rStyle w:val="IndexLink"/>
                <w:rtl w:val="true"/>
              </w:rPr>
              <w:t>چکیده</w:t>
            </w:r>
            <w:r>
              <w:rPr>
                <w:rStyle w:val="IndexLink"/>
                <w:rtl w:val="true"/>
              </w:rPr>
              <w:tab/>
            </w:r>
            <w:r>
              <w:rPr>
                <w:rStyle w:val="IndexLink"/>
              </w:rPr>
              <w:t>322</w:t>
            </w:r>
          </w:hyperlink>
        </w:p>
        <w:p>
          <w:pPr>
            <w:pStyle w:val="Contents2"/>
            <w:tabs>
              <w:tab w:val="clear" w:pos="8743"/>
              <w:tab w:val="right" w:pos="9026" w:leader="dot"/>
            </w:tabs>
            <w:rPr/>
          </w:pPr>
          <w:hyperlink w:anchor="__RefHeading___Toc7825791_2870459653">
            <w:r>
              <w:rPr>
                <w:webHidden/>
                <w:rStyle w:val="IndexLink"/>
                <w:rtl w:val="true"/>
              </w:rPr>
              <w:t>خانه اندیشه</w:t>
            </w:r>
            <w:r>
              <w:rPr>
                <w:rStyle w:val="IndexLink"/>
                <w:rtl w:val="true"/>
              </w:rPr>
              <w:t xml:space="preserve">: </w:t>
            </w:r>
            <w:r>
              <w:rPr>
                <w:rStyle w:val="IndexLink"/>
                <w:rtl w:val="true"/>
              </w:rPr>
              <w:t>پیوند و توانمندسازی جوامع در منطقه آسیا و اقیانوسیه</w:t>
            </w:r>
            <w:r>
              <w:rPr>
                <w:rStyle w:val="IndexLink"/>
                <w:rtl w:val="true"/>
              </w:rPr>
              <w:tab/>
            </w:r>
            <w:r>
              <w:rPr>
                <w:rStyle w:val="IndexLink"/>
              </w:rPr>
              <w:t>323</w:t>
            </w:r>
          </w:hyperlink>
        </w:p>
        <w:p>
          <w:pPr>
            <w:pStyle w:val="Contents3"/>
            <w:tabs>
              <w:tab w:val="clear" w:pos="8459"/>
              <w:tab w:val="right" w:pos="9026" w:leader="dot"/>
            </w:tabs>
            <w:rPr/>
          </w:pPr>
          <w:hyperlink w:anchor="__RefHeading___Toc7825793_2870459653">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7825795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323</w:t>
            </w:r>
          </w:hyperlink>
        </w:p>
        <w:p>
          <w:pPr>
            <w:pStyle w:val="Contents3"/>
            <w:tabs>
              <w:tab w:val="clear" w:pos="8459"/>
              <w:tab w:val="right" w:pos="9026" w:leader="dot"/>
            </w:tabs>
            <w:rPr/>
          </w:pPr>
          <w:hyperlink w:anchor="__RefHeading___Toc7825797_2870459653">
            <w:r>
              <w:rPr>
                <w:webHidden/>
                <w:rStyle w:val="IndexLink"/>
              </w:rPr>
              <w:t>2</w:t>
            </w:r>
            <w:r>
              <w:rPr>
                <w:rStyle w:val="IndexLink"/>
                <w:rtl w:val="true"/>
              </w:rPr>
              <w:t xml:space="preserve">. </w:t>
            </w:r>
            <w:r>
              <w:rPr>
                <w:rStyle w:val="IndexLink"/>
                <w:rtl w:val="true"/>
              </w:rPr>
              <w:t>نتایج هائیتی و فعالیت های بین المللی</w:t>
            </w:r>
            <w:r>
              <w:rPr>
                <w:rStyle w:val="IndexLink"/>
                <w:rtl w:val="true"/>
              </w:rPr>
              <w:tab/>
            </w:r>
            <w:r>
              <w:rPr>
                <w:rStyle w:val="IndexLink"/>
              </w:rPr>
              <w:t>325</w:t>
            </w:r>
          </w:hyperlink>
        </w:p>
        <w:p>
          <w:pPr>
            <w:pStyle w:val="Contents4"/>
            <w:tabs>
              <w:tab w:val="clear" w:pos="8176"/>
              <w:tab w:val="right" w:pos="9026" w:leader="dot"/>
            </w:tabs>
            <w:rPr/>
          </w:pPr>
          <w:hyperlink w:anchor="__RefHeading___Toc7825799_2870459653">
            <w:r>
              <w:rPr>
                <w:webHidden/>
                <w:rStyle w:val="IndexLink"/>
              </w:rPr>
              <w:t>1.2</w:t>
            </w:r>
            <w:r>
              <w:rPr>
                <w:rStyle w:val="IndexLink"/>
                <w:rtl w:val="true"/>
              </w:rPr>
              <w:t xml:space="preserve">- </w:t>
            </w:r>
            <w:r>
              <w:rPr>
                <w:rStyle w:val="IndexLink"/>
                <w:rtl w:val="true"/>
              </w:rPr>
              <w:t>اقدامات کتاب خانه های بدون مرز در هائیتی</w:t>
            </w:r>
            <w:r>
              <w:rPr>
                <w:rStyle w:val="IndexLink"/>
                <w:rtl w:val="true"/>
              </w:rPr>
              <w:tab/>
            </w:r>
            <w:r>
              <w:rPr>
                <w:rStyle w:val="IndexLink"/>
              </w:rPr>
              <w:t>325</w:t>
            </w:r>
          </w:hyperlink>
        </w:p>
        <w:p>
          <w:pPr>
            <w:pStyle w:val="Contents4"/>
            <w:tabs>
              <w:tab w:val="clear" w:pos="8176"/>
              <w:tab w:val="right" w:pos="9026" w:leader="dot"/>
            </w:tabs>
            <w:rPr/>
          </w:pPr>
          <w:hyperlink w:anchor="__RefHeading___Toc7825801_2870459653">
            <w:r>
              <w:rPr>
                <w:webHidden/>
                <w:rStyle w:val="IndexLink"/>
              </w:rPr>
              <w:t>2.2</w:t>
            </w:r>
            <w:r>
              <w:rPr>
                <w:rStyle w:val="IndexLink"/>
                <w:rtl w:val="true"/>
              </w:rPr>
              <w:t xml:space="preserve">- </w:t>
            </w:r>
            <w:r>
              <w:rPr>
                <w:rStyle w:val="IndexLink"/>
                <w:rtl w:val="true"/>
              </w:rPr>
              <w:t>فراخوان فوری برای اقدام</w:t>
            </w:r>
            <w:r>
              <w:rPr>
                <w:rStyle w:val="IndexLink"/>
                <w:rtl w:val="true"/>
              </w:rPr>
              <w:tab/>
            </w:r>
            <w:r>
              <w:rPr>
                <w:rStyle w:val="IndexLink"/>
              </w:rPr>
              <w:t>326</w:t>
            </w:r>
          </w:hyperlink>
        </w:p>
        <w:p>
          <w:pPr>
            <w:pStyle w:val="Contents3"/>
            <w:tabs>
              <w:tab w:val="clear" w:pos="8459"/>
              <w:tab w:val="right" w:pos="9026" w:leader="dot"/>
            </w:tabs>
            <w:rPr/>
          </w:pPr>
          <w:hyperlink w:anchor="__RefHeading___Toc7825803_2870459653">
            <w:r>
              <w:rPr>
                <w:webHidden/>
                <w:rStyle w:val="IndexLink"/>
              </w:rPr>
              <w:t>3</w:t>
            </w:r>
            <w:r>
              <w:rPr>
                <w:rStyle w:val="IndexLink"/>
                <w:rtl w:val="true"/>
              </w:rPr>
              <w:t xml:space="preserve">. </w:t>
            </w:r>
            <w:r>
              <w:rPr>
                <w:rStyle w:val="IndexLink"/>
                <w:rtl w:val="true"/>
              </w:rPr>
              <w:t>ارائه پاسخ های جدید</w:t>
            </w:r>
            <w:r>
              <w:rPr>
                <w:rStyle w:val="IndexLink"/>
                <w:rtl w:val="true"/>
              </w:rPr>
              <w:t xml:space="preserve">: </w:t>
            </w:r>
            <w:r>
              <w:rPr>
                <w:rStyle w:val="IndexLink"/>
                <w:rtl w:val="true"/>
              </w:rPr>
              <w:t>طرح خانه اندیشه</w:t>
            </w:r>
            <w:r>
              <w:rPr>
                <w:rStyle w:val="IndexLink"/>
                <w:rtl w:val="true"/>
              </w:rPr>
              <w:tab/>
            </w:r>
            <w:r>
              <w:rPr>
                <w:rStyle w:val="IndexLink"/>
              </w:rPr>
              <w:t>327</w:t>
            </w:r>
          </w:hyperlink>
        </w:p>
        <w:p>
          <w:pPr>
            <w:pStyle w:val="Contents4"/>
            <w:tabs>
              <w:tab w:val="clear" w:pos="8176"/>
              <w:tab w:val="right" w:pos="9026" w:leader="dot"/>
            </w:tabs>
            <w:rPr/>
          </w:pPr>
          <w:hyperlink w:anchor="__RefHeading___Toc7825805_2870459653">
            <w:r>
              <w:rPr>
                <w:webHidden/>
                <w:rStyle w:val="IndexLink"/>
              </w:rPr>
              <w:t>1.3</w:t>
            </w:r>
            <w:r>
              <w:rPr>
                <w:rStyle w:val="IndexLink"/>
                <w:rtl w:val="true"/>
              </w:rPr>
              <w:t xml:space="preserve">. </w:t>
            </w:r>
            <w:r>
              <w:rPr>
                <w:rStyle w:val="IndexLink"/>
                <w:rtl w:val="true"/>
              </w:rPr>
              <w:t>معرفی خانه اندیشه</w:t>
            </w:r>
            <w:r>
              <w:rPr>
                <w:rStyle w:val="IndexLink"/>
                <w:rtl w:val="true"/>
              </w:rPr>
              <w:tab/>
            </w:r>
            <w:r>
              <w:rPr>
                <w:rStyle w:val="IndexLink"/>
              </w:rPr>
              <w:t>327</w:t>
            </w:r>
          </w:hyperlink>
        </w:p>
        <w:p>
          <w:pPr>
            <w:pStyle w:val="Contents4"/>
            <w:tabs>
              <w:tab w:val="clear" w:pos="8176"/>
              <w:tab w:val="right" w:pos="9026" w:leader="dot"/>
            </w:tabs>
            <w:rPr/>
          </w:pPr>
          <w:hyperlink w:anchor="__RefHeading___Toc7825807_2870459653">
            <w:r>
              <w:rPr>
                <w:webHidden/>
                <w:rStyle w:val="IndexLink"/>
              </w:rPr>
              <w:t>2.3</w:t>
            </w:r>
            <w:r>
              <w:rPr>
                <w:rStyle w:val="IndexLink"/>
                <w:rtl w:val="true"/>
              </w:rPr>
              <w:t xml:space="preserve">- </w:t>
            </w:r>
            <w:r>
              <w:rPr>
                <w:rStyle w:val="IndexLink"/>
                <w:rtl w:val="true"/>
              </w:rPr>
              <w:t>برنامه های اجرایی فعلی در دریاچه های بزرگ آفریقا و خاورمیانه و شمال آفریقا</w:t>
            </w:r>
            <w:r>
              <w:rPr>
                <w:rStyle w:val="IndexLink"/>
                <w:rtl w:val="true"/>
              </w:rPr>
              <w:tab/>
            </w:r>
            <w:r>
              <w:rPr>
                <w:rStyle w:val="IndexLink"/>
              </w:rPr>
              <w:t>330</w:t>
            </w:r>
          </w:hyperlink>
        </w:p>
        <w:p>
          <w:pPr>
            <w:pStyle w:val="Contents3"/>
            <w:tabs>
              <w:tab w:val="clear" w:pos="8459"/>
              <w:tab w:val="right" w:pos="9026" w:leader="dot"/>
            </w:tabs>
            <w:rPr/>
          </w:pPr>
          <w:hyperlink w:anchor="__RefHeading___Toc7825809_2870459653">
            <w:r>
              <w:rPr>
                <w:webHidden/>
                <w:rStyle w:val="IndexLink"/>
              </w:rPr>
              <w:t>4</w:t>
            </w:r>
            <w:r>
              <w:rPr>
                <w:rStyle w:val="IndexLink"/>
                <w:rtl w:val="true"/>
              </w:rPr>
              <w:t xml:space="preserve">. </w:t>
            </w:r>
            <w:r>
              <w:rPr>
                <w:rStyle w:val="IndexLink"/>
                <w:rtl w:val="true"/>
              </w:rPr>
              <w:t>فراسوی مرزها در آسیا و اقیانوسیه از طریق خانه اندیشه</w:t>
            </w:r>
            <w:r>
              <w:rPr>
                <w:rStyle w:val="IndexLink"/>
                <w:rtl w:val="true"/>
              </w:rPr>
              <w:tab/>
            </w:r>
            <w:r>
              <w:rPr>
                <w:rStyle w:val="IndexLink"/>
              </w:rPr>
              <w:t>332</w:t>
            </w:r>
          </w:hyperlink>
        </w:p>
        <w:p>
          <w:pPr>
            <w:pStyle w:val="Contents4"/>
            <w:tabs>
              <w:tab w:val="clear" w:pos="8176"/>
              <w:tab w:val="right" w:pos="9026" w:leader="dot"/>
            </w:tabs>
            <w:rPr/>
          </w:pPr>
          <w:hyperlink w:anchor="__RefHeading___Toc7825811_2870459653">
            <w:r>
              <w:rPr>
                <w:webHidden/>
                <w:rStyle w:val="IndexLink"/>
              </w:rPr>
              <w:t>1.4</w:t>
            </w:r>
            <w:r>
              <w:rPr>
                <w:rStyle w:val="IndexLink"/>
                <w:rtl w:val="true"/>
              </w:rPr>
              <w:t xml:space="preserve">- </w:t>
            </w:r>
            <w:r>
              <w:rPr>
                <w:rStyle w:val="IndexLink"/>
                <w:rtl w:val="true"/>
              </w:rPr>
              <w:t>توسعه از طریق کمک های بشر دوستانه</w:t>
            </w:r>
            <w:r>
              <w:rPr>
                <w:rStyle w:val="IndexLink"/>
                <w:rtl w:val="true"/>
              </w:rPr>
              <w:tab/>
            </w:r>
            <w:r>
              <w:rPr>
                <w:rStyle w:val="IndexLink"/>
              </w:rPr>
              <w:t>332</w:t>
            </w:r>
          </w:hyperlink>
        </w:p>
        <w:p>
          <w:pPr>
            <w:pStyle w:val="Contents4"/>
            <w:tabs>
              <w:tab w:val="clear" w:pos="8176"/>
              <w:tab w:val="right" w:pos="9026" w:leader="dot"/>
            </w:tabs>
            <w:rPr/>
          </w:pPr>
          <w:hyperlink w:anchor="__RefHeading___Toc7825813_2870459653">
            <w:r>
              <w:rPr>
                <w:webHidden/>
                <w:rStyle w:val="IndexLink"/>
              </w:rPr>
              <w:t>2.4</w:t>
            </w:r>
            <w:r>
              <w:rPr>
                <w:rStyle w:val="IndexLink"/>
                <w:rtl w:val="true"/>
              </w:rPr>
              <w:t xml:space="preserve">- </w:t>
            </w:r>
            <w:r>
              <w:rPr>
                <w:rStyle w:val="IndexLink"/>
                <w:rtl w:val="true"/>
              </w:rPr>
              <w:t>برقراری ارتباط های اجتماعی در آسیا و اقیانوسیه</w:t>
            </w:r>
            <w:r>
              <w:rPr>
                <w:rStyle w:val="IndexLink"/>
                <w:rtl w:val="true"/>
              </w:rPr>
              <w:tab/>
            </w:r>
            <w:r>
              <w:rPr>
                <w:rStyle w:val="IndexLink"/>
              </w:rPr>
              <w:t>332</w:t>
            </w:r>
          </w:hyperlink>
        </w:p>
        <w:p>
          <w:pPr>
            <w:pStyle w:val="Contents3"/>
            <w:tabs>
              <w:tab w:val="clear" w:pos="8459"/>
              <w:tab w:val="right" w:pos="9026" w:leader="dot"/>
            </w:tabs>
            <w:rPr/>
          </w:pPr>
          <w:hyperlink w:anchor="__RefHeading___Toc7825815_2870459653">
            <w:r>
              <w:rPr>
                <w:webHidden/>
                <w:rStyle w:val="IndexLink"/>
              </w:rPr>
              <w:t>5</w:t>
            </w:r>
            <w:r>
              <w:rPr>
                <w:rStyle w:val="IndexLink"/>
                <w:rtl w:val="true"/>
              </w:rPr>
              <w:t xml:space="preserve">. </w:t>
            </w:r>
            <w:r>
              <w:rPr>
                <w:rStyle w:val="IndexLink"/>
                <w:rtl w:val="true"/>
              </w:rPr>
              <w:t>نتایج</w:t>
            </w:r>
            <w:r>
              <w:rPr>
                <w:rStyle w:val="IndexLink"/>
                <w:rtl w:val="true"/>
              </w:rPr>
              <w:tab/>
            </w:r>
            <w:r>
              <w:rPr>
                <w:rStyle w:val="IndexLink"/>
              </w:rPr>
              <w:t>333</w:t>
            </w:r>
          </w:hyperlink>
        </w:p>
        <w:p>
          <w:pPr>
            <w:pStyle w:val="Contents3"/>
            <w:tabs>
              <w:tab w:val="clear" w:pos="8459"/>
              <w:tab w:val="right" w:pos="9026" w:leader="dot"/>
            </w:tabs>
            <w:rPr/>
          </w:pPr>
          <w:hyperlink w:anchor="__RefHeading___Toc7825817_2870459653">
            <w:r>
              <w:rPr>
                <w:webHidden/>
                <w:rStyle w:val="IndexLink"/>
                <w:rtl w:val="true"/>
              </w:rPr>
              <w:t>منابع</w:t>
            </w:r>
            <w:r>
              <w:rPr>
                <w:rStyle w:val="IndexLink"/>
                <w:rtl w:val="true"/>
              </w:rPr>
              <w:tab/>
            </w:r>
            <w:r>
              <w:rPr>
                <w:rStyle w:val="IndexLink"/>
              </w:rPr>
              <w:t>333</w:t>
            </w:r>
          </w:hyperlink>
        </w:p>
        <w:p>
          <w:pPr>
            <w:pStyle w:val="Contents2"/>
            <w:tabs>
              <w:tab w:val="clear" w:pos="8743"/>
              <w:tab w:val="right" w:pos="9026" w:leader="dot"/>
            </w:tabs>
            <w:rPr/>
          </w:pPr>
          <w:hyperlink w:anchor="__RefHeading___Toc7825819_2870459653">
            <w:r>
              <w:rPr>
                <w:webHidden/>
                <w:rStyle w:val="IndexLink"/>
                <w:rtl w:val="true"/>
              </w:rPr>
              <w:t>چکیده</w:t>
            </w:r>
            <w:r>
              <w:rPr>
                <w:rStyle w:val="IndexLink"/>
                <w:rtl w:val="true"/>
              </w:rPr>
              <w:tab/>
            </w:r>
            <w:r>
              <w:rPr>
                <w:rStyle w:val="IndexLink"/>
              </w:rPr>
              <w:t>336</w:t>
            </w:r>
          </w:hyperlink>
        </w:p>
        <w:p>
          <w:pPr>
            <w:pStyle w:val="Contents2"/>
            <w:tabs>
              <w:tab w:val="clear" w:pos="8743"/>
              <w:tab w:val="right" w:pos="9026" w:leader="dot"/>
            </w:tabs>
            <w:rPr/>
          </w:pPr>
          <w:hyperlink w:anchor="__RefHeading___Toc7825821_2870459653">
            <w:r>
              <w:rPr>
                <w:webHidden/>
                <w:rStyle w:val="IndexLink"/>
                <w:rtl w:val="true"/>
              </w:rPr>
              <w:t>دوستان کتاب</w:t>
            </w:r>
            <w:r>
              <w:rPr>
                <w:rStyle w:val="IndexLink"/>
                <w:rtl w:val="true"/>
              </w:rPr>
              <w:t xml:space="preserve">: </w:t>
            </w:r>
            <w:r>
              <w:rPr>
                <w:rStyle w:val="IndexLink"/>
                <w:rtl w:val="true"/>
              </w:rPr>
              <w:t>پرورش و فرهنگ، عادات خواندن در میان بیماران بخش کودکان و اولیاء در بیمارستان دانشگاه سِینز مالزی</w:t>
            </w:r>
            <w:r>
              <w:rPr>
                <w:rStyle w:val="IndexLink"/>
                <w:rtl w:val="true"/>
              </w:rPr>
              <w:tab/>
            </w:r>
            <w:r>
              <w:rPr>
                <w:rStyle w:val="IndexLink"/>
              </w:rPr>
              <w:t>337</w:t>
            </w:r>
          </w:hyperlink>
        </w:p>
        <w:p>
          <w:pPr>
            <w:pStyle w:val="Contents3"/>
            <w:tabs>
              <w:tab w:val="clear" w:pos="8459"/>
              <w:tab w:val="right" w:pos="9026" w:leader="dot"/>
            </w:tabs>
            <w:rPr/>
          </w:pPr>
          <w:hyperlink w:anchor="__RefHeading___Toc7825823_2870459653">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7825825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337</w:t>
            </w:r>
          </w:hyperlink>
        </w:p>
        <w:p>
          <w:pPr>
            <w:pStyle w:val="Contents3"/>
            <w:tabs>
              <w:tab w:val="clear" w:pos="8459"/>
              <w:tab w:val="right" w:pos="9026" w:leader="dot"/>
            </w:tabs>
            <w:rPr/>
          </w:pPr>
          <w:hyperlink w:anchor="__RefHeading___Toc7825827_2870459653">
            <w:r>
              <w:rPr>
                <w:webHidden/>
                <w:rStyle w:val="IndexLink"/>
              </w:rPr>
              <w:t>2</w:t>
            </w:r>
            <w:r>
              <w:rPr>
                <w:rStyle w:val="IndexLink"/>
                <w:rtl w:val="true"/>
              </w:rPr>
              <w:t xml:space="preserve">. </w:t>
            </w:r>
            <w:r>
              <w:rPr>
                <w:rStyle w:val="IndexLink"/>
                <w:rtl w:val="true"/>
              </w:rPr>
              <w:t>تاریخچه مطالعه</w:t>
            </w:r>
            <w:r>
              <w:rPr>
                <w:rStyle w:val="IndexLink"/>
                <w:rtl w:val="true"/>
              </w:rPr>
              <w:t>:</w:t>
              <w:tab/>
            </w:r>
            <w:r>
              <w:rPr>
                <w:rStyle w:val="IndexLink"/>
              </w:rPr>
              <w:t>338</w:t>
            </w:r>
          </w:hyperlink>
        </w:p>
        <w:p>
          <w:pPr>
            <w:pStyle w:val="Contents3"/>
            <w:tabs>
              <w:tab w:val="clear" w:pos="8459"/>
              <w:tab w:val="right" w:pos="9026" w:leader="dot"/>
            </w:tabs>
            <w:rPr/>
          </w:pPr>
          <w:hyperlink w:anchor="__RefHeading___Toc7825829_2870459653">
            <w:r>
              <w:rPr>
                <w:webHidden/>
                <w:rStyle w:val="IndexLink"/>
              </w:rPr>
              <w:t>3</w:t>
            </w:r>
            <w:r>
              <w:rPr>
                <w:rStyle w:val="IndexLink"/>
                <w:rtl w:val="true"/>
              </w:rPr>
              <w:t xml:space="preserve">- </w:t>
            </w:r>
            <w:r>
              <w:rPr>
                <w:rStyle w:val="IndexLink"/>
                <w:rtl w:val="true"/>
              </w:rPr>
              <w:t>کتاب درمانی</w:t>
            </w:r>
            <w:r>
              <w:rPr>
                <w:rStyle w:val="IndexLink"/>
                <w:rtl w:val="true"/>
              </w:rPr>
              <w:tab/>
            </w:r>
            <w:r>
              <w:rPr>
                <w:rStyle w:val="IndexLink"/>
              </w:rPr>
              <w:t>339</w:t>
            </w:r>
          </w:hyperlink>
        </w:p>
        <w:p>
          <w:pPr>
            <w:pStyle w:val="Contents4"/>
            <w:tabs>
              <w:tab w:val="clear" w:pos="8176"/>
              <w:tab w:val="right" w:pos="9026" w:leader="dot"/>
            </w:tabs>
            <w:rPr/>
          </w:pPr>
          <w:hyperlink w:anchor="__RefHeading___Toc7825831_2870459653">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7825833_2870459653">
            <w:r>
              <w:rPr>
                <w:webHidden/>
                <w:rStyle w:val="IndexLink"/>
              </w:rPr>
              <w:t>1.3</w:t>
            </w:r>
            <w:r>
              <w:rPr>
                <w:rStyle w:val="IndexLink"/>
                <w:rtl w:val="true"/>
              </w:rPr>
              <w:t xml:space="preserve">. </w:t>
            </w:r>
            <w:r>
              <w:rPr>
                <w:rStyle w:val="IndexLink"/>
                <w:rtl w:val="true"/>
              </w:rPr>
              <w:t>انواع کتاب درمانی</w:t>
            </w:r>
            <w:r>
              <w:rPr>
                <w:rStyle w:val="IndexLink"/>
                <w:rtl w:val="true"/>
              </w:rPr>
              <w:tab/>
            </w:r>
            <w:r>
              <w:rPr>
                <w:rStyle w:val="IndexLink"/>
              </w:rPr>
              <w:t>340</w:t>
            </w:r>
          </w:hyperlink>
        </w:p>
        <w:p>
          <w:pPr>
            <w:pStyle w:val="Contents4"/>
            <w:tabs>
              <w:tab w:val="clear" w:pos="8176"/>
              <w:tab w:val="right" w:pos="9026" w:leader="dot"/>
            </w:tabs>
            <w:rPr/>
          </w:pPr>
          <w:hyperlink w:anchor="__RefHeading___Toc7825835_2870459653">
            <w:r>
              <w:rPr>
                <w:webHidden/>
                <w:rStyle w:val="IndexLink"/>
              </w:rPr>
              <w:t>2.3</w:t>
            </w:r>
            <w:r>
              <w:rPr>
                <w:rStyle w:val="IndexLink"/>
                <w:rtl w:val="true"/>
              </w:rPr>
              <w:t xml:space="preserve">. </w:t>
            </w:r>
            <w:r>
              <w:rPr>
                <w:rStyle w:val="IndexLink"/>
                <w:rtl w:val="true"/>
              </w:rPr>
              <w:t>فرآیند کتاب درمانی</w:t>
            </w:r>
            <w:r>
              <w:rPr>
                <w:rStyle w:val="IndexLink"/>
                <w:rtl w:val="true"/>
              </w:rPr>
              <w:tab/>
            </w:r>
            <w:r>
              <w:rPr>
                <w:rStyle w:val="IndexLink"/>
              </w:rPr>
              <w:t>341</w:t>
            </w:r>
          </w:hyperlink>
        </w:p>
        <w:p>
          <w:pPr>
            <w:pStyle w:val="Contents4"/>
            <w:tabs>
              <w:tab w:val="clear" w:pos="8176"/>
              <w:tab w:val="right" w:pos="9026" w:leader="dot"/>
            </w:tabs>
            <w:rPr/>
          </w:pPr>
          <w:hyperlink w:anchor="__RefHeading___Toc7825837_2870459653">
            <w:r>
              <w:rPr>
                <w:webHidden/>
                <w:rStyle w:val="IndexLink"/>
              </w:rPr>
              <w:t>3.3</w:t>
            </w:r>
            <w:r>
              <w:rPr>
                <w:rStyle w:val="IndexLink"/>
                <w:rtl w:val="true"/>
              </w:rPr>
              <w:t xml:space="preserve">. </w:t>
            </w:r>
            <w:r>
              <w:rPr>
                <w:rStyle w:val="IndexLink"/>
                <w:rtl w:val="true"/>
              </w:rPr>
              <w:t>روش های کتاب درمانی</w:t>
            </w:r>
            <w:r>
              <w:rPr>
                <w:rStyle w:val="IndexLink"/>
                <w:rtl w:val="true"/>
              </w:rPr>
              <w:tab/>
            </w:r>
            <w:r>
              <w:rPr>
                <w:rStyle w:val="IndexLink"/>
              </w:rPr>
              <w:t>341</w:t>
            </w:r>
          </w:hyperlink>
        </w:p>
        <w:p>
          <w:pPr>
            <w:pStyle w:val="Contents4"/>
            <w:tabs>
              <w:tab w:val="clear" w:pos="8176"/>
              <w:tab w:val="right" w:pos="9026" w:leader="dot"/>
            </w:tabs>
            <w:rPr/>
          </w:pPr>
          <w:hyperlink w:anchor="__RefHeading___Toc7825839_2870459653">
            <w:r>
              <w:rPr>
                <w:webHidden/>
                <w:rStyle w:val="IndexLink"/>
              </w:rPr>
              <w:t>4.3</w:t>
            </w:r>
            <w:r>
              <w:rPr>
                <w:rStyle w:val="IndexLink"/>
                <w:rtl w:val="true"/>
              </w:rPr>
              <w:t xml:space="preserve">. </w:t>
            </w:r>
            <w:r>
              <w:rPr>
                <w:rStyle w:val="IndexLink"/>
                <w:rtl w:val="true"/>
              </w:rPr>
              <w:t>مزایا و اشکالات</w:t>
            </w:r>
            <w:r>
              <w:rPr>
                <w:rStyle w:val="IndexLink"/>
                <w:rtl w:val="true"/>
              </w:rPr>
              <w:tab/>
            </w:r>
            <w:r>
              <w:rPr>
                <w:rStyle w:val="IndexLink"/>
              </w:rPr>
              <w:t>342</w:t>
            </w:r>
          </w:hyperlink>
        </w:p>
        <w:p>
          <w:pPr>
            <w:pStyle w:val="Contents3"/>
            <w:tabs>
              <w:tab w:val="clear" w:pos="8459"/>
              <w:tab w:val="right" w:pos="9026" w:leader="dot"/>
            </w:tabs>
            <w:rPr/>
          </w:pPr>
          <w:hyperlink w:anchor="__RefHeading___Toc7825841_2870459653">
            <w:r>
              <w:rPr>
                <w:webHidden/>
                <w:rStyle w:val="IndexLink"/>
              </w:rPr>
              <w:t>4</w:t>
            </w:r>
            <w:r>
              <w:rPr>
                <w:rStyle w:val="IndexLink"/>
                <w:rtl w:val="true"/>
              </w:rPr>
              <w:t xml:space="preserve">. </w:t>
            </w:r>
            <w:r>
              <w:rPr>
                <w:rStyle w:val="IndexLink"/>
                <w:rtl w:val="true"/>
              </w:rPr>
              <w:t>اهداف</w:t>
            </w:r>
            <w:r>
              <w:rPr>
                <w:rStyle w:val="IndexLink"/>
                <w:rtl w:val="true"/>
              </w:rPr>
              <w:tab/>
            </w:r>
            <w:r>
              <w:rPr>
                <w:rStyle w:val="IndexLink"/>
              </w:rPr>
              <w:t>342</w:t>
            </w:r>
          </w:hyperlink>
        </w:p>
        <w:p>
          <w:pPr>
            <w:pStyle w:val="Contents4"/>
            <w:tabs>
              <w:tab w:val="clear" w:pos="8176"/>
              <w:tab w:val="right" w:pos="9026" w:leader="dot"/>
            </w:tabs>
            <w:rPr/>
          </w:pPr>
          <w:hyperlink w:anchor="__RefHeading___Toc7825843_2870459653">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7825845_2870459653">
            <w:r>
              <w:rPr>
                <w:webHidden/>
                <w:rStyle w:val="IndexLink"/>
              </w:rPr>
              <w:t>5</w:t>
            </w:r>
            <w:r>
              <w:rPr>
                <w:rStyle w:val="IndexLink"/>
                <w:rtl w:val="true"/>
              </w:rPr>
              <w:t xml:space="preserve">. </w:t>
            </w:r>
            <w:r>
              <w:rPr>
                <w:rStyle w:val="IndexLink"/>
                <w:rtl w:val="true"/>
              </w:rPr>
              <w:t>اجرای طرح</w:t>
            </w:r>
            <w:r>
              <w:rPr>
                <w:rStyle w:val="IndexLink"/>
                <w:rtl w:val="true"/>
              </w:rPr>
              <w:tab/>
            </w:r>
            <w:r>
              <w:rPr>
                <w:rStyle w:val="IndexLink"/>
              </w:rPr>
              <w:t>343</w:t>
            </w:r>
          </w:hyperlink>
        </w:p>
        <w:p>
          <w:pPr>
            <w:pStyle w:val="Contents4"/>
            <w:tabs>
              <w:tab w:val="clear" w:pos="8176"/>
              <w:tab w:val="right" w:pos="9026" w:leader="dot"/>
            </w:tabs>
            <w:rPr/>
          </w:pPr>
          <w:hyperlink w:anchor="__RefHeading___Toc7825847_2870459653">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7825849_2870459653">
            <w:r>
              <w:rPr>
                <w:webHidden/>
                <w:rStyle w:val="IndexLink"/>
              </w:rPr>
              <w:t>1.5</w:t>
            </w:r>
            <w:r>
              <w:rPr>
                <w:rStyle w:val="IndexLink"/>
                <w:rtl w:val="true"/>
              </w:rPr>
              <w:t xml:space="preserve">. </w:t>
            </w:r>
            <w:r>
              <w:rPr>
                <w:rStyle w:val="IndexLink"/>
                <w:rtl w:val="true"/>
              </w:rPr>
              <w:t>مذاکرات و مصاحبه ها</w:t>
            </w:r>
            <w:r>
              <w:rPr>
                <w:rStyle w:val="IndexLink"/>
                <w:rtl w:val="true"/>
              </w:rPr>
              <w:t>:</w:t>
              <w:tab/>
            </w:r>
            <w:r>
              <w:rPr>
                <w:rStyle w:val="IndexLink"/>
              </w:rPr>
              <w:t>343</w:t>
            </w:r>
          </w:hyperlink>
        </w:p>
        <w:p>
          <w:pPr>
            <w:pStyle w:val="Contents4"/>
            <w:tabs>
              <w:tab w:val="clear" w:pos="8176"/>
              <w:tab w:val="right" w:pos="9026" w:leader="dot"/>
            </w:tabs>
            <w:rPr/>
          </w:pPr>
          <w:hyperlink w:anchor="__RefHeading___Toc7825851_2870459653">
            <w:r>
              <w:rPr>
                <w:webHidden/>
                <w:rStyle w:val="IndexLink"/>
              </w:rPr>
              <w:t>2.5</w:t>
            </w:r>
            <w:r>
              <w:rPr>
                <w:rStyle w:val="IndexLink"/>
                <w:rtl w:val="true"/>
              </w:rPr>
              <w:t xml:space="preserve">. </w:t>
            </w:r>
            <w:r>
              <w:rPr>
                <w:rStyle w:val="IndexLink"/>
                <w:rtl w:val="true"/>
              </w:rPr>
              <w:t>مشاهدات</w:t>
            </w:r>
            <w:r>
              <w:rPr>
                <w:rStyle w:val="IndexLink"/>
                <w:rtl w:val="true"/>
              </w:rPr>
              <w:t>:</w:t>
              <w:tab/>
            </w:r>
            <w:r>
              <w:rPr>
                <w:rStyle w:val="IndexLink"/>
              </w:rPr>
              <w:t>343</w:t>
            </w:r>
          </w:hyperlink>
        </w:p>
        <w:p>
          <w:pPr>
            <w:pStyle w:val="Contents4"/>
            <w:tabs>
              <w:tab w:val="clear" w:pos="8176"/>
              <w:tab w:val="right" w:pos="9026" w:leader="dot"/>
            </w:tabs>
            <w:rPr/>
          </w:pPr>
          <w:hyperlink w:anchor="__RefHeading___Toc7825853_2870459653">
            <w:r>
              <w:rPr>
                <w:webHidden/>
                <w:rStyle w:val="IndexLink"/>
              </w:rPr>
              <w:t>3.5</w:t>
            </w:r>
            <w:r>
              <w:rPr>
                <w:rStyle w:val="IndexLink"/>
                <w:rtl w:val="true"/>
              </w:rPr>
              <w:t xml:space="preserve">. </w:t>
            </w:r>
            <w:r>
              <w:rPr>
                <w:rStyle w:val="IndexLink"/>
                <w:rtl w:val="true"/>
              </w:rPr>
              <w:t>انجام فعالیت های منظم</w:t>
            </w:r>
            <w:r>
              <w:rPr>
                <w:rStyle w:val="IndexLink"/>
                <w:rtl w:val="true"/>
              </w:rPr>
              <w:t>:</w:t>
              <w:tab/>
            </w:r>
            <w:r>
              <w:rPr>
                <w:rStyle w:val="IndexLink"/>
              </w:rPr>
              <w:t>344</w:t>
            </w:r>
          </w:hyperlink>
        </w:p>
        <w:p>
          <w:pPr>
            <w:pStyle w:val="Contents3"/>
            <w:tabs>
              <w:tab w:val="clear" w:pos="8459"/>
              <w:tab w:val="right" w:pos="9026" w:leader="dot"/>
            </w:tabs>
            <w:rPr/>
          </w:pPr>
          <w:hyperlink w:anchor="__RefHeading___Toc7825855_2870459653">
            <w:r>
              <w:rPr>
                <w:webHidden/>
                <w:rStyle w:val="IndexLink"/>
              </w:rPr>
              <w:t>6</w:t>
            </w:r>
            <w:r>
              <w:rPr>
                <w:rStyle w:val="IndexLink"/>
                <w:rtl w:val="true"/>
              </w:rPr>
              <w:t xml:space="preserve">. </w:t>
            </w:r>
            <w:r>
              <w:rPr>
                <w:rStyle w:val="IndexLink"/>
                <w:rtl w:val="true"/>
              </w:rPr>
              <w:t>مرور طرح</w:t>
            </w:r>
            <w:r>
              <w:rPr>
                <w:rStyle w:val="IndexLink"/>
                <w:rtl w:val="true"/>
              </w:rPr>
              <w:t>:</w:t>
              <w:tab/>
            </w:r>
            <w:r>
              <w:rPr>
                <w:rStyle w:val="IndexLink"/>
              </w:rPr>
              <w:t>344</w:t>
            </w:r>
          </w:hyperlink>
        </w:p>
        <w:p>
          <w:pPr>
            <w:pStyle w:val="Contents4"/>
            <w:tabs>
              <w:tab w:val="clear" w:pos="8176"/>
              <w:tab w:val="right" w:pos="9026" w:leader="dot"/>
            </w:tabs>
            <w:rPr/>
          </w:pPr>
          <w:hyperlink w:anchor="__RefHeading___Toc7825857_2870459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7825859_2870459653">
            <w:r>
              <w:rPr>
                <w:webHidden/>
                <w:rStyle w:val="IndexLink"/>
              </w:rPr>
              <w:t>1.6</w:t>
            </w:r>
            <w:r>
              <w:rPr>
                <w:rStyle w:val="IndexLink"/>
                <w:rtl w:val="true"/>
              </w:rPr>
              <w:t xml:space="preserve">. </w:t>
            </w:r>
            <w:r>
              <w:rPr>
                <w:rStyle w:val="IndexLink"/>
                <w:rtl w:val="true"/>
              </w:rPr>
              <w:t>تأثیر پرورش دادن مزیت های خواندن</w:t>
            </w:r>
            <w:r>
              <w:rPr>
                <w:rStyle w:val="IndexLink"/>
                <w:rtl w:val="true"/>
              </w:rPr>
              <w:t>:</w:t>
              <w:tab/>
            </w:r>
            <w:r>
              <w:rPr>
                <w:rStyle w:val="IndexLink"/>
              </w:rPr>
              <w:t>344</w:t>
            </w:r>
          </w:hyperlink>
        </w:p>
        <w:p>
          <w:pPr>
            <w:pStyle w:val="Contents4"/>
            <w:tabs>
              <w:tab w:val="clear" w:pos="8176"/>
              <w:tab w:val="right" w:pos="9026" w:leader="dot"/>
            </w:tabs>
            <w:rPr/>
          </w:pPr>
          <w:hyperlink w:anchor="__RefHeading___Toc7825861_2870459653">
            <w:r>
              <w:rPr>
                <w:webHidden/>
                <w:rStyle w:val="IndexLink"/>
              </w:rPr>
              <w:t>2.6</w:t>
            </w:r>
            <w:r>
              <w:rPr>
                <w:rStyle w:val="IndexLink"/>
                <w:rtl w:val="true"/>
              </w:rPr>
              <w:t xml:space="preserve">. </w:t>
            </w:r>
            <w:r>
              <w:rPr>
                <w:rStyle w:val="IndexLink"/>
                <w:rtl w:val="true"/>
              </w:rPr>
              <w:t>درد، هیجان و اضطراب کاهش یافته</w:t>
            </w:r>
            <w:r>
              <w:rPr>
                <w:rStyle w:val="IndexLink"/>
                <w:rtl w:val="true"/>
              </w:rPr>
              <w:t>:</w:t>
              <w:tab/>
            </w:r>
            <w:r>
              <w:rPr>
                <w:rStyle w:val="IndexLink"/>
              </w:rPr>
              <w:t>345</w:t>
            </w:r>
          </w:hyperlink>
        </w:p>
        <w:p>
          <w:pPr>
            <w:pStyle w:val="Contents4"/>
            <w:tabs>
              <w:tab w:val="clear" w:pos="8176"/>
              <w:tab w:val="right" w:pos="9026" w:leader="dot"/>
            </w:tabs>
            <w:rPr/>
          </w:pPr>
          <w:hyperlink w:anchor="__RefHeading___Toc7825863_2870459653">
            <w:r>
              <w:rPr>
                <w:webHidden/>
                <w:rStyle w:val="IndexLink"/>
              </w:rPr>
              <w:t>3.6</w:t>
            </w:r>
            <w:r>
              <w:rPr>
                <w:rStyle w:val="IndexLink"/>
                <w:rtl w:val="true"/>
              </w:rPr>
              <w:t xml:space="preserve">. </w:t>
            </w:r>
            <w:r>
              <w:rPr>
                <w:rStyle w:val="IndexLink"/>
                <w:rtl w:val="true"/>
              </w:rPr>
              <w:t>رشد شناختی بیمار</w:t>
            </w:r>
            <w:r>
              <w:rPr>
                <w:rStyle w:val="IndexLink"/>
                <w:rtl w:val="true"/>
              </w:rPr>
              <w:t>:</w:t>
              <w:tab/>
            </w:r>
            <w:r>
              <w:rPr>
                <w:rStyle w:val="IndexLink"/>
              </w:rPr>
              <w:t>345</w:t>
            </w:r>
          </w:hyperlink>
        </w:p>
        <w:p>
          <w:pPr>
            <w:pStyle w:val="Contents4"/>
            <w:tabs>
              <w:tab w:val="clear" w:pos="8176"/>
              <w:tab w:val="right" w:pos="9026" w:leader="dot"/>
            </w:tabs>
            <w:rPr/>
          </w:pPr>
          <w:hyperlink w:anchor="__RefHeading___Toc7825865_2870459653">
            <w:r>
              <w:rPr>
                <w:webHidden/>
                <w:rStyle w:val="IndexLink"/>
              </w:rPr>
              <w:t>4.6</w:t>
            </w:r>
            <w:r>
              <w:rPr>
                <w:rStyle w:val="IndexLink"/>
                <w:rtl w:val="true"/>
              </w:rPr>
              <w:t xml:space="preserve">. </w:t>
            </w:r>
            <w:r>
              <w:rPr>
                <w:rStyle w:val="IndexLink"/>
                <w:rtl w:val="true"/>
              </w:rPr>
              <w:t>حمایت معنوی</w:t>
            </w:r>
            <w:r>
              <w:rPr>
                <w:rStyle w:val="IndexLink"/>
                <w:rtl w:val="true"/>
              </w:rPr>
              <w:t>:</w:t>
              <w:tab/>
            </w:r>
            <w:r>
              <w:rPr>
                <w:rStyle w:val="IndexLink"/>
              </w:rPr>
              <w:t>345</w:t>
            </w:r>
          </w:hyperlink>
        </w:p>
        <w:p>
          <w:pPr>
            <w:pStyle w:val="Contents4"/>
            <w:tabs>
              <w:tab w:val="clear" w:pos="8176"/>
              <w:tab w:val="right" w:pos="9026" w:leader="dot"/>
            </w:tabs>
            <w:rPr/>
          </w:pPr>
          <w:hyperlink w:anchor="__RefHeading___Toc7825867_2870459653">
            <w:r>
              <w:rPr>
                <w:webHidden/>
                <w:rStyle w:val="IndexLink"/>
              </w:rPr>
              <w:t>5.6</w:t>
            </w:r>
            <w:r>
              <w:rPr>
                <w:rStyle w:val="IndexLink"/>
                <w:rtl w:val="true"/>
              </w:rPr>
              <w:t xml:space="preserve">. </w:t>
            </w:r>
            <w:r>
              <w:rPr>
                <w:rStyle w:val="IndexLink"/>
                <w:rtl w:val="true"/>
              </w:rPr>
              <w:t>همکاری آسان تر بیمار</w:t>
            </w:r>
            <w:r>
              <w:rPr>
                <w:rStyle w:val="IndexLink"/>
                <w:rtl w:val="true"/>
              </w:rPr>
              <w:t>:</w:t>
              <w:tab/>
            </w:r>
            <w:r>
              <w:rPr>
                <w:rStyle w:val="IndexLink"/>
              </w:rPr>
              <w:t>346</w:t>
            </w:r>
          </w:hyperlink>
        </w:p>
        <w:p>
          <w:pPr>
            <w:pStyle w:val="Contents4"/>
            <w:tabs>
              <w:tab w:val="clear" w:pos="8176"/>
              <w:tab w:val="right" w:pos="9026" w:leader="dot"/>
            </w:tabs>
            <w:rPr/>
          </w:pPr>
          <w:hyperlink w:anchor="__RefHeading___Toc7825869_2870459653">
            <w:r>
              <w:rPr>
                <w:webHidden/>
                <w:rStyle w:val="IndexLink"/>
              </w:rPr>
              <w:t>6.6</w:t>
            </w:r>
            <w:r>
              <w:rPr>
                <w:rStyle w:val="IndexLink"/>
                <w:rtl w:val="true"/>
              </w:rPr>
              <w:t xml:space="preserve">. </w:t>
            </w:r>
            <w:r>
              <w:rPr>
                <w:rStyle w:val="IndexLink"/>
                <w:rtl w:val="true"/>
              </w:rPr>
              <w:t>تعاملات مؤثر</w:t>
            </w:r>
            <w:r>
              <w:rPr>
                <w:rStyle w:val="IndexLink"/>
                <w:rtl w:val="true"/>
              </w:rPr>
              <w:t>:</w:t>
              <w:tab/>
            </w:r>
            <w:r>
              <w:rPr>
                <w:rStyle w:val="IndexLink"/>
              </w:rPr>
              <w:t>346</w:t>
            </w:r>
          </w:hyperlink>
        </w:p>
        <w:p>
          <w:pPr>
            <w:pStyle w:val="Contents4"/>
            <w:tabs>
              <w:tab w:val="clear" w:pos="8176"/>
              <w:tab w:val="right" w:pos="9026" w:leader="dot"/>
            </w:tabs>
            <w:rPr/>
          </w:pPr>
          <w:hyperlink w:anchor="__RefHeading___Toc7825871_2870459653">
            <w:r>
              <w:rPr>
                <w:webHidden/>
                <w:rStyle w:val="IndexLink"/>
              </w:rPr>
              <w:t>7.6</w:t>
            </w:r>
            <w:r>
              <w:rPr>
                <w:rStyle w:val="IndexLink"/>
                <w:rtl w:val="true"/>
              </w:rPr>
              <w:t xml:space="preserve">. </w:t>
            </w:r>
            <w:r>
              <w:rPr>
                <w:rStyle w:val="IndexLink"/>
                <w:rtl w:val="true"/>
              </w:rPr>
              <w:t>تعاون</w:t>
            </w:r>
            <w:r>
              <w:rPr>
                <w:rStyle w:val="IndexLink"/>
                <w:rtl w:val="true"/>
              </w:rPr>
              <w:t>:</w:t>
              <w:tab/>
            </w:r>
            <w:r>
              <w:rPr>
                <w:rStyle w:val="IndexLink"/>
              </w:rPr>
              <w:t>346</w:t>
            </w:r>
          </w:hyperlink>
        </w:p>
        <w:p>
          <w:pPr>
            <w:pStyle w:val="Contents4"/>
            <w:tabs>
              <w:tab w:val="clear" w:pos="8176"/>
              <w:tab w:val="right" w:pos="9026" w:leader="dot"/>
            </w:tabs>
            <w:rPr/>
          </w:pPr>
          <w:hyperlink w:anchor="__RefHeading___Toc7825873_2870459653">
            <w:r>
              <w:rPr>
                <w:webHidden/>
                <w:rStyle w:val="IndexLink"/>
              </w:rPr>
              <w:t>6.8</w:t>
            </w:r>
            <w:r>
              <w:rPr>
                <w:rStyle w:val="IndexLink"/>
                <w:rtl w:val="true"/>
              </w:rPr>
              <w:t xml:space="preserve">. </w:t>
            </w:r>
            <w:r>
              <w:rPr>
                <w:rStyle w:val="IndexLink"/>
                <w:rtl w:val="true"/>
              </w:rPr>
              <w:t>موانع و چالش ها</w:t>
            </w:r>
            <w:r>
              <w:rPr>
                <w:rStyle w:val="IndexLink"/>
                <w:rtl w:val="true"/>
              </w:rPr>
              <w:t>:</w:t>
              <w:tab/>
            </w:r>
            <w:r>
              <w:rPr>
                <w:rStyle w:val="IndexLink"/>
              </w:rPr>
              <w:t>346</w:t>
            </w:r>
          </w:hyperlink>
        </w:p>
        <w:p>
          <w:pPr>
            <w:pStyle w:val="Contents4"/>
            <w:tabs>
              <w:tab w:val="clear" w:pos="8176"/>
              <w:tab w:val="right" w:pos="9026" w:leader="dot"/>
            </w:tabs>
            <w:rPr/>
          </w:pPr>
          <w:hyperlink w:anchor="__RefHeading___Toc7825875_2870459653">
            <w:r>
              <w:rPr>
                <w:webHidden/>
                <w:rStyle w:val="IndexLink"/>
              </w:rPr>
              <w:t>9.6</w:t>
            </w:r>
            <w:r>
              <w:rPr>
                <w:rStyle w:val="IndexLink"/>
                <w:rtl w:val="true"/>
              </w:rPr>
              <w:t xml:space="preserve">. </w:t>
            </w:r>
            <w:r>
              <w:rPr>
                <w:rStyle w:val="IndexLink"/>
                <w:rtl w:val="true"/>
              </w:rPr>
              <w:t>واکنش و کار گروهی</w:t>
            </w:r>
            <w:r>
              <w:rPr>
                <w:rStyle w:val="IndexLink"/>
                <w:rtl w:val="true"/>
              </w:rPr>
              <w:t>:</w:t>
              <w:tab/>
            </w:r>
            <w:r>
              <w:rPr>
                <w:rStyle w:val="IndexLink"/>
              </w:rPr>
              <w:t>347</w:t>
            </w:r>
          </w:hyperlink>
        </w:p>
        <w:p>
          <w:pPr>
            <w:pStyle w:val="Contents4"/>
            <w:tabs>
              <w:tab w:val="clear" w:pos="8176"/>
              <w:tab w:val="right" w:pos="9026" w:leader="dot"/>
            </w:tabs>
            <w:rPr/>
          </w:pPr>
          <w:hyperlink w:anchor="__RefHeading___Toc7825877_2870459653">
            <w:r>
              <w:rPr>
                <w:webHidden/>
                <w:rStyle w:val="IndexLink"/>
              </w:rPr>
              <w:t>10.6</w:t>
            </w:r>
            <w:r>
              <w:rPr>
                <w:rStyle w:val="IndexLink"/>
                <w:rtl w:val="true"/>
              </w:rPr>
              <w:t xml:space="preserve">. </w:t>
            </w:r>
            <w:r>
              <w:rPr>
                <w:rStyle w:val="IndexLink"/>
                <w:rtl w:val="true"/>
              </w:rPr>
              <w:t>منابع و زمان</w:t>
            </w:r>
            <w:r>
              <w:rPr>
                <w:rStyle w:val="IndexLink"/>
                <w:rtl w:val="true"/>
              </w:rPr>
              <w:t>:</w:t>
              <w:tab/>
            </w:r>
            <w:r>
              <w:rPr>
                <w:rStyle w:val="IndexLink"/>
              </w:rPr>
              <w:t>347</w:t>
            </w:r>
          </w:hyperlink>
        </w:p>
        <w:p>
          <w:pPr>
            <w:pStyle w:val="Contents4"/>
            <w:tabs>
              <w:tab w:val="clear" w:pos="8176"/>
              <w:tab w:val="right" w:pos="9026" w:leader="dot"/>
            </w:tabs>
            <w:rPr/>
          </w:pPr>
          <w:hyperlink w:anchor="__RefHeading___Toc7825879_2870459653">
            <w:r>
              <w:rPr>
                <w:webHidden/>
                <w:rStyle w:val="IndexLink"/>
              </w:rPr>
              <w:t>11.6</w:t>
            </w:r>
            <w:r>
              <w:rPr>
                <w:rStyle w:val="IndexLink"/>
                <w:rtl w:val="true"/>
              </w:rPr>
              <w:t xml:space="preserve">. </w:t>
            </w:r>
            <w:r>
              <w:rPr>
                <w:rStyle w:val="IndexLink"/>
                <w:rtl w:val="true"/>
              </w:rPr>
              <w:t>مهارت هایی برای داوطلبان در کتاب درمانی</w:t>
            </w:r>
            <w:r>
              <w:rPr>
                <w:rStyle w:val="IndexLink"/>
                <w:rtl w:val="true"/>
              </w:rPr>
              <w:t>:</w:t>
              <w:tab/>
            </w:r>
            <w:r>
              <w:rPr>
                <w:rStyle w:val="IndexLink"/>
              </w:rPr>
              <w:t>347</w:t>
            </w:r>
          </w:hyperlink>
        </w:p>
        <w:p>
          <w:pPr>
            <w:pStyle w:val="Contents4"/>
            <w:tabs>
              <w:tab w:val="clear" w:pos="8176"/>
              <w:tab w:val="right" w:pos="9026" w:leader="dot"/>
            </w:tabs>
            <w:rPr/>
          </w:pPr>
          <w:hyperlink w:anchor="__RefHeading___Toc7825881_2870459653">
            <w:r>
              <w:rPr>
                <w:webHidden/>
                <w:rStyle w:val="IndexLink"/>
              </w:rPr>
              <w:t>12.6</w:t>
            </w:r>
            <w:r>
              <w:rPr>
                <w:rStyle w:val="IndexLink"/>
                <w:rtl w:val="true"/>
              </w:rPr>
              <w:t xml:space="preserve">. </w:t>
            </w:r>
            <w:r>
              <w:rPr>
                <w:rStyle w:val="IndexLink"/>
                <w:rtl w:val="true"/>
              </w:rPr>
              <w:t>سطوح سواد</w:t>
            </w:r>
            <w:r>
              <w:rPr>
                <w:rStyle w:val="IndexLink"/>
                <w:rtl w:val="true"/>
              </w:rPr>
              <w:t>:</w:t>
              <w:tab/>
            </w:r>
            <w:r>
              <w:rPr>
                <w:rStyle w:val="IndexLink"/>
              </w:rPr>
              <w:t>347</w:t>
            </w:r>
          </w:hyperlink>
        </w:p>
        <w:p>
          <w:pPr>
            <w:pStyle w:val="Contents3"/>
            <w:tabs>
              <w:tab w:val="clear" w:pos="8459"/>
              <w:tab w:val="right" w:pos="9026" w:leader="dot"/>
            </w:tabs>
            <w:rPr/>
          </w:pPr>
          <w:hyperlink w:anchor="__RefHeading___Toc7825883_2870459653">
            <w:r>
              <w:rPr>
                <w:webHidden/>
                <w:rStyle w:val="IndexLink"/>
              </w:rPr>
              <w:t>7</w:t>
            </w:r>
            <w:r>
              <w:rPr>
                <w:rStyle w:val="IndexLink"/>
                <w:rtl w:val="true"/>
              </w:rPr>
              <w:t xml:space="preserve">. </w:t>
            </w:r>
            <w:r>
              <w:rPr>
                <w:rStyle w:val="IndexLink"/>
                <w:rtl w:val="true"/>
              </w:rPr>
              <w:t>نتیجه گیری</w:t>
            </w:r>
            <w:r>
              <w:rPr>
                <w:rStyle w:val="IndexLink"/>
                <w:rtl w:val="true"/>
              </w:rPr>
              <w:t>:</w:t>
              <w:tab/>
            </w:r>
            <w:r>
              <w:rPr>
                <w:rStyle w:val="IndexLink"/>
              </w:rPr>
              <w:t>348</w:t>
            </w:r>
          </w:hyperlink>
        </w:p>
        <w:p>
          <w:pPr>
            <w:pStyle w:val="Contents3"/>
            <w:tabs>
              <w:tab w:val="clear" w:pos="8459"/>
              <w:tab w:val="right" w:pos="9026" w:leader="dot"/>
            </w:tabs>
            <w:rPr/>
          </w:pPr>
          <w:hyperlink w:anchor="__RefHeading___Toc7825885_2870459653">
            <w:r>
              <w:rPr>
                <w:webHidden/>
                <w:rStyle w:val="IndexLink"/>
              </w:rPr>
              <w:t>8</w:t>
            </w:r>
            <w:r>
              <w:rPr>
                <w:rStyle w:val="IndexLink"/>
                <w:rtl w:val="true"/>
              </w:rPr>
              <w:t xml:space="preserve">. </w:t>
            </w:r>
            <w:r>
              <w:rPr>
                <w:rStyle w:val="IndexLink"/>
                <w:rtl w:val="true"/>
              </w:rPr>
              <w:t>پیشنهادها</w:t>
            </w:r>
            <w:r>
              <w:rPr>
                <w:rStyle w:val="IndexLink"/>
                <w:rtl w:val="true"/>
              </w:rPr>
              <w:t>:</w:t>
              <w:tab/>
            </w:r>
            <w:r>
              <w:rPr>
                <w:rStyle w:val="IndexLink"/>
              </w:rPr>
              <w:t>348</w:t>
            </w:r>
          </w:hyperlink>
        </w:p>
        <w:p>
          <w:pPr>
            <w:pStyle w:val="Contents3"/>
            <w:tabs>
              <w:tab w:val="clear" w:pos="8459"/>
              <w:tab w:val="right" w:pos="9026" w:leader="dot"/>
            </w:tabs>
            <w:rPr/>
          </w:pPr>
          <w:hyperlink w:anchor="__RefHeading___Toc7825887_2870459653">
            <w:r>
              <w:rPr>
                <w:webHidden/>
                <w:rStyle w:val="IndexLink"/>
                <w:rtl w:val="true"/>
              </w:rPr>
              <w:t>منابع</w:t>
            </w:r>
            <w:r>
              <w:rPr>
                <w:rStyle w:val="IndexLink"/>
                <w:rtl w:val="true"/>
              </w:rPr>
              <w:tab/>
            </w:r>
            <w:r>
              <w:rPr>
                <w:rStyle w:val="IndexLink"/>
              </w:rPr>
              <w:t>348</w:t>
            </w:r>
          </w:hyperlink>
        </w:p>
        <w:p>
          <w:pPr>
            <w:pStyle w:val="Contents2"/>
            <w:tabs>
              <w:tab w:val="clear" w:pos="8743"/>
              <w:tab w:val="right" w:pos="9026" w:leader="dot"/>
            </w:tabs>
            <w:rPr/>
          </w:pPr>
          <w:hyperlink w:anchor="__RefHeading___Toc7825889_2870459653">
            <w:r>
              <w:rPr>
                <w:webHidden/>
                <w:rStyle w:val="IndexLink"/>
                <w:rtl w:val="true"/>
              </w:rPr>
              <w:t>چکیده</w:t>
            </w:r>
            <w:r>
              <w:rPr>
                <w:rStyle w:val="IndexLink"/>
                <w:rtl w:val="true"/>
              </w:rPr>
              <w:tab/>
            </w:r>
            <w:r>
              <w:rPr>
                <w:rStyle w:val="IndexLink"/>
              </w:rPr>
              <w:t>350</w:t>
            </w:r>
          </w:hyperlink>
        </w:p>
        <w:p>
          <w:pPr>
            <w:pStyle w:val="Contents2"/>
            <w:tabs>
              <w:tab w:val="clear" w:pos="8743"/>
              <w:tab w:val="right" w:pos="9026" w:leader="dot"/>
            </w:tabs>
            <w:rPr/>
          </w:pPr>
          <w:hyperlink w:anchor="__RefHeading___Toc7825891_2870459653">
            <w:r>
              <w:rPr>
                <w:webHidden/>
                <w:rStyle w:val="IndexLink"/>
                <w:rtl w:val="true"/>
              </w:rPr>
              <w:t>کاربران فراموش نکنید</w:t>
            </w:r>
            <w:r>
              <w:rPr>
                <w:rStyle w:val="IndexLink"/>
                <w:rtl w:val="true"/>
              </w:rPr>
              <w:t xml:space="preserve">! </w:t>
            </w:r>
            <w:r>
              <w:rPr>
                <w:rStyle w:val="IndexLink"/>
                <w:rtl w:val="true"/>
              </w:rPr>
              <w:t>درگاه رسانه های دیداری شنیداری با رویکرد کاربر محور در حال توسعه است</w:t>
            </w:r>
            <w:r>
              <w:rPr>
                <w:rStyle w:val="IndexLink"/>
                <w:rtl w:val="true"/>
              </w:rPr>
              <w:tab/>
            </w:r>
            <w:r>
              <w:rPr>
                <w:rStyle w:val="IndexLink"/>
              </w:rPr>
              <w:t>351</w:t>
            </w:r>
          </w:hyperlink>
        </w:p>
        <w:p>
          <w:pPr>
            <w:pStyle w:val="Contents3"/>
            <w:tabs>
              <w:tab w:val="clear" w:pos="8459"/>
              <w:tab w:val="right" w:pos="9026" w:leader="dot"/>
            </w:tabs>
            <w:rPr/>
          </w:pPr>
          <w:hyperlink w:anchor="__RefHeading___Toc7825893_2870459653">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7825895_2870459653">
            <w:r>
              <w:rPr>
                <w:webHidden/>
                <w:rStyle w:val="IndexLink"/>
              </w:rPr>
              <w:t>1</w:t>
            </w:r>
            <w:r>
              <w:rPr>
                <w:rStyle w:val="IndexLink"/>
                <w:rtl w:val="true"/>
              </w:rPr>
              <w:t xml:space="preserve">. </w:t>
            </w:r>
            <w:r>
              <w:rPr>
                <w:rStyle w:val="IndexLink"/>
                <w:rtl w:val="true"/>
              </w:rPr>
              <w:t xml:space="preserve">درگاه تیب </w:t>
            </w:r>
            <w:r>
              <w:rPr>
                <w:rStyle w:val="IndexLink"/>
                <w:rtl w:val="true"/>
              </w:rPr>
              <w:t xml:space="preserve">/ </w:t>
            </w:r>
            <w:r>
              <w:rPr>
                <w:rStyle w:val="IndexLink"/>
                <w:rtl w:val="true"/>
              </w:rPr>
              <w:t>ای وی</w:t>
            </w:r>
            <w:r>
              <w:rPr>
                <w:rStyle w:val="IndexLink"/>
                <w:rtl w:val="true"/>
              </w:rPr>
              <w:tab/>
            </w:r>
            <w:r>
              <w:rPr>
                <w:rStyle w:val="IndexLink"/>
              </w:rPr>
              <w:t>351</w:t>
            </w:r>
          </w:hyperlink>
        </w:p>
        <w:p>
          <w:pPr>
            <w:pStyle w:val="Contents3"/>
            <w:tabs>
              <w:tab w:val="clear" w:pos="8459"/>
              <w:tab w:val="right" w:pos="9026" w:leader="dot"/>
            </w:tabs>
            <w:rPr/>
          </w:pPr>
          <w:hyperlink w:anchor="__RefHeading___Toc7825897_2870459653">
            <w:r>
              <w:rPr>
                <w:webHidden/>
                <w:rStyle w:val="IndexLink"/>
              </w:rPr>
              <w:t>2</w:t>
            </w:r>
            <w:r>
              <w:rPr>
                <w:rStyle w:val="IndexLink"/>
                <w:rtl w:val="true"/>
              </w:rPr>
              <w:t xml:space="preserve">. </w:t>
            </w:r>
            <w:r>
              <w:rPr>
                <w:rStyle w:val="IndexLink"/>
                <w:rtl w:val="true"/>
              </w:rPr>
              <w:t xml:space="preserve">طرح انسان محور در طرح درگاه تیب </w:t>
            </w:r>
            <w:r>
              <w:rPr>
                <w:rStyle w:val="IndexLink"/>
                <w:rtl w:val="true"/>
              </w:rPr>
              <w:t xml:space="preserve">/ </w:t>
            </w:r>
            <w:r>
              <w:rPr>
                <w:rStyle w:val="IndexLink"/>
                <w:rtl w:val="true"/>
              </w:rPr>
              <w:t>ای وی</w:t>
            </w:r>
            <w:r>
              <w:rPr>
                <w:rStyle w:val="IndexLink"/>
                <w:rtl w:val="true"/>
              </w:rPr>
              <w:tab/>
            </w:r>
            <w:r>
              <w:rPr>
                <w:rStyle w:val="IndexLink"/>
              </w:rPr>
              <w:t>354</w:t>
            </w:r>
          </w:hyperlink>
        </w:p>
        <w:p>
          <w:pPr>
            <w:pStyle w:val="Contents3"/>
            <w:tabs>
              <w:tab w:val="clear" w:pos="8459"/>
              <w:tab w:val="right" w:pos="9026" w:leader="dot"/>
            </w:tabs>
            <w:rPr/>
          </w:pPr>
          <w:hyperlink w:anchor="__RefHeading___Toc7825899_2870459653">
            <w:r>
              <w:rPr>
                <w:webHidden/>
                <w:rStyle w:val="IndexLink"/>
                <w:rtl w:val="true"/>
              </w:rPr>
              <w:t xml:space="preserve">مرحله </w:t>
            </w:r>
            <w:r>
              <w:rPr>
                <w:rStyle w:val="IndexLink"/>
              </w:rPr>
              <w:t>1</w:t>
            </w:r>
            <w:r>
              <w:rPr>
                <w:rStyle w:val="IndexLink"/>
                <w:rtl w:val="true"/>
              </w:rPr>
              <w:t xml:space="preserve">: </w:t>
            </w:r>
            <w:r>
              <w:rPr>
                <w:rStyle w:val="IndexLink"/>
                <w:rtl w:val="true"/>
              </w:rPr>
              <w:t>شناخت کاربران و زمینه استفاده</w:t>
            </w:r>
            <w:r>
              <w:rPr>
                <w:rStyle w:val="IndexLink"/>
                <w:rtl w:val="true"/>
              </w:rPr>
              <w:tab/>
            </w:r>
            <w:r>
              <w:rPr>
                <w:rStyle w:val="IndexLink"/>
              </w:rPr>
              <w:t>356</w:t>
            </w:r>
          </w:hyperlink>
        </w:p>
        <w:p>
          <w:pPr>
            <w:pStyle w:val="Contents3"/>
            <w:tabs>
              <w:tab w:val="clear" w:pos="8459"/>
              <w:tab w:val="right" w:pos="9026" w:leader="dot"/>
            </w:tabs>
            <w:rPr/>
          </w:pPr>
          <w:hyperlink w:anchor="__RefHeading___Toc7825901_2870459653">
            <w:r>
              <w:rPr>
                <w:webHidden/>
                <w:rStyle w:val="IndexLink"/>
                <w:rtl w:val="true"/>
              </w:rPr>
              <w:t xml:space="preserve">مرحله </w:t>
            </w:r>
            <w:r>
              <w:rPr>
                <w:rStyle w:val="IndexLink"/>
              </w:rPr>
              <w:t>2</w:t>
            </w:r>
            <w:r>
              <w:rPr>
                <w:rStyle w:val="IndexLink"/>
                <w:rtl w:val="true"/>
              </w:rPr>
              <w:t xml:space="preserve">: </w:t>
            </w:r>
            <w:r>
              <w:rPr>
                <w:rStyle w:val="IndexLink"/>
                <w:rtl w:val="true"/>
              </w:rPr>
              <w:t>تعیین نیازهایی که باید در نظام بکار گرفته شوند</w:t>
            </w:r>
            <w:r>
              <w:rPr>
                <w:rStyle w:val="IndexLink"/>
                <w:rtl w:val="true"/>
              </w:rPr>
              <w:t>:</w:t>
              <w:tab/>
            </w:r>
            <w:r>
              <w:rPr>
                <w:rStyle w:val="IndexLink"/>
              </w:rPr>
              <w:t>357</w:t>
            </w:r>
          </w:hyperlink>
        </w:p>
        <w:p>
          <w:pPr>
            <w:pStyle w:val="Contents3"/>
            <w:tabs>
              <w:tab w:val="clear" w:pos="8459"/>
              <w:tab w:val="right" w:pos="9026" w:leader="dot"/>
            </w:tabs>
            <w:rPr/>
          </w:pPr>
          <w:hyperlink w:anchor="__RefHeading___Toc7825903_2870459653">
            <w:r>
              <w:rPr>
                <w:webHidden/>
                <w:rStyle w:val="IndexLink"/>
                <w:rtl w:val="true"/>
              </w:rPr>
              <w:t xml:space="preserve">مرحله </w:t>
            </w:r>
            <w:r>
              <w:rPr>
                <w:rStyle w:val="IndexLink"/>
              </w:rPr>
              <w:t>3</w:t>
            </w:r>
            <w:r>
              <w:rPr>
                <w:rStyle w:val="IndexLink"/>
                <w:rtl w:val="true"/>
              </w:rPr>
              <w:t xml:space="preserve">: </w:t>
            </w:r>
            <w:r>
              <w:rPr>
                <w:rStyle w:val="IndexLink"/>
                <w:rtl w:val="true"/>
              </w:rPr>
              <w:t>ارائه راهکارهای طراحی</w:t>
            </w:r>
            <w:r>
              <w:rPr>
                <w:rStyle w:val="IndexLink"/>
                <w:rtl w:val="true"/>
              </w:rPr>
              <w:tab/>
            </w:r>
            <w:r>
              <w:rPr>
                <w:rStyle w:val="IndexLink"/>
              </w:rPr>
              <w:t>359</w:t>
            </w:r>
          </w:hyperlink>
        </w:p>
        <w:p>
          <w:pPr>
            <w:pStyle w:val="Contents3"/>
            <w:tabs>
              <w:tab w:val="clear" w:pos="8459"/>
              <w:tab w:val="right" w:pos="9026" w:leader="dot"/>
            </w:tabs>
            <w:rPr/>
          </w:pPr>
          <w:hyperlink w:anchor="__RefHeading___Toc7825905_2870459653">
            <w:r>
              <w:rPr>
                <w:webHidden/>
                <w:rStyle w:val="IndexLink"/>
                <w:rtl w:val="true"/>
              </w:rPr>
              <w:t xml:space="preserve">مرحله </w:t>
            </w:r>
            <w:r>
              <w:rPr>
                <w:rStyle w:val="IndexLink"/>
              </w:rPr>
              <w:t>4</w:t>
            </w:r>
            <w:r>
              <w:rPr>
                <w:rStyle w:val="IndexLink"/>
                <w:rtl w:val="true"/>
              </w:rPr>
              <w:t xml:space="preserve">: </w:t>
            </w:r>
            <w:r>
              <w:rPr>
                <w:rStyle w:val="IndexLink"/>
                <w:rtl w:val="true"/>
              </w:rPr>
              <w:t xml:space="preserve">ارزیابی راهکارهای پیشنهادی </w:t>
            </w:r>
            <w:r>
              <w:rPr>
                <w:rStyle w:val="IndexLink"/>
                <w:rtl w:val="true"/>
              </w:rPr>
              <w:t>(</w:t>
            </w:r>
            <w:r>
              <w:rPr>
                <w:rStyle w:val="IndexLink"/>
                <w:rtl w:val="true"/>
              </w:rPr>
              <w:t>آزمون های کاربردپذیری از طریق ردیابی چشمی</w:t>
            </w:r>
            <w:r>
              <w:rPr>
                <w:rStyle w:val="IndexLink"/>
                <w:rtl w:val="true"/>
              </w:rPr>
              <w:t>):</w:t>
              <w:tab/>
            </w:r>
            <w:r>
              <w:rPr>
                <w:rStyle w:val="IndexLink"/>
              </w:rPr>
              <w:t>360</w:t>
            </w:r>
          </w:hyperlink>
        </w:p>
        <w:p>
          <w:pPr>
            <w:pStyle w:val="Contents3"/>
            <w:tabs>
              <w:tab w:val="clear" w:pos="8459"/>
              <w:tab w:val="right" w:pos="9026" w:leader="dot"/>
            </w:tabs>
            <w:rPr/>
          </w:pPr>
          <w:hyperlink w:anchor="__RefHeading___Toc7825907_2870459653">
            <w:r>
              <w:rPr>
                <w:webHidden/>
                <w:rStyle w:val="IndexLink"/>
                <w:rtl w:val="true"/>
              </w:rPr>
              <w:t>نتیجه گیری</w:t>
            </w:r>
            <w:r>
              <w:rPr>
                <w:rStyle w:val="IndexLink"/>
                <w:rtl w:val="true"/>
              </w:rPr>
              <w:tab/>
            </w:r>
            <w:r>
              <w:rPr>
                <w:rStyle w:val="IndexLink"/>
              </w:rPr>
              <w:t>361</w:t>
            </w:r>
          </w:hyperlink>
        </w:p>
        <w:p>
          <w:pPr>
            <w:pStyle w:val="Contents3"/>
            <w:tabs>
              <w:tab w:val="clear" w:pos="8459"/>
              <w:tab w:val="right" w:pos="9026" w:leader="dot"/>
            </w:tabs>
            <w:rPr/>
          </w:pPr>
          <w:hyperlink w:anchor="__RefHeading___Toc7825909_2870459653">
            <w:r>
              <w:rPr>
                <w:webHidden/>
                <w:rStyle w:val="IndexLink"/>
                <w:rtl w:val="true"/>
              </w:rPr>
              <w:t>بهینه سازی</w:t>
            </w:r>
            <w:r>
              <w:rPr>
                <w:rStyle w:val="IndexLink"/>
                <w:rtl w:val="true"/>
              </w:rPr>
              <w:tab/>
            </w:r>
            <w:r>
              <w:rPr>
                <w:rStyle w:val="IndexLink"/>
              </w:rPr>
              <w:t>362</w:t>
            </w:r>
          </w:hyperlink>
        </w:p>
        <w:p>
          <w:pPr>
            <w:pStyle w:val="Contents3"/>
            <w:tabs>
              <w:tab w:val="clear" w:pos="8459"/>
              <w:tab w:val="right" w:pos="9026" w:leader="dot"/>
            </w:tabs>
            <w:rPr/>
          </w:pPr>
          <w:hyperlink w:anchor="__RefHeading___Toc7825911_2870459653">
            <w:r>
              <w:rPr>
                <w:webHidden/>
                <w:rStyle w:val="IndexLink"/>
              </w:rPr>
              <w:t>3</w:t>
            </w:r>
            <w:r>
              <w:rPr>
                <w:rStyle w:val="IndexLink"/>
                <w:rtl w:val="true"/>
              </w:rPr>
              <w:t xml:space="preserve">. </w:t>
            </w:r>
            <w:r>
              <w:rPr>
                <w:rStyle w:val="IndexLink"/>
                <w:rtl w:val="true"/>
              </w:rPr>
              <w:t>بررسی رویکرد کاربر محور در این طرح</w:t>
            </w:r>
            <w:r>
              <w:rPr>
                <w:rStyle w:val="IndexLink"/>
                <w:rtl w:val="true"/>
              </w:rPr>
              <w:tab/>
            </w:r>
            <w:r>
              <w:rPr>
                <w:rStyle w:val="IndexLink"/>
              </w:rPr>
              <w:t>362</w:t>
            </w:r>
          </w:hyperlink>
        </w:p>
        <w:p>
          <w:pPr>
            <w:pStyle w:val="Contents3"/>
            <w:tabs>
              <w:tab w:val="clear" w:pos="8459"/>
              <w:tab w:val="right" w:pos="9026" w:leader="dot"/>
            </w:tabs>
            <w:rPr/>
          </w:pPr>
          <w:hyperlink w:anchor="__RefHeading___Toc7825913_2870459653">
            <w:r>
              <w:rPr>
                <w:webHidden/>
                <w:rStyle w:val="IndexLink"/>
              </w:rPr>
              <w:t>4</w:t>
            </w:r>
            <w:r>
              <w:rPr>
                <w:rStyle w:val="IndexLink"/>
                <w:rtl w:val="true"/>
              </w:rPr>
              <w:t xml:space="preserve">. </w:t>
            </w:r>
            <w:r>
              <w:rPr>
                <w:rStyle w:val="IndexLink"/>
                <w:rtl w:val="true"/>
              </w:rPr>
              <w:t>پیشرفت های بعدی</w:t>
            </w:r>
            <w:r>
              <w:rPr>
                <w:rStyle w:val="IndexLink"/>
                <w:rtl w:val="true"/>
              </w:rPr>
              <w:tab/>
            </w:r>
            <w:r>
              <w:rPr>
                <w:rStyle w:val="IndexLink"/>
              </w:rPr>
              <w:t>363</w:t>
            </w:r>
          </w:hyperlink>
        </w:p>
        <w:p>
          <w:pPr>
            <w:pStyle w:val="Contents3"/>
            <w:tabs>
              <w:tab w:val="clear" w:pos="8459"/>
              <w:tab w:val="right" w:pos="9026" w:leader="dot"/>
            </w:tabs>
            <w:rPr/>
          </w:pPr>
          <w:hyperlink w:anchor="__RefHeading___Toc7825915_2870459653">
            <w:r>
              <w:rPr>
                <w:webHidden/>
                <w:rStyle w:val="IndexLink"/>
                <w:rtl w:val="true"/>
              </w:rPr>
              <w:t>منابع</w:t>
            </w:r>
            <w:r>
              <w:rPr>
                <w:rStyle w:val="IndexLink"/>
                <w:rtl w:val="true"/>
              </w:rPr>
              <w:tab/>
            </w:r>
            <w:r>
              <w:rPr>
                <w:rStyle w:val="IndexLink"/>
              </w:rPr>
              <w:t>364</w:t>
            </w:r>
          </w:hyperlink>
        </w:p>
        <w:p>
          <w:pPr>
            <w:pStyle w:val="Contents2"/>
            <w:tabs>
              <w:tab w:val="clear" w:pos="8743"/>
              <w:tab w:val="right" w:pos="9026" w:leader="dot"/>
            </w:tabs>
            <w:rPr/>
          </w:pPr>
          <w:hyperlink w:anchor="__RefHeading___Toc7825917_2870459653">
            <w:r>
              <w:rPr>
                <w:webHidden/>
                <w:rStyle w:val="IndexLink"/>
                <w:rtl w:val="true"/>
              </w:rPr>
              <w:t>چکیده</w:t>
            </w:r>
            <w:r>
              <w:rPr>
                <w:rStyle w:val="IndexLink"/>
                <w:rtl w:val="true"/>
              </w:rPr>
              <w:tab/>
            </w:r>
            <w:r>
              <w:rPr>
                <w:rStyle w:val="IndexLink"/>
              </w:rPr>
              <w:t>366</w:t>
            </w:r>
          </w:hyperlink>
        </w:p>
        <w:p>
          <w:pPr>
            <w:pStyle w:val="Contents2"/>
            <w:tabs>
              <w:tab w:val="clear" w:pos="8743"/>
              <w:tab w:val="right" w:pos="9026" w:leader="dot"/>
            </w:tabs>
            <w:rPr/>
          </w:pPr>
          <w:hyperlink w:anchor="__RefHeading___Toc7825919_2870459653">
            <w:r>
              <w:rPr>
                <w:webHidden/>
                <w:rStyle w:val="IndexLink"/>
                <w:rtl w:val="true"/>
              </w:rPr>
              <w:t>چگونه کتاب خانه ای سبز بشویم یا آن را شناسایی کنیم؟ استانداردهایی برای صدور گواهی</w:t>
            </w:r>
            <w:r>
              <w:rPr>
                <w:rStyle w:val="IndexLink"/>
                <w:rtl w:val="true"/>
              </w:rPr>
              <w:tab/>
            </w:r>
            <w:r>
              <w:rPr>
                <w:rStyle w:val="IndexLink"/>
              </w:rPr>
              <w:t>367</w:t>
            </w:r>
          </w:hyperlink>
        </w:p>
        <w:p>
          <w:pPr>
            <w:pStyle w:val="Contents3"/>
            <w:tabs>
              <w:tab w:val="clear" w:pos="8459"/>
              <w:tab w:val="right" w:pos="9026" w:leader="dot"/>
            </w:tabs>
            <w:rPr/>
          </w:pPr>
          <w:hyperlink w:anchor="__RefHeading___Toc7825921_2870459653">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7825923_2870459653">
            <w:r>
              <w:rPr>
                <w:webHidden/>
                <w:rStyle w:val="IndexLink"/>
                <w:rtl w:val="true"/>
              </w:rPr>
              <w:t>مقدمه</w:t>
            </w:r>
            <w:r>
              <w:rPr>
                <w:rStyle w:val="IndexLink"/>
                <w:rtl w:val="true"/>
              </w:rPr>
              <w:tab/>
            </w:r>
            <w:r>
              <w:rPr>
                <w:rStyle w:val="IndexLink"/>
              </w:rPr>
              <w:t>367</w:t>
            </w:r>
          </w:hyperlink>
        </w:p>
        <w:p>
          <w:pPr>
            <w:pStyle w:val="Contents3"/>
            <w:tabs>
              <w:tab w:val="clear" w:pos="8459"/>
              <w:tab w:val="right" w:pos="9026" w:leader="dot"/>
            </w:tabs>
            <w:rPr/>
          </w:pPr>
          <w:hyperlink w:anchor="__RefHeading___Toc7825925_2870459653">
            <w:r>
              <w:rPr>
                <w:webHidden/>
                <w:rStyle w:val="IndexLink"/>
                <w:rtl w:val="true"/>
              </w:rPr>
              <w:t>مثال هایی از تجارب برتر</w:t>
            </w:r>
            <w:r>
              <w:rPr>
                <w:rStyle w:val="IndexLink"/>
                <w:rtl w:val="true"/>
              </w:rPr>
              <w:tab/>
            </w:r>
            <w:r>
              <w:rPr>
                <w:rStyle w:val="IndexLink"/>
              </w:rPr>
              <w:t>368</w:t>
            </w:r>
          </w:hyperlink>
        </w:p>
        <w:p>
          <w:pPr>
            <w:pStyle w:val="Contents3"/>
            <w:tabs>
              <w:tab w:val="clear" w:pos="8459"/>
              <w:tab w:val="right" w:pos="9026" w:leader="dot"/>
            </w:tabs>
            <w:rPr/>
          </w:pPr>
          <w:hyperlink w:anchor="__RefHeading___Toc7825927_2870459653">
            <w:r>
              <w:rPr>
                <w:webHidden/>
                <w:rStyle w:val="IndexLink"/>
                <w:rtl w:val="true"/>
              </w:rPr>
              <w:t>چگونه کتاب خانه سبز را شناسایی و ارزیابی کنیم؟</w:t>
            </w:r>
            <w:r>
              <w:rPr>
                <w:rStyle w:val="IndexLink"/>
                <w:rtl w:val="true"/>
              </w:rPr>
              <w:tab/>
            </w:r>
            <w:r>
              <w:rPr>
                <w:rStyle w:val="IndexLink"/>
              </w:rPr>
              <w:t>369</w:t>
            </w:r>
          </w:hyperlink>
        </w:p>
        <w:p>
          <w:pPr>
            <w:pStyle w:val="Contents3"/>
            <w:tabs>
              <w:tab w:val="clear" w:pos="8459"/>
              <w:tab w:val="right" w:pos="9026" w:leader="dot"/>
            </w:tabs>
            <w:rPr/>
          </w:pPr>
          <w:hyperlink w:anchor="__RefHeading___Toc7825929_2870459653">
            <w:r>
              <w:rPr>
                <w:webHidden/>
                <w:rStyle w:val="IndexLink"/>
                <w:rtl w:val="true"/>
              </w:rPr>
              <w:t>چشم انداز</w:t>
            </w:r>
            <w:r>
              <w:rPr>
                <w:rStyle w:val="IndexLink"/>
                <w:rtl w:val="true"/>
              </w:rPr>
              <w:tab/>
            </w:r>
            <w:r>
              <w:rPr>
                <w:rStyle w:val="IndexLink"/>
              </w:rPr>
              <w:t>371</w:t>
            </w:r>
          </w:hyperlink>
        </w:p>
        <w:p>
          <w:pPr>
            <w:pStyle w:val="Contents3"/>
            <w:tabs>
              <w:tab w:val="clear" w:pos="8459"/>
              <w:tab w:val="right" w:pos="9026" w:leader="dot"/>
            </w:tabs>
            <w:rPr/>
          </w:pPr>
          <w:hyperlink w:anchor="__RefHeading___Toc7825931_2870459653">
            <w:r>
              <w:rPr>
                <w:webHidden/>
                <w:rStyle w:val="IndexLink"/>
                <w:rtl w:val="true"/>
              </w:rPr>
              <w:t>منابع</w:t>
            </w:r>
            <w:r>
              <w:rPr>
                <w:rStyle w:val="IndexLink"/>
                <w:rtl w:val="true"/>
              </w:rPr>
              <w:tab/>
            </w:r>
            <w:r>
              <w:rPr>
                <w:rStyle w:val="IndexLink"/>
              </w:rPr>
              <w:t>372</w:t>
            </w:r>
          </w:hyperlink>
        </w:p>
        <w:p>
          <w:pPr>
            <w:pStyle w:val="Contents2"/>
            <w:tabs>
              <w:tab w:val="clear" w:pos="8743"/>
              <w:tab w:val="right" w:pos="9026" w:leader="dot"/>
            </w:tabs>
            <w:rPr/>
          </w:pPr>
          <w:hyperlink w:anchor="__RefHeading___Toc7825933_2870459653">
            <w:r>
              <w:rPr>
                <w:webHidden/>
                <w:rStyle w:val="IndexLink"/>
                <w:rtl w:val="true"/>
              </w:rPr>
              <w:t>چکیده</w:t>
            </w:r>
            <w:r>
              <w:rPr>
                <w:rStyle w:val="IndexLink"/>
                <w:rtl w:val="true"/>
              </w:rPr>
              <w:tab/>
            </w:r>
            <w:r>
              <w:rPr>
                <w:rStyle w:val="IndexLink"/>
              </w:rPr>
              <w:t>374</w:t>
            </w:r>
          </w:hyperlink>
        </w:p>
        <w:p>
          <w:pPr>
            <w:pStyle w:val="Contents2"/>
            <w:tabs>
              <w:tab w:val="clear" w:pos="8743"/>
              <w:tab w:val="right" w:pos="9026" w:leader="dot"/>
            </w:tabs>
            <w:rPr/>
          </w:pPr>
          <w:hyperlink w:anchor="__RefHeading___Toc7825935_2870459653">
            <w:r>
              <w:rPr>
                <w:webHidden/>
                <w:rStyle w:val="IndexLink"/>
                <w:rtl w:val="true"/>
              </w:rPr>
              <w:t>ارزیابی استفاده اشتراکی از کتاب های الکترونیکی مشترک در شبکه امانت مستقیم</w:t>
            </w:r>
            <w:r>
              <w:rPr>
                <w:rStyle w:val="IndexLink"/>
                <w:rtl w:val="true"/>
              </w:rPr>
              <w:tab/>
            </w:r>
            <w:r>
              <w:rPr>
                <w:rStyle w:val="IndexLink"/>
              </w:rPr>
              <w:t>375</w:t>
            </w:r>
          </w:hyperlink>
        </w:p>
        <w:p>
          <w:pPr>
            <w:pStyle w:val="Contents3"/>
            <w:tabs>
              <w:tab w:val="clear" w:pos="8459"/>
              <w:tab w:val="right" w:pos="9026" w:leader="dot"/>
            </w:tabs>
            <w:rPr/>
          </w:pPr>
          <w:hyperlink w:anchor="__RefHeading___Toc7825937_2870459653">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7825939_2870459653">
            <w:r>
              <w:rPr>
                <w:webHidden/>
                <w:rStyle w:val="IndexLink"/>
                <w:rtl w:val="true"/>
              </w:rPr>
              <w:t xml:space="preserve">امانت مستقیم </w:t>
            </w:r>
            <w:r>
              <w:rPr>
                <w:rStyle w:val="IndexLink"/>
                <w:rtl w:val="true"/>
              </w:rPr>
              <w:t xml:space="preserve">- </w:t>
            </w:r>
            <w:r>
              <w:rPr>
                <w:rStyle w:val="IndexLink"/>
                <w:rtl w:val="true"/>
              </w:rPr>
              <w:t>پیشینه تاریخی</w:t>
            </w:r>
            <w:r>
              <w:rPr>
                <w:rStyle w:val="IndexLink"/>
                <w:rtl w:val="true"/>
              </w:rPr>
              <w:tab/>
            </w:r>
            <w:r>
              <w:rPr>
                <w:rStyle w:val="IndexLink"/>
              </w:rPr>
              <w:t>375</w:t>
            </w:r>
          </w:hyperlink>
        </w:p>
        <w:p>
          <w:pPr>
            <w:pStyle w:val="Contents3"/>
            <w:tabs>
              <w:tab w:val="clear" w:pos="8459"/>
              <w:tab w:val="right" w:pos="9026" w:leader="dot"/>
            </w:tabs>
            <w:rPr/>
          </w:pPr>
          <w:hyperlink w:anchor="__RefHeading___Toc7825941_2870459653">
            <w:r>
              <w:rPr>
                <w:webHidden/>
                <w:rStyle w:val="IndexLink"/>
                <w:rtl w:val="true"/>
              </w:rPr>
              <w:t>تأثیر گذر به قالب کتاب الکترونیکی بر فعالیت های امانی در شبکه امانت مستقیم</w:t>
            </w:r>
            <w:r>
              <w:rPr>
                <w:rStyle w:val="IndexLink"/>
                <w:rtl w:val="true"/>
              </w:rPr>
              <w:tab/>
            </w:r>
            <w:r>
              <w:rPr>
                <w:rStyle w:val="IndexLink"/>
              </w:rPr>
              <w:t>376</w:t>
            </w:r>
          </w:hyperlink>
        </w:p>
        <w:p>
          <w:pPr>
            <w:pStyle w:val="Contents3"/>
            <w:tabs>
              <w:tab w:val="clear" w:pos="8459"/>
              <w:tab w:val="right" w:pos="9026" w:leader="dot"/>
            </w:tabs>
            <w:rPr/>
          </w:pPr>
          <w:hyperlink w:anchor="__RefHeading___Toc7825943_2870459653">
            <w:r>
              <w:rPr>
                <w:webHidden/>
                <w:rStyle w:val="IndexLink"/>
                <w:rtl w:val="true"/>
              </w:rPr>
              <w:t>پیشینه و برنامه زمانی طرح</w:t>
            </w:r>
            <w:r>
              <w:rPr>
                <w:rStyle w:val="IndexLink"/>
                <w:rtl w:val="true"/>
              </w:rPr>
              <w:tab/>
            </w:r>
            <w:r>
              <w:rPr>
                <w:rStyle w:val="IndexLink"/>
              </w:rPr>
              <w:t>377</w:t>
            </w:r>
          </w:hyperlink>
        </w:p>
        <w:p>
          <w:pPr>
            <w:pStyle w:val="Contents3"/>
            <w:tabs>
              <w:tab w:val="clear" w:pos="8459"/>
              <w:tab w:val="right" w:pos="9026" w:leader="dot"/>
            </w:tabs>
            <w:rPr/>
          </w:pPr>
          <w:hyperlink w:anchor="__RefHeading___Toc7825945_2870459653">
            <w:r>
              <w:rPr>
                <w:webHidden/>
                <w:rStyle w:val="IndexLink"/>
                <w:rtl w:val="true"/>
              </w:rPr>
              <w:t>ساختار مدیریتی برنامه</w:t>
            </w:r>
            <w:r>
              <w:rPr>
                <w:rStyle w:val="IndexLink"/>
                <w:rtl w:val="true"/>
              </w:rPr>
              <w:tab/>
            </w:r>
            <w:r>
              <w:rPr>
                <w:rStyle w:val="IndexLink"/>
              </w:rPr>
              <w:t>381</w:t>
            </w:r>
          </w:hyperlink>
        </w:p>
        <w:p>
          <w:pPr>
            <w:pStyle w:val="Contents3"/>
            <w:tabs>
              <w:tab w:val="clear" w:pos="8459"/>
              <w:tab w:val="right" w:pos="9026" w:leader="dot"/>
            </w:tabs>
            <w:rPr/>
          </w:pPr>
          <w:hyperlink w:anchor="__RefHeading___Toc7825947_2870459653">
            <w:r>
              <w:rPr>
                <w:webHidden/>
                <w:rStyle w:val="IndexLink"/>
                <w:rtl w:val="true"/>
              </w:rPr>
              <w:t>وضعیت فعلی طرح آزمایشی</w:t>
            </w:r>
            <w:r>
              <w:rPr>
                <w:rStyle w:val="IndexLink"/>
                <w:rtl w:val="true"/>
              </w:rPr>
              <w:tab/>
            </w:r>
            <w:r>
              <w:rPr>
                <w:rStyle w:val="IndexLink"/>
              </w:rPr>
              <w:t>381</w:t>
            </w:r>
          </w:hyperlink>
        </w:p>
        <w:p>
          <w:pPr>
            <w:pStyle w:val="Contents3"/>
            <w:tabs>
              <w:tab w:val="clear" w:pos="8459"/>
              <w:tab w:val="right" w:pos="9026" w:leader="dot"/>
            </w:tabs>
            <w:rPr/>
          </w:pPr>
          <w:hyperlink w:anchor="__RefHeading___Toc7825949_2870459653">
            <w:r>
              <w:rPr>
                <w:webHidden/>
                <w:rStyle w:val="IndexLink"/>
                <w:rtl w:val="true"/>
              </w:rPr>
              <w:t xml:space="preserve">ارزیابی </w:t>
            </w:r>
            <w:r>
              <w:rPr>
                <w:rStyle w:val="IndexLink"/>
                <w:rtl w:val="true"/>
              </w:rPr>
              <w:t xml:space="preserve">- </w:t>
            </w:r>
            <w:r>
              <w:rPr>
                <w:rStyle w:val="IndexLink"/>
                <w:rtl w:val="true"/>
              </w:rPr>
              <w:t>تعریف موفقیت</w:t>
            </w:r>
            <w:r>
              <w:rPr>
                <w:rStyle w:val="IndexLink"/>
                <w:rtl w:val="true"/>
              </w:rPr>
              <w:tab/>
            </w:r>
            <w:r>
              <w:rPr>
                <w:rStyle w:val="IndexLink"/>
              </w:rPr>
              <w:t>384</w:t>
            </w:r>
          </w:hyperlink>
        </w:p>
        <w:p>
          <w:pPr>
            <w:pStyle w:val="Contents3"/>
            <w:tabs>
              <w:tab w:val="clear" w:pos="8459"/>
              <w:tab w:val="right" w:pos="9026" w:leader="dot"/>
            </w:tabs>
            <w:rPr/>
          </w:pPr>
          <w:hyperlink w:anchor="__RefHeading___Toc7825951_2870459653">
            <w:r>
              <w:rPr>
                <w:webHidden/>
                <w:rStyle w:val="IndexLink"/>
                <w:rtl w:val="true"/>
              </w:rPr>
              <w:t>نتیجه گیری</w:t>
            </w:r>
            <w:r>
              <w:rPr>
                <w:rStyle w:val="IndexLink"/>
                <w:rtl w:val="true"/>
              </w:rPr>
              <w:tab/>
            </w:r>
            <w:r>
              <w:rPr>
                <w:rStyle w:val="IndexLink"/>
              </w:rPr>
              <w:t>386</w:t>
            </w:r>
          </w:hyperlink>
        </w:p>
        <w:p>
          <w:pPr>
            <w:pStyle w:val="Contents3"/>
            <w:tabs>
              <w:tab w:val="clear" w:pos="8459"/>
              <w:tab w:val="right" w:pos="9026" w:leader="dot"/>
            </w:tabs>
            <w:rPr/>
          </w:pPr>
          <w:hyperlink w:anchor="__RefHeading___Toc7825953_2870459653">
            <w:r>
              <w:rPr>
                <w:webHidden/>
                <w:rStyle w:val="IndexLink"/>
                <w:rtl w:val="true"/>
              </w:rPr>
              <w:t>منابع</w:t>
            </w:r>
            <w:r>
              <w:rPr>
                <w:rStyle w:val="IndexLink"/>
                <w:rtl w:val="true"/>
              </w:rPr>
              <w:tab/>
            </w:r>
            <w:r>
              <w:rPr>
                <w:rStyle w:val="IndexLink"/>
              </w:rPr>
              <w:t>386</w:t>
            </w:r>
          </w:hyperlink>
        </w:p>
        <w:p>
          <w:pPr>
            <w:pStyle w:val="Contents2"/>
            <w:tabs>
              <w:tab w:val="clear" w:pos="8743"/>
              <w:tab w:val="right" w:pos="9026" w:leader="dot"/>
            </w:tabs>
            <w:rPr/>
          </w:pPr>
          <w:hyperlink w:anchor="__RefHeading___Toc7825955_2870459653">
            <w:r>
              <w:rPr>
                <w:webHidden/>
                <w:rStyle w:val="IndexLink"/>
                <w:rtl w:val="true"/>
              </w:rPr>
              <w:t>چکیده</w:t>
            </w:r>
            <w:r>
              <w:rPr>
                <w:rStyle w:val="IndexLink"/>
                <w:rtl w:val="true"/>
              </w:rPr>
              <w:tab/>
            </w:r>
            <w:r>
              <w:rPr>
                <w:rStyle w:val="IndexLink"/>
              </w:rPr>
              <w:t>388</w:t>
            </w:r>
          </w:hyperlink>
        </w:p>
        <w:p>
          <w:pPr>
            <w:pStyle w:val="Contents3"/>
            <w:tabs>
              <w:tab w:val="clear" w:pos="8459"/>
              <w:tab w:val="right" w:pos="9026" w:leader="dot"/>
            </w:tabs>
            <w:rPr/>
          </w:pPr>
          <w:hyperlink w:anchor="__RefHeading___Toc7825957_2870459653">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7825959_2870459653">
            <w:r>
              <w:rPr>
                <w:webHidden/>
                <w:rStyle w:val="IndexLink"/>
              </w:rPr>
              <w:t>1</w:t>
            </w:r>
            <w:r>
              <w:rPr>
                <w:rStyle w:val="IndexLink"/>
                <w:rtl w:val="true"/>
              </w:rPr>
              <w:t xml:space="preserve">. </w:t>
            </w:r>
            <w:r>
              <w:rPr>
                <w:rStyle w:val="IndexLink"/>
                <w:rtl w:val="true"/>
              </w:rPr>
              <w:t>برنامه ریزی راهبردی</w:t>
            </w:r>
            <w:r>
              <w:rPr>
                <w:rStyle w:val="IndexLink"/>
                <w:rtl w:val="true"/>
              </w:rPr>
              <w:tab/>
            </w:r>
            <w:r>
              <w:rPr>
                <w:rStyle w:val="IndexLink"/>
              </w:rPr>
              <w:t>388</w:t>
            </w:r>
          </w:hyperlink>
        </w:p>
        <w:p>
          <w:pPr>
            <w:pStyle w:val="Contents3"/>
            <w:tabs>
              <w:tab w:val="clear" w:pos="8459"/>
              <w:tab w:val="right" w:pos="9026" w:leader="dot"/>
            </w:tabs>
            <w:rPr/>
          </w:pPr>
          <w:hyperlink w:anchor="__RefHeading___Toc7825961_2870459653">
            <w:r>
              <w:rPr>
                <w:webHidden/>
                <w:rStyle w:val="IndexLink"/>
              </w:rPr>
              <w:t>2</w:t>
            </w:r>
            <w:r>
              <w:rPr>
                <w:rStyle w:val="IndexLink"/>
                <w:rtl w:val="true"/>
              </w:rPr>
              <w:t xml:space="preserve">. </w:t>
            </w:r>
            <w:r>
              <w:rPr>
                <w:rStyle w:val="IndexLink"/>
                <w:rtl w:val="true"/>
              </w:rPr>
              <w:t>توسعه پایدار</w:t>
            </w:r>
            <w:r>
              <w:rPr>
                <w:rStyle w:val="IndexLink"/>
                <w:rtl w:val="true"/>
              </w:rPr>
              <w:tab/>
            </w:r>
            <w:r>
              <w:rPr>
                <w:rStyle w:val="IndexLink"/>
              </w:rPr>
              <w:t>388</w:t>
            </w:r>
          </w:hyperlink>
        </w:p>
        <w:p>
          <w:pPr>
            <w:pStyle w:val="Contents3"/>
            <w:tabs>
              <w:tab w:val="clear" w:pos="8459"/>
              <w:tab w:val="right" w:pos="9026" w:leader="dot"/>
            </w:tabs>
            <w:rPr/>
          </w:pPr>
          <w:hyperlink w:anchor="__RefHeading___Toc7825963_2870459653">
            <w:r>
              <w:rPr>
                <w:webHidden/>
                <w:rStyle w:val="IndexLink"/>
              </w:rPr>
              <w:t>3</w:t>
            </w:r>
            <w:r>
              <w:rPr>
                <w:rStyle w:val="IndexLink"/>
                <w:rtl w:val="true"/>
              </w:rPr>
              <w:t xml:space="preserve">. </w:t>
            </w:r>
            <w:r>
              <w:rPr>
                <w:rStyle w:val="IndexLink"/>
                <w:rtl w:val="true"/>
              </w:rPr>
              <w:t>کیفیت</w:t>
            </w:r>
            <w:r>
              <w:rPr>
                <w:rStyle w:val="IndexLink"/>
                <w:rtl w:val="true"/>
              </w:rPr>
              <w:tab/>
            </w:r>
            <w:r>
              <w:rPr>
                <w:rStyle w:val="IndexLink"/>
              </w:rPr>
              <w:t>388</w:t>
            </w:r>
          </w:hyperlink>
        </w:p>
        <w:p>
          <w:pPr>
            <w:pStyle w:val="Contents2"/>
            <w:tabs>
              <w:tab w:val="clear" w:pos="8743"/>
              <w:tab w:val="right" w:pos="9026" w:leader="dot"/>
            </w:tabs>
            <w:rPr/>
          </w:pPr>
          <w:hyperlink w:anchor="__RefHeading___Toc7825965_2870459653">
            <w:r>
              <w:rPr>
                <w:webHidden/>
                <w:rStyle w:val="IndexLink"/>
                <w:rtl w:val="true"/>
              </w:rPr>
              <w:t>راهبرد پایداری و کیفیت</w:t>
            </w:r>
            <w:r>
              <w:rPr>
                <w:rStyle w:val="IndexLink"/>
                <w:rtl w:val="true"/>
              </w:rPr>
              <w:t xml:space="preserve">: </w:t>
            </w:r>
            <w:r>
              <w:rPr>
                <w:rStyle w:val="IndexLink"/>
                <w:rtl w:val="true"/>
              </w:rPr>
              <w:t xml:space="preserve">چگونگی توانمندی این </w:t>
            </w:r>
            <w:r>
              <w:rPr>
                <w:rStyle w:val="IndexLink"/>
                <w:rtl w:val="true"/>
              </w:rPr>
              <w:t>«</w:t>
            </w:r>
            <w:r>
              <w:rPr>
                <w:rStyle w:val="IndexLink"/>
                <w:rtl w:val="true"/>
              </w:rPr>
              <w:t>اَسپ</w:t>
            </w:r>
            <w:r>
              <w:rPr>
                <w:rStyle w:val="IndexLink"/>
                <w:rtl w:val="true"/>
              </w:rPr>
              <w:t xml:space="preserve">» </w:t>
            </w:r>
            <w:r>
              <w:rPr>
                <w:rStyle w:val="IndexLink"/>
                <w:rtl w:val="true"/>
              </w:rPr>
              <w:t>و شرکای آن در دستیابی به پژوهش ها در آفریقا</w:t>
            </w:r>
            <w:r>
              <w:rPr>
                <w:rStyle w:val="IndexLink"/>
                <w:rtl w:val="true"/>
              </w:rPr>
              <w:tab/>
            </w:r>
            <w:r>
              <w:rPr>
                <w:rStyle w:val="IndexLink"/>
              </w:rPr>
              <w:t>389</w:t>
            </w:r>
          </w:hyperlink>
        </w:p>
        <w:p>
          <w:pPr>
            <w:pStyle w:val="Contents3"/>
            <w:tabs>
              <w:tab w:val="clear" w:pos="8459"/>
              <w:tab w:val="right" w:pos="9026" w:leader="dot"/>
            </w:tabs>
            <w:rPr/>
          </w:pPr>
          <w:hyperlink w:anchor="__RefHeading___Toc7825967_2870459653">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7825969_2870459653">
            <w:r>
              <w:rPr>
                <w:webHidden/>
                <w:rStyle w:val="IndexLink"/>
                <w:rtl w:val="true"/>
              </w:rPr>
              <w:t>راهبرد پایداری و کیفیت</w:t>
            </w:r>
            <w:r>
              <w:rPr>
                <w:rStyle w:val="IndexLink"/>
                <w:rtl w:val="true"/>
              </w:rPr>
              <w:t xml:space="preserve">: </w:t>
            </w:r>
            <w:r>
              <w:rPr>
                <w:rStyle w:val="IndexLink"/>
                <w:rtl w:val="true"/>
              </w:rPr>
              <w:t>چگونگی توانمندی این اَسپ و شرکای آن در دستیابی به پژوهش ها در آفریقا</w:t>
            </w:r>
            <w:r>
              <w:rPr>
                <w:rStyle w:val="IndexLink"/>
                <w:rtl w:val="true"/>
              </w:rPr>
              <w:tab/>
            </w:r>
            <w:r>
              <w:rPr>
                <w:rStyle w:val="IndexLink"/>
              </w:rPr>
              <w:t>389</w:t>
            </w:r>
          </w:hyperlink>
        </w:p>
        <w:p>
          <w:pPr>
            <w:pStyle w:val="Contents3"/>
            <w:tabs>
              <w:tab w:val="clear" w:pos="8459"/>
              <w:tab w:val="right" w:pos="9026" w:leader="dot"/>
            </w:tabs>
            <w:rPr/>
          </w:pPr>
          <w:hyperlink w:anchor="__RefHeading___Toc7825971_2870459653">
            <w:r>
              <w:rPr>
                <w:webHidden/>
                <w:rStyle w:val="IndexLink"/>
                <w:rtl w:val="true"/>
              </w:rPr>
              <w:t>مقدمه</w:t>
            </w:r>
            <w:r>
              <w:rPr>
                <w:rStyle w:val="IndexLink"/>
                <w:rtl w:val="true"/>
              </w:rPr>
              <w:tab/>
            </w:r>
            <w:r>
              <w:rPr>
                <w:rStyle w:val="IndexLink"/>
              </w:rPr>
              <w:t>389</w:t>
            </w:r>
          </w:hyperlink>
        </w:p>
        <w:p>
          <w:pPr>
            <w:pStyle w:val="Contents3"/>
            <w:tabs>
              <w:tab w:val="clear" w:pos="8459"/>
              <w:tab w:val="right" w:pos="9026" w:leader="dot"/>
            </w:tabs>
            <w:rPr/>
          </w:pPr>
          <w:hyperlink w:anchor="__RefHeading___Toc7825973_2870459653">
            <w:r>
              <w:rPr>
                <w:webHidden/>
                <w:rStyle w:val="IndexLink"/>
                <w:rtl w:val="true"/>
              </w:rPr>
              <w:t>افزایش و تقویت مدیریت منابع الکترونیکی</w:t>
            </w:r>
            <w:r>
              <w:rPr>
                <w:rStyle w:val="IndexLink"/>
                <w:rtl w:val="true"/>
              </w:rPr>
              <w:tab/>
            </w:r>
            <w:r>
              <w:rPr>
                <w:rStyle w:val="IndexLink"/>
              </w:rPr>
              <w:t>393</w:t>
            </w:r>
          </w:hyperlink>
        </w:p>
        <w:p>
          <w:pPr>
            <w:pStyle w:val="Contents3"/>
            <w:tabs>
              <w:tab w:val="clear" w:pos="8459"/>
              <w:tab w:val="right" w:pos="9026" w:leader="dot"/>
            </w:tabs>
            <w:rPr/>
          </w:pPr>
          <w:hyperlink w:anchor="__RefHeading___Toc7825975_2870459653">
            <w:r>
              <w:rPr>
                <w:webHidden/>
                <w:rStyle w:val="IndexLink"/>
                <w:rtl w:val="true"/>
              </w:rPr>
              <w:t>اطمینان از پایداری با کار بر روی ساختارهای ملی</w:t>
            </w:r>
            <w:r>
              <w:rPr>
                <w:rStyle w:val="IndexLink"/>
                <w:rtl w:val="true"/>
              </w:rPr>
              <w:tab/>
            </w:r>
            <w:r>
              <w:rPr>
                <w:rStyle w:val="IndexLink"/>
              </w:rPr>
              <w:t>395</w:t>
            </w:r>
          </w:hyperlink>
        </w:p>
        <w:p>
          <w:pPr>
            <w:pStyle w:val="Contents3"/>
            <w:tabs>
              <w:tab w:val="clear" w:pos="8459"/>
              <w:tab w:val="right" w:pos="9026" w:leader="dot"/>
            </w:tabs>
            <w:rPr/>
          </w:pPr>
          <w:hyperlink w:anchor="__RefHeading___Toc7825977_2870459653">
            <w:r>
              <w:rPr>
                <w:webHidden/>
                <w:rStyle w:val="IndexLink"/>
                <w:rtl w:val="true"/>
              </w:rPr>
              <w:t>اتخاذ رویکردی راهبردی</w:t>
            </w:r>
            <w:r>
              <w:rPr>
                <w:rStyle w:val="IndexLink"/>
                <w:rtl w:val="true"/>
              </w:rPr>
              <w:tab/>
            </w:r>
            <w:r>
              <w:rPr>
                <w:rStyle w:val="IndexLink"/>
              </w:rPr>
              <w:t>396</w:t>
            </w:r>
          </w:hyperlink>
        </w:p>
        <w:p>
          <w:pPr>
            <w:pStyle w:val="Contents3"/>
            <w:tabs>
              <w:tab w:val="clear" w:pos="8459"/>
              <w:tab w:val="right" w:pos="9026" w:leader="dot"/>
            </w:tabs>
            <w:rPr/>
          </w:pPr>
          <w:hyperlink w:anchor="__RefHeading___Toc7825979_2870459653">
            <w:r>
              <w:rPr>
                <w:webHidden/>
                <w:rStyle w:val="IndexLink"/>
                <w:rtl w:val="true"/>
              </w:rPr>
              <w:t>تأکیدی بر کیفیت</w:t>
            </w:r>
            <w:r>
              <w:rPr>
                <w:rStyle w:val="IndexLink"/>
                <w:rtl w:val="true"/>
              </w:rPr>
              <w:tab/>
            </w:r>
            <w:r>
              <w:rPr>
                <w:rStyle w:val="IndexLink"/>
              </w:rPr>
              <w:t>397</w:t>
            </w:r>
          </w:hyperlink>
        </w:p>
        <w:p>
          <w:pPr>
            <w:pStyle w:val="Contents3"/>
            <w:tabs>
              <w:tab w:val="clear" w:pos="8459"/>
              <w:tab w:val="right" w:pos="9026" w:leader="dot"/>
            </w:tabs>
            <w:rPr/>
          </w:pPr>
          <w:hyperlink w:anchor="__RefHeading___Toc7825981_2870459653">
            <w:r>
              <w:rPr>
                <w:webHidden/>
                <w:rStyle w:val="IndexLink"/>
                <w:rtl w:val="true"/>
              </w:rPr>
              <w:t>تعهد به یادگیری هم گام با پیشرفت</w:t>
            </w:r>
            <w:r>
              <w:rPr>
                <w:rStyle w:val="IndexLink"/>
                <w:rtl w:val="true"/>
              </w:rPr>
              <w:tab/>
            </w:r>
            <w:r>
              <w:rPr>
                <w:rStyle w:val="IndexLink"/>
              </w:rPr>
              <w:t>397</w:t>
            </w:r>
          </w:hyperlink>
        </w:p>
        <w:p>
          <w:pPr>
            <w:pStyle w:val="Contents3"/>
            <w:tabs>
              <w:tab w:val="clear" w:pos="8459"/>
              <w:tab w:val="right" w:pos="9026" w:leader="dot"/>
            </w:tabs>
            <w:rPr/>
          </w:pPr>
          <w:hyperlink w:anchor="__RefHeading___Toc7825983_2870459653">
            <w:r>
              <w:rPr>
                <w:webHidden/>
                <w:rStyle w:val="IndexLink"/>
                <w:rtl w:val="true"/>
              </w:rPr>
              <w:t>دستیابی پایدار به پژوهش های اساسی و حیاتی</w:t>
            </w:r>
            <w:r>
              <w:rPr>
                <w:rStyle w:val="IndexLink"/>
                <w:rtl w:val="true"/>
              </w:rPr>
              <w:tab/>
            </w:r>
            <w:r>
              <w:rPr>
                <w:rStyle w:val="IndexLink"/>
              </w:rPr>
              <w:t>398</w:t>
            </w:r>
          </w:hyperlink>
        </w:p>
        <w:p>
          <w:pPr>
            <w:pStyle w:val="Contents3"/>
            <w:tabs>
              <w:tab w:val="clear" w:pos="8459"/>
              <w:tab w:val="right" w:pos="9026" w:leader="dot"/>
            </w:tabs>
            <w:rPr/>
          </w:pPr>
          <w:hyperlink w:anchor="__RefHeading___Toc7825985_2870459653">
            <w:r>
              <w:rPr>
                <w:webHidden/>
                <w:rStyle w:val="IndexLink"/>
                <w:rtl w:val="true"/>
              </w:rPr>
              <w:t>منابع</w:t>
            </w:r>
            <w:r>
              <w:rPr>
                <w:rStyle w:val="IndexLink"/>
                <w:rtl w:val="true"/>
              </w:rPr>
              <w:tab/>
            </w:r>
            <w:r>
              <w:rPr>
                <w:rStyle w:val="IndexLink"/>
              </w:rPr>
              <w:t>401</w:t>
            </w:r>
          </w:hyperlink>
        </w:p>
        <w:p>
          <w:pPr>
            <w:pStyle w:val="Contents2"/>
            <w:tabs>
              <w:tab w:val="clear" w:pos="8743"/>
              <w:tab w:val="right" w:pos="9026" w:leader="dot"/>
            </w:tabs>
            <w:rPr/>
          </w:pPr>
          <w:hyperlink w:anchor="__RefHeading___Toc7825987_2870459653">
            <w:r>
              <w:rPr>
                <w:webHidden/>
                <w:rStyle w:val="IndexLink"/>
                <w:rtl w:val="true"/>
              </w:rPr>
              <w:t>چکیده</w:t>
            </w:r>
            <w:r>
              <w:rPr>
                <w:rStyle w:val="IndexLink"/>
                <w:rtl w:val="true"/>
              </w:rPr>
              <w:tab/>
            </w:r>
            <w:r>
              <w:rPr>
                <w:rStyle w:val="IndexLink"/>
              </w:rPr>
              <w:t>402</w:t>
            </w:r>
          </w:hyperlink>
        </w:p>
        <w:p>
          <w:pPr>
            <w:pStyle w:val="Contents2"/>
            <w:tabs>
              <w:tab w:val="clear" w:pos="8743"/>
              <w:tab w:val="right" w:pos="9026" w:leader="dot"/>
            </w:tabs>
            <w:rPr/>
          </w:pPr>
          <w:hyperlink w:anchor="__RefHeading___Toc7825989_2870459653">
            <w:r>
              <w:rPr>
                <w:webHidden/>
                <w:rStyle w:val="IndexLink"/>
                <w:rtl w:val="true"/>
              </w:rPr>
              <w:t>کتاب خانه دفتر سازمان ملل در ژنو</w:t>
            </w:r>
            <w:r>
              <w:rPr>
                <w:rStyle w:val="IndexLink"/>
                <w:rtl w:val="true"/>
              </w:rPr>
              <w:t xml:space="preserve">: </w:t>
            </w:r>
            <w:r>
              <w:rPr>
                <w:rStyle w:val="IndexLink"/>
                <w:rtl w:val="true"/>
              </w:rPr>
              <w:t>متولی میراث جامعه ملل و سازمان ملل</w:t>
            </w:r>
            <w:r>
              <w:rPr>
                <w:rStyle w:val="IndexLink"/>
                <w:rtl w:val="true"/>
              </w:rPr>
              <w:tab/>
            </w:r>
            <w:r>
              <w:rPr>
                <w:rStyle w:val="IndexLink"/>
              </w:rPr>
              <w:t>403</w:t>
            </w:r>
          </w:hyperlink>
        </w:p>
        <w:p>
          <w:pPr>
            <w:pStyle w:val="Contents3"/>
            <w:tabs>
              <w:tab w:val="clear" w:pos="8459"/>
              <w:tab w:val="right" w:pos="9026" w:leader="dot"/>
            </w:tabs>
            <w:rPr/>
          </w:pPr>
          <w:hyperlink w:anchor="__RefHeading___Toc7825991_2870459653">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7825993_2870459653">
            <w:r>
              <w:rPr>
                <w:webHidden/>
                <w:rStyle w:val="IndexLink"/>
                <w:rtl w:val="true"/>
              </w:rPr>
              <w:t>مقدمه</w:t>
            </w:r>
            <w:r>
              <w:rPr>
                <w:rStyle w:val="IndexLink"/>
                <w:rtl w:val="true"/>
              </w:rPr>
              <w:tab/>
            </w:r>
            <w:r>
              <w:rPr>
                <w:rStyle w:val="IndexLink"/>
              </w:rPr>
              <w:t>403</w:t>
            </w:r>
          </w:hyperlink>
        </w:p>
        <w:p>
          <w:pPr>
            <w:pStyle w:val="Contents3"/>
            <w:tabs>
              <w:tab w:val="clear" w:pos="8459"/>
              <w:tab w:val="right" w:pos="9026" w:leader="dot"/>
            </w:tabs>
            <w:rPr/>
          </w:pPr>
          <w:hyperlink w:anchor="__RefHeading___Toc7825995_2870459653">
            <w:r>
              <w:rPr>
                <w:webHidden/>
                <w:rStyle w:val="IndexLink"/>
              </w:rPr>
              <w:t>1</w:t>
            </w:r>
            <w:r>
              <w:rPr>
                <w:rStyle w:val="IndexLink"/>
                <w:rtl w:val="true"/>
              </w:rPr>
              <w:t xml:space="preserve">. </w:t>
            </w:r>
            <w:r>
              <w:rPr>
                <w:rStyle w:val="IndexLink"/>
                <w:rtl w:val="true"/>
              </w:rPr>
              <w:t>کتاب خانه به عنوان متولی مسلم میراث موجود</w:t>
            </w:r>
            <w:r>
              <w:rPr>
                <w:rStyle w:val="IndexLink"/>
                <w:rtl w:val="true"/>
              </w:rPr>
              <w:tab/>
            </w:r>
            <w:r>
              <w:rPr>
                <w:rStyle w:val="IndexLink"/>
              </w:rPr>
              <w:t>404</w:t>
            </w:r>
          </w:hyperlink>
        </w:p>
        <w:p>
          <w:pPr>
            <w:pStyle w:val="Contents4"/>
            <w:tabs>
              <w:tab w:val="clear" w:pos="8176"/>
              <w:tab w:val="right" w:pos="9026" w:leader="dot"/>
            </w:tabs>
            <w:rPr/>
          </w:pPr>
          <w:hyperlink w:anchor="__RefHeading___Toc7825997_2870459653">
            <w:r>
              <w:rPr>
                <w:webHidden/>
                <w:rStyle w:val="IndexLink"/>
                <w:rtl w:val="true"/>
              </w:rPr>
              <w:t>الف</w:t>
            </w:r>
            <w:r>
              <w:rPr>
                <w:rStyle w:val="IndexLink"/>
                <w:rtl w:val="true"/>
              </w:rPr>
              <w:t xml:space="preserve">- </w:t>
            </w:r>
            <w:r>
              <w:rPr>
                <w:rStyle w:val="IndexLink"/>
                <w:rtl w:val="true"/>
              </w:rPr>
              <w:t>کتاب خانه جامعه ملل</w:t>
            </w:r>
            <w:r>
              <w:rPr>
                <w:rStyle w:val="IndexLink"/>
                <w:rtl w:val="true"/>
              </w:rPr>
              <w:t>:</w:t>
              <w:tab/>
            </w:r>
            <w:r>
              <w:rPr>
                <w:rStyle w:val="IndexLink"/>
              </w:rPr>
              <w:t>404</w:t>
            </w:r>
          </w:hyperlink>
        </w:p>
        <w:p>
          <w:pPr>
            <w:pStyle w:val="Contents4"/>
            <w:tabs>
              <w:tab w:val="clear" w:pos="8176"/>
              <w:tab w:val="right" w:pos="9026" w:leader="dot"/>
            </w:tabs>
            <w:rPr/>
          </w:pPr>
          <w:hyperlink w:anchor="__RefHeading___Toc7825999_2870459653">
            <w:r>
              <w:rPr>
                <w:webHidden/>
                <w:rStyle w:val="IndexLink"/>
                <w:rtl w:val="true"/>
              </w:rPr>
              <w:t>ب</w:t>
            </w:r>
            <w:r>
              <w:rPr>
                <w:rStyle w:val="IndexLink"/>
                <w:rtl w:val="true"/>
              </w:rPr>
              <w:t xml:space="preserve">- </w:t>
            </w:r>
            <w:r>
              <w:rPr>
                <w:rStyle w:val="IndexLink"/>
                <w:rtl w:val="true"/>
              </w:rPr>
              <w:t>کتاب خانه سازمان ملل در ژنو</w:t>
            </w:r>
            <w:r>
              <w:rPr>
                <w:rStyle w:val="IndexLink"/>
                <w:rtl w:val="true"/>
              </w:rPr>
              <w:tab/>
            </w:r>
            <w:r>
              <w:rPr>
                <w:rStyle w:val="IndexLink"/>
              </w:rPr>
              <w:t>406</w:t>
            </w:r>
          </w:hyperlink>
        </w:p>
        <w:p>
          <w:pPr>
            <w:pStyle w:val="Contents3"/>
            <w:tabs>
              <w:tab w:val="clear" w:pos="8459"/>
              <w:tab w:val="right" w:pos="9026" w:leader="dot"/>
            </w:tabs>
            <w:rPr/>
          </w:pPr>
          <w:hyperlink w:anchor="__RefHeading___Toc7826001_2870459653">
            <w:r>
              <w:rPr>
                <w:webHidden/>
                <w:rStyle w:val="IndexLink"/>
              </w:rPr>
              <w:t>2</w:t>
            </w:r>
            <w:r>
              <w:rPr>
                <w:rStyle w:val="IndexLink"/>
                <w:rtl w:val="true"/>
              </w:rPr>
              <w:t xml:space="preserve">. </w:t>
            </w:r>
            <w:r>
              <w:rPr>
                <w:rStyle w:val="IndexLink"/>
                <w:rtl w:val="true"/>
              </w:rPr>
              <w:t>تسهیل در دسترسی و حفظ دارایی های موروثی</w:t>
            </w:r>
            <w:r>
              <w:rPr>
                <w:rStyle w:val="IndexLink"/>
                <w:rtl w:val="true"/>
              </w:rPr>
              <w:t xml:space="preserve">: </w:t>
            </w:r>
            <w:r>
              <w:rPr>
                <w:rStyle w:val="IndexLink"/>
                <w:rtl w:val="true"/>
              </w:rPr>
              <w:t>چالش ها و فرصت ها</w:t>
            </w:r>
            <w:r>
              <w:rPr>
                <w:rStyle w:val="IndexLink"/>
                <w:rtl w:val="true"/>
              </w:rPr>
              <w:tab/>
            </w:r>
            <w:r>
              <w:rPr>
                <w:rStyle w:val="IndexLink"/>
              </w:rPr>
              <w:t>408</w:t>
            </w:r>
          </w:hyperlink>
        </w:p>
        <w:p>
          <w:pPr>
            <w:pStyle w:val="Contents4"/>
            <w:tabs>
              <w:tab w:val="clear" w:pos="8176"/>
              <w:tab w:val="right" w:pos="9026" w:leader="dot"/>
            </w:tabs>
            <w:rPr/>
          </w:pPr>
          <w:hyperlink w:anchor="__RefHeading___Toc7826003_2870459653">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7826005_2870459653">
            <w:r>
              <w:rPr>
                <w:webHidden/>
                <w:rStyle w:val="IndexLink"/>
                <w:rtl w:val="true"/>
              </w:rPr>
              <w:t>الف</w:t>
            </w:r>
            <w:r>
              <w:rPr>
                <w:rStyle w:val="IndexLink"/>
                <w:rtl w:val="true"/>
              </w:rPr>
              <w:t xml:space="preserve">- </w:t>
            </w:r>
            <w:r>
              <w:rPr>
                <w:rStyle w:val="IndexLink"/>
                <w:rtl w:val="true"/>
              </w:rPr>
              <w:t>تسهیل دسترسی جهانی به میراث موجود</w:t>
            </w:r>
            <w:r>
              <w:rPr>
                <w:rStyle w:val="IndexLink"/>
                <w:rtl w:val="true"/>
              </w:rPr>
              <w:tab/>
            </w:r>
            <w:r>
              <w:rPr>
                <w:rStyle w:val="IndexLink"/>
              </w:rPr>
              <w:t>409</w:t>
            </w:r>
          </w:hyperlink>
        </w:p>
        <w:p>
          <w:pPr>
            <w:pStyle w:val="Contents4"/>
            <w:tabs>
              <w:tab w:val="clear" w:pos="8176"/>
              <w:tab w:val="right" w:pos="9026" w:leader="dot"/>
            </w:tabs>
            <w:rPr/>
          </w:pPr>
          <w:hyperlink w:anchor="__RefHeading___Toc7826007_2870459653">
            <w:r>
              <w:rPr>
                <w:webHidden/>
                <w:rStyle w:val="IndexLink"/>
                <w:rtl w:val="true"/>
              </w:rPr>
              <w:t>ب</w:t>
            </w:r>
            <w:r>
              <w:rPr>
                <w:rStyle w:val="IndexLink"/>
                <w:rtl w:val="true"/>
              </w:rPr>
              <w:t xml:space="preserve">- </w:t>
            </w:r>
            <w:r>
              <w:rPr>
                <w:rStyle w:val="IndexLink"/>
                <w:rtl w:val="true"/>
              </w:rPr>
              <w:t>حفظ و نگهداری میراث موجود</w:t>
            </w:r>
            <w:r>
              <w:rPr>
                <w:rStyle w:val="IndexLink"/>
                <w:rtl w:val="true"/>
              </w:rPr>
              <w:tab/>
            </w:r>
            <w:r>
              <w:rPr>
                <w:rStyle w:val="IndexLink"/>
              </w:rPr>
              <w:t>410</w:t>
            </w:r>
          </w:hyperlink>
        </w:p>
        <w:p>
          <w:pPr>
            <w:pStyle w:val="Contents4"/>
            <w:tabs>
              <w:tab w:val="clear" w:pos="8176"/>
              <w:tab w:val="right" w:pos="9026" w:leader="dot"/>
            </w:tabs>
            <w:rPr/>
          </w:pPr>
          <w:hyperlink w:anchor="__RefHeading___Toc7826009_2870459653">
            <w:r>
              <w:rPr>
                <w:webHidden/>
                <w:rStyle w:val="IndexLink"/>
                <w:rtl w:val="true"/>
              </w:rPr>
              <w:t>ج</w:t>
            </w:r>
            <w:r>
              <w:rPr>
                <w:rStyle w:val="IndexLink"/>
                <w:rtl w:val="true"/>
              </w:rPr>
              <w:t xml:space="preserve">- </w:t>
            </w:r>
            <w:r>
              <w:rPr>
                <w:rStyle w:val="IndexLink"/>
                <w:rtl w:val="true"/>
              </w:rPr>
              <w:t>نمایان سازی میراث فرهنگی از طریق اقدامات توسعه</w:t>
            </w:r>
            <w:r>
              <w:rPr>
                <w:rStyle w:val="IndexLink"/>
                <w:rtl w:val="true"/>
              </w:rPr>
              <w:tab/>
            </w:r>
            <w:r>
              <w:rPr>
                <w:rStyle w:val="IndexLink"/>
              </w:rPr>
              <w:t>412</w:t>
            </w:r>
          </w:hyperlink>
        </w:p>
        <w:p>
          <w:pPr>
            <w:pStyle w:val="Contents2"/>
            <w:tabs>
              <w:tab w:val="clear" w:pos="8743"/>
              <w:tab w:val="right" w:pos="9026" w:leader="dot"/>
            </w:tabs>
            <w:rPr/>
          </w:pPr>
          <w:hyperlink w:anchor="__RefHeading___Toc7826011_2870459653">
            <w:r>
              <w:rPr>
                <w:webHidden/>
                <w:rStyle w:val="IndexLink"/>
                <w:rtl w:val="true"/>
              </w:rPr>
              <w:t>چکیده</w:t>
            </w:r>
            <w:r>
              <w:rPr>
                <w:rStyle w:val="IndexLink"/>
                <w:rtl w:val="true"/>
              </w:rPr>
              <w:tab/>
            </w:r>
            <w:r>
              <w:rPr>
                <w:rStyle w:val="IndexLink"/>
              </w:rPr>
              <w:t>414</w:t>
            </w:r>
          </w:hyperlink>
        </w:p>
        <w:p>
          <w:pPr>
            <w:pStyle w:val="Contents2"/>
            <w:tabs>
              <w:tab w:val="clear" w:pos="8743"/>
              <w:tab w:val="right" w:pos="9026" w:leader="dot"/>
            </w:tabs>
            <w:rPr/>
          </w:pPr>
          <w:hyperlink w:anchor="__RefHeading___Toc7826013_2870459653">
            <w:r>
              <w:rPr>
                <w:webHidden/>
                <w:rStyle w:val="IndexLink"/>
                <w:rtl w:val="true"/>
              </w:rPr>
              <w:t>خطرات ناشی از انتقال به ابر</w:t>
            </w:r>
            <w:r>
              <w:rPr>
                <w:rStyle w:val="IndexLink"/>
                <w:rtl w:val="true"/>
              </w:rPr>
              <w:t xml:space="preserve">: </w:t>
            </w:r>
            <w:r>
              <w:rPr>
                <w:rStyle w:val="IndexLink"/>
                <w:rtl w:val="true"/>
              </w:rPr>
              <w:t>عامل انسانی</w:t>
            </w:r>
            <w:r>
              <w:rPr>
                <w:rStyle w:val="IndexLink"/>
                <w:rtl w:val="true"/>
              </w:rPr>
              <w:tab/>
            </w:r>
            <w:r>
              <w:rPr>
                <w:rStyle w:val="IndexLink"/>
              </w:rPr>
              <w:t>415</w:t>
            </w:r>
          </w:hyperlink>
        </w:p>
        <w:p>
          <w:pPr>
            <w:pStyle w:val="Contents3"/>
            <w:tabs>
              <w:tab w:val="clear" w:pos="8459"/>
              <w:tab w:val="right" w:pos="9026" w:leader="dot"/>
            </w:tabs>
            <w:rPr/>
          </w:pPr>
          <w:hyperlink w:anchor="__RefHeading___Toc7826015_2870459653">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7826017_2870459653">
            <w:r>
              <w:rPr>
                <w:webHidden/>
                <w:rStyle w:val="IndexLink"/>
              </w:rPr>
              <w:t>1</w:t>
            </w:r>
            <w:r>
              <w:rPr>
                <w:rStyle w:val="IndexLink"/>
                <w:rtl w:val="true"/>
              </w:rPr>
              <w:t xml:space="preserve">. </w:t>
            </w:r>
            <w:r>
              <w:rPr>
                <w:rStyle w:val="IndexLink"/>
                <w:rtl w:val="true"/>
              </w:rPr>
              <w:t>فناوری ابر برای کتاب خانه ها</w:t>
            </w:r>
            <w:r>
              <w:rPr>
                <w:rStyle w:val="IndexLink"/>
                <w:rtl w:val="true"/>
              </w:rPr>
              <w:tab/>
            </w:r>
            <w:r>
              <w:rPr>
                <w:rStyle w:val="IndexLink"/>
              </w:rPr>
              <w:t>415</w:t>
            </w:r>
          </w:hyperlink>
        </w:p>
        <w:p>
          <w:pPr>
            <w:pStyle w:val="Contents4"/>
            <w:tabs>
              <w:tab w:val="clear" w:pos="8176"/>
              <w:tab w:val="right" w:pos="9026" w:leader="dot"/>
            </w:tabs>
            <w:rPr/>
          </w:pPr>
          <w:hyperlink w:anchor="__RefHeading___Toc7826019_2870459653">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7826021_2870459653">
            <w:r>
              <w:rPr>
                <w:webHidden/>
                <w:rStyle w:val="IndexLink"/>
                <w:rtl w:val="true"/>
              </w:rPr>
              <w:t xml:space="preserve">مزایای عام </w:t>
            </w:r>
            <w:r>
              <w:rPr>
                <w:rStyle w:val="IndexLink"/>
                <w:rtl w:val="true"/>
              </w:rPr>
              <w:t>(</w:t>
            </w:r>
            <w:r>
              <w:rPr>
                <w:rStyle w:val="IndexLink"/>
                <w:rtl w:val="true"/>
              </w:rPr>
              <w:t>فناوری اطلاعات</w:t>
            </w:r>
            <w:r>
              <w:rPr>
                <w:rStyle w:val="IndexLink"/>
                <w:rtl w:val="true"/>
              </w:rPr>
              <w:t>)</w:t>
              <w:tab/>
            </w:r>
            <w:r>
              <w:rPr>
                <w:rStyle w:val="IndexLink"/>
              </w:rPr>
              <w:t>415</w:t>
            </w:r>
          </w:hyperlink>
        </w:p>
        <w:p>
          <w:pPr>
            <w:pStyle w:val="Contents4"/>
            <w:tabs>
              <w:tab w:val="clear" w:pos="8176"/>
              <w:tab w:val="right" w:pos="9026" w:leader="dot"/>
            </w:tabs>
            <w:rPr/>
          </w:pPr>
          <w:hyperlink w:anchor="__RefHeading___Toc7826023_2870459653">
            <w:r>
              <w:rPr>
                <w:webHidden/>
                <w:rStyle w:val="IndexLink"/>
                <w:rtl w:val="true"/>
              </w:rPr>
              <w:t xml:space="preserve">مزایای خاص </w:t>
            </w:r>
            <w:r>
              <w:rPr>
                <w:rStyle w:val="IndexLink"/>
                <w:rtl w:val="true"/>
              </w:rPr>
              <w:t>(</w:t>
            </w:r>
            <w:r>
              <w:rPr>
                <w:rStyle w:val="IndexLink"/>
                <w:rtl w:val="true"/>
              </w:rPr>
              <w:t>کسب و کار</w:t>
            </w:r>
            <w:r>
              <w:rPr>
                <w:rStyle w:val="IndexLink"/>
                <w:rtl w:val="true"/>
              </w:rPr>
              <w:t>)</w:t>
              <w:tab/>
            </w:r>
            <w:r>
              <w:rPr>
                <w:rStyle w:val="IndexLink"/>
              </w:rPr>
              <w:t>417</w:t>
            </w:r>
          </w:hyperlink>
        </w:p>
        <w:p>
          <w:pPr>
            <w:pStyle w:val="Contents3"/>
            <w:tabs>
              <w:tab w:val="clear" w:pos="8459"/>
              <w:tab w:val="right" w:pos="9026" w:leader="dot"/>
            </w:tabs>
            <w:rPr/>
          </w:pPr>
          <w:hyperlink w:anchor="__RefHeading___Toc7826025_2870459653">
            <w:r>
              <w:rPr>
                <w:webHidden/>
                <w:rStyle w:val="IndexLink"/>
              </w:rPr>
              <w:t>2</w:t>
            </w:r>
            <w:r>
              <w:rPr>
                <w:rStyle w:val="IndexLink"/>
                <w:rtl w:val="true"/>
              </w:rPr>
              <w:t xml:space="preserve">. </w:t>
            </w:r>
            <w:r>
              <w:rPr>
                <w:rStyle w:val="IndexLink"/>
                <w:rtl w:val="true"/>
              </w:rPr>
              <w:t>مدیریت تغییر برای پشتیبانی از طرح های تغییر عمده</w:t>
            </w:r>
            <w:r>
              <w:rPr>
                <w:rStyle w:val="IndexLink"/>
                <w:rtl w:val="true"/>
              </w:rPr>
              <w:tab/>
            </w:r>
            <w:r>
              <w:rPr>
                <w:rStyle w:val="IndexLink"/>
              </w:rPr>
              <w:t>419</w:t>
            </w:r>
          </w:hyperlink>
        </w:p>
        <w:p>
          <w:pPr>
            <w:pStyle w:val="Contents3"/>
            <w:tabs>
              <w:tab w:val="clear" w:pos="8459"/>
              <w:tab w:val="right" w:pos="9026" w:leader="dot"/>
            </w:tabs>
            <w:rPr/>
          </w:pPr>
          <w:hyperlink w:anchor="__RefHeading___Toc7826027_2870459653">
            <w:r>
              <w:rPr>
                <w:webHidden/>
                <w:rStyle w:val="IndexLink"/>
              </w:rPr>
              <w:t>3</w:t>
            </w:r>
            <w:r>
              <w:rPr>
                <w:rStyle w:val="IndexLink"/>
                <w:rtl w:val="true"/>
              </w:rPr>
              <w:t xml:space="preserve">. </w:t>
            </w:r>
            <w:r>
              <w:rPr>
                <w:rStyle w:val="IndexLink"/>
                <w:rtl w:val="true"/>
              </w:rPr>
              <w:t>تجارب عملی در مهاجرت کتاب خانه به ابر</w:t>
            </w:r>
            <w:r>
              <w:rPr>
                <w:rStyle w:val="IndexLink"/>
                <w:rtl w:val="true"/>
              </w:rPr>
              <w:tab/>
            </w:r>
            <w:r>
              <w:rPr>
                <w:rStyle w:val="IndexLink"/>
              </w:rPr>
              <w:t>421</w:t>
            </w:r>
          </w:hyperlink>
        </w:p>
        <w:p>
          <w:pPr>
            <w:pStyle w:val="Contents3"/>
            <w:tabs>
              <w:tab w:val="clear" w:pos="8459"/>
              <w:tab w:val="right" w:pos="9026" w:leader="dot"/>
            </w:tabs>
            <w:rPr/>
          </w:pPr>
          <w:hyperlink w:anchor="__RefHeading___Toc7826029_2870459653">
            <w:r>
              <w:rPr>
                <w:webHidden/>
                <w:rStyle w:val="IndexLink"/>
              </w:rPr>
              <w:t>4</w:t>
            </w:r>
            <w:r>
              <w:rPr>
                <w:rStyle w:val="IndexLink"/>
                <w:rtl w:val="true"/>
              </w:rPr>
              <w:t xml:space="preserve">. </w:t>
            </w:r>
            <w:r>
              <w:rPr>
                <w:rStyle w:val="IndexLink"/>
                <w:rtl w:val="true"/>
              </w:rPr>
              <w:t>عوامل حیاتی موفقیت در هنگام اتخاذ یک فناوری ابر</w:t>
            </w:r>
            <w:r>
              <w:rPr>
                <w:rStyle w:val="IndexLink"/>
                <w:rtl w:val="true"/>
              </w:rPr>
              <w:tab/>
            </w:r>
            <w:r>
              <w:rPr>
                <w:rStyle w:val="IndexLink"/>
              </w:rPr>
              <w:t>423</w:t>
            </w:r>
          </w:hyperlink>
        </w:p>
        <w:p>
          <w:pPr>
            <w:pStyle w:val="Contents3"/>
            <w:tabs>
              <w:tab w:val="clear" w:pos="8459"/>
              <w:tab w:val="right" w:pos="9026" w:leader="dot"/>
            </w:tabs>
            <w:rPr/>
          </w:pPr>
          <w:hyperlink w:anchor="__RefHeading___Toc7826031_2870459653">
            <w:r>
              <w:rPr>
                <w:webHidden/>
                <w:rStyle w:val="IndexLink"/>
              </w:rPr>
              <w:t>5</w:t>
            </w:r>
            <w:r>
              <w:rPr>
                <w:rStyle w:val="IndexLink"/>
                <w:rtl w:val="true"/>
              </w:rPr>
              <w:t xml:space="preserve">. </w:t>
            </w:r>
            <w:r>
              <w:rPr>
                <w:rStyle w:val="IndexLink"/>
                <w:rtl w:val="true"/>
              </w:rPr>
              <w:t>نتیجه گیری</w:t>
            </w:r>
            <w:r>
              <w:rPr>
                <w:rStyle w:val="IndexLink"/>
                <w:rtl w:val="true"/>
              </w:rPr>
              <w:tab/>
            </w:r>
            <w:r>
              <w:rPr>
                <w:rStyle w:val="IndexLink"/>
              </w:rPr>
              <w:t>428</w:t>
            </w:r>
          </w:hyperlink>
        </w:p>
        <w:p>
          <w:pPr>
            <w:pStyle w:val="Contents3"/>
            <w:tabs>
              <w:tab w:val="clear" w:pos="8459"/>
              <w:tab w:val="right" w:pos="9026" w:leader="dot"/>
            </w:tabs>
            <w:rPr/>
          </w:pPr>
          <w:hyperlink w:anchor="__RefHeading___Toc7826033_2870459653">
            <w:r>
              <w:rPr>
                <w:webHidden/>
                <w:rStyle w:val="IndexLink"/>
                <w:rtl w:val="true"/>
              </w:rPr>
              <w:t>منابع</w:t>
            </w:r>
            <w:r>
              <w:rPr>
                <w:rStyle w:val="IndexLink"/>
                <w:rtl w:val="true"/>
              </w:rPr>
              <w:tab/>
            </w:r>
            <w:r>
              <w:rPr>
                <w:rStyle w:val="IndexLink"/>
              </w:rPr>
              <w:t>428</w:t>
            </w:r>
          </w:hyperlink>
        </w:p>
        <w:p>
          <w:pPr>
            <w:pStyle w:val="Contents2"/>
            <w:tabs>
              <w:tab w:val="clear" w:pos="8743"/>
              <w:tab w:val="right" w:pos="9026" w:leader="dot"/>
            </w:tabs>
            <w:rPr/>
          </w:pPr>
          <w:hyperlink w:anchor="__RefHeading___Toc7826035_2870459653">
            <w:r>
              <w:rPr>
                <w:webHidden/>
                <w:rStyle w:val="IndexLink"/>
                <w:rtl w:val="true"/>
              </w:rPr>
              <w:t>چکیده</w:t>
            </w:r>
            <w:r>
              <w:rPr>
                <w:rStyle w:val="IndexLink"/>
                <w:rtl w:val="true"/>
              </w:rPr>
              <w:tab/>
            </w:r>
            <w:r>
              <w:rPr>
                <w:rStyle w:val="IndexLink"/>
              </w:rPr>
              <w:t>432</w:t>
            </w:r>
          </w:hyperlink>
        </w:p>
        <w:p>
          <w:pPr>
            <w:pStyle w:val="Contents2"/>
            <w:tabs>
              <w:tab w:val="clear" w:pos="8743"/>
              <w:tab w:val="right" w:pos="9026" w:leader="dot"/>
            </w:tabs>
            <w:rPr/>
          </w:pPr>
          <w:hyperlink w:anchor="__RefHeading___Toc7826037_2870459653">
            <w:r>
              <w:rPr>
                <w:webHidden/>
                <w:rStyle w:val="IndexLink"/>
                <w:rtl w:val="true"/>
              </w:rPr>
              <w:t>نیازها، مطالعات و امکانات یک کتاب خانه شهری در محیط چند فرهنگی</w:t>
            </w:r>
            <w:r>
              <w:rPr>
                <w:rStyle w:val="IndexLink"/>
                <w:rtl w:val="true"/>
              </w:rPr>
              <w:tab/>
            </w:r>
            <w:r>
              <w:rPr>
                <w:rStyle w:val="IndexLink"/>
              </w:rPr>
              <w:t>433</w:t>
            </w:r>
          </w:hyperlink>
        </w:p>
        <w:p>
          <w:pPr>
            <w:pStyle w:val="Contents3"/>
            <w:tabs>
              <w:tab w:val="clear" w:pos="8459"/>
              <w:tab w:val="right" w:pos="9026" w:leader="dot"/>
            </w:tabs>
            <w:rPr/>
          </w:pPr>
          <w:hyperlink w:anchor="__RefHeading___Toc7826039_2870459653">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7826041_2870459653">
            <w:r>
              <w:rPr>
                <w:webHidden/>
                <w:rStyle w:val="IndexLink"/>
                <w:rtl w:val="true"/>
              </w:rPr>
              <w:t>نیازها مطالعات و امکانات یک کتاب خانه شهری در محیطی چند فرهنگی</w:t>
            </w:r>
            <w:r>
              <w:rPr>
                <w:rStyle w:val="IndexLink"/>
                <w:rtl w:val="true"/>
              </w:rPr>
              <w:tab/>
            </w:r>
            <w:r>
              <w:rPr>
                <w:rStyle w:val="IndexLink"/>
              </w:rPr>
              <w:t>433</w:t>
            </w:r>
          </w:hyperlink>
        </w:p>
        <w:p>
          <w:pPr>
            <w:pStyle w:val="Contents3"/>
            <w:tabs>
              <w:tab w:val="clear" w:pos="8459"/>
              <w:tab w:val="right" w:pos="9026" w:leader="dot"/>
            </w:tabs>
            <w:rPr/>
          </w:pPr>
          <w:hyperlink w:anchor="__RefHeading___Toc7826043_2870459653">
            <w:r>
              <w:rPr>
                <w:webHidden/>
                <w:rStyle w:val="IndexLink"/>
                <w:rtl w:val="true"/>
              </w:rPr>
              <w:t>چالش ها</w:t>
            </w:r>
            <w:r>
              <w:rPr>
                <w:rStyle w:val="IndexLink"/>
                <w:rtl w:val="true"/>
              </w:rPr>
              <w:tab/>
            </w:r>
            <w:r>
              <w:rPr>
                <w:rStyle w:val="IndexLink"/>
              </w:rPr>
              <w:t>434</w:t>
            </w:r>
          </w:hyperlink>
        </w:p>
        <w:p>
          <w:pPr>
            <w:pStyle w:val="Contents3"/>
            <w:tabs>
              <w:tab w:val="clear" w:pos="8459"/>
              <w:tab w:val="right" w:pos="9026" w:leader="dot"/>
            </w:tabs>
            <w:rPr/>
          </w:pPr>
          <w:hyperlink w:anchor="__RefHeading___Toc7826045_2870459653">
            <w:r>
              <w:rPr>
                <w:webHidden/>
                <w:rStyle w:val="IndexLink"/>
                <w:rtl w:val="true"/>
              </w:rPr>
              <w:t>نمونه مورد بررسی</w:t>
            </w:r>
            <w:r>
              <w:rPr>
                <w:rStyle w:val="IndexLink"/>
                <w:rtl w:val="true"/>
              </w:rPr>
              <w:t xml:space="preserve">: </w:t>
            </w:r>
            <w:r>
              <w:rPr>
                <w:rStyle w:val="IndexLink"/>
                <w:rtl w:val="true"/>
              </w:rPr>
              <w:t>بیسکوپسگاردن</w:t>
            </w:r>
            <w:r>
              <w:rPr>
                <w:rStyle w:val="IndexLink"/>
                <w:rtl w:val="true"/>
              </w:rPr>
              <w:tab/>
            </w:r>
            <w:r>
              <w:rPr>
                <w:rStyle w:val="IndexLink"/>
              </w:rPr>
              <w:t>434</w:t>
            </w:r>
          </w:hyperlink>
        </w:p>
        <w:p>
          <w:pPr>
            <w:pStyle w:val="Contents3"/>
            <w:tabs>
              <w:tab w:val="clear" w:pos="8459"/>
              <w:tab w:val="right" w:pos="9026" w:leader="dot"/>
            </w:tabs>
            <w:rPr/>
          </w:pPr>
          <w:hyperlink w:anchor="__RefHeading___Toc7826047_2870459653">
            <w:r>
              <w:rPr>
                <w:webHidden/>
                <w:rStyle w:val="IndexLink"/>
                <w:rtl w:val="true"/>
              </w:rPr>
              <w:t>روش های موفق</w:t>
            </w:r>
            <w:r>
              <w:rPr>
                <w:rStyle w:val="IndexLink"/>
                <w:rtl w:val="true"/>
              </w:rPr>
              <w:tab/>
            </w:r>
            <w:r>
              <w:rPr>
                <w:rStyle w:val="IndexLink"/>
              </w:rPr>
              <w:t>436</w:t>
            </w:r>
          </w:hyperlink>
        </w:p>
        <w:p>
          <w:pPr>
            <w:pStyle w:val="Contents3"/>
            <w:tabs>
              <w:tab w:val="clear" w:pos="8459"/>
              <w:tab w:val="right" w:pos="9026" w:leader="dot"/>
            </w:tabs>
            <w:rPr/>
          </w:pPr>
          <w:hyperlink w:anchor="__RefHeading___Toc7826049_2870459653">
            <w:r>
              <w:rPr>
                <w:webHidden/>
                <w:rStyle w:val="IndexLink"/>
                <w:rtl w:val="true"/>
              </w:rPr>
              <w:t xml:space="preserve">به چالش طلبیدن مطبوعات </w:t>
            </w:r>
            <w:r>
              <w:rPr>
                <w:rStyle w:val="IndexLink"/>
                <w:rtl w:val="true"/>
              </w:rPr>
              <w:t xml:space="preserve">- </w:t>
            </w:r>
            <w:r>
              <w:rPr>
                <w:rStyle w:val="IndexLink"/>
                <w:rtl w:val="true"/>
              </w:rPr>
              <w:t>دوره مقدماتی رایانه</w:t>
            </w:r>
            <w:r>
              <w:rPr>
                <w:rStyle w:val="IndexLink"/>
                <w:rtl w:val="true"/>
              </w:rPr>
              <w:tab/>
            </w:r>
            <w:r>
              <w:rPr>
                <w:rStyle w:val="IndexLink"/>
              </w:rPr>
              <w:t>436</w:t>
            </w:r>
          </w:hyperlink>
        </w:p>
        <w:p>
          <w:pPr>
            <w:pStyle w:val="Contents3"/>
            <w:tabs>
              <w:tab w:val="clear" w:pos="8459"/>
              <w:tab w:val="right" w:pos="9026" w:leader="dot"/>
            </w:tabs>
            <w:rPr/>
          </w:pPr>
          <w:hyperlink w:anchor="__RefHeading___Toc7826051_2870459653">
            <w:r>
              <w:rPr>
                <w:webHidden/>
                <w:rStyle w:val="IndexLink"/>
                <w:rtl w:val="true"/>
              </w:rPr>
              <w:t>کافه زبان</w:t>
            </w:r>
            <w:r>
              <w:rPr>
                <w:rStyle w:val="IndexLink"/>
                <w:rtl w:val="true"/>
              </w:rPr>
              <w:tab/>
            </w:r>
            <w:r>
              <w:rPr>
                <w:rStyle w:val="IndexLink"/>
              </w:rPr>
              <w:t>436</w:t>
            </w:r>
          </w:hyperlink>
        </w:p>
        <w:p>
          <w:pPr>
            <w:pStyle w:val="Contents3"/>
            <w:tabs>
              <w:tab w:val="clear" w:pos="8459"/>
              <w:tab w:val="right" w:pos="9026" w:leader="dot"/>
            </w:tabs>
            <w:rPr/>
          </w:pPr>
          <w:hyperlink w:anchor="__RefHeading___Toc7826053_2870459653">
            <w:r>
              <w:rPr>
                <w:webHidden/>
                <w:rStyle w:val="IndexLink"/>
                <w:rtl w:val="true"/>
              </w:rPr>
              <w:t>حمایت یادگیری مادام العمر</w:t>
            </w:r>
            <w:r>
              <w:rPr>
                <w:rStyle w:val="IndexLink"/>
                <w:rtl w:val="true"/>
              </w:rPr>
              <w:tab/>
            </w:r>
            <w:r>
              <w:rPr>
                <w:rStyle w:val="IndexLink"/>
              </w:rPr>
              <w:t>438</w:t>
            </w:r>
          </w:hyperlink>
        </w:p>
        <w:p>
          <w:pPr>
            <w:pStyle w:val="Contents3"/>
            <w:tabs>
              <w:tab w:val="clear" w:pos="8459"/>
              <w:tab w:val="right" w:pos="9026" w:leader="dot"/>
            </w:tabs>
            <w:rPr/>
          </w:pPr>
          <w:hyperlink w:anchor="__RefHeading___Toc7826055_2870459653">
            <w:r>
              <w:rPr>
                <w:webHidden/>
                <w:rStyle w:val="IndexLink"/>
                <w:rtl w:val="true"/>
              </w:rPr>
              <w:t>آموزشیاران تکالیف منزل</w:t>
            </w:r>
            <w:r>
              <w:rPr>
                <w:rStyle w:val="IndexLink"/>
                <w:rtl w:val="true"/>
              </w:rPr>
              <w:tab/>
            </w:r>
            <w:r>
              <w:rPr>
                <w:rStyle w:val="IndexLink"/>
              </w:rPr>
              <w:t>439</w:t>
            </w:r>
          </w:hyperlink>
        </w:p>
        <w:p>
          <w:pPr>
            <w:pStyle w:val="Contents3"/>
            <w:tabs>
              <w:tab w:val="clear" w:pos="8459"/>
              <w:tab w:val="right" w:pos="9026" w:leader="dot"/>
            </w:tabs>
            <w:rPr/>
          </w:pPr>
          <w:hyperlink w:anchor="__RefHeading___Toc7826057_2870459653">
            <w:r>
              <w:rPr>
                <w:webHidden/>
                <w:rStyle w:val="IndexLink"/>
                <w:rtl w:val="true"/>
              </w:rPr>
              <w:t>داستان سرایی برای بچه ها</w:t>
            </w:r>
            <w:r>
              <w:rPr>
                <w:rStyle w:val="IndexLink"/>
                <w:rtl w:val="true"/>
              </w:rPr>
              <w:tab/>
            </w:r>
            <w:r>
              <w:rPr>
                <w:rStyle w:val="IndexLink"/>
              </w:rPr>
              <w:t>439</w:t>
            </w:r>
          </w:hyperlink>
        </w:p>
        <w:p>
          <w:pPr>
            <w:pStyle w:val="Contents3"/>
            <w:tabs>
              <w:tab w:val="clear" w:pos="8459"/>
              <w:tab w:val="right" w:pos="9026" w:leader="dot"/>
            </w:tabs>
            <w:rPr/>
          </w:pPr>
          <w:hyperlink w:anchor="__RefHeading___Toc7826059_2870459653">
            <w:r>
              <w:rPr>
                <w:webHidden/>
                <w:rStyle w:val="IndexLink"/>
                <w:rtl w:val="true"/>
              </w:rPr>
              <w:t>جمع بندی</w:t>
            </w:r>
            <w:r>
              <w:rPr>
                <w:rStyle w:val="IndexLink"/>
                <w:rtl w:val="true"/>
              </w:rPr>
              <w:tab/>
            </w:r>
            <w:r>
              <w:rPr>
                <w:rStyle w:val="IndexLink"/>
              </w:rPr>
              <w:t>440</w:t>
            </w:r>
          </w:hyperlink>
        </w:p>
        <w:p>
          <w:pPr>
            <w:pStyle w:val="Contents3"/>
            <w:tabs>
              <w:tab w:val="clear" w:pos="8459"/>
              <w:tab w:val="right" w:pos="9026" w:leader="dot"/>
            </w:tabs>
            <w:rPr/>
          </w:pPr>
          <w:hyperlink w:anchor="__RefHeading___Toc7826061_2870459653">
            <w:r>
              <w:rPr>
                <w:webHidden/>
                <w:rStyle w:val="IndexLink"/>
                <w:rtl w:val="true"/>
              </w:rPr>
              <w:t>انجمن های دوستان کتاب خانه ای</w:t>
            </w:r>
            <w:r>
              <w:rPr>
                <w:rStyle w:val="IndexLink"/>
                <w:rtl w:val="true"/>
              </w:rPr>
              <w:tab/>
            </w:r>
            <w:r>
              <w:rPr>
                <w:rStyle w:val="IndexLink"/>
              </w:rPr>
              <w:t>440</w:t>
            </w:r>
          </w:hyperlink>
        </w:p>
        <w:p>
          <w:pPr>
            <w:pStyle w:val="Contents3"/>
            <w:tabs>
              <w:tab w:val="clear" w:pos="8459"/>
              <w:tab w:val="right" w:pos="9026" w:leader="dot"/>
            </w:tabs>
            <w:rPr/>
          </w:pPr>
          <w:hyperlink w:anchor="__RefHeading___Toc7826063_2870459653">
            <w:r>
              <w:rPr>
                <w:webHidden/>
                <w:rStyle w:val="IndexLink"/>
                <w:rtl w:val="true"/>
              </w:rPr>
              <w:t>عرصه ای دموکراتیک</w:t>
            </w:r>
            <w:r>
              <w:rPr>
                <w:rStyle w:val="IndexLink"/>
                <w:rtl w:val="true"/>
              </w:rPr>
              <w:tab/>
            </w:r>
            <w:r>
              <w:rPr>
                <w:rStyle w:val="IndexLink"/>
              </w:rPr>
              <w:t>444</w:t>
            </w:r>
          </w:hyperlink>
        </w:p>
        <w:p>
          <w:pPr>
            <w:pStyle w:val="Contents3"/>
            <w:tabs>
              <w:tab w:val="clear" w:pos="8459"/>
              <w:tab w:val="right" w:pos="9026" w:leader="dot"/>
            </w:tabs>
            <w:rPr/>
          </w:pPr>
          <w:hyperlink w:anchor="__RefHeading___Toc7826065_2870459653">
            <w:r>
              <w:rPr>
                <w:webHidden/>
                <w:rStyle w:val="IndexLink"/>
                <w:rtl w:val="true"/>
              </w:rPr>
              <w:t>مطالعات و نیازها</w:t>
            </w:r>
            <w:r>
              <w:rPr>
                <w:rStyle w:val="IndexLink"/>
                <w:rtl w:val="true"/>
              </w:rPr>
              <w:tab/>
            </w:r>
            <w:r>
              <w:rPr>
                <w:rStyle w:val="IndexLink"/>
              </w:rPr>
              <w:t>447</w:t>
            </w:r>
          </w:hyperlink>
        </w:p>
        <w:p>
          <w:pPr>
            <w:pStyle w:val="Contents3"/>
            <w:tabs>
              <w:tab w:val="clear" w:pos="8459"/>
              <w:tab w:val="right" w:pos="9026" w:leader="dot"/>
            </w:tabs>
            <w:rPr/>
          </w:pPr>
          <w:hyperlink w:anchor="__RefHeading___Toc7826067_2870459653">
            <w:r>
              <w:rPr>
                <w:webHidden/>
                <w:rStyle w:val="IndexLink"/>
                <w:rtl w:val="true"/>
              </w:rPr>
              <w:t>آموزش و شرکت فعال</w:t>
            </w:r>
            <w:r>
              <w:rPr>
                <w:rStyle w:val="IndexLink"/>
                <w:rtl w:val="true"/>
              </w:rPr>
              <w:tab/>
            </w:r>
            <w:r>
              <w:rPr>
                <w:rStyle w:val="IndexLink"/>
              </w:rPr>
              <w:t>449</w:t>
            </w:r>
          </w:hyperlink>
        </w:p>
        <w:p>
          <w:pPr>
            <w:pStyle w:val="Contents3"/>
            <w:tabs>
              <w:tab w:val="clear" w:pos="8459"/>
              <w:tab w:val="right" w:pos="9026" w:leader="dot"/>
            </w:tabs>
            <w:rPr/>
          </w:pPr>
          <w:hyperlink w:anchor="__RefHeading___Toc7826069_2870459653">
            <w:r>
              <w:rPr>
                <w:webHidden/>
                <w:rStyle w:val="IndexLink"/>
                <w:rtl w:val="true"/>
              </w:rPr>
              <w:t>آراء جديد قابل توجه</w:t>
            </w:r>
            <w:r>
              <w:rPr>
                <w:rStyle w:val="IndexLink"/>
                <w:rtl w:val="true"/>
              </w:rPr>
              <w:tab/>
            </w:r>
            <w:r>
              <w:rPr>
                <w:rStyle w:val="IndexLink"/>
              </w:rPr>
              <w:t>449</w:t>
            </w:r>
          </w:hyperlink>
        </w:p>
        <w:p>
          <w:pPr>
            <w:pStyle w:val="Contents3"/>
            <w:tabs>
              <w:tab w:val="clear" w:pos="8459"/>
              <w:tab w:val="right" w:pos="9026" w:leader="dot"/>
            </w:tabs>
            <w:rPr/>
          </w:pPr>
          <w:hyperlink w:anchor="__RefHeading___Toc7826071_2870459653">
            <w:r>
              <w:rPr>
                <w:webHidden/>
                <w:rStyle w:val="IndexLink"/>
                <w:rtl w:val="true"/>
              </w:rPr>
              <w:t>منابع</w:t>
            </w:r>
            <w:r>
              <w:rPr>
                <w:rStyle w:val="IndexLink"/>
                <w:rtl w:val="true"/>
              </w:rPr>
              <w:tab/>
            </w:r>
            <w:r>
              <w:rPr>
                <w:rStyle w:val="IndexLink"/>
              </w:rPr>
              <w:t>450</w:t>
            </w:r>
          </w:hyperlink>
        </w:p>
        <w:p>
          <w:pPr>
            <w:pStyle w:val="Contents2"/>
            <w:tabs>
              <w:tab w:val="clear" w:pos="8743"/>
              <w:tab w:val="right" w:pos="9026" w:leader="dot"/>
            </w:tabs>
            <w:rPr/>
          </w:pPr>
          <w:hyperlink w:anchor="__RefHeading___Toc7826073_2870459653">
            <w:r>
              <w:rPr>
                <w:webHidden/>
                <w:rStyle w:val="IndexLink"/>
                <w:rtl w:val="true"/>
              </w:rPr>
              <w:t>چکیده</w:t>
            </w:r>
            <w:r>
              <w:rPr>
                <w:rStyle w:val="IndexLink"/>
                <w:rtl w:val="true"/>
              </w:rPr>
              <w:tab/>
            </w:r>
            <w:r>
              <w:rPr>
                <w:rStyle w:val="IndexLink"/>
              </w:rPr>
              <w:t>452</w:t>
            </w:r>
          </w:hyperlink>
        </w:p>
        <w:p>
          <w:pPr>
            <w:pStyle w:val="Contents2"/>
            <w:tabs>
              <w:tab w:val="clear" w:pos="8743"/>
              <w:tab w:val="right" w:pos="9026" w:leader="dot"/>
            </w:tabs>
            <w:rPr/>
          </w:pPr>
          <w:hyperlink w:anchor="__RefHeading___Toc7826075_2870459653">
            <w:r>
              <w:rPr>
                <w:webHidden/>
                <w:rStyle w:val="IndexLink"/>
                <w:rtl w:val="true"/>
              </w:rPr>
              <w:t>مدیریت ارتباط با مشتری</w:t>
            </w:r>
            <w:r>
              <w:rPr>
                <w:rStyle w:val="IndexLink"/>
                <w:rtl w:val="true"/>
              </w:rPr>
              <w:t xml:space="preserve">: </w:t>
            </w:r>
            <w:r>
              <w:rPr>
                <w:rStyle w:val="IndexLink"/>
                <w:rtl w:val="true"/>
              </w:rPr>
              <w:t>طرحی برای خدمات اطلاع رسانی پارلمانی</w:t>
            </w:r>
            <w:r>
              <w:rPr>
                <w:rStyle w:val="IndexLink"/>
                <w:rtl w:val="true"/>
              </w:rPr>
              <w:tab/>
            </w:r>
            <w:r>
              <w:rPr>
                <w:rStyle w:val="IndexLink"/>
              </w:rPr>
              <w:t>453</w:t>
            </w:r>
          </w:hyperlink>
        </w:p>
        <w:p>
          <w:pPr>
            <w:pStyle w:val="Contents3"/>
            <w:tabs>
              <w:tab w:val="clear" w:pos="8459"/>
              <w:tab w:val="right" w:pos="9026" w:leader="dot"/>
            </w:tabs>
            <w:rPr/>
          </w:pPr>
          <w:hyperlink w:anchor="__RefHeading___Toc7826077_2870459653">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7826079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453</w:t>
            </w:r>
          </w:hyperlink>
        </w:p>
        <w:p>
          <w:pPr>
            <w:pStyle w:val="Contents4"/>
            <w:tabs>
              <w:tab w:val="clear" w:pos="8176"/>
              <w:tab w:val="right" w:pos="9026" w:leader="dot"/>
            </w:tabs>
            <w:rPr/>
          </w:pPr>
          <w:hyperlink w:anchor="__RefHeading___Toc7826081_2870459653">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7826083_2870459653">
            <w:r>
              <w:rPr>
                <w:webHidden/>
                <w:rStyle w:val="IndexLink"/>
              </w:rPr>
              <w:t>1/2</w:t>
            </w:r>
            <w:r>
              <w:rPr>
                <w:rStyle w:val="IndexLink"/>
                <w:rtl w:val="true"/>
              </w:rPr>
              <w:t xml:space="preserve">. </w:t>
            </w:r>
            <w:r>
              <w:rPr>
                <w:rStyle w:val="IndexLink"/>
                <w:rtl w:val="true"/>
              </w:rPr>
              <w:t>زمینه و مرور مسئله</w:t>
            </w:r>
            <w:r>
              <w:rPr>
                <w:rStyle w:val="IndexLink"/>
                <w:rtl w:val="true"/>
              </w:rPr>
              <w:tab/>
            </w:r>
            <w:r>
              <w:rPr>
                <w:rStyle w:val="IndexLink"/>
              </w:rPr>
              <w:t>456</w:t>
            </w:r>
          </w:hyperlink>
        </w:p>
        <w:p>
          <w:pPr>
            <w:pStyle w:val="Contents3"/>
            <w:tabs>
              <w:tab w:val="clear" w:pos="8459"/>
              <w:tab w:val="right" w:pos="9026" w:leader="dot"/>
            </w:tabs>
            <w:rPr/>
          </w:pPr>
          <w:hyperlink w:anchor="__RefHeading___Toc7826085_2870459653">
            <w:r>
              <w:rPr>
                <w:webHidden/>
                <w:rStyle w:val="IndexLink"/>
              </w:rPr>
              <w:t>2</w:t>
            </w:r>
            <w:r>
              <w:rPr>
                <w:rStyle w:val="IndexLink"/>
                <w:rtl w:val="true"/>
              </w:rPr>
              <w:t xml:space="preserve">- </w:t>
            </w:r>
            <w:r>
              <w:rPr>
                <w:rStyle w:val="IndexLink"/>
                <w:rtl w:val="true"/>
              </w:rPr>
              <w:t>طرح مدیریت ارتباط</w:t>
            </w:r>
            <w:r>
              <w:rPr>
                <w:rStyle w:val="IndexLink"/>
                <w:rtl w:val="true"/>
              </w:rPr>
              <w:tab/>
            </w:r>
            <w:r>
              <w:rPr>
                <w:rStyle w:val="IndexLink"/>
              </w:rPr>
              <w:t>460</w:t>
            </w:r>
          </w:hyperlink>
        </w:p>
        <w:p>
          <w:pPr>
            <w:pStyle w:val="Contents3"/>
            <w:tabs>
              <w:tab w:val="clear" w:pos="8459"/>
              <w:tab w:val="right" w:pos="9026" w:leader="dot"/>
            </w:tabs>
            <w:rPr/>
          </w:pPr>
          <w:hyperlink w:anchor="__RefHeading___Toc7826087_2870459653">
            <w:r>
              <w:rPr>
                <w:webHidden/>
                <w:rStyle w:val="IndexLink"/>
                <w:rtl w:val="true"/>
              </w:rPr>
              <w:t>منابع</w:t>
            </w:r>
            <w:r>
              <w:rPr>
                <w:rStyle w:val="IndexLink"/>
                <w:rtl w:val="true"/>
              </w:rPr>
              <w:tab/>
            </w:r>
            <w:r>
              <w:rPr>
                <w:rStyle w:val="IndexLink"/>
              </w:rPr>
              <w:t>464</w:t>
            </w:r>
          </w:hyperlink>
        </w:p>
        <w:p>
          <w:pPr>
            <w:pStyle w:val="Contents2"/>
            <w:tabs>
              <w:tab w:val="clear" w:pos="8743"/>
              <w:tab w:val="right" w:pos="9026" w:leader="dot"/>
            </w:tabs>
            <w:rPr/>
          </w:pPr>
          <w:hyperlink w:anchor="__RefHeading___Toc7826089_2870459653">
            <w:r>
              <w:rPr>
                <w:webHidden/>
                <w:rStyle w:val="IndexLink"/>
                <w:rtl w:val="true"/>
              </w:rPr>
              <w:t>چکیده</w:t>
            </w:r>
            <w:r>
              <w:rPr>
                <w:rStyle w:val="IndexLink"/>
                <w:rtl w:val="true"/>
              </w:rPr>
              <w:tab/>
            </w:r>
            <w:r>
              <w:rPr>
                <w:rStyle w:val="IndexLink"/>
              </w:rPr>
              <w:t>466</w:t>
            </w:r>
          </w:hyperlink>
        </w:p>
        <w:p>
          <w:pPr>
            <w:pStyle w:val="Contents2"/>
            <w:tabs>
              <w:tab w:val="clear" w:pos="8743"/>
              <w:tab w:val="right" w:pos="9026" w:leader="dot"/>
            </w:tabs>
            <w:rPr/>
          </w:pPr>
          <w:hyperlink w:anchor="__RefHeading___Toc7826091_2870459653">
            <w:r>
              <w:rPr>
                <w:webHidden/>
                <w:rStyle w:val="IndexLink"/>
                <w:rtl w:val="true"/>
              </w:rPr>
              <w:t>تصمیمات حیاتی</w:t>
            </w:r>
            <w:r>
              <w:rPr>
                <w:rStyle w:val="IndexLink"/>
                <w:rtl w:val="true"/>
              </w:rPr>
              <w:t xml:space="preserve">: </w:t>
            </w:r>
            <w:r>
              <w:rPr>
                <w:rStyle w:val="IndexLink"/>
                <w:rtl w:val="true"/>
              </w:rPr>
              <w:t>نگاهی منتقدانه به سواد بهداشتی در ترکیه</w:t>
            </w:r>
            <w:r>
              <w:rPr>
                <w:rStyle w:val="IndexLink"/>
                <w:rtl w:val="true"/>
              </w:rPr>
              <w:tab/>
            </w:r>
            <w:r>
              <w:rPr>
                <w:rStyle w:val="IndexLink"/>
              </w:rPr>
              <w:t>467</w:t>
            </w:r>
          </w:hyperlink>
        </w:p>
        <w:p>
          <w:pPr>
            <w:pStyle w:val="Contents3"/>
            <w:tabs>
              <w:tab w:val="clear" w:pos="8459"/>
              <w:tab w:val="right" w:pos="9026" w:leader="dot"/>
            </w:tabs>
            <w:rPr/>
          </w:pPr>
          <w:hyperlink w:anchor="__RefHeading___Toc7826093_2870459653">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7826095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467</w:t>
            </w:r>
          </w:hyperlink>
        </w:p>
        <w:p>
          <w:pPr>
            <w:pStyle w:val="Contents3"/>
            <w:tabs>
              <w:tab w:val="clear" w:pos="8459"/>
              <w:tab w:val="right" w:pos="9026" w:leader="dot"/>
            </w:tabs>
            <w:rPr/>
          </w:pPr>
          <w:hyperlink w:anchor="__RefHeading___Toc7826097_2870459653">
            <w:r>
              <w:rPr>
                <w:webHidden/>
                <w:rStyle w:val="IndexLink"/>
              </w:rPr>
              <w:t>2</w:t>
            </w:r>
            <w:r>
              <w:rPr>
                <w:rStyle w:val="IndexLink"/>
                <w:rtl w:val="true"/>
              </w:rPr>
              <w:t xml:space="preserve">. </w:t>
            </w:r>
            <w:r>
              <w:rPr>
                <w:rStyle w:val="IndexLink"/>
                <w:rtl w:val="true"/>
              </w:rPr>
              <w:t>نظام بهداشت ترکیه</w:t>
            </w:r>
            <w:r>
              <w:rPr>
                <w:rStyle w:val="IndexLink"/>
                <w:rtl w:val="true"/>
              </w:rPr>
              <w:tab/>
            </w:r>
            <w:r>
              <w:rPr>
                <w:rStyle w:val="IndexLink"/>
              </w:rPr>
              <w:t>468</w:t>
            </w:r>
          </w:hyperlink>
        </w:p>
        <w:p>
          <w:pPr>
            <w:pStyle w:val="Contents3"/>
            <w:tabs>
              <w:tab w:val="clear" w:pos="8459"/>
              <w:tab w:val="right" w:pos="9026" w:leader="dot"/>
            </w:tabs>
            <w:rPr/>
          </w:pPr>
          <w:hyperlink w:anchor="__RefHeading___Toc7826099_2870459653">
            <w:r>
              <w:rPr>
                <w:webHidden/>
                <w:rStyle w:val="IndexLink"/>
              </w:rPr>
              <w:t>3</w:t>
            </w:r>
            <w:r>
              <w:rPr>
                <w:rStyle w:val="IndexLink"/>
                <w:rtl w:val="true"/>
              </w:rPr>
              <w:t xml:space="preserve">. </w:t>
            </w:r>
            <w:r>
              <w:rPr>
                <w:rStyle w:val="IndexLink"/>
                <w:rtl w:val="true"/>
              </w:rPr>
              <w:t>ارکان سواد بهداشتی</w:t>
            </w:r>
            <w:r>
              <w:rPr>
                <w:rStyle w:val="IndexLink"/>
                <w:rtl w:val="true"/>
              </w:rPr>
              <w:tab/>
            </w:r>
            <w:r>
              <w:rPr>
                <w:rStyle w:val="IndexLink"/>
              </w:rPr>
              <w:t>469</w:t>
            </w:r>
          </w:hyperlink>
        </w:p>
        <w:p>
          <w:pPr>
            <w:pStyle w:val="Contents3"/>
            <w:tabs>
              <w:tab w:val="clear" w:pos="8459"/>
              <w:tab w:val="right" w:pos="9026" w:leader="dot"/>
            </w:tabs>
            <w:rPr/>
          </w:pPr>
          <w:hyperlink w:anchor="__RefHeading___Toc7826101_2870459653">
            <w:r>
              <w:rPr>
                <w:webHidden/>
                <w:rStyle w:val="IndexLink"/>
              </w:rPr>
              <w:t>1</w:t>
            </w:r>
            <w:r>
              <w:rPr>
                <w:rStyle w:val="IndexLink"/>
                <w:rtl w:val="true"/>
              </w:rPr>
              <w:t xml:space="preserve">. </w:t>
            </w:r>
            <w:r>
              <w:rPr>
                <w:rStyle w:val="IndexLink"/>
                <w:rtl w:val="true"/>
              </w:rPr>
              <w:t>اطلاعات بهداشتی مصرف کننده</w:t>
            </w:r>
            <w:r>
              <w:rPr>
                <w:rStyle w:val="IndexLink"/>
                <w:rtl w:val="true"/>
              </w:rPr>
              <w:tab/>
            </w:r>
            <w:r>
              <w:rPr>
                <w:rStyle w:val="IndexLink"/>
              </w:rPr>
              <w:t>469</w:t>
            </w:r>
          </w:hyperlink>
        </w:p>
        <w:p>
          <w:pPr>
            <w:pStyle w:val="Contents3"/>
            <w:tabs>
              <w:tab w:val="clear" w:pos="8459"/>
              <w:tab w:val="right" w:pos="9026" w:leader="dot"/>
            </w:tabs>
            <w:rPr/>
          </w:pPr>
          <w:hyperlink w:anchor="__RefHeading___Toc7826103_2870459653">
            <w:r>
              <w:rPr>
                <w:webHidden/>
                <w:rStyle w:val="IndexLink"/>
              </w:rPr>
              <w:t>2</w:t>
            </w:r>
            <w:r>
              <w:rPr>
                <w:rStyle w:val="IndexLink"/>
                <w:rtl w:val="true"/>
              </w:rPr>
              <w:t xml:space="preserve">. </w:t>
            </w:r>
            <w:r>
              <w:rPr>
                <w:rStyle w:val="IndexLink"/>
                <w:rtl w:val="true"/>
              </w:rPr>
              <w:t>رفتار جستجوی اطلاعات بهداشتی</w:t>
            </w:r>
            <w:r>
              <w:rPr>
                <w:rStyle w:val="IndexLink"/>
                <w:rtl w:val="true"/>
              </w:rPr>
              <w:tab/>
            </w:r>
            <w:r>
              <w:rPr>
                <w:rStyle w:val="IndexLink"/>
              </w:rPr>
              <w:t>469</w:t>
            </w:r>
          </w:hyperlink>
        </w:p>
        <w:p>
          <w:pPr>
            <w:pStyle w:val="Contents3"/>
            <w:tabs>
              <w:tab w:val="clear" w:pos="8459"/>
              <w:tab w:val="right" w:pos="9026" w:leader="dot"/>
            </w:tabs>
            <w:rPr/>
          </w:pPr>
          <w:hyperlink w:anchor="__RefHeading___Toc7826105_2870459653">
            <w:r>
              <w:rPr>
                <w:webHidden/>
                <w:rStyle w:val="IndexLink"/>
              </w:rPr>
              <w:t>3</w:t>
            </w:r>
            <w:r>
              <w:rPr>
                <w:rStyle w:val="IndexLink"/>
                <w:rtl w:val="true"/>
              </w:rPr>
              <w:t xml:space="preserve">. </w:t>
            </w:r>
            <w:r>
              <w:rPr>
                <w:rStyle w:val="IndexLink"/>
                <w:rtl w:val="true"/>
              </w:rPr>
              <w:t>سواد بهداشتی</w:t>
            </w:r>
            <w:r>
              <w:rPr>
                <w:rStyle w:val="IndexLink"/>
                <w:rtl w:val="true"/>
              </w:rPr>
              <w:tab/>
            </w:r>
            <w:r>
              <w:rPr>
                <w:rStyle w:val="IndexLink"/>
              </w:rPr>
              <w:t>469</w:t>
            </w:r>
          </w:hyperlink>
        </w:p>
        <w:p>
          <w:pPr>
            <w:pStyle w:val="Contents3"/>
            <w:tabs>
              <w:tab w:val="clear" w:pos="8459"/>
              <w:tab w:val="right" w:pos="9026" w:leader="dot"/>
            </w:tabs>
            <w:rPr/>
          </w:pPr>
          <w:hyperlink w:anchor="__RefHeading___Toc7826107_2870459653">
            <w:r>
              <w:rPr>
                <w:webHidden/>
                <w:rStyle w:val="IndexLink"/>
              </w:rPr>
              <w:t>4</w:t>
            </w:r>
            <w:r>
              <w:rPr>
                <w:rStyle w:val="IndexLink"/>
                <w:rtl w:val="true"/>
              </w:rPr>
              <w:t xml:space="preserve">. </w:t>
            </w:r>
            <w:r>
              <w:rPr>
                <w:rStyle w:val="IndexLink"/>
                <w:rtl w:val="true"/>
              </w:rPr>
              <w:t>ارزیابی معیارها</w:t>
            </w:r>
            <w:r>
              <w:rPr>
                <w:rStyle w:val="IndexLink"/>
                <w:rtl w:val="true"/>
              </w:rPr>
              <w:tab/>
            </w:r>
            <w:r>
              <w:rPr>
                <w:rStyle w:val="IndexLink"/>
              </w:rPr>
              <w:t>470</w:t>
            </w:r>
          </w:hyperlink>
        </w:p>
        <w:p>
          <w:pPr>
            <w:pStyle w:val="Contents3"/>
            <w:tabs>
              <w:tab w:val="clear" w:pos="8459"/>
              <w:tab w:val="right" w:pos="9026" w:leader="dot"/>
            </w:tabs>
            <w:rPr/>
          </w:pPr>
          <w:hyperlink w:anchor="__RefHeading___Toc7826109_2870459653">
            <w:r>
              <w:rPr>
                <w:webHidden/>
                <w:rStyle w:val="IndexLink"/>
              </w:rPr>
              <w:t>4</w:t>
            </w:r>
            <w:r>
              <w:rPr>
                <w:rStyle w:val="IndexLink"/>
                <w:rtl w:val="true"/>
              </w:rPr>
              <w:t xml:space="preserve">. </w:t>
            </w:r>
            <w:r>
              <w:rPr>
                <w:rStyle w:val="IndexLink"/>
                <w:rtl w:val="true"/>
              </w:rPr>
              <w:t>روندها در پیشینه ترکیه</w:t>
            </w:r>
            <w:r>
              <w:rPr>
                <w:rStyle w:val="IndexLink"/>
                <w:rtl w:val="true"/>
              </w:rPr>
              <w:tab/>
            </w:r>
            <w:r>
              <w:rPr>
                <w:rStyle w:val="IndexLink"/>
              </w:rPr>
              <w:t>470</w:t>
            </w:r>
          </w:hyperlink>
        </w:p>
        <w:p>
          <w:pPr>
            <w:pStyle w:val="Contents4"/>
            <w:tabs>
              <w:tab w:val="clear" w:pos="8176"/>
              <w:tab w:val="right" w:pos="9026" w:leader="dot"/>
            </w:tabs>
            <w:rPr/>
          </w:pPr>
          <w:hyperlink w:anchor="__RefHeading___Toc7826111_2870459653">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7826113_2870459653">
            <w:r>
              <w:rPr>
                <w:webHidden/>
                <w:rStyle w:val="IndexLink"/>
              </w:rPr>
              <w:t>5</w:t>
            </w:r>
            <w:r>
              <w:rPr>
                <w:rStyle w:val="IndexLink"/>
                <w:rtl w:val="true"/>
              </w:rPr>
              <w:t xml:space="preserve">. </w:t>
            </w:r>
            <w:r>
              <w:rPr>
                <w:rStyle w:val="IndexLink"/>
                <w:rtl w:val="true"/>
              </w:rPr>
              <w:t>تحقیقات و توسعه</w:t>
            </w:r>
            <w:r>
              <w:rPr>
                <w:rStyle w:val="IndexLink"/>
                <w:rtl w:val="true"/>
              </w:rPr>
              <w:tab/>
            </w:r>
            <w:r>
              <w:rPr>
                <w:rStyle w:val="IndexLink"/>
              </w:rPr>
              <w:t>470</w:t>
            </w:r>
          </w:hyperlink>
        </w:p>
        <w:p>
          <w:pPr>
            <w:pStyle w:val="Contents4"/>
            <w:tabs>
              <w:tab w:val="clear" w:pos="8176"/>
              <w:tab w:val="right" w:pos="9026" w:leader="dot"/>
            </w:tabs>
            <w:rPr/>
          </w:pPr>
          <w:hyperlink w:anchor="__RefHeading___Toc7826115_2870459653">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7826117_2870459653">
            <w:r>
              <w:rPr>
                <w:webHidden/>
                <w:rStyle w:val="IndexLink"/>
              </w:rPr>
              <w:t>1/5</w:t>
            </w:r>
            <w:r>
              <w:rPr>
                <w:rStyle w:val="IndexLink"/>
                <w:rtl w:val="true"/>
              </w:rPr>
              <w:t xml:space="preserve">. </w:t>
            </w:r>
            <w:r>
              <w:rPr>
                <w:rStyle w:val="IndexLink"/>
                <w:rtl w:val="true"/>
              </w:rPr>
              <w:t>تعریف سواد بهداشتی</w:t>
            </w:r>
            <w:r>
              <w:rPr>
                <w:rStyle w:val="IndexLink"/>
                <w:rtl w:val="true"/>
              </w:rPr>
              <w:t>:</w:t>
              <w:tab/>
            </w:r>
            <w:r>
              <w:rPr>
                <w:rStyle w:val="IndexLink"/>
              </w:rPr>
              <w:t>471</w:t>
            </w:r>
          </w:hyperlink>
        </w:p>
        <w:p>
          <w:pPr>
            <w:pStyle w:val="Contents4"/>
            <w:tabs>
              <w:tab w:val="clear" w:pos="8176"/>
              <w:tab w:val="right" w:pos="9026" w:leader="dot"/>
            </w:tabs>
            <w:rPr/>
          </w:pPr>
          <w:hyperlink w:anchor="__RefHeading___Toc7826119_2870459653">
            <w:r>
              <w:rPr>
                <w:webHidden/>
                <w:rStyle w:val="IndexLink"/>
              </w:rPr>
              <w:t>2.5</w:t>
            </w:r>
            <w:r>
              <w:rPr>
                <w:rStyle w:val="IndexLink"/>
                <w:rtl w:val="true"/>
              </w:rPr>
              <w:t xml:space="preserve">. </w:t>
            </w:r>
            <w:r>
              <w:rPr>
                <w:rStyle w:val="IndexLink"/>
                <w:rtl w:val="true"/>
              </w:rPr>
              <w:t>سنجش سواد بهداشتی</w:t>
            </w:r>
            <w:r>
              <w:rPr>
                <w:rStyle w:val="IndexLink"/>
                <w:rtl w:val="true"/>
              </w:rPr>
              <w:t>:</w:t>
              <w:tab/>
            </w:r>
            <w:r>
              <w:rPr>
                <w:rStyle w:val="IndexLink"/>
              </w:rPr>
              <w:t>472</w:t>
            </w:r>
          </w:hyperlink>
        </w:p>
        <w:p>
          <w:pPr>
            <w:pStyle w:val="Contents4"/>
            <w:tabs>
              <w:tab w:val="clear" w:pos="8176"/>
              <w:tab w:val="right" w:pos="9026" w:leader="dot"/>
            </w:tabs>
            <w:rPr/>
          </w:pPr>
          <w:hyperlink w:anchor="__RefHeading___Toc7826121_2870459653">
            <w:r>
              <w:rPr>
                <w:webHidden/>
                <w:rStyle w:val="IndexLink"/>
              </w:rPr>
              <w:t>3/5</w:t>
            </w:r>
            <w:r>
              <w:rPr>
                <w:rStyle w:val="IndexLink"/>
                <w:rtl w:val="true"/>
              </w:rPr>
              <w:t xml:space="preserve">. </w:t>
            </w:r>
            <w:r>
              <w:rPr>
                <w:rStyle w:val="IndexLink"/>
                <w:rtl w:val="true"/>
              </w:rPr>
              <w:t>ارتقای سواد بهداشتی</w:t>
            </w:r>
            <w:r>
              <w:rPr>
                <w:rStyle w:val="IndexLink"/>
                <w:rtl w:val="true"/>
              </w:rPr>
              <w:tab/>
            </w:r>
            <w:r>
              <w:rPr>
                <w:rStyle w:val="IndexLink"/>
              </w:rPr>
              <w:t>472</w:t>
            </w:r>
          </w:hyperlink>
        </w:p>
        <w:p>
          <w:pPr>
            <w:pStyle w:val="Contents3"/>
            <w:tabs>
              <w:tab w:val="clear" w:pos="8459"/>
              <w:tab w:val="right" w:pos="9026" w:leader="dot"/>
            </w:tabs>
            <w:rPr/>
          </w:pPr>
          <w:hyperlink w:anchor="__RefHeading___Toc7826123_2870459653">
            <w:r>
              <w:rPr>
                <w:webHidden/>
                <w:rStyle w:val="IndexLink"/>
              </w:rPr>
              <w:t>6</w:t>
            </w:r>
            <w:r>
              <w:rPr>
                <w:rStyle w:val="IndexLink"/>
                <w:rtl w:val="true"/>
              </w:rPr>
              <w:t xml:space="preserve">. </w:t>
            </w:r>
            <w:r>
              <w:rPr>
                <w:rStyle w:val="IndexLink"/>
                <w:rtl w:val="true"/>
              </w:rPr>
              <w:t>کاربردهای تحقیقاتی</w:t>
            </w:r>
            <w:r>
              <w:rPr>
                <w:rStyle w:val="IndexLink"/>
                <w:rtl w:val="true"/>
              </w:rPr>
              <w:tab/>
            </w:r>
            <w:r>
              <w:rPr>
                <w:rStyle w:val="IndexLink"/>
              </w:rPr>
              <w:t>473</w:t>
            </w:r>
          </w:hyperlink>
        </w:p>
        <w:p>
          <w:pPr>
            <w:pStyle w:val="Contents4"/>
            <w:tabs>
              <w:tab w:val="clear" w:pos="8176"/>
              <w:tab w:val="right" w:pos="9026" w:leader="dot"/>
            </w:tabs>
            <w:rPr/>
          </w:pPr>
          <w:hyperlink w:anchor="__RefHeading___Toc7826125_2870459653">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7826127_2870459653">
            <w:r>
              <w:rPr>
                <w:webHidden/>
                <w:rStyle w:val="IndexLink"/>
              </w:rPr>
              <w:t>1/6</w:t>
            </w:r>
            <w:r>
              <w:rPr>
                <w:rStyle w:val="IndexLink"/>
                <w:rtl w:val="true"/>
              </w:rPr>
              <w:t xml:space="preserve">. </w:t>
            </w:r>
            <w:r>
              <w:rPr>
                <w:rStyle w:val="IndexLink"/>
                <w:rtl w:val="true"/>
              </w:rPr>
              <w:t>شبکه بهداشت ملی</w:t>
            </w:r>
            <w:r>
              <w:rPr>
                <w:rStyle w:val="IndexLink"/>
                <w:rtl w:val="true"/>
              </w:rPr>
              <w:tab/>
            </w:r>
            <w:r>
              <w:rPr>
                <w:rStyle w:val="IndexLink"/>
              </w:rPr>
              <w:t>473</w:t>
            </w:r>
          </w:hyperlink>
        </w:p>
        <w:p>
          <w:pPr>
            <w:pStyle w:val="Contents3"/>
            <w:tabs>
              <w:tab w:val="clear" w:pos="8459"/>
              <w:tab w:val="right" w:pos="9026" w:leader="dot"/>
            </w:tabs>
            <w:rPr/>
          </w:pPr>
          <w:hyperlink w:anchor="__RefHeading___Toc7826129_2870459653">
            <w:r>
              <w:rPr>
                <w:webHidden/>
                <w:rStyle w:val="IndexLink"/>
              </w:rPr>
              <w:t>1</w:t>
            </w:r>
            <w:r>
              <w:rPr>
                <w:rStyle w:val="IndexLink"/>
                <w:rtl w:val="true"/>
              </w:rPr>
              <w:t xml:space="preserve">. </w:t>
            </w:r>
            <w:r>
              <w:rPr>
                <w:rStyle w:val="IndexLink"/>
                <w:rtl w:val="true"/>
              </w:rPr>
              <w:t>اطلاعات سلامت مصرف کننده</w:t>
            </w:r>
            <w:r>
              <w:rPr>
                <w:rStyle w:val="IndexLink"/>
                <w:rtl w:val="true"/>
              </w:rPr>
              <w:tab/>
            </w:r>
            <w:r>
              <w:rPr>
                <w:rStyle w:val="IndexLink"/>
              </w:rPr>
              <w:t>473</w:t>
            </w:r>
          </w:hyperlink>
        </w:p>
        <w:p>
          <w:pPr>
            <w:pStyle w:val="Contents3"/>
            <w:tabs>
              <w:tab w:val="clear" w:pos="8459"/>
              <w:tab w:val="right" w:pos="9026" w:leader="dot"/>
            </w:tabs>
            <w:rPr/>
          </w:pPr>
          <w:hyperlink w:anchor="__RefHeading___Toc7826131_2870459653">
            <w:r>
              <w:rPr>
                <w:webHidden/>
                <w:rStyle w:val="IndexLink"/>
              </w:rPr>
              <w:t>2</w:t>
            </w:r>
            <w:r>
              <w:rPr>
                <w:rStyle w:val="IndexLink"/>
                <w:rtl w:val="true"/>
              </w:rPr>
              <w:t xml:space="preserve">. </w:t>
            </w:r>
            <w:r>
              <w:rPr>
                <w:rStyle w:val="IndexLink"/>
                <w:rtl w:val="true"/>
              </w:rPr>
              <w:t>رفتار جستجوی اطلاعاتی</w:t>
            </w:r>
            <w:r>
              <w:rPr>
                <w:rStyle w:val="IndexLink"/>
                <w:rtl w:val="true"/>
              </w:rPr>
              <w:tab/>
            </w:r>
            <w:r>
              <w:rPr>
                <w:rStyle w:val="IndexLink"/>
              </w:rPr>
              <w:t>474</w:t>
            </w:r>
          </w:hyperlink>
        </w:p>
        <w:p>
          <w:pPr>
            <w:pStyle w:val="Contents3"/>
            <w:tabs>
              <w:tab w:val="clear" w:pos="8459"/>
              <w:tab w:val="right" w:pos="9026" w:leader="dot"/>
            </w:tabs>
            <w:rPr/>
          </w:pPr>
          <w:hyperlink w:anchor="__RefHeading___Toc7826133_2870459653">
            <w:r>
              <w:rPr>
                <w:webHidden/>
                <w:rStyle w:val="IndexLink"/>
              </w:rPr>
              <w:t>3</w:t>
            </w:r>
            <w:r>
              <w:rPr>
                <w:rStyle w:val="IndexLink"/>
                <w:rtl w:val="true"/>
              </w:rPr>
              <w:t xml:space="preserve">. </w:t>
            </w:r>
            <w:r>
              <w:rPr>
                <w:rStyle w:val="IndexLink"/>
                <w:rtl w:val="true"/>
              </w:rPr>
              <w:t>سواد اطلاعاتی</w:t>
            </w:r>
            <w:r>
              <w:rPr>
                <w:rStyle w:val="IndexLink"/>
                <w:rtl w:val="true"/>
              </w:rPr>
              <w:tab/>
            </w:r>
            <w:r>
              <w:rPr>
                <w:rStyle w:val="IndexLink"/>
              </w:rPr>
              <w:t>474</w:t>
            </w:r>
          </w:hyperlink>
        </w:p>
        <w:p>
          <w:pPr>
            <w:pStyle w:val="Contents3"/>
            <w:tabs>
              <w:tab w:val="clear" w:pos="8459"/>
              <w:tab w:val="right" w:pos="9026" w:leader="dot"/>
            </w:tabs>
            <w:rPr/>
          </w:pPr>
          <w:hyperlink w:anchor="__RefHeading___Toc7826135_2870459653">
            <w:r>
              <w:rPr>
                <w:webHidden/>
                <w:rStyle w:val="IndexLink"/>
              </w:rPr>
              <w:t>4</w:t>
            </w:r>
            <w:r>
              <w:rPr>
                <w:rStyle w:val="IndexLink"/>
                <w:rtl w:val="true"/>
              </w:rPr>
              <w:t xml:space="preserve">. </w:t>
            </w:r>
            <w:r>
              <w:rPr>
                <w:rStyle w:val="IndexLink"/>
                <w:rtl w:val="true"/>
              </w:rPr>
              <w:t>ارزیابی معیارها</w:t>
            </w:r>
            <w:r>
              <w:rPr>
                <w:rStyle w:val="IndexLink"/>
                <w:rtl w:val="true"/>
              </w:rPr>
              <w:tab/>
            </w:r>
            <w:r>
              <w:rPr>
                <w:rStyle w:val="IndexLink"/>
              </w:rPr>
              <w:t>474</w:t>
            </w:r>
          </w:hyperlink>
        </w:p>
        <w:p>
          <w:pPr>
            <w:pStyle w:val="Contents4"/>
            <w:tabs>
              <w:tab w:val="clear" w:pos="8176"/>
              <w:tab w:val="right" w:pos="9026" w:leader="dot"/>
            </w:tabs>
            <w:rPr/>
          </w:pPr>
          <w:hyperlink w:anchor="__RefHeading___Toc7826137_2870459653">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7826139_2870459653">
            <w:r>
              <w:rPr>
                <w:webHidden/>
                <w:rStyle w:val="IndexLink"/>
              </w:rPr>
              <w:t>2.6</w:t>
            </w:r>
            <w:r>
              <w:rPr>
                <w:rStyle w:val="IndexLink"/>
                <w:rtl w:val="true"/>
              </w:rPr>
              <w:t xml:space="preserve">. </w:t>
            </w:r>
            <w:r>
              <w:rPr>
                <w:rStyle w:val="IndexLink"/>
                <w:rtl w:val="true"/>
              </w:rPr>
              <w:t>طرح آنکارا</w:t>
            </w:r>
            <w:r>
              <w:rPr>
                <w:rStyle w:val="IndexLink"/>
                <w:rtl w:val="true"/>
              </w:rPr>
              <w:tab/>
            </w:r>
            <w:r>
              <w:rPr>
                <w:rStyle w:val="IndexLink"/>
              </w:rPr>
              <w:t>475</w:t>
            </w:r>
          </w:hyperlink>
        </w:p>
        <w:p>
          <w:pPr>
            <w:pStyle w:val="Contents3"/>
            <w:tabs>
              <w:tab w:val="clear" w:pos="8459"/>
              <w:tab w:val="right" w:pos="9026" w:leader="dot"/>
            </w:tabs>
            <w:rPr/>
          </w:pPr>
          <w:hyperlink w:anchor="__RefHeading___Toc7826141_2870459653">
            <w:r>
              <w:rPr>
                <w:webHidden/>
                <w:rStyle w:val="IndexLink"/>
              </w:rPr>
              <w:t>1</w:t>
            </w:r>
            <w:r>
              <w:rPr>
                <w:rStyle w:val="IndexLink"/>
                <w:rtl w:val="true"/>
              </w:rPr>
              <w:t xml:space="preserve">. </w:t>
            </w:r>
            <w:r>
              <w:rPr>
                <w:rStyle w:val="IndexLink"/>
                <w:rtl w:val="true"/>
              </w:rPr>
              <w:t>اطلاعات سلامت مصرف کننده</w:t>
            </w:r>
            <w:r>
              <w:rPr>
                <w:rStyle w:val="IndexLink"/>
                <w:rtl w:val="true"/>
              </w:rPr>
              <w:tab/>
            </w:r>
            <w:r>
              <w:rPr>
                <w:rStyle w:val="IndexLink"/>
              </w:rPr>
              <w:t>475</w:t>
            </w:r>
          </w:hyperlink>
        </w:p>
        <w:p>
          <w:pPr>
            <w:pStyle w:val="Contents3"/>
            <w:tabs>
              <w:tab w:val="clear" w:pos="8459"/>
              <w:tab w:val="right" w:pos="9026" w:leader="dot"/>
            </w:tabs>
            <w:rPr/>
          </w:pPr>
          <w:hyperlink w:anchor="__RefHeading___Toc7826143_2870459653">
            <w:r>
              <w:rPr>
                <w:webHidden/>
                <w:rStyle w:val="IndexLink"/>
              </w:rPr>
              <w:t>2</w:t>
            </w:r>
            <w:r>
              <w:rPr>
                <w:rStyle w:val="IndexLink"/>
                <w:rtl w:val="true"/>
              </w:rPr>
              <w:t xml:space="preserve">. </w:t>
            </w:r>
            <w:r>
              <w:rPr>
                <w:rStyle w:val="IndexLink"/>
                <w:rtl w:val="true"/>
              </w:rPr>
              <w:t>رفتار جستجوی اطلاعات بهداشتی</w:t>
            </w:r>
            <w:r>
              <w:rPr>
                <w:rStyle w:val="IndexLink"/>
                <w:rtl w:val="true"/>
              </w:rPr>
              <w:tab/>
            </w:r>
            <w:r>
              <w:rPr>
                <w:rStyle w:val="IndexLink"/>
              </w:rPr>
              <w:t>476</w:t>
            </w:r>
          </w:hyperlink>
        </w:p>
        <w:p>
          <w:pPr>
            <w:pStyle w:val="Contents3"/>
            <w:tabs>
              <w:tab w:val="clear" w:pos="8459"/>
              <w:tab w:val="right" w:pos="9026" w:leader="dot"/>
            </w:tabs>
            <w:rPr/>
          </w:pPr>
          <w:hyperlink w:anchor="__RefHeading___Toc7826145_2870459653">
            <w:r>
              <w:rPr>
                <w:webHidden/>
                <w:rStyle w:val="IndexLink"/>
              </w:rPr>
              <w:t>3</w:t>
            </w:r>
            <w:r>
              <w:rPr>
                <w:rStyle w:val="IndexLink"/>
                <w:rtl w:val="true"/>
              </w:rPr>
              <w:t xml:space="preserve">. </w:t>
            </w:r>
            <w:r>
              <w:rPr>
                <w:rStyle w:val="IndexLink"/>
                <w:rtl w:val="true"/>
              </w:rPr>
              <w:t>سواد بهداشتی</w:t>
            </w:r>
            <w:r>
              <w:rPr>
                <w:rStyle w:val="IndexLink"/>
                <w:rtl w:val="true"/>
              </w:rPr>
              <w:tab/>
            </w:r>
            <w:r>
              <w:rPr>
                <w:rStyle w:val="IndexLink"/>
              </w:rPr>
              <w:t>476</w:t>
            </w:r>
          </w:hyperlink>
        </w:p>
        <w:p>
          <w:pPr>
            <w:pStyle w:val="Contents3"/>
            <w:tabs>
              <w:tab w:val="clear" w:pos="8459"/>
              <w:tab w:val="right" w:pos="9026" w:leader="dot"/>
            </w:tabs>
            <w:rPr/>
          </w:pPr>
          <w:hyperlink w:anchor="__RefHeading___Toc7826147_2870459653">
            <w:r>
              <w:rPr>
                <w:webHidden/>
                <w:rStyle w:val="IndexLink"/>
              </w:rPr>
              <w:t>4</w:t>
            </w:r>
            <w:r>
              <w:rPr>
                <w:rStyle w:val="IndexLink"/>
                <w:rtl w:val="true"/>
              </w:rPr>
              <w:t xml:space="preserve">. </w:t>
            </w:r>
            <w:r>
              <w:rPr>
                <w:rStyle w:val="IndexLink"/>
                <w:rtl w:val="true"/>
              </w:rPr>
              <w:t>ارزیابی معیارها</w:t>
            </w:r>
            <w:r>
              <w:rPr>
                <w:rStyle w:val="IndexLink"/>
                <w:rtl w:val="true"/>
              </w:rPr>
              <w:tab/>
            </w:r>
            <w:r>
              <w:rPr>
                <w:rStyle w:val="IndexLink"/>
              </w:rPr>
              <w:t>476</w:t>
            </w:r>
          </w:hyperlink>
        </w:p>
        <w:p>
          <w:pPr>
            <w:pStyle w:val="Contents3"/>
            <w:tabs>
              <w:tab w:val="clear" w:pos="8459"/>
              <w:tab w:val="right" w:pos="9026" w:leader="dot"/>
            </w:tabs>
            <w:rPr/>
          </w:pPr>
          <w:hyperlink w:anchor="__RefHeading___Toc7826149_2870459653">
            <w:r>
              <w:rPr>
                <w:webHidden/>
                <w:rStyle w:val="IndexLink"/>
              </w:rPr>
              <w:t>1</w:t>
            </w:r>
            <w:r>
              <w:rPr>
                <w:rStyle w:val="IndexLink"/>
                <w:rtl w:val="true"/>
              </w:rPr>
              <w:t xml:space="preserve">. </w:t>
            </w:r>
            <w:r>
              <w:rPr>
                <w:rStyle w:val="IndexLink"/>
                <w:rtl w:val="true"/>
              </w:rPr>
              <w:t>نتایج</w:t>
            </w:r>
            <w:r>
              <w:rPr>
                <w:rStyle w:val="IndexLink"/>
                <w:rtl w:val="true"/>
              </w:rPr>
              <w:tab/>
            </w:r>
            <w:r>
              <w:rPr>
                <w:rStyle w:val="IndexLink"/>
              </w:rPr>
              <w:t>476</w:t>
            </w:r>
          </w:hyperlink>
        </w:p>
        <w:p>
          <w:pPr>
            <w:pStyle w:val="Contents3"/>
            <w:tabs>
              <w:tab w:val="clear" w:pos="8459"/>
              <w:tab w:val="right" w:pos="9026" w:leader="dot"/>
            </w:tabs>
            <w:rPr/>
          </w:pPr>
          <w:hyperlink w:anchor="__RefHeading___Toc7826151_2870459653">
            <w:r>
              <w:rPr>
                <w:webHidden/>
                <w:rStyle w:val="IndexLink"/>
              </w:rPr>
              <w:t>2</w:t>
            </w:r>
            <w:r>
              <w:rPr>
                <w:rStyle w:val="IndexLink"/>
                <w:rtl w:val="true"/>
              </w:rPr>
              <w:t xml:space="preserve">. </w:t>
            </w:r>
            <w:r>
              <w:rPr>
                <w:rStyle w:val="IndexLink"/>
                <w:rtl w:val="true"/>
              </w:rPr>
              <w:t>راهبردهای پیشنهادی برای کتاب خانه ها</w:t>
            </w:r>
            <w:r>
              <w:rPr>
                <w:rStyle w:val="IndexLink"/>
                <w:rtl w:val="true"/>
              </w:rPr>
              <w:tab/>
            </w:r>
            <w:r>
              <w:rPr>
                <w:rStyle w:val="IndexLink"/>
              </w:rPr>
              <w:t>477</w:t>
            </w:r>
          </w:hyperlink>
        </w:p>
        <w:p>
          <w:pPr>
            <w:pStyle w:val="Contents3"/>
            <w:tabs>
              <w:tab w:val="clear" w:pos="8459"/>
              <w:tab w:val="right" w:pos="9026" w:leader="dot"/>
            </w:tabs>
            <w:rPr/>
          </w:pPr>
          <w:hyperlink w:anchor="__RefHeading___Toc7826153_2870459653">
            <w:r>
              <w:rPr>
                <w:webHidden/>
                <w:rStyle w:val="IndexLink"/>
              </w:rPr>
              <w:t>3</w:t>
            </w:r>
            <w:r>
              <w:rPr>
                <w:rStyle w:val="IndexLink"/>
                <w:rtl w:val="true"/>
              </w:rPr>
              <w:t xml:space="preserve">. </w:t>
            </w:r>
            <w:r>
              <w:rPr>
                <w:rStyle w:val="IndexLink"/>
                <w:rtl w:val="true"/>
              </w:rPr>
              <w:t>نتیجه گیری ها</w:t>
            </w:r>
            <w:r>
              <w:rPr>
                <w:rStyle w:val="IndexLink"/>
                <w:rtl w:val="true"/>
              </w:rPr>
              <w:tab/>
            </w:r>
            <w:r>
              <w:rPr>
                <w:rStyle w:val="IndexLink"/>
              </w:rPr>
              <w:t>478</w:t>
            </w:r>
          </w:hyperlink>
        </w:p>
        <w:p>
          <w:pPr>
            <w:pStyle w:val="Contents3"/>
            <w:tabs>
              <w:tab w:val="clear" w:pos="8459"/>
              <w:tab w:val="right" w:pos="9026" w:leader="dot"/>
            </w:tabs>
            <w:rPr/>
          </w:pPr>
          <w:hyperlink w:anchor="__RefHeading___Toc7826155_2870459653">
            <w:r>
              <w:rPr>
                <w:webHidden/>
                <w:rStyle w:val="IndexLink"/>
                <w:rtl w:val="true"/>
              </w:rPr>
              <w:t>منابع</w:t>
            </w:r>
            <w:r>
              <w:rPr>
                <w:rStyle w:val="IndexLink"/>
                <w:rtl w:val="true"/>
              </w:rPr>
              <w:tab/>
            </w:r>
            <w:r>
              <w:rPr>
                <w:rStyle w:val="IndexLink"/>
              </w:rPr>
              <w:t>478</w:t>
            </w:r>
          </w:hyperlink>
        </w:p>
        <w:p>
          <w:pPr>
            <w:pStyle w:val="Contents2"/>
            <w:tabs>
              <w:tab w:val="clear" w:pos="8743"/>
              <w:tab w:val="right" w:pos="9026" w:leader="dot"/>
            </w:tabs>
            <w:rPr/>
          </w:pPr>
          <w:hyperlink w:anchor="__RefHeading___Toc7826157_2870459653">
            <w:r>
              <w:rPr>
                <w:webHidden/>
                <w:rStyle w:val="IndexLink"/>
                <w:rtl w:val="true"/>
              </w:rPr>
              <w:t>چکیده</w:t>
            </w:r>
            <w:r>
              <w:rPr>
                <w:rStyle w:val="IndexLink"/>
                <w:rtl w:val="true"/>
              </w:rPr>
              <w:tab/>
            </w:r>
            <w:r>
              <w:rPr>
                <w:rStyle w:val="IndexLink"/>
              </w:rPr>
              <w:t>482</w:t>
            </w:r>
          </w:hyperlink>
        </w:p>
        <w:p>
          <w:pPr>
            <w:pStyle w:val="Contents2"/>
            <w:tabs>
              <w:tab w:val="clear" w:pos="8743"/>
              <w:tab w:val="right" w:pos="9026" w:leader="dot"/>
            </w:tabs>
            <w:rPr/>
          </w:pPr>
          <w:hyperlink w:anchor="__RefHeading___Toc7826159_2870459653">
            <w:r>
              <w:rPr>
                <w:webHidden/>
                <w:rStyle w:val="IndexLink"/>
                <w:rtl w:val="true"/>
              </w:rPr>
              <w:t>و اسپاری رقومی در کتاب خانه ملی نروژ</w:t>
            </w:r>
            <w:r>
              <w:rPr>
                <w:rStyle w:val="IndexLink"/>
                <w:rtl w:val="true"/>
              </w:rPr>
              <w:tab/>
            </w:r>
            <w:r>
              <w:rPr>
                <w:rStyle w:val="IndexLink"/>
              </w:rPr>
              <w:t>483</w:t>
            </w:r>
          </w:hyperlink>
        </w:p>
        <w:p>
          <w:pPr>
            <w:pStyle w:val="Contents3"/>
            <w:tabs>
              <w:tab w:val="clear" w:pos="8459"/>
              <w:tab w:val="right" w:pos="9026" w:leader="dot"/>
            </w:tabs>
            <w:rPr/>
          </w:pPr>
          <w:hyperlink w:anchor="__RefHeading___Toc7826161_2870459653">
            <w:r>
              <w:rPr>
                <w:webHidden/>
                <w:rStyle w:val="IndexLink"/>
                <w:rtl w:val="true"/>
              </w:rPr>
              <w:t>اشاره</w:t>
            </w:r>
            <w:r>
              <w:rPr>
                <w:rStyle w:val="IndexLink"/>
                <w:rtl w:val="true"/>
              </w:rPr>
              <w:tab/>
            </w:r>
            <w:r>
              <w:rPr>
                <w:rStyle w:val="IndexLink"/>
              </w:rPr>
              <w:t>483</w:t>
            </w:r>
          </w:hyperlink>
        </w:p>
        <w:p>
          <w:pPr>
            <w:pStyle w:val="Contents3"/>
            <w:tabs>
              <w:tab w:val="clear" w:pos="8459"/>
              <w:tab w:val="right" w:pos="9026" w:leader="dot"/>
            </w:tabs>
            <w:rPr/>
          </w:pPr>
          <w:hyperlink w:anchor="__RefHeading___Toc7826163_2870459653">
            <w:r>
              <w:rPr>
                <w:webHidden/>
                <w:rStyle w:val="IndexLink"/>
              </w:rPr>
              <w:t>1</w:t>
            </w:r>
            <w:r>
              <w:rPr>
                <w:rStyle w:val="IndexLink"/>
                <w:rtl w:val="true"/>
              </w:rPr>
              <w:t xml:space="preserve">. </w:t>
            </w:r>
            <w:r>
              <w:rPr>
                <w:rStyle w:val="IndexLink"/>
                <w:rtl w:val="true"/>
              </w:rPr>
              <w:t>یک کتاب خانه رقومی ملی</w:t>
            </w:r>
            <w:r>
              <w:rPr>
                <w:rStyle w:val="IndexLink"/>
                <w:rtl w:val="true"/>
              </w:rPr>
              <w:tab/>
            </w:r>
            <w:r>
              <w:rPr>
                <w:rStyle w:val="IndexLink"/>
              </w:rPr>
              <w:t>483</w:t>
            </w:r>
          </w:hyperlink>
        </w:p>
        <w:p>
          <w:pPr>
            <w:pStyle w:val="Contents3"/>
            <w:tabs>
              <w:tab w:val="clear" w:pos="8459"/>
              <w:tab w:val="right" w:pos="9026" w:leader="dot"/>
            </w:tabs>
            <w:rPr/>
          </w:pPr>
          <w:hyperlink w:anchor="__RefHeading___Toc7826165_2870459653">
            <w:r>
              <w:rPr>
                <w:webHidden/>
                <w:rStyle w:val="IndexLink"/>
              </w:rPr>
              <w:t>2</w:t>
            </w:r>
            <w:r>
              <w:rPr>
                <w:rStyle w:val="IndexLink"/>
                <w:rtl w:val="true"/>
              </w:rPr>
              <w:t xml:space="preserve">. </w:t>
            </w:r>
            <w:r>
              <w:rPr>
                <w:rStyle w:val="IndexLink"/>
                <w:rtl w:val="true"/>
              </w:rPr>
              <w:t>واسپاری رقومی</w:t>
            </w:r>
            <w:r>
              <w:rPr>
                <w:rStyle w:val="IndexLink"/>
                <w:rtl w:val="true"/>
              </w:rPr>
              <w:tab/>
            </w:r>
            <w:r>
              <w:rPr>
                <w:rStyle w:val="IndexLink"/>
              </w:rPr>
              <w:t>484</w:t>
            </w:r>
          </w:hyperlink>
        </w:p>
        <w:p>
          <w:pPr>
            <w:pStyle w:val="Contents3"/>
            <w:tabs>
              <w:tab w:val="clear" w:pos="8459"/>
              <w:tab w:val="right" w:pos="9026" w:leader="dot"/>
            </w:tabs>
            <w:rPr/>
          </w:pPr>
          <w:hyperlink w:anchor="__RefHeading___Toc7826167_2870459653">
            <w:r>
              <w:rPr>
                <w:webHidden/>
                <w:rStyle w:val="IndexLink"/>
              </w:rPr>
              <w:t>3</w:t>
            </w:r>
            <w:r>
              <w:rPr>
                <w:rStyle w:val="IndexLink"/>
                <w:rtl w:val="true"/>
              </w:rPr>
              <w:t xml:space="preserve">. </w:t>
            </w:r>
            <w:r>
              <w:rPr>
                <w:rStyle w:val="IndexLink"/>
                <w:rtl w:val="true"/>
              </w:rPr>
              <w:t>یک راه حل برای واسپاری رقومی روزنامه ها</w:t>
            </w:r>
            <w:r>
              <w:rPr>
                <w:rStyle w:val="IndexLink"/>
                <w:rtl w:val="true"/>
              </w:rPr>
              <w:tab/>
            </w:r>
            <w:r>
              <w:rPr>
                <w:rStyle w:val="IndexLink"/>
              </w:rPr>
              <w:t>486</w:t>
            </w:r>
          </w:hyperlink>
        </w:p>
        <w:p>
          <w:pPr>
            <w:pStyle w:val="Contents3"/>
            <w:tabs>
              <w:tab w:val="clear" w:pos="8459"/>
              <w:tab w:val="right" w:pos="9026" w:leader="dot"/>
            </w:tabs>
            <w:rPr/>
          </w:pPr>
          <w:hyperlink w:anchor="__RefHeading___Toc7826169_2870459653">
            <w:r>
              <w:rPr>
                <w:webHidden/>
                <w:rStyle w:val="IndexLink"/>
              </w:rPr>
              <w:t>4</w:t>
            </w:r>
            <w:r>
              <w:rPr>
                <w:rStyle w:val="IndexLink"/>
                <w:rtl w:val="true"/>
              </w:rPr>
              <w:t xml:space="preserve">. </w:t>
            </w:r>
            <w:r>
              <w:rPr>
                <w:rStyle w:val="IndexLink"/>
                <w:rtl w:val="true"/>
              </w:rPr>
              <w:t>راه پیش رو</w:t>
            </w:r>
            <w:r>
              <w:rPr>
                <w:rStyle w:val="IndexLink"/>
                <w:rtl w:val="true"/>
              </w:rPr>
              <w:tab/>
            </w:r>
            <w:r>
              <w:rPr>
                <w:rStyle w:val="IndexLink"/>
              </w:rPr>
              <w:t>489</w:t>
            </w:r>
          </w:hyperlink>
        </w:p>
        <w:p>
          <w:pPr>
            <w:pStyle w:val="Contents3"/>
            <w:tabs>
              <w:tab w:val="clear" w:pos="8459"/>
              <w:tab w:val="right" w:pos="9026" w:leader="dot"/>
            </w:tabs>
            <w:rPr/>
          </w:pPr>
          <w:hyperlink w:anchor="__RefHeading___Toc7826171_2870459653">
            <w:r>
              <w:rPr>
                <w:webHidden/>
                <w:rStyle w:val="IndexLink"/>
              </w:rPr>
              <w:t>5</w:t>
            </w:r>
            <w:r>
              <w:rPr>
                <w:rStyle w:val="IndexLink"/>
                <w:rtl w:val="true"/>
              </w:rPr>
              <w:t xml:space="preserve">. </w:t>
            </w:r>
            <w:r>
              <w:rPr>
                <w:rStyle w:val="IndexLink"/>
                <w:rtl w:val="true"/>
              </w:rPr>
              <w:t>حفاظت وبی</w:t>
            </w:r>
            <w:r>
              <w:rPr>
                <w:rStyle w:val="IndexLink"/>
                <w:rtl w:val="true"/>
              </w:rPr>
              <w:tab/>
            </w:r>
            <w:r>
              <w:rPr>
                <w:rStyle w:val="IndexLink"/>
              </w:rPr>
              <w:t>490</w:t>
            </w:r>
          </w:hyperlink>
        </w:p>
        <w:p>
          <w:pPr>
            <w:pStyle w:val="Contents3"/>
            <w:tabs>
              <w:tab w:val="clear" w:pos="8459"/>
              <w:tab w:val="right" w:pos="9026" w:leader="dot"/>
            </w:tabs>
            <w:rPr/>
          </w:pPr>
          <w:hyperlink w:anchor="__RefHeading___Toc7826173_2870459653">
            <w:r>
              <w:rPr>
                <w:webHidden/>
                <w:rStyle w:val="IndexLink"/>
              </w:rPr>
              <w:t>6</w:t>
            </w:r>
            <w:r>
              <w:rPr>
                <w:rStyle w:val="IndexLink"/>
                <w:rtl w:val="true"/>
              </w:rPr>
              <w:t xml:space="preserve">. </w:t>
            </w:r>
            <w:r>
              <w:rPr>
                <w:rStyle w:val="IndexLink"/>
                <w:rtl w:val="true"/>
              </w:rPr>
              <w:t>فرجام سخن</w:t>
            </w:r>
            <w:r>
              <w:rPr>
                <w:rStyle w:val="IndexLink"/>
                <w:rtl w:val="true"/>
              </w:rPr>
              <w:tab/>
            </w:r>
            <w:r>
              <w:rPr>
                <w:rStyle w:val="IndexLink"/>
              </w:rPr>
              <w:t>491</w:t>
            </w:r>
          </w:hyperlink>
        </w:p>
        <w:p>
          <w:pPr>
            <w:pStyle w:val="Contents3"/>
            <w:tabs>
              <w:tab w:val="clear" w:pos="8459"/>
              <w:tab w:val="right" w:pos="9026" w:leader="dot"/>
            </w:tabs>
            <w:rPr/>
          </w:pPr>
          <w:hyperlink w:anchor="__RefHeading___Toc7826175_2870459653">
            <w:r>
              <w:rPr>
                <w:webHidden/>
                <w:rStyle w:val="IndexLink"/>
                <w:rtl w:val="true"/>
              </w:rPr>
              <w:t>منابع</w:t>
            </w:r>
            <w:r>
              <w:rPr>
                <w:rStyle w:val="IndexLink"/>
                <w:rtl w:val="true"/>
              </w:rPr>
              <w:tab/>
            </w:r>
            <w:r>
              <w:rPr>
                <w:rStyle w:val="IndexLink"/>
              </w:rPr>
              <w:t>492</w:t>
            </w:r>
          </w:hyperlink>
        </w:p>
        <w:p>
          <w:pPr>
            <w:pStyle w:val="Contents2"/>
            <w:tabs>
              <w:tab w:val="clear" w:pos="8743"/>
              <w:tab w:val="right" w:pos="9026" w:leader="dot"/>
            </w:tabs>
            <w:rPr/>
          </w:pPr>
          <w:hyperlink w:anchor="__RefHeading___Toc7826177_2870459653">
            <w:r>
              <w:rPr>
                <w:webHidden/>
                <w:rStyle w:val="IndexLink"/>
                <w:rtl w:val="true"/>
              </w:rPr>
              <w:t>چکیده</w:t>
            </w:r>
            <w:r>
              <w:rPr>
                <w:rStyle w:val="IndexLink"/>
                <w:rtl w:val="true"/>
              </w:rPr>
              <w:tab/>
            </w:r>
            <w:r>
              <w:rPr>
                <w:rStyle w:val="IndexLink"/>
              </w:rPr>
              <w:t>494</w:t>
            </w:r>
          </w:hyperlink>
        </w:p>
        <w:p>
          <w:pPr>
            <w:pStyle w:val="Contents2"/>
            <w:tabs>
              <w:tab w:val="clear" w:pos="8743"/>
              <w:tab w:val="right" w:pos="9026" w:leader="dot"/>
            </w:tabs>
            <w:rPr/>
          </w:pPr>
          <w:hyperlink w:anchor="__RefHeading___Toc7826179_2870459653">
            <w:r>
              <w:rPr>
                <w:webHidden/>
                <w:rStyle w:val="IndexLink"/>
                <w:rtl w:val="true"/>
              </w:rPr>
              <w:t>ترکیب ابعاد رسانه های نوشتاری و رقومی در یک بازی ماجراجویی غیر خطی مبتنی بر اِن اِف سی برای کودکان</w:t>
            </w:r>
            <w:r>
              <w:rPr>
                <w:rStyle w:val="IndexLink"/>
                <w:rtl w:val="true"/>
              </w:rPr>
              <w:tab/>
            </w:r>
            <w:r>
              <w:rPr>
                <w:rStyle w:val="IndexLink"/>
              </w:rPr>
              <w:t>495</w:t>
            </w:r>
          </w:hyperlink>
        </w:p>
        <w:p>
          <w:pPr>
            <w:pStyle w:val="Contents3"/>
            <w:tabs>
              <w:tab w:val="clear" w:pos="8459"/>
              <w:tab w:val="right" w:pos="9026" w:leader="dot"/>
            </w:tabs>
            <w:rPr/>
          </w:pPr>
          <w:hyperlink w:anchor="__RefHeading___Toc7826181_2870459653">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7826183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495</w:t>
            </w:r>
          </w:hyperlink>
        </w:p>
        <w:p>
          <w:pPr>
            <w:pStyle w:val="Contents3"/>
            <w:tabs>
              <w:tab w:val="clear" w:pos="8459"/>
              <w:tab w:val="right" w:pos="9026" w:leader="dot"/>
            </w:tabs>
            <w:rPr/>
          </w:pPr>
          <w:hyperlink w:anchor="__RefHeading___Toc7826185_2870459653">
            <w:r>
              <w:rPr>
                <w:webHidden/>
                <w:rStyle w:val="IndexLink"/>
              </w:rPr>
              <w:t>2</w:t>
            </w:r>
            <w:r>
              <w:rPr>
                <w:rStyle w:val="IndexLink"/>
                <w:rtl w:val="true"/>
              </w:rPr>
              <w:t xml:space="preserve">- </w:t>
            </w:r>
            <w:r>
              <w:rPr>
                <w:rStyle w:val="IndexLink"/>
                <w:rtl w:val="true"/>
              </w:rPr>
              <w:t>روش تحقیق</w:t>
            </w:r>
            <w:r>
              <w:rPr>
                <w:rStyle w:val="IndexLink"/>
                <w:rtl w:val="true"/>
              </w:rPr>
              <w:tab/>
            </w:r>
            <w:r>
              <w:rPr>
                <w:rStyle w:val="IndexLink"/>
              </w:rPr>
              <w:t>497</w:t>
            </w:r>
          </w:hyperlink>
        </w:p>
        <w:p>
          <w:pPr>
            <w:pStyle w:val="Contents3"/>
            <w:tabs>
              <w:tab w:val="clear" w:pos="8459"/>
              <w:tab w:val="right" w:pos="9026" w:leader="dot"/>
            </w:tabs>
            <w:rPr/>
          </w:pPr>
          <w:hyperlink w:anchor="__RefHeading___Toc7826187_2870459653">
            <w:r>
              <w:rPr>
                <w:webHidden/>
                <w:rStyle w:val="IndexLink"/>
              </w:rPr>
              <w:t>3</w:t>
            </w:r>
            <w:r>
              <w:rPr>
                <w:rStyle w:val="IndexLink"/>
                <w:rtl w:val="true"/>
              </w:rPr>
              <w:t xml:space="preserve">- </w:t>
            </w:r>
            <w:r>
              <w:rPr>
                <w:rStyle w:val="IndexLink"/>
                <w:rtl w:val="true"/>
              </w:rPr>
              <w:t xml:space="preserve">مسابقه ادبیات </w:t>
            </w:r>
            <w:r>
              <w:rPr>
                <w:rStyle w:val="IndexLink"/>
                <w:rtl w:val="true"/>
              </w:rPr>
              <w:t xml:space="preserve">- </w:t>
            </w:r>
            <w:r>
              <w:rPr>
                <w:rStyle w:val="IndexLink"/>
                <w:rtl w:val="true"/>
              </w:rPr>
              <w:t>مفهوم بازی</w:t>
            </w:r>
            <w:r>
              <w:rPr>
                <w:rStyle w:val="IndexLink"/>
                <w:rtl w:val="true"/>
              </w:rPr>
              <w:tab/>
            </w:r>
            <w:r>
              <w:rPr>
                <w:rStyle w:val="IndexLink"/>
              </w:rPr>
              <w:t>498</w:t>
            </w:r>
          </w:hyperlink>
        </w:p>
        <w:p>
          <w:pPr>
            <w:pStyle w:val="Contents3"/>
            <w:tabs>
              <w:tab w:val="clear" w:pos="8459"/>
              <w:tab w:val="right" w:pos="9026" w:leader="dot"/>
            </w:tabs>
            <w:rPr/>
          </w:pPr>
          <w:hyperlink w:anchor="__RefHeading___Toc7826189_2870459653">
            <w:r>
              <w:rPr>
                <w:webHidden/>
                <w:rStyle w:val="IndexLink"/>
              </w:rPr>
              <w:t>4</w:t>
            </w:r>
            <w:r>
              <w:rPr>
                <w:rStyle w:val="IndexLink"/>
                <w:rtl w:val="true"/>
              </w:rPr>
              <w:t xml:space="preserve">- </w:t>
            </w:r>
            <w:r>
              <w:rPr>
                <w:rStyle w:val="IndexLink"/>
                <w:rtl w:val="true"/>
              </w:rPr>
              <w:t>بحث و نتیجه گیری</w:t>
            </w:r>
            <w:r>
              <w:rPr>
                <w:rStyle w:val="IndexLink"/>
                <w:rtl w:val="true"/>
              </w:rPr>
              <w:tab/>
            </w:r>
            <w:r>
              <w:rPr>
                <w:rStyle w:val="IndexLink"/>
              </w:rPr>
              <w:t>502</w:t>
            </w:r>
          </w:hyperlink>
        </w:p>
        <w:p>
          <w:pPr>
            <w:pStyle w:val="Contents3"/>
            <w:tabs>
              <w:tab w:val="clear" w:pos="8459"/>
              <w:tab w:val="right" w:pos="9026" w:leader="dot"/>
            </w:tabs>
            <w:rPr/>
          </w:pPr>
          <w:hyperlink w:anchor="__RefHeading___Toc7826191_2870459653">
            <w:r>
              <w:rPr>
                <w:webHidden/>
                <w:rStyle w:val="IndexLink"/>
              </w:rPr>
              <w:t>5</w:t>
            </w:r>
            <w:r>
              <w:rPr>
                <w:rStyle w:val="IndexLink"/>
                <w:rtl w:val="true"/>
              </w:rPr>
              <w:t xml:space="preserve">- </w:t>
            </w:r>
            <w:r>
              <w:rPr>
                <w:rStyle w:val="IndexLink"/>
                <w:rtl w:val="true"/>
              </w:rPr>
              <w:t>نتیجه گیری</w:t>
            </w:r>
            <w:r>
              <w:rPr>
                <w:rStyle w:val="IndexLink"/>
                <w:rtl w:val="true"/>
              </w:rPr>
              <w:tab/>
            </w:r>
            <w:r>
              <w:rPr>
                <w:rStyle w:val="IndexLink"/>
              </w:rPr>
              <w:t>505</w:t>
            </w:r>
          </w:hyperlink>
        </w:p>
        <w:p>
          <w:pPr>
            <w:pStyle w:val="Contents3"/>
            <w:tabs>
              <w:tab w:val="clear" w:pos="8459"/>
              <w:tab w:val="right" w:pos="9026" w:leader="dot"/>
            </w:tabs>
            <w:rPr/>
          </w:pPr>
          <w:hyperlink w:anchor="__RefHeading___Toc7826193_2870459653">
            <w:r>
              <w:rPr>
                <w:webHidden/>
                <w:rStyle w:val="IndexLink"/>
                <w:rtl w:val="true"/>
              </w:rPr>
              <w:t>منابع</w:t>
            </w:r>
            <w:r>
              <w:rPr>
                <w:rStyle w:val="IndexLink"/>
                <w:rtl w:val="true"/>
              </w:rPr>
              <w:tab/>
            </w:r>
            <w:r>
              <w:rPr>
                <w:rStyle w:val="IndexLink"/>
              </w:rPr>
              <w:t>506</w:t>
            </w:r>
          </w:hyperlink>
        </w:p>
        <w:p>
          <w:pPr>
            <w:pStyle w:val="Contents2"/>
            <w:tabs>
              <w:tab w:val="clear" w:pos="8743"/>
              <w:tab w:val="right" w:pos="9026" w:leader="dot"/>
            </w:tabs>
            <w:rPr/>
          </w:pPr>
          <w:hyperlink w:anchor="__RefHeading___Toc7826195_2870459653">
            <w:r>
              <w:rPr>
                <w:webHidden/>
                <w:rStyle w:val="IndexLink"/>
                <w:rtl w:val="true"/>
              </w:rPr>
              <w:t>چکیده</w:t>
            </w:r>
            <w:r>
              <w:rPr>
                <w:rStyle w:val="IndexLink"/>
                <w:rtl w:val="true"/>
              </w:rPr>
              <w:tab/>
            </w:r>
            <w:r>
              <w:rPr>
                <w:rStyle w:val="IndexLink"/>
              </w:rPr>
              <w:t>508</w:t>
            </w:r>
          </w:hyperlink>
        </w:p>
        <w:p>
          <w:pPr>
            <w:pStyle w:val="Contents2"/>
            <w:tabs>
              <w:tab w:val="clear" w:pos="8743"/>
              <w:tab w:val="right" w:pos="9026" w:leader="dot"/>
            </w:tabs>
            <w:rPr/>
          </w:pPr>
          <w:hyperlink w:anchor="__RefHeading___Toc7826197_2870459653">
            <w:r>
              <w:rPr>
                <w:webHidden/>
                <w:rStyle w:val="IndexLink"/>
                <w:rtl w:val="true"/>
              </w:rPr>
              <w:t xml:space="preserve">طرح پاسخگوی اجتماعی فهرست ها و اصطلاح نامه های کتاب خانه ای در یک سازمان غیرانتفاعی اجتماعی </w:t>
            </w:r>
            <w:r>
              <w:rPr>
                <w:rStyle w:val="IndexLink"/>
                <w:rtl w:val="true"/>
              </w:rPr>
              <w:t>(</w:t>
            </w:r>
            <w:r>
              <w:rPr>
                <w:rStyle w:val="IndexLink"/>
                <w:rtl w:val="true"/>
              </w:rPr>
              <w:t xml:space="preserve">تورنتو </w:t>
            </w:r>
            <w:r>
              <w:rPr>
                <w:rStyle w:val="IndexLink"/>
                <w:rtl w:val="true"/>
              </w:rPr>
              <w:t xml:space="preserve">- </w:t>
            </w:r>
            <w:r>
              <w:rPr>
                <w:rStyle w:val="IndexLink"/>
                <w:rtl w:val="true"/>
              </w:rPr>
              <w:t>کانادا</w:t>
            </w:r>
            <w:r>
              <w:rPr>
                <w:rStyle w:val="IndexLink"/>
                <w:rtl w:val="true"/>
              </w:rPr>
              <w:t>)</w:t>
              <w:tab/>
            </w:r>
            <w:r>
              <w:rPr>
                <w:rStyle w:val="IndexLink"/>
              </w:rPr>
              <w:t>509</w:t>
            </w:r>
          </w:hyperlink>
        </w:p>
        <w:p>
          <w:pPr>
            <w:pStyle w:val="Contents3"/>
            <w:tabs>
              <w:tab w:val="clear" w:pos="8459"/>
              <w:tab w:val="right" w:pos="9026" w:leader="dot"/>
            </w:tabs>
            <w:rPr/>
          </w:pPr>
          <w:hyperlink w:anchor="__RefHeading___Toc7826199_2870459653">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7826201_2870459653">
            <w:r>
              <w:rPr>
                <w:webHidden/>
                <w:rStyle w:val="IndexLink"/>
                <w:rtl w:val="true"/>
              </w:rPr>
              <w:t>معرفی</w:t>
            </w:r>
            <w:r>
              <w:rPr>
                <w:rStyle w:val="IndexLink"/>
                <w:rtl w:val="true"/>
              </w:rPr>
              <w:tab/>
            </w:r>
            <w:r>
              <w:rPr>
                <w:rStyle w:val="IndexLink"/>
              </w:rPr>
              <w:t>509</w:t>
            </w:r>
          </w:hyperlink>
        </w:p>
        <w:p>
          <w:pPr>
            <w:pStyle w:val="Contents3"/>
            <w:tabs>
              <w:tab w:val="clear" w:pos="8459"/>
              <w:tab w:val="right" w:pos="9026" w:leader="dot"/>
            </w:tabs>
            <w:rPr/>
          </w:pPr>
          <w:hyperlink w:anchor="__RefHeading___Toc7826203_2870459653">
            <w:r>
              <w:rPr>
                <w:webHidden/>
                <w:rStyle w:val="IndexLink"/>
                <w:rtl w:val="true"/>
              </w:rPr>
              <w:t>کتاب خانه و مجموعه آی دبلیو سی</w:t>
            </w:r>
            <w:r>
              <w:rPr>
                <w:rStyle w:val="IndexLink"/>
                <w:rtl w:val="true"/>
              </w:rPr>
              <w:tab/>
            </w:r>
            <w:r>
              <w:rPr>
                <w:rStyle w:val="IndexLink"/>
              </w:rPr>
              <w:t>509</w:t>
            </w:r>
          </w:hyperlink>
        </w:p>
        <w:p>
          <w:pPr>
            <w:pStyle w:val="Contents3"/>
            <w:tabs>
              <w:tab w:val="clear" w:pos="8459"/>
              <w:tab w:val="right" w:pos="9026" w:leader="dot"/>
            </w:tabs>
            <w:rPr/>
          </w:pPr>
          <w:hyperlink w:anchor="__RefHeading___Toc7826205_2870459653">
            <w:r>
              <w:rPr>
                <w:webHidden/>
                <w:rStyle w:val="IndexLink"/>
                <w:rtl w:val="true"/>
              </w:rPr>
              <w:t>ملاحظات کلیدی ما در توسعه اصطلاح نامه</w:t>
            </w:r>
            <w:r>
              <w:rPr>
                <w:rStyle w:val="IndexLink"/>
                <w:rtl w:val="true"/>
              </w:rPr>
              <w:t>:</w:t>
              <w:tab/>
            </w:r>
            <w:r>
              <w:rPr>
                <w:rStyle w:val="IndexLink"/>
              </w:rPr>
              <w:t>510</w:t>
            </w:r>
          </w:hyperlink>
        </w:p>
        <w:p>
          <w:pPr>
            <w:pStyle w:val="Contents3"/>
            <w:tabs>
              <w:tab w:val="clear" w:pos="8459"/>
              <w:tab w:val="right" w:pos="9026" w:leader="dot"/>
            </w:tabs>
            <w:rPr/>
          </w:pPr>
          <w:hyperlink w:anchor="__RefHeading___Toc7826207_2870459653">
            <w:r>
              <w:rPr>
                <w:webHidden/>
                <w:rStyle w:val="IndexLink"/>
                <w:rtl w:val="true"/>
              </w:rPr>
              <w:t>ارزیابی اصطلاح نامه سی دبلیو ای</w:t>
            </w:r>
            <w:r>
              <w:rPr>
                <w:rStyle w:val="IndexLink"/>
                <w:rtl w:val="true"/>
              </w:rPr>
              <w:tab/>
            </w:r>
            <w:r>
              <w:rPr>
                <w:rStyle w:val="IndexLink"/>
              </w:rPr>
              <w:t>511</w:t>
            </w:r>
          </w:hyperlink>
        </w:p>
        <w:p>
          <w:pPr>
            <w:pStyle w:val="Contents3"/>
            <w:tabs>
              <w:tab w:val="clear" w:pos="8459"/>
              <w:tab w:val="right" w:pos="9026" w:leader="dot"/>
            </w:tabs>
            <w:rPr/>
          </w:pPr>
          <w:hyperlink w:anchor="__RefHeading___Toc7826209_2870459653">
            <w:r>
              <w:rPr>
                <w:webHidden/>
                <w:rStyle w:val="IndexLink"/>
                <w:rtl w:val="true"/>
              </w:rPr>
              <w:t>مصاحبه های کاربران سی دبلیو اِی</w:t>
            </w:r>
            <w:r>
              <w:rPr>
                <w:rStyle w:val="IndexLink"/>
                <w:rtl w:val="true"/>
              </w:rPr>
              <w:tab/>
            </w:r>
            <w:r>
              <w:rPr>
                <w:rStyle w:val="IndexLink"/>
              </w:rPr>
              <w:t>512</w:t>
            </w:r>
          </w:hyperlink>
        </w:p>
        <w:p>
          <w:pPr>
            <w:pStyle w:val="Contents3"/>
            <w:tabs>
              <w:tab w:val="clear" w:pos="8459"/>
              <w:tab w:val="right" w:pos="9026" w:leader="dot"/>
            </w:tabs>
            <w:rPr/>
          </w:pPr>
          <w:hyperlink w:anchor="__RefHeading___Toc7826211_2870459653">
            <w:r>
              <w:rPr>
                <w:webHidden/>
                <w:rStyle w:val="IndexLink"/>
                <w:rtl w:val="true"/>
              </w:rPr>
              <w:t>آزمون هم بستگی واژه</w:t>
            </w:r>
            <w:r>
              <w:rPr>
                <w:rStyle w:val="IndexLink"/>
                <w:rtl w:val="true"/>
              </w:rPr>
              <w:tab/>
            </w:r>
            <w:r>
              <w:rPr>
                <w:rStyle w:val="IndexLink"/>
              </w:rPr>
              <w:t>515</w:t>
            </w:r>
          </w:hyperlink>
        </w:p>
        <w:p>
          <w:pPr>
            <w:pStyle w:val="Contents3"/>
            <w:tabs>
              <w:tab w:val="clear" w:pos="8459"/>
              <w:tab w:val="right" w:pos="9026" w:leader="dot"/>
            </w:tabs>
            <w:rPr/>
          </w:pPr>
          <w:hyperlink w:anchor="__RefHeading___Toc7826213_2870459653">
            <w:r>
              <w:rPr>
                <w:webHidden/>
                <w:rStyle w:val="IndexLink"/>
                <w:rtl w:val="true"/>
              </w:rPr>
              <w:t>یافته ها</w:t>
            </w:r>
            <w:r>
              <w:rPr>
                <w:rStyle w:val="IndexLink"/>
                <w:rtl w:val="true"/>
              </w:rPr>
              <w:tab/>
            </w:r>
            <w:r>
              <w:rPr>
                <w:rStyle w:val="IndexLink"/>
              </w:rPr>
              <w:t>516</w:t>
            </w:r>
          </w:hyperlink>
        </w:p>
        <w:p>
          <w:pPr>
            <w:pStyle w:val="Contents3"/>
            <w:tabs>
              <w:tab w:val="clear" w:pos="8459"/>
              <w:tab w:val="right" w:pos="9026" w:leader="dot"/>
            </w:tabs>
            <w:rPr/>
          </w:pPr>
          <w:hyperlink w:anchor="__RefHeading___Toc7826215_2870459653">
            <w:r>
              <w:rPr>
                <w:webHidden/>
                <w:rStyle w:val="IndexLink"/>
                <w:rtl w:val="true"/>
              </w:rPr>
              <w:t>نمونه ای از مدخل اصطلاح نامه</w:t>
            </w:r>
            <w:r>
              <w:rPr>
                <w:rStyle w:val="IndexLink"/>
                <w:rtl w:val="true"/>
              </w:rPr>
              <w:t xml:space="preserve">: </w:t>
            </w:r>
            <w:r>
              <w:rPr>
                <w:rStyle w:val="IndexLink"/>
                <w:rtl w:val="true"/>
              </w:rPr>
              <w:t>هیئت احقاق حقوق کارگران انتاریو</w:t>
            </w:r>
            <w:r>
              <w:rPr>
                <w:rStyle w:val="IndexLink"/>
                <w:rtl w:val="true"/>
              </w:rPr>
              <w:tab/>
            </w:r>
            <w:r>
              <w:rPr>
                <w:rStyle w:val="IndexLink"/>
              </w:rPr>
              <w:t>518</w:t>
            </w:r>
          </w:hyperlink>
        </w:p>
        <w:p>
          <w:pPr>
            <w:pStyle w:val="Contents3"/>
            <w:tabs>
              <w:tab w:val="clear" w:pos="8459"/>
              <w:tab w:val="right" w:pos="9026" w:leader="dot"/>
            </w:tabs>
            <w:rPr/>
          </w:pPr>
          <w:hyperlink w:anchor="__RefHeading___Toc7826217_2870459653">
            <w:r>
              <w:rPr>
                <w:webHidden/>
                <w:rStyle w:val="IndexLink"/>
                <w:rtl w:val="true"/>
              </w:rPr>
              <w:t>دبلیو سی بی دبلیو اس آی بی</w:t>
            </w:r>
            <w:r>
              <w:rPr>
                <w:rStyle w:val="IndexLink"/>
                <w:rtl w:val="true"/>
              </w:rPr>
              <w:tab/>
            </w:r>
            <w:r>
              <w:rPr>
                <w:rStyle w:val="IndexLink"/>
              </w:rPr>
              <w:t>519</w:t>
            </w:r>
          </w:hyperlink>
        </w:p>
        <w:p>
          <w:pPr>
            <w:pStyle w:val="Contents3"/>
            <w:tabs>
              <w:tab w:val="clear" w:pos="8459"/>
              <w:tab w:val="right" w:pos="9026" w:leader="dot"/>
            </w:tabs>
            <w:rPr/>
          </w:pPr>
          <w:hyperlink w:anchor="__RefHeading___Toc7826219_2870459653">
            <w:r>
              <w:rPr>
                <w:webHidden/>
                <w:rStyle w:val="IndexLink"/>
                <w:rtl w:val="true"/>
              </w:rPr>
              <w:t>اقدامات بعدی</w:t>
            </w:r>
            <w:r>
              <w:rPr>
                <w:rStyle w:val="IndexLink"/>
                <w:rtl w:val="true"/>
              </w:rPr>
              <w:tab/>
            </w:r>
            <w:r>
              <w:rPr>
                <w:rStyle w:val="IndexLink"/>
              </w:rPr>
              <w:t>519</w:t>
            </w:r>
          </w:hyperlink>
        </w:p>
        <w:p>
          <w:pPr>
            <w:pStyle w:val="Contents3"/>
            <w:tabs>
              <w:tab w:val="clear" w:pos="8459"/>
              <w:tab w:val="right" w:pos="9026" w:leader="dot"/>
            </w:tabs>
            <w:rPr/>
          </w:pPr>
          <w:hyperlink w:anchor="__RefHeading___Toc7826221_2870459653">
            <w:r>
              <w:rPr>
                <w:webHidden/>
                <w:rStyle w:val="IndexLink"/>
                <w:rtl w:val="true"/>
              </w:rPr>
              <w:t>نتیجه گیری</w:t>
            </w:r>
            <w:r>
              <w:rPr>
                <w:rStyle w:val="IndexLink"/>
                <w:rtl w:val="true"/>
              </w:rPr>
              <w:tab/>
            </w:r>
            <w:r>
              <w:rPr>
                <w:rStyle w:val="IndexLink"/>
              </w:rPr>
              <w:t>520</w:t>
            </w:r>
          </w:hyperlink>
        </w:p>
        <w:p>
          <w:pPr>
            <w:pStyle w:val="Contents3"/>
            <w:tabs>
              <w:tab w:val="clear" w:pos="8459"/>
              <w:tab w:val="right" w:pos="9026" w:leader="dot"/>
            </w:tabs>
            <w:rPr/>
          </w:pPr>
          <w:hyperlink w:anchor="__RefHeading___Toc7826223_2870459653">
            <w:r>
              <w:rPr>
                <w:webHidden/>
                <w:rStyle w:val="IndexLink"/>
                <w:rtl w:val="true"/>
              </w:rPr>
              <w:t>تشکر و قدردانی</w:t>
            </w:r>
            <w:r>
              <w:rPr>
                <w:rStyle w:val="IndexLink"/>
                <w:rtl w:val="true"/>
              </w:rPr>
              <w:tab/>
            </w:r>
            <w:r>
              <w:rPr>
                <w:rStyle w:val="IndexLink"/>
              </w:rPr>
              <w:t>522</w:t>
            </w:r>
          </w:hyperlink>
        </w:p>
        <w:p>
          <w:pPr>
            <w:pStyle w:val="Contents3"/>
            <w:tabs>
              <w:tab w:val="clear" w:pos="8459"/>
              <w:tab w:val="right" w:pos="9026" w:leader="dot"/>
            </w:tabs>
            <w:rPr/>
          </w:pPr>
          <w:hyperlink w:anchor="__RefHeading___Toc7826225_2870459653">
            <w:r>
              <w:rPr>
                <w:webHidden/>
                <w:rStyle w:val="IndexLink"/>
                <w:rtl w:val="true"/>
              </w:rPr>
              <w:t>منابع</w:t>
            </w:r>
            <w:r>
              <w:rPr>
                <w:rStyle w:val="IndexLink"/>
                <w:rtl w:val="true"/>
              </w:rPr>
              <w:tab/>
            </w:r>
            <w:r>
              <w:rPr>
                <w:rStyle w:val="IndexLink"/>
              </w:rPr>
              <w:t>522</w:t>
            </w:r>
          </w:hyperlink>
        </w:p>
        <w:p>
          <w:pPr>
            <w:pStyle w:val="Contents2"/>
            <w:tabs>
              <w:tab w:val="clear" w:pos="8743"/>
              <w:tab w:val="right" w:pos="9026" w:leader="dot"/>
            </w:tabs>
            <w:rPr/>
          </w:pPr>
          <w:hyperlink w:anchor="__RefHeading___Toc7826227_2870459653">
            <w:r>
              <w:rPr>
                <w:webHidden/>
                <w:rStyle w:val="IndexLink"/>
                <w:rtl w:val="true"/>
              </w:rPr>
              <w:t>چکیده</w:t>
            </w:r>
            <w:r>
              <w:rPr>
                <w:rStyle w:val="IndexLink"/>
                <w:rtl w:val="true"/>
              </w:rPr>
              <w:tab/>
            </w:r>
            <w:r>
              <w:rPr>
                <w:rStyle w:val="IndexLink"/>
              </w:rPr>
              <w:t>524</w:t>
            </w:r>
          </w:hyperlink>
        </w:p>
        <w:p>
          <w:pPr>
            <w:pStyle w:val="Contents2"/>
            <w:tabs>
              <w:tab w:val="clear" w:pos="8743"/>
              <w:tab w:val="right" w:pos="9026" w:leader="dot"/>
            </w:tabs>
            <w:rPr/>
          </w:pPr>
          <w:hyperlink w:anchor="__RefHeading___Toc7826229_2870459653">
            <w:r>
              <w:rPr>
                <w:webHidden/>
                <w:rStyle w:val="IndexLink"/>
                <w:rtl w:val="true"/>
              </w:rPr>
              <w:t>نویسندگان و مستندات در نظام های کتاب خانه ای فرا آر</w:t>
            </w:r>
            <w:r>
              <w:rPr>
                <w:rStyle w:val="IndexLink"/>
                <w:rtl w:val="true"/>
              </w:rPr>
              <w:t xml:space="preserve">. </w:t>
            </w:r>
            <w:r>
              <w:rPr>
                <w:rStyle w:val="IndexLink"/>
                <w:rtl w:val="true"/>
              </w:rPr>
              <w:t>دی</w:t>
            </w:r>
            <w:r>
              <w:rPr>
                <w:rStyle w:val="IndexLink"/>
                <w:rtl w:val="true"/>
              </w:rPr>
              <w:t xml:space="preserve">. </w:t>
            </w:r>
            <w:r>
              <w:rPr>
                <w:rStyle w:val="IndexLink"/>
                <w:rtl w:val="true"/>
              </w:rPr>
              <w:t>ای</w:t>
            </w:r>
            <w:r>
              <w:rPr>
                <w:rStyle w:val="IndexLink"/>
                <w:rtl w:val="true"/>
              </w:rPr>
              <w:t xml:space="preserve">.: </w:t>
            </w:r>
            <w:r>
              <w:rPr>
                <w:rStyle w:val="IndexLink"/>
                <w:rtl w:val="true"/>
              </w:rPr>
              <w:t>نمونه پژوهی</w:t>
            </w:r>
            <w:r>
              <w:rPr>
                <w:rStyle w:val="IndexLink"/>
                <w:rtl w:val="true"/>
              </w:rPr>
              <w:tab/>
            </w:r>
            <w:r>
              <w:rPr>
                <w:rStyle w:val="IndexLink"/>
              </w:rPr>
              <w:t>525</w:t>
            </w:r>
          </w:hyperlink>
        </w:p>
        <w:p>
          <w:pPr>
            <w:pStyle w:val="Contents3"/>
            <w:tabs>
              <w:tab w:val="clear" w:pos="8459"/>
              <w:tab w:val="right" w:pos="9026" w:leader="dot"/>
            </w:tabs>
            <w:rPr/>
          </w:pPr>
          <w:hyperlink w:anchor="__RefHeading___Toc7826231_2870459653">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7826233_2870459653">
            <w:r>
              <w:rPr>
                <w:webHidden/>
                <w:rStyle w:val="IndexLink"/>
                <w:rtl w:val="true"/>
              </w:rPr>
              <w:t>مقدمه</w:t>
            </w:r>
            <w:r>
              <w:rPr>
                <w:rStyle w:val="IndexLink"/>
                <w:rtl w:val="true"/>
              </w:rPr>
              <w:tab/>
            </w:r>
            <w:r>
              <w:rPr>
                <w:rStyle w:val="IndexLink"/>
              </w:rPr>
              <w:t>525</w:t>
            </w:r>
          </w:hyperlink>
        </w:p>
        <w:p>
          <w:pPr>
            <w:pStyle w:val="Contents3"/>
            <w:tabs>
              <w:tab w:val="clear" w:pos="8459"/>
              <w:tab w:val="right" w:pos="9026" w:leader="dot"/>
            </w:tabs>
            <w:rPr/>
          </w:pPr>
          <w:hyperlink w:anchor="__RefHeading___Toc7826235_2870459653">
            <w:r>
              <w:rPr>
                <w:webHidden/>
                <w:rStyle w:val="IndexLink"/>
                <w:rtl w:val="true"/>
              </w:rPr>
              <w:t>فراد و آر دی اِی</w:t>
            </w:r>
            <w:r>
              <w:rPr>
                <w:rStyle w:val="IndexLink"/>
                <w:rtl w:val="true"/>
              </w:rPr>
              <w:t xml:space="preserve">: </w:t>
            </w:r>
            <w:r>
              <w:rPr>
                <w:rStyle w:val="IndexLink"/>
                <w:rtl w:val="true"/>
              </w:rPr>
              <w:t>نمونه های جدید دسترسی</w:t>
            </w:r>
            <w:r>
              <w:rPr>
                <w:rStyle w:val="IndexLink"/>
                <w:rtl w:val="true"/>
              </w:rPr>
              <w:tab/>
            </w:r>
            <w:r>
              <w:rPr>
                <w:rStyle w:val="IndexLink"/>
              </w:rPr>
              <w:t>527</w:t>
            </w:r>
          </w:hyperlink>
        </w:p>
        <w:p>
          <w:pPr>
            <w:pStyle w:val="Contents3"/>
            <w:tabs>
              <w:tab w:val="clear" w:pos="8459"/>
              <w:tab w:val="right" w:pos="9026" w:leader="dot"/>
            </w:tabs>
            <w:rPr/>
          </w:pPr>
          <w:hyperlink w:anchor="__RefHeading___Toc7826237_2870459653">
            <w:r>
              <w:rPr>
                <w:webHidden/>
                <w:rStyle w:val="IndexLink"/>
                <w:rtl w:val="true"/>
              </w:rPr>
              <w:t>مشارکت در محتوای پیشینه</w:t>
            </w:r>
            <w:r>
              <w:rPr>
                <w:rStyle w:val="IndexLink"/>
                <w:rtl w:val="true"/>
              </w:rPr>
              <w:tab/>
            </w:r>
            <w:r>
              <w:rPr>
                <w:rStyle w:val="IndexLink"/>
              </w:rPr>
              <w:t>529</w:t>
            </w:r>
          </w:hyperlink>
        </w:p>
        <w:p>
          <w:pPr>
            <w:pStyle w:val="Contents3"/>
            <w:tabs>
              <w:tab w:val="clear" w:pos="8459"/>
              <w:tab w:val="right" w:pos="9026" w:leader="dot"/>
            </w:tabs>
            <w:rPr/>
          </w:pPr>
          <w:hyperlink w:anchor="__RefHeading___Toc7826239_2870459653">
            <w:r>
              <w:rPr>
                <w:webHidden/>
                <w:rStyle w:val="IndexLink"/>
                <w:rtl w:val="true"/>
              </w:rPr>
              <w:t>پیشینه های مستند نام شخصی</w:t>
            </w:r>
            <w:r>
              <w:rPr>
                <w:rStyle w:val="IndexLink"/>
                <w:rtl w:val="true"/>
              </w:rPr>
              <w:tab/>
            </w:r>
            <w:r>
              <w:rPr>
                <w:rStyle w:val="IndexLink"/>
              </w:rPr>
              <w:t>530</w:t>
            </w:r>
          </w:hyperlink>
        </w:p>
        <w:p>
          <w:pPr>
            <w:pStyle w:val="Contents3"/>
            <w:tabs>
              <w:tab w:val="clear" w:pos="8459"/>
              <w:tab w:val="right" w:pos="9026" w:leader="dot"/>
            </w:tabs>
            <w:rPr/>
          </w:pPr>
          <w:hyperlink w:anchor="__RefHeading___Toc7826241_2870459653">
            <w:r>
              <w:rPr>
                <w:webHidden/>
                <w:rStyle w:val="IndexLink"/>
                <w:rtl w:val="true"/>
              </w:rPr>
              <w:t>مارک به عنوان طرح رمزگذاری</w:t>
            </w:r>
            <w:r>
              <w:rPr>
                <w:rStyle w:val="IndexLink"/>
                <w:rtl w:val="true"/>
              </w:rPr>
              <w:tab/>
            </w:r>
            <w:r>
              <w:rPr>
                <w:rStyle w:val="IndexLink"/>
              </w:rPr>
              <w:t>531</w:t>
            </w:r>
          </w:hyperlink>
        </w:p>
        <w:p>
          <w:pPr>
            <w:pStyle w:val="Contents3"/>
            <w:tabs>
              <w:tab w:val="clear" w:pos="8459"/>
              <w:tab w:val="right" w:pos="9026" w:leader="dot"/>
            </w:tabs>
            <w:rPr/>
          </w:pPr>
          <w:hyperlink w:anchor="__RefHeading___Toc7826243_2870459653">
            <w:r>
              <w:rPr>
                <w:webHidden/>
                <w:rStyle w:val="IndexLink"/>
                <w:rtl w:val="true"/>
              </w:rPr>
              <w:t>شناسگرهای نام شخصی</w:t>
            </w:r>
            <w:r>
              <w:rPr>
                <w:rStyle w:val="IndexLink"/>
                <w:rtl w:val="true"/>
              </w:rPr>
              <w:tab/>
            </w:r>
            <w:r>
              <w:rPr>
                <w:rStyle w:val="IndexLink"/>
              </w:rPr>
              <w:t>531</w:t>
            </w:r>
          </w:hyperlink>
        </w:p>
        <w:p>
          <w:pPr>
            <w:pStyle w:val="Contents3"/>
            <w:tabs>
              <w:tab w:val="clear" w:pos="8459"/>
              <w:tab w:val="right" w:pos="9026" w:leader="dot"/>
            </w:tabs>
            <w:rPr/>
          </w:pPr>
          <w:hyperlink w:anchor="__RefHeading___Toc7826245_2870459653">
            <w:r>
              <w:rPr>
                <w:webHidden/>
                <w:rStyle w:val="IndexLink"/>
                <w:rtl w:val="true"/>
              </w:rPr>
              <w:t>شناسگرهای نام شخصی در وُرلد کَت</w:t>
            </w:r>
            <w:r>
              <w:rPr>
                <w:rStyle w:val="IndexLink"/>
                <w:rtl w:val="true"/>
              </w:rPr>
              <w:t xml:space="preserve">: </w:t>
            </w:r>
            <w:r>
              <w:rPr>
                <w:rStyle w:val="IndexLink"/>
                <w:rtl w:val="true"/>
              </w:rPr>
              <w:t>تحلیل</w:t>
            </w:r>
            <w:r>
              <w:rPr>
                <w:rStyle w:val="IndexLink"/>
                <w:rtl w:val="true"/>
              </w:rPr>
              <w:tab/>
            </w:r>
            <w:r>
              <w:rPr>
                <w:rStyle w:val="IndexLink"/>
              </w:rPr>
              <w:t>533</w:t>
            </w:r>
          </w:hyperlink>
        </w:p>
        <w:p>
          <w:pPr>
            <w:pStyle w:val="Contents3"/>
            <w:tabs>
              <w:tab w:val="clear" w:pos="8459"/>
              <w:tab w:val="right" w:pos="9026" w:leader="dot"/>
            </w:tabs>
            <w:rPr/>
          </w:pPr>
          <w:hyperlink w:anchor="__RefHeading___Toc7826247_2870459653">
            <w:r>
              <w:rPr>
                <w:webHidden/>
                <w:rStyle w:val="IndexLink"/>
                <w:rtl w:val="true"/>
              </w:rPr>
              <w:t>بررسی حاضر</w:t>
            </w:r>
            <w:r>
              <w:rPr>
                <w:rStyle w:val="IndexLink"/>
                <w:rtl w:val="true"/>
              </w:rPr>
              <w:tab/>
            </w:r>
            <w:r>
              <w:rPr>
                <w:rStyle w:val="IndexLink"/>
              </w:rPr>
              <w:t>534</w:t>
            </w:r>
          </w:hyperlink>
        </w:p>
        <w:p>
          <w:pPr>
            <w:pStyle w:val="Contents3"/>
            <w:tabs>
              <w:tab w:val="clear" w:pos="8459"/>
              <w:tab w:val="right" w:pos="9026" w:leader="dot"/>
            </w:tabs>
            <w:rPr/>
          </w:pPr>
          <w:hyperlink w:anchor="__RefHeading___Toc7826249_2870459653">
            <w:r>
              <w:rPr>
                <w:webHidden/>
                <w:rStyle w:val="IndexLink"/>
                <w:rtl w:val="true"/>
              </w:rPr>
              <w:t>روش</w:t>
            </w:r>
            <w:r>
              <w:rPr>
                <w:rStyle w:val="IndexLink"/>
                <w:rtl w:val="true"/>
              </w:rPr>
              <w:tab/>
            </w:r>
            <w:r>
              <w:rPr>
                <w:rStyle w:val="IndexLink"/>
              </w:rPr>
              <w:t>535</w:t>
            </w:r>
          </w:hyperlink>
        </w:p>
        <w:p>
          <w:pPr>
            <w:pStyle w:val="Contents3"/>
            <w:tabs>
              <w:tab w:val="clear" w:pos="8459"/>
              <w:tab w:val="right" w:pos="9026" w:leader="dot"/>
            </w:tabs>
            <w:rPr/>
          </w:pPr>
          <w:hyperlink w:anchor="__RefHeading___Toc7826251_2870459653">
            <w:r>
              <w:rPr>
                <w:webHidden/>
                <w:rStyle w:val="IndexLink"/>
                <w:rtl w:val="true"/>
              </w:rPr>
              <w:t>نتایج</w:t>
            </w:r>
            <w:r>
              <w:rPr>
                <w:rStyle w:val="IndexLink"/>
                <w:rtl w:val="true"/>
              </w:rPr>
              <w:tab/>
            </w:r>
            <w:r>
              <w:rPr>
                <w:rStyle w:val="IndexLink"/>
              </w:rPr>
              <w:t>536</w:t>
            </w:r>
          </w:hyperlink>
        </w:p>
        <w:p>
          <w:pPr>
            <w:pStyle w:val="Contents3"/>
            <w:tabs>
              <w:tab w:val="clear" w:pos="8459"/>
              <w:tab w:val="right" w:pos="9026" w:leader="dot"/>
            </w:tabs>
            <w:rPr/>
          </w:pPr>
          <w:hyperlink w:anchor="__RefHeading___Toc7826253_2870459653">
            <w:r>
              <w:rPr>
                <w:webHidden/>
                <w:rStyle w:val="IndexLink"/>
                <w:rtl w:val="true"/>
              </w:rPr>
              <w:t>تکمیل مشخصات در سطح کنسرسیوم</w:t>
            </w:r>
            <w:r>
              <w:rPr>
                <w:rStyle w:val="IndexLink"/>
                <w:rtl w:val="true"/>
              </w:rPr>
              <w:tab/>
            </w:r>
            <w:r>
              <w:rPr>
                <w:rStyle w:val="IndexLink"/>
              </w:rPr>
              <w:t>536</w:t>
            </w:r>
          </w:hyperlink>
        </w:p>
        <w:p>
          <w:pPr>
            <w:pStyle w:val="Contents3"/>
            <w:tabs>
              <w:tab w:val="clear" w:pos="8459"/>
              <w:tab w:val="right" w:pos="9026" w:leader="dot"/>
            </w:tabs>
            <w:rPr/>
          </w:pPr>
          <w:hyperlink w:anchor="__RefHeading___Toc7826255_2870459653">
            <w:r>
              <w:rPr>
                <w:webHidden/>
                <w:rStyle w:val="IndexLink"/>
                <w:rtl w:val="true"/>
              </w:rPr>
              <w:t>تکمیل مشخصات در سطح پیشینه</w:t>
            </w:r>
            <w:r>
              <w:rPr>
                <w:rStyle w:val="IndexLink"/>
                <w:rtl w:val="true"/>
              </w:rPr>
              <w:tab/>
            </w:r>
            <w:r>
              <w:rPr>
                <w:rStyle w:val="IndexLink"/>
              </w:rPr>
              <w:t>537</w:t>
            </w:r>
          </w:hyperlink>
        </w:p>
        <w:p>
          <w:pPr>
            <w:pStyle w:val="Contents3"/>
            <w:tabs>
              <w:tab w:val="clear" w:pos="8459"/>
              <w:tab w:val="right" w:pos="9026" w:leader="dot"/>
            </w:tabs>
            <w:rPr/>
          </w:pPr>
          <w:hyperlink w:anchor="__RefHeading___Toc7826257_2870459653">
            <w:r>
              <w:rPr>
                <w:webHidden/>
                <w:rStyle w:val="IndexLink"/>
                <w:rtl w:val="true"/>
              </w:rPr>
              <w:t>مشخصات جمعیت شناختی شخص</w:t>
            </w:r>
            <w:r>
              <w:rPr>
                <w:rStyle w:val="IndexLink"/>
                <w:rtl w:val="true"/>
              </w:rPr>
              <w:tab/>
            </w:r>
            <w:r>
              <w:rPr>
                <w:rStyle w:val="IndexLink"/>
              </w:rPr>
              <w:t>538</w:t>
            </w:r>
          </w:hyperlink>
        </w:p>
        <w:p>
          <w:pPr>
            <w:pStyle w:val="Contents3"/>
            <w:tabs>
              <w:tab w:val="clear" w:pos="8459"/>
              <w:tab w:val="right" w:pos="9026" w:leader="dot"/>
            </w:tabs>
            <w:rPr/>
          </w:pPr>
          <w:hyperlink w:anchor="__RefHeading___Toc7826259_2870459653">
            <w:r>
              <w:rPr>
                <w:webHidden/>
                <w:rStyle w:val="IndexLink"/>
                <w:rtl w:val="true"/>
              </w:rPr>
              <w:t>تحقیقات آینده</w:t>
            </w:r>
            <w:r>
              <w:rPr>
                <w:rStyle w:val="IndexLink"/>
                <w:rtl w:val="true"/>
              </w:rPr>
              <w:tab/>
            </w:r>
            <w:r>
              <w:rPr>
                <w:rStyle w:val="IndexLink"/>
              </w:rPr>
              <w:t>543</w:t>
            </w:r>
          </w:hyperlink>
        </w:p>
        <w:p>
          <w:pPr>
            <w:pStyle w:val="Contents3"/>
            <w:tabs>
              <w:tab w:val="clear" w:pos="8459"/>
              <w:tab w:val="right" w:pos="9026" w:leader="dot"/>
            </w:tabs>
            <w:rPr/>
          </w:pPr>
          <w:hyperlink w:anchor="__RefHeading___Toc7826261_2870459653">
            <w:r>
              <w:rPr>
                <w:webHidden/>
                <w:rStyle w:val="IndexLink"/>
                <w:rtl w:val="true"/>
              </w:rPr>
              <w:t>نتیجه گیری</w:t>
            </w:r>
            <w:r>
              <w:rPr>
                <w:rStyle w:val="IndexLink"/>
                <w:rtl w:val="true"/>
              </w:rPr>
              <w:tab/>
            </w:r>
            <w:r>
              <w:rPr>
                <w:rStyle w:val="IndexLink"/>
              </w:rPr>
              <w:t>544</w:t>
            </w:r>
          </w:hyperlink>
        </w:p>
        <w:p>
          <w:pPr>
            <w:pStyle w:val="Contents3"/>
            <w:tabs>
              <w:tab w:val="clear" w:pos="8459"/>
              <w:tab w:val="right" w:pos="9026" w:leader="dot"/>
            </w:tabs>
            <w:rPr/>
          </w:pPr>
          <w:hyperlink w:anchor="__RefHeading___Toc7826263_2870459653">
            <w:r>
              <w:rPr>
                <w:webHidden/>
                <w:rStyle w:val="IndexLink"/>
                <w:rtl w:val="true"/>
              </w:rPr>
              <w:t>منابع</w:t>
            </w:r>
            <w:r>
              <w:rPr>
                <w:rStyle w:val="IndexLink"/>
                <w:rtl w:val="true"/>
              </w:rPr>
              <w:tab/>
            </w:r>
            <w:r>
              <w:rPr>
                <w:rStyle w:val="IndexLink"/>
              </w:rPr>
              <w:t>545</w:t>
            </w:r>
          </w:hyperlink>
        </w:p>
        <w:p>
          <w:pPr>
            <w:pStyle w:val="Contents2"/>
            <w:tabs>
              <w:tab w:val="clear" w:pos="8743"/>
              <w:tab w:val="right" w:pos="9026" w:leader="dot"/>
            </w:tabs>
            <w:rPr/>
          </w:pPr>
          <w:hyperlink w:anchor="__RefHeading___Toc7826265_2870459653">
            <w:r>
              <w:rPr>
                <w:webHidden/>
                <w:rStyle w:val="IndexLink"/>
                <w:rtl w:val="true"/>
              </w:rPr>
              <w:t>نمایه</w:t>
            </w:r>
            <w:r>
              <w:rPr>
                <w:rStyle w:val="IndexLink"/>
                <w:rtl w:val="true"/>
              </w:rPr>
              <w:tab/>
            </w:r>
            <w:r>
              <w:rPr>
                <w:rStyle w:val="IndexLink"/>
              </w:rPr>
              <w:t>549</w:t>
            </w:r>
          </w:hyperlink>
        </w:p>
        <w:p>
          <w:pPr>
            <w:pStyle w:val="Contents3"/>
            <w:tabs>
              <w:tab w:val="clear" w:pos="8459"/>
              <w:tab w:val="right" w:pos="9026" w:leader="dot"/>
            </w:tabs>
            <w:rPr/>
          </w:pPr>
          <w:hyperlink w:anchor="__RefHeading___Toc7826267_2870459653">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7826269_2870459653">
            <w:r>
              <w:rPr>
                <w:webHidden/>
                <w:rStyle w:val="IndexLink"/>
                <w:rtl w:val="true"/>
              </w:rPr>
              <w:t>حمید سلیم گندمی</w:t>
            </w:r>
            <w:r>
              <w:rPr>
                <w:rStyle w:val="IndexLink"/>
                <w:rtl w:val="true"/>
              </w:rPr>
              <w:tab/>
            </w:r>
            <w:r>
              <w:rPr>
                <w:rStyle w:val="IndexLink"/>
              </w:rPr>
              <w:t>551</w:t>
            </w:r>
          </w:hyperlink>
        </w:p>
        <w:p>
          <w:pPr>
            <w:pStyle w:val="Contents3"/>
            <w:tabs>
              <w:tab w:val="clear" w:pos="8459"/>
              <w:tab w:val="right" w:pos="9026" w:leader="dot"/>
            </w:tabs>
            <w:rPr/>
          </w:pPr>
          <w:hyperlink w:anchor="__RefHeading___Toc7826271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551</w:t>
            </w:r>
          </w:hyperlink>
        </w:p>
        <w:p>
          <w:pPr>
            <w:pStyle w:val="Contents3"/>
            <w:tabs>
              <w:tab w:val="clear" w:pos="8459"/>
              <w:tab w:val="right" w:pos="9026" w:leader="dot"/>
            </w:tabs>
            <w:rPr/>
          </w:pPr>
          <w:hyperlink w:anchor="__RefHeading___Toc7826273_2870459653">
            <w:r>
              <w:rPr>
                <w:webHidden/>
                <w:rStyle w:val="IndexLink"/>
              </w:rPr>
              <w:t>2</w:t>
            </w:r>
            <w:r>
              <w:rPr>
                <w:rStyle w:val="IndexLink"/>
                <w:rtl w:val="true"/>
              </w:rPr>
              <w:t xml:space="preserve">. </w:t>
            </w:r>
            <w:r>
              <w:rPr>
                <w:rStyle w:val="IndexLink"/>
                <w:rtl w:val="true"/>
              </w:rPr>
              <w:t>فهرست عناوین</w:t>
            </w:r>
            <w:r>
              <w:rPr>
                <w:rStyle w:val="IndexLink"/>
                <w:rtl w:val="true"/>
              </w:rPr>
              <w:tab/>
            </w:r>
            <w:r>
              <w:rPr>
                <w:rStyle w:val="IndexLink"/>
              </w:rPr>
              <w:t>555</w:t>
            </w:r>
          </w:hyperlink>
        </w:p>
        <w:p>
          <w:pPr>
            <w:pStyle w:val="Contents3"/>
            <w:tabs>
              <w:tab w:val="clear" w:pos="8459"/>
              <w:tab w:val="right" w:pos="9026" w:leader="dot"/>
            </w:tabs>
            <w:rPr/>
          </w:pPr>
          <w:hyperlink w:anchor="__RefHeading___Toc7826275_2870459653">
            <w:r>
              <w:rPr>
                <w:webHidden/>
                <w:rStyle w:val="IndexLink"/>
              </w:rPr>
              <w:t>3</w:t>
            </w:r>
            <w:r>
              <w:rPr>
                <w:rStyle w:val="IndexLink"/>
                <w:rtl w:val="true"/>
              </w:rPr>
              <w:t xml:space="preserve">. </w:t>
            </w:r>
            <w:r>
              <w:rPr>
                <w:rStyle w:val="IndexLink"/>
                <w:rtl w:val="true"/>
              </w:rPr>
              <w:t>فهرست مؤلفین</w:t>
            </w:r>
            <w:r>
              <w:rPr>
                <w:rStyle w:val="IndexLink"/>
                <w:rtl w:val="true"/>
              </w:rPr>
              <w:tab/>
            </w:r>
            <w:r>
              <w:rPr>
                <w:rStyle w:val="IndexLink"/>
              </w:rPr>
              <w:t>559</w:t>
            </w:r>
          </w:hyperlink>
        </w:p>
        <w:p>
          <w:pPr>
            <w:pStyle w:val="Contents3"/>
            <w:tabs>
              <w:tab w:val="clear" w:pos="8459"/>
              <w:tab w:val="right" w:pos="9026" w:leader="dot"/>
            </w:tabs>
            <w:rPr/>
          </w:pPr>
          <w:hyperlink w:anchor="__RefHeading___Toc7826277_2870459653">
            <w:r>
              <w:rPr>
                <w:webHidden/>
                <w:rStyle w:val="IndexLink"/>
              </w:rPr>
              <w:t>4</w:t>
            </w:r>
            <w:r>
              <w:rPr>
                <w:rStyle w:val="IndexLink"/>
                <w:rtl w:val="true"/>
              </w:rPr>
              <w:t xml:space="preserve">. </w:t>
            </w:r>
            <w:r>
              <w:rPr>
                <w:rStyle w:val="IndexLink"/>
                <w:rtl w:val="true"/>
              </w:rPr>
              <w:t>فهرست مترجمین</w:t>
            </w:r>
            <w:r>
              <w:rPr>
                <w:rStyle w:val="IndexLink"/>
                <w:rtl w:val="true"/>
              </w:rPr>
              <w:tab/>
            </w:r>
            <w:r>
              <w:rPr>
                <w:rStyle w:val="IndexLink"/>
              </w:rPr>
              <w:t>562</w:t>
            </w:r>
          </w:hyperlink>
        </w:p>
        <w:p>
          <w:pPr>
            <w:pStyle w:val="Contents3"/>
            <w:tabs>
              <w:tab w:val="clear" w:pos="8459"/>
              <w:tab w:val="right" w:pos="9026" w:leader="dot"/>
            </w:tabs>
            <w:rPr/>
          </w:pPr>
          <w:hyperlink w:anchor="__RefHeading___Toc7826279_2870459653">
            <w:r>
              <w:rPr>
                <w:webHidden/>
                <w:rStyle w:val="IndexLink"/>
              </w:rPr>
              <w:t>5</w:t>
            </w:r>
            <w:r>
              <w:rPr>
                <w:rStyle w:val="IndexLink"/>
                <w:rtl w:val="true"/>
              </w:rPr>
              <w:t xml:space="preserve">. </w:t>
            </w:r>
            <w:r>
              <w:rPr>
                <w:rStyle w:val="IndexLink"/>
                <w:rtl w:val="true"/>
              </w:rPr>
              <w:t>نمایه موضوع</w:t>
            </w:r>
            <w:r>
              <w:rPr>
                <w:rStyle w:val="IndexLink"/>
                <w:rtl w:val="true"/>
              </w:rPr>
              <w:tab/>
            </w:r>
            <w:r>
              <w:rPr>
                <w:rStyle w:val="IndexLink"/>
              </w:rPr>
              <w:t>564</w:t>
            </w:r>
          </w:hyperlink>
        </w:p>
        <w:p>
          <w:pPr>
            <w:pStyle w:val="Contents2"/>
            <w:tabs>
              <w:tab w:val="clear" w:pos="8743"/>
              <w:tab w:val="right" w:pos="9026" w:leader="dot"/>
            </w:tabs>
            <w:rPr/>
          </w:pPr>
          <w:hyperlink w:anchor="__RefHeading___Toc7826281_2870459653">
            <w:r>
              <w:rPr>
                <w:webHidden/>
                <w:rStyle w:val="IndexLink"/>
                <w:rtl w:val="true"/>
              </w:rPr>
              <w:t xml:space="preserve">فهرست موضوعی گزیده مقالات ایفلا </w:t>
            </w:r>
            <w:r>
              <w:rPr>
                <w:rStyle w:val="IndexLink"/>
              </w:rPr>
              <w:t>2014</w:t>
            </w:r>
            <w:r>
              <w:rPr>
                <w:rStyle w:val="IndexLink"/>
                <w:rtl w:val="true"/>
              </w:rPr>
              <w:tab/>
            </w:r>
            <w:r>
              <w:rPr>
                <w:rStyle w:val="IndexLink"/>
              </w:rPr>
              <w:t>606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9_93811"/>
      <w:bookmarkStart w:id="1" w:name="pg9659_93811"/>
      <w:bookmarkEnd w:id="1"/>
    </w:p>
    <w:p>
      <w:pPr>
        <w:pStyle w:val="Heading2"/>
        <w:numPr>
          <w:ilvl w:val="1"/>
          <w:numId w:val="1"/>
        </w:numPr>
        <w:rPr/>
      </w:pPr>
      <w:bookmarkStart w:id="2" w:name="pg9659_93811"/>
      <w:bookmarkStart w:id="3" w:name="__RefHeading___Toc782521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سالانه 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هشتادمین</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IFLA General Conference ( 80th : 2014 : France)</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لیون، فرانسه،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ویراستار علمی رضا خانی پور</w:t>
      </w:r>
    </w:p>
    <w:p>
      <w:pPr>
        <w:pStyle w:val="BookText"/>
        <w:rPr/>
      </w:pPr>
      <w:r>
        <w:rPr>
          <w:rFonts w:ascii="IRNazanin" w:hAnsi="IRNazanin" w:eastAsia="IRNazanin"/>
          <w:color w:val="111111"/>
          <w:sz w:val="28"/>
          <w:sz w:val="28"/>
          <w:szCs w:val="28"/>
          <w:rtl w:val="true"/>
          <w:lang w:bidi="fa-IR"/>
        </w:rPr>
        <w:t>با همکاری محبوبه قربانی، نمایه ساز حمید سلیم گندمی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 خانه ملی جمهوری اسلامی ایران،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Library science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congresses -- Information science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 پور، 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محبوبه،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گندمی، حمید،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672/5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020/621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5180444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2521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لیون، فرانسه،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علمی رضا خانی پور</w:t>
      </w:r>
    </w:p>
    <w:p>
      <w:pPr>
        <w:pStyle w:val="BookText"/>
        <w:rPr/>
      </w:pPr>
      <w:r>
        <w:rPr>
          <w:rFonts w:ascii="IRNazanin" w:hAnsi="IRNazanin" w:eastAsia="IRNazanin"/>
          <w:color w:val="111111"/>
          <w:sz w:val="28"/>
          <w:sz w:val="28"/>
          <w:szCs w:val="28"/>
          <w:rtl w:val="true"/>
          <w:lang w:bidi="fa-IR"/>
        </w:rPr>
        <w:t>با همکاری محبوبه قربانی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 خانه ملی جمهوری اسلامی ایران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 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سالانه 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هشتادمین</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IFLA General Conference ( 80th : 2014 : France)</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لیون، فرانسه،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ویراستار علمی رضا خانی پور</w:t>
      </w:r>
    </w:p>
    <w:p>
      <w:pPr>
        <w:pStyle w:val="BookText"/>
        <w:rPr/>
      </w:pPr>
      <w:r>
        <w:rPr>
          <w:rFonts w:ascii="IRNazanin" w:hAnsi="IRNazanin" w:eastAsia="IRNazanin"/>
          <w:color w:val="111111"/>
          <w:sz w:val="28"/>
          <w:sz w:val="28"/>
          <w:szCs w:val="28"/>
          <w:rtl w:val="true"/>
          <w:lang w:bidi="fa-IR"/>
        </w:rPr>
        <w:t>با همکاری محبوبه قربانی، نمایه ساز حمید سلیم گندمی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 خانه ملی جمهوری اسلامی ایران،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Library science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congresses -- Information science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 پور، رضا،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محبوبه،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گندمی، حمید،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672/5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020/621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5180444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 xml:space="preserve">گزیده مقالات ایفلا </w:t>
      </w:r>
      <w:r>
        <w:rPr>
          <w:rFonts w:eastAsia="IRNazanin" w:cs="IRNazanin"/>
          <w:color w:val="111111"/>
          <w:sz w:val="28"/>
          <w:szCs w:val="28"/>
          <w:lang w:bidi="fa-IR"/>
        </w:rPr>
        <w:t>2014</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قربانی</w:t>
      </w:r>
    </w:p>
    <w:p>
      <w:pPr>
        <w:pStyle w:val="BookText"/>
        <w:rPr/>
      </w:pPr>
      <w:r>
        <w:rPr>
          <w:rFonts w:ascii="IRNazanin" w:hAnsi="IRNazanin" w:eastAsia="IRNazanin"/>
          <w:color w:val="111111"/>
          <w:sz w:val="28"/>
          <w:sz w:val="28"/>
          <w:szCs w:val="28"/>
          <w:rtl w:val="true"/>
          <w:lang w:bidi="fa-IR"/>
        </w:rPr>
        <w:t>نمایه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سلیم گندمی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ایران سید آصف آصفی</w:t>
      </w:r>
    </w:p>
    <w:p>
      <w:pPr>
        <w:pStyle w:val="BookText"/>
        <w:rPr/>
      </w:pPr>
      <w:r>
        <w:rPr>
          <w:rFonts w:ascii="IRNazanin" w:hAnsi="IRNazanin" w:eastAsia="IRNazanin"/>
          <w:color w:val="111111"/>
          <w:sz w:val="28"/>
          <w:sz w:val="28"/>
          <w:szCs w:val="28"/>
          <w:rtl w:val="true"/>
          <w:lang w:bidi="fa-IR"/>
        </w:rPr>
        <w:t>طرح جلد،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خوری، علیرضا خورسندی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 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Publication@nai.ir</w:t>
      </w:r>
      <w:r>
        <w:rPr>
          <w:rFonts w:eastAsia="Times New Roman" w:cs="Times New Roman" w:ascii="Times New Roman" w:hAnsi="Times New Roman"/>
          <w:color w:val="111111"/>
          <w:sz w:val="28"/>
          <w:szCs w:val="28"/>
          <w:rtl w:val="true"/>
          <w:lang w:val="en-US" w:bidi="en-US"/>
        </w:rPr>
        <w:t xml:space="preserve"> </w:t>
      </w:r>
      <w:bookmarkStart w:id="7" w:name="pg9659_93815"/>
    </w:p>
    <w:p>
      <w:pPr>
        <w:pStyle w:val="Heading2"/>
        <w:numPr>
          <w:ilvl w:val="1"/>
          <w:numId w:val="1"/>
        </w:numPr>
        <w:rPr/>
      </w:pPr>
      <w:bookmarkStart w:id="8" w:name="__RefHeading___Toc7825217_2870459653"/>
      <w:bookmarkStart w:id="9" w:name="_Toc3"/>
      <w:bookmarkEnd w:id="7"/>
      <w:bookmarkEnd w:id="8"/>
      <w:r>
        <w:rPr>
          <w:rtl w:val="true"/>
        </w:rPr>
        <w:t xml:space="preserve">فهرست مندرجات گزیده مقالات ایفلا </w:t>
      </w:r>
      <w:r>
        <w:rPr/>
        <w:t>2014</w:t>
      </w:r>
      <w:bookmarkEnd w:id="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نخست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داری بین المللی در اروپا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جوزپه ویتییلو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اباذری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سواد آموزی و مهارت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شارون هکِت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اسدی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زیست بوم دانش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آینده کتاب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کلاس کی نوآ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فاطمه اسفندیاری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مخرج مشترک، نیازهای کاربران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فراداده برای آرشیوهای صوتی رقومی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اِلکه جایفینیدار، بنت لارسن، بیرگر لارسن، آکن، لوند و مته 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امیررضا اصنافی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بطن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کتاب شناختی جهانی با رویکرد روش شناختی پایین به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گوردون دانسایر، میرنا ویلر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سعیده اکبری داریان</w:t>
      </w:r>
    </w:p>
    <w:p>
      <w:pPr>
        <w:pStyle w:val="BookText"/>
        <w:rPr/>
      </w:pPr>
      <w:r>
        <w:rPr>
          <w:rFonts w:ascii="IRNazanin" w:hAnsi="IRNazanin" w:eastAsia="IRNazanin"/>
          <w:color w:val="111111"/>
          <w:sz w:val="28"/>
          <w:sz w:val="28"/>
          <w:szCs w:val="28"/>
          <w:rtl w:val="true"/>
          <w:lang w:bidi="fa-IR"/>
        </w:rPr>
        <w:t>پشت میز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مرجع چشم انداز تغییر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ایمی پترسون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مهشید برجیان بروجنی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اتحادیه ها باید از کتاب خانه های مدارس حمایت کنند؟ نمونه نروژی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مَت هنریکسِن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زینب پاپی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 از قرارداد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 چالش ها، فرصت ها و خطرات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فاطمه پازوکی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موجودیت ها و انجمن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تئودور فونس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صدیقه پیرهادی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کل سازمان 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اطلاعاتی در کتاب خانه ها و آرشیوها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باب رینالدا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آرزو تجلی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سپاری در کتاب خانه های تخصصی شرکت های حقوقی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یا تهدید؟ نمونه های جدید مدیریتی و چالش های آینده خدمات اطلاع رسانی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دونالد لیکلی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تهوری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دریایی برای 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و فعالیت های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چشم انداز جهانی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 میشل آنتوانت تیسدِل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افسانه تیموری خانی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برای دسترسی به اطلاعات در کشورهای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جدید برای کمک به رفع چالش های آموزش و پرورش با استفاده از فناوری های اطلاعات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لویدا گارسیا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مهدی خادمیان</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و سازماندهی مجدد مجموعه ها از نظام ذخیره سازی منفعل قدیمی به نظام پویای نوین در کتاب خانه دانشگاه سوربن فرانسه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فیلیپ مارسرو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مرضیه خان سفید</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گرو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سبز از لحاظ تعامل مداوم جامعه، انتظارات جامعه، فراهم آوری و اشتراک اطلاعات و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دِبرا بورن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 خانی پور</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دنیای هنر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تریش رز ساندلر، نانسی 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 و کنستانس رینالدو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فریبرز درودی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همه فهرستنویس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قادر خواهید بود فراداده ها را برای مجموعه های تحقیقاتی خودتان سازمان دهی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ربکا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محبوبه ربیعی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باهدف قانون گذاری در کتاب خانه مدارس و توسعه کتاب خانه مدارس در کشور 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مود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عارف ریاحی</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داده های موجود برای ایجاد داده های جدید به منظور تصمیمات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 کونتس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فاطمه زارع زاده</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ماژول دریافت کتاب الکترونیکی در کتاب خانه ملی و دانشگاهی زاگرب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سوفیا کلارین زادرویچ، تانیا بوزینا و دونیا سریتر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میترا صمیعی</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کتاب خانه شورای ملی بر سر گردآوری انتشارات برخط در 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تاتسومو آکی 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سادات عالمی</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 توانمندسازی جوامع در منطقه آسیا و اقیانوسیه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ژرمی لاشال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عزیزیان</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فرهنگ، عادات خواندن در میان بیماران بخش کودکان و اولیاء در بیمارستان دانشگاه سِینز مالزی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اِنگکو را زیفا اِنگکو چیک، نورایدا حسن، نورال آزورا موهدرونی، رابیاتول آداویا اِی بی مانان، هرمان هاریانتو ،چِهارون، امین هانس وان روزنبرگ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عزیزه عثمان و سورینی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 غفاری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رسانه های دیداری شنیداری با رویکرد کاربر محور در حال توسعه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مارگرت پلانک و استفن ویچرت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سهیلا فعال</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کتاب خانه ای سبز بشویم یا آن را شناسایی کنیم؟ استانداردهایی برای صدور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پترا هاوک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محبوبه قربانی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استفاده اشتراکی از کتاب های الکترونیکی مشترک در شبکه امانت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آدریانا پوپسکو و داگلاس مکگی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گیلوری</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پایداری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توانمندی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شرکای آن در دستیابی به پژوهش ها در 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آن پاوِل، اِما فارو و پیتر برنت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صديقه محمد اسماعیل کتاب خانه دفتر سازمان ملل در 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میراث جامعه ملل و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بلاندین بلاکِچ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لوییزفِرت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محمد علی پور</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ناشی از انتقال به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پِترا دورِن و راب 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 مقدمی</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 مطالعات و امکانات یک کتاب خانه شهری در محیط چند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اینگرید اَتِلستام و رَندی مایر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عصمت مؤمنی</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ارتباط با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برای خدمات اطلاع رسانی پارلمانی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کریستین کوئیلو پایوا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اعظم نجفقلی نژاد</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 حیاتی نگاهی منتقدانه به سواد بهداشتی در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اینجی اُنال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لیلا نعمتی انارکی</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واسپاری رقومی در کتاب خانه ملی 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اِسوین آرنه سولباک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سودابه نوذری</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ابعاد رسانه های نوشتاری و رقومی در یک بازی ماجراجویی غیر خطی مبتنی بر اِن اِف سی برای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آنتی کوویستو، هاری کِتامو و اِرو هامیس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فریبا هاشمی</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پاسخ گوی اجتماعی فهرست ها و اصطلاح نامه های کتاب خانه ای در یک سازمان غیر انتفاعی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تورنتو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لانا سوگلاسنووا و مری هنسن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مرضیه هدایت</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مستندات در نظام های کتاب خانه ای فرا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پژوهی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ھیٹر لی مولیسون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یعقوب پور نرگسی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ها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59_93819"/>
      <w:bookmarkStart w:id="11" w:name="pg9659_93819"/>
      <w:bookmarkEnd w:id="11"/>
    </w:p>
    <w:p>
      <w:pPr>
        <w:pStyle w:val="Heading2"/>
        <w:numPr>
          <w:ilvl w:val="1"/>
          <w:numId w:val="1"/>
        </w:numPr>
        <w:rPr/>
      </w:pPr>
      <w:bookmarkStart w:id="12" w:name="pg9659_93819"/>
      <w:bookmarkStart w:id="13" w:name="__RefHeading___Toc7825219_2870459653"/>
      <w:bookmarkStart w:id="14" w:name="_Toc4"/>
      <w:bookmarkEnd w:id="12"/>
      <w:bookmarkEnd w:id="13"/>
      <w:r>
        <w:rPr>
          <w:rtl w:val="true"/>
        </w:rPr>
        <w:t>سخن نخست</w:t>
      </w:r>
      <w:r>
        <w:rPr>
          <w:rtl w:val="true"/>
        </w:rPr>
        <w:t>:</w:t>
      </w:r>
      <w:bookmarkEnd w:id="14"/>
    </w:p>
    <w:p>
      <w:pPr>
        <w:pStyle w:val="BookText"/>
        <w:rPr/>
      </w:pP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 المللی انجمن ها و مؤسسات کتاب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سازمان های مستقل، غیر دولتی و غیر انتفاعی در حوزه کتاب داری و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فدراسیون برقراری ارتباط، همکاری و ارتقای تفاهم بین المللی، پژوهش، توسعه و پیشرفت در موضوعات گوناگون این حوزه هم چون سازماندهی اطلاعات، کتاب شناسی، خدمات اطلاع رسانی، آموزش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اسناد و کتاب خانه ملی جمهوری اسلامی ایران در راستای وظایف ذاتی خود و به منظور اشاعه اطلاعات جدید و دانش افزایی در این عرصه،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ترجمه و انتشار گزیده مقالات مهم ارائه شده در گردهمایی سالانه ایفلا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این ارتباط، ضروری به نظر می رسد، این است که اعضای هیأت علمی، استادان و کارشناسان خبره و اصولاً جامعه کتاب داری ما، می بایست علاوه بر بومی سازی تجارب مفید سایر کشورها، به مباحث بنیادی نظریه پردازی نیز در این حوزه توجه ویژه ای مبذول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فناوری های جدید در عرصه ارتباطات و اطلاعات، ابزاری برای تعمیق، تحلیل و غنی سازی تمدن، فرهنگ و تاریخ و پیشینه گرانسنگ علمی ما باشد، جایگاه و منزلت علم اطلاعات و دانش شناسی در کشور متحول خواهد شد و از این رهگذر در عرصه های جهانی حرف های زیادی برای گفتن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به مدد توفیقات الهی، همکاری های همه جانبه و سازنده و هم افزایی دانش و تجربه، متخصصان حوزه علم اطلاعات و دانش شناسی در این مسیر گام هایی ماندگار و ارزشمند بردارند و نقش حساس و تحول آفرین خود را به نحوی شایسته و در خور تحسین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دکتر رضا خانی پور که این کتاب به کوشش ایشان تدوین یافته است و نیز همکاران انتشارات که در آماده سازی آن تلاش داشته اند سپاسگزاری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اشرف بروجردی رئیس سازمان اسناد و کتاب خانه ملی جمهوری اسلامی ایران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59_93821"/>
      <w:bookmarkStart w:id="16" w:name="pg9659_93821"/>
      <w:bookmarkEnd w:id="16"/>
    </w:p>
    <w:p>
      <w:pPr>
        <w:pStyle w:val="Heading2"/>
        <w:numPr>
          <w:ilvl w:val="1"/>
          <w:numId w:val="1"/>
        </w:numPr>
        <w:rPr/>
      </w:pPr>
      <w:bookmarkStart w:id="17" w:name="pg9659_93821"/>
      <w:bookmarkStart w:id="18" w:name="__RefHeading___Toc7825221_2870459653"/>
      <w:bookmarkStart w:id="19" w:name="_Toc5"/>
      <w:bookmarkEnd w:id="17"/>
      <w:bookmarkEnd w:id="18"/>
      <w:r>
        <w:rPr>
          <w:rtl w:val="true"/>
        </w:rPr>
        <w:t>مقدمه</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 المللی انجمن ها و مؤسسات کتاب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نهادی مستقل، غیر حکومتی و غیر انتفاعی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اهداف آن می توان به ارتقای تفاهم بین المللی، همکاری، گفت و شنود و پژوهش و توسعه در همه حوزه های کتابداری؛ شامل کتاب شناسی، خدمات اطلاع رسانی، آموزش، ایجاد تشکیلاتی که جنبه های بین المللی کتاب داری را تقویت و ارائه نماید،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دستیابی به اهداف پیشگفته، ایفلا در زمینه انواع فعالیت هایی که مناسب و مفید تشخیص داده می شود، تصمیم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هماهنگی مطالعات و پژوهش ها، گردآوری، بررسی، انتشار و اشاعه اطلاعات مرتبط با فعالیت های کتاب داری، تهیه کتاب شناسی اطلاعات و آموزش، سازماندهی و برگزاری همایش های تخصصی، همکاری با مؤسسات بین المللی در حوزه کتاب داری و اطلاع رسانی، سندپردازش، آرشیو داری و ایجاد دفاتر برای انجام وظایف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ایفلا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گردهمایی بین المللی در شهر ادینبورو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ادینبورگ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اسکاتلند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اجلاس ایفلا پس از جنگ جهانی دوم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اسلو با حضور پنجاه و دو نماینده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دستاورد این اجلاس، توافقنامه همکاری میان ایفلا و یونسکو و هم چنین پذیرفته شدن ساختار بین المللی فهرست برگه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اصلی ایفلا، کتاب خانه سلطنتی در شهر لاهه هلند است</w:t>
      </w:r>
      <w:r>
        <w:rPr>
          <w:rFonts w:eastAsia="IRNazanin" w:cs="IRNazanin"/>
          <w:color w:val="111111"/>
          <w:sz w:val="28"/>
          <w:szCs w:val="28"/>
          <w:rtl w:val="true"/>
          <w:lang w:bidi="fa-IR"/>
        </w:rPr>
        <w:t>.</w:t>
      </w:r>
    </w:p>
    <w:p>
      <w:pPr>
        <w:pStyle w:val="Heading2"/>
        <w:numPr>
          <w:ilvl w:val="1"/>
          <w:numId w:val="1"/>
        </w:numPr>
        <w:rPr/>
      </w:pPr>
      <w:bookmarkStart w:id="20" w:name="__RefHeading___Toc7825223_2870459653"/>
      <w:bookmarkStart w:id="21" w:name="_Toc6"/>
      <w:bookmarkEnd w:id="20"/>
      <w:r>
        <w:rPr>
          <w:rtl w:val="true"/>
        </w:rPr>
        <w:t>عضویت</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ایفلا دو نوع عضویت با حق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 و مؤسسات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ایفلا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از یک صد و پنجاه و پنج کشور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به هفت گروه اصلی، از جمله انجمن ها، مؤسسات، افراد، شرکت ها و کتاب خانه های آموزشگاهی تقسیم می شوند</w:t>
      </w:r>
      <w:r>
        <w:rPr>
          <w:rFonts w:eastAsia="IRNazanin" w:cs="IRNazanin"/>
          <w:color w:val="111111"/>
          <w:sz w:val="28"/>
          <w:szCs w:val="28"/>
          <w:rtl w:val="true"/>
          <w:lang w:bidi="fa-IR"/>
        </w:rPr>
        <w:t xml:space="preserve">. </w:t>
      </w:r>
      <w:bookmarkStart w:id="22" w:name="pg9659_93822"/>
    </w:p>
    <w:p>
      <w:pPr>
        <w:pStyle w:val="Heading2"/>
        <w:numPr>
          <w:ilvl w:val="1"/>
          <w:numId w:val="1"/>
        </w:numPr>
        <w:rPr/>
      </w:pPr>
      <w:bookmarkStart w:id="23" w:name="__RefHeading___Toc7825225_2870459653"/>
      <w:bookmarkStart w:id="24" w:name="_Toc7"/>
      <w:bookmarkEnd w:id="22"/>
      <w:bookmarkEnd w:id="23"/>
      <w:r>
        <w:rPr>
          <w:rtl w:val="true"/>
        </w:rPr>
        <w:t>شاخه ها و بخش ها</w:t>
      </w:r>
      <w:bookmarkEnd w:id="24"/>
    </w:p>
    <w:p>
      <w:pPr>
        <w:pStyle w:val="BookText"/>
        <w:rPr/>
      </w:pPr>
      <w:r>
        <w:rPr>
          <w:rFonts w:ascii="IRNazanin" w:hAnsi="IRNazanin" w:eastAsia="IRNazanin"/>
          <w:color w:val="111111"/>
          <w:sz w:val="28"/>
          <w:sz w:val="28"/>
          <w:szCs w:val="28"/>
          <w:rtl w:val="true"/>
          <w:lang w:bidi="fa-IR"/>
        </w:rPr>
        <w:t>هشت شاخه اصلی ایفلا که هر کدام بخش های گوناگونی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های پژوهشی عمومی، اعم از ملی، دانشگاهی و پارلمانی؛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های تخصصی؛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های عمومی که بخش های کتاب خانه های نابینایان، کودکان، آموزشگاهی و سیّار در آن قرار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کتاب شناختی اعم از کتاب شناسی، فهرست نویسی، رده بندی و نمایه سازی؛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سازی و خدمات عمومی؛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فن آوری اطلاعات؛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منطقه ای</w:t>
      </w:r>
      <w:r>
        <w:rPr>
          <w:rFonts w:eastAsia="IRNazanin" w:cs="IRNazanin"/>
          <w:color w:val="111111"/>
          <w:sz w:val="28"/>
          <w:szCs w:val="28"/>
          <w:rtl w:val="true"/>
          <w:lang w:bidi="fa-IR"/>
        </w:rPr>
        <w:t>.</w:t>
      </w:r>
    </w:p>
    <w:p>
      <w:pPr>
        <w:pStyle w:val="Heading2"/>
        <w:numPr>
          <w:ilvl w:val="1"/>
          <w:numId w:val="1"/>
        </w:numPr>
        <w:rPr/>
      </w:pPr>
      <w:bookmarkStart w:id="25" w:name="__RefHeading___Toc7825227_2870459653"/>
      <w:bookmarkStart w:id="26" w:name="_Toc8"/>
      <w:bookmarkEnd w:id="25"/>
      <w:r>
        <w:rPr>
          <w:rtl w:val="true"/>
        </w:rPr>
        <w:t>برنامه های اصلی</w:t>
      </w:r>
      <w:bookmarkEnd w:id="26"/>
    </w:p>
    <w:p>
      <w:pPr>
        <w:pStyle w:val="BookText"/>
        <w:rPr/>
      </w:pPr>
      <w:r>
        <w:rPr>
          <w:rFonts w:ascii="IRNazanin" w:hAnsi="IRNazanin" w:eastAsia="IRNazanin"/>
          <w:color w:val="111111"/>
          <w:sz w:val="28"/>
          <w:sz w:val="28"/>
          <w:szCs w:val="28"/>
          <w:rtl w:val="true"/>
          <w:lang w:bidi="fa-IR"/>
        </w:rPr>
        <w:t xml:space="preserve">ایفلا دارای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چندین میزگرد و گروه های کاری است که جنبه های متنوع و گسترده حوزه های کتاب داری و اطلاع رسانی را در بر می گیرد؛ اما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ایفلا هم کاری میان بخش ها را برای به ثمر رساندن آن ها مورد تأکید و تشویق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برنامه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کتاب شناختی جهانی و مارک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دسترسی جهانی به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بین المللی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حفاظت مواد کتاب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پیشبرد کتاب داری در جهان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bookmarkStart w:id="27" w:name="pg9659_93823"/>
    </w:p>
    <w:p>
      <w:pPr>
        <w:pStyle w:val="Heading2"/>
        <w:numPr>
          <w:ilvl w:val="1"/>
          <w:numId w:val="1"/>
        </w:numPr>
        <w:rPr/>
      </w:pPr>
      <w:bookmarkStart w:id="28" w:name="__RefHeading___Toc7825229_2870459653"/>
      <w:bookmarkStart w:id="29" w:name="_Toc9"/>
      <w:bookmarkEnd w:id="27"/>
      <w:bookmarkEnd w:id="28"/>
      <w:r>
        <w:rPr>
          <w:rtl w:val="true"/>
        </w:rPr>
        <w:t>بودجه</w:t>
      </w:r>
      <w:bookmarkEnd w:id="29"/>
    </w:p>
    <w:p>
      <w:pPr>
        <w:pStyle w:val="BookText"/>
        <w:rPr/>
      </w:pPr>
      <w:r>
        <w:rPr>
          <w:rFonts w:ascii="IRNazanin" w:hAnsi="IRNazanin" w:eastAsia="IRNazanin"/>
          <w:color w:val="111111"/>
          <w:sz w:val="28"/>
          <w:sz w:val="28"/>
          <w:szCs w:val="28"/>
          <w:rtl w:val="true"/>
          <w:lang w:bidi="fa-IR"/>
        </w:rPr>
        <w:t>کمک های مالی همکاران ایفلا، برخی از کشورها، نهادها، مؤسسات، نمایندگی ها، و شرکت ها به منظور برگزاری همایش ها و کارگاه های آموزشی، طرح های مطالعاتی و پژوهشی، و هم چنین دریافت حق عضویت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واقع تأمین کننده بخش عمده بودجه ایفلا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انتشارات نیز از منابع درآمدی این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حرفه ای ایفلا با کمک های یونسکو و دیگر نهادهای ملی و بین المللی حمایت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اصلی ایفلا مورد حمایت بیست کتاب خانه ملی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کتاب خانه ملی و دانشگاهی نیز انجام این برنامه ها را برعهده دارند یا به عنوان دبیرخانه ایفلا فعالیت می کنند</w:t>
      </w:r>
      <w:r>
        <w:rPr>
          <w:rFonts w:eastAsia="IRNazanin" w:cs="IRNazanin"/>
          <w:color w:val="111111"/>
          <w:sz w:val="28"/>
          <w:szCs w:val="28"/>
          <w:rtl w:val="true"/>
          <w:lang w:bidi="fa-IR"/>
        </w:rPr>
        <w:t>.</w:t>
      </w:r>
    </w:p>
    <w:p>
      <w:pPr>
        <w:pStyle w:val="Heading2"/>
        <w:numPr>
          <w:ilvl w:val="1"/>
          <w:numId w:val="1"/>
        </w:numPr>
        <w:rPr/>
      </w:pPr>
      <w:bookmarkStart w:id="30" w:name="__RefHeading___Toc7825231_2870459653"/>
      <w:bookmarkStart w:id="31" w:name="_Toc10"/>
      <w:bookmarkEnd w:id="30"/>
      <w:r>
        <w:rPr>
          <w:rtl w:val="true"/>
        </w:rPr>
        <w:t>انتشارات</w:t>
      </w:r>
      <w:bookmarkEnd w:id="31"/>
    </w:p>
    <w:p>
      <w:pPr>
        <w:pStyle w:val="BookText"/>
        <w:rPr/>
      </w:pPr>
      <w:r>
        <w:rPr>
          <w:rFonts w:ascii="IRNazanin" w:hAnsi="IRNazanin" w:eastAsia="IRNazanin"/>
          <w:color w:val="111111"/>
          <w:sz w:val="28"/>
          <w:sz w:val="28"/>
          <w:szCs w:val="28"/>
          <w:rtl w:val="true"/>
          <w:lang w:bidi="fa-IR"/>
        </w:rPr>
        <w:t>نتایج و دستاوردهای علمی برنامه ها و اهداف ایفلا که در گروه های حرفه ای آن متجلی می شود، در انتشارات، ذخیره و انتشار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انتشارات ایفلا شامل این عناوین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ایفلا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شماره در سال انتشار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نسخه اخبار و وقایع فعالیت ها و عناوین جاری ایفلا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موضوعات گوناگون بین المللی در حوزه کتابداری، از جمله آزادی اطلاعات، حفاظت، خدمات به نابینایان و مالکیت فکری را در برمی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سالانه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سال گذشته ایفلا را منعکس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پیایندی ایفلا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آلمانی </w:t>
      </w:r>
      <w:r>
        <w:rPr>
          <w:rFonts w:eastAsia="Times New Roman" w:cs="Times New Roman" w:ascii="Times New Roman" w:hAnsi="Times New Roman"/>
          <w:color w:val="111111"/>
          <w:sz w:val="28"/>
          <w:szCs w:val="28"/>
          <w:lang w:val="en-US" w:bidi="en-US"/>
        </w:rPr>
        <w:t>K.G. Saur Verlag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مونیخ انتشار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های تخصصی ایفلا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پیایندهایی که گزارش های مرتبط با نشست های حرفه ای و تخصصی و رهنمودهای اجرایی را ارائه می دهند و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دبیرخانه مرکزی انتشار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کتاب شناختی و فهرست نویسی بین المللی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ایفلا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سال یک بار منتشر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سایر موارد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2" w:name="pg9659_93824"/>
    </w:p>
    <w:p>
      <w:pPr>
        <w:pStyle w:val="Heading2"/>
        <w:numPr>
          <w:ilvl w:val="1"/>
          <w:numId w:val="1"/>
        </w:numPr>
        <w:rPr/>
      </w:pPr>
      <w:bookmarkStart w:id="33" w:name="__RefHeading___Toc7825233_2870459653"/>
      <w:bookmarkStart w:id="34" w:name="_Toc11"/>
      <w:bookmarkEnd w:id="32"/>
      <w:bookmarkEnd w:id="33"/>
      <w:r>
        <w:rPr>
          <w:rtl w:val="true"/>
        </w:rPr>
        <w:t>زبان</w:t>
      </w:r>
      <w:bookmarkEnd w:id="34"/>
    </w:p>
    <w:p>
      <w:pPr>
        <w:pStyle w:val="BookText"/>
        <w:rPr/>
      </w:pPr>
      <w:r>
        <w:rPr>
          <w:rFonts w:ascii="IRNazanin" w:hAnsi="IRNazanin" w:eastAsia="IRNazanin"/>
          <w:color w:val="111111"/>
          <w:sz w:val="28"/>
          <w:sz w:val="28"/>
          <w:szCs w:val="28"/>
          <w:rtl w:val="true"/>
          <w:lang w:bidi="fa-IR"/>
        </w:rPr>
        <w:t>زبان های رسمی ایفلا، انگلیسی، فرانسوی، روسی، آلمانی و اسپانیولی است</w:t>
      </w:r>
      <w:r>
        <w:rPr>
          <w:rFonts w:eastAsia="IRNazanin" w:cs="IRNazanin"/>
          <w:color w:val="111111"/>
          <w:sz w:val="28"/>
          <w:szCs w:val="28"/>
          <w:rtl w:val="true"/>
          <w:lang w:bidi="fa-IR"/>
        </w:rPr>
        <w:t>.</w:t>
      </w:r>
    </w:p>
    <w:p>
      <w:pPr>
        <w:pStyle w:val="Heading2"/>
        <w:numPr>
          <w:ilvl w:val="1"/>
          <w:numId w:val="1"/>
        </w:numPr>
        <w:rPr/>
      </w:pPr>
      <w:bookmarkStart w:id="35" w:name="__RefHeading___Toc7825235_2870459653"/>
      <w:bookmarkStart w:id="36" w:name="_Toc12"/>
      <w:bookmarkEnd w:id="35"/>
      <w:r>
        <w:rPr>
          <w:rtl w:val="true"/>
        </w:rPr>
        <w:t>وب گاه های ایفلا</w:t>
      </w:r>
      <w:bookmarkEnd w:id="36"/>
    </w:p>
    <w:p>
      <w:pPr>
        <w:pStyle w:val="BookText"/>
        <w:rPr/>
      </w:pPr>
      <w:r>
        <w:rPr>
          <w:rFonts w:ascii="IRNazanin" w:hAnsi="IRNazanin" w:eastAsia="IRNazanin"/>
          <w:color w:val="111111"/>
          <w:sz w:val="28"/>
          <w:sz w:val="28"/>
          <w:szCs w:val="28"/>
          <w:rtl w:val="true"/>
          <w:lang w:bidi="fa-IR"/>
        </w:rPr>
        <w:t>عمده ترین وب گاه های ایفلا در حال حاضر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http://archive.ifla.org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http://blogs.ifla.org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http://extranet.ifla.org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http://work-report.ifla.org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ebmaster@ifla.org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الکترونیکی ایفلا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توسعه علم اطلاعات و دانش شناسی و نیز اشاعه اطلاعات و دانش افزایی در این حوزه، سازمان اسناد و کتاب خانه ملی جمهوری اسلامی ایران از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همه ساله ترجمه گزیده ای از مقالات ارائه شده در فراهمایی سالانه ایفلا را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تاکنون ترجمه گزیده مقالات ایفلا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بانکوک؛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گلاسکو؛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دوربان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کبک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گوتنبرگ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خوان پورتوریکو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هلسینکی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حاضر نیز تصمیم گرفته شد که ترجمه گزیده مقالات فراهمایی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فراهمایی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لیون فرانسه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درونمایه کلی گردهمایی 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شهروندان،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دانش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مقالات ارائه شده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 عنایت به اهمیت موضوعات رشته علم اطلاعات و دانش شناسی و نیازهای جامعه کتابداری و مراکز اطلاع رسانی انتخاب و برای ترجمه ارسال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که بیشتر آن ها در مهلت اعلام شده به دستمان رسید، پس از انجام امور مربوط به مقابله، ویرایش و آماده سازی، آماده انتشار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حفظ انسجام و یک دستی مجموعه مقالات، </w:t>
      </w:r>
    </w:p>
    <w:p>
      <w:pPr>
        <w:pStyle w:val="BookText"/>
        <w:rPr/>
      </w:pPr>
      <w:r>
        <w:rPr>
          <w:rFonts w:ascii="IRNazanin" w:hAnsi="IRNazanin" w:eastAsia="IRNazanin"/>
          <w:color w:val="111111"/>
          <w:sz w:val="28"/>
          <w:sz w:val="28"/>
          <w:szCs w:val="28"/>
          <w:rtl w:val="true"/>
          <w:lang w:bidi="fa-IR"/>
        </w:rPr>
        <w:t>برای مقالاتی که چکیده نداشتند، چکیده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جهت تسهیل و تسریع بازیابی اطلاعات محورهای کلی موضوعی و نمایه موضوعی بدان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همه مترجمان محترم که با سازمان همکاری مؤثری داشتند قدردانی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جناب آقای سلیم گندمی به سبب تدوین نمایه، سرکار خانم دکتر قربانی برای بازبینی و یک دست سازی علمی مقاله ها، سرکار خانم مریم فرهنگ رنجبر، جناب آقای یوسف امیری رئیس اداره انتشارات سازمان و همکاران عزیز مسئول در واحد چاپ و انتشارات سپاسگزارم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خانی پور عضو هیأت علمی سازمان اسناد و کتاب خانه ملی جمهوری اسلامی ایران </w:t>
      </w:r>
      <w:bookmarkStart w:id="37" w:name="pg9659_93826"/>
    </w:p>
    <w:p>
      <w:pPr>
        <w:pStyle w:val="Heading2"/>
        <w:numPr>
          <w:ilvl w:val="1"/>
          <w:numId w:val="1"/>
        </w:numPr>
        <w:rPr/>
      </w:pPr>
      <w:bookmarkStart w:id="38" w:name="__RefHeading___Toc7825237_2870459653"/>
      <w:bookmarkStart w:id="39" w:name="_Toc13"/>
      <w:bookmarkEnd w:id="37"/>
      <w:bookmarkEnd w:id="38"/>
      <w:r>
        <w:rPr>
          <w:rtl w:val="true"/>
        </w:rPr>
        <w:t>چکیده</w:t>
      </w:r>
      <w:bookmarkEnd w:id="39"/>
    </w:p>
    <w:p>
      <w:pPr>
        <w:pStyle w:val="BookText"/>
        <w:rPr/>
      </w:pPr>
      <w:r>
        <w:rPr>
          <w:rFonts w:ascii="IRNazanin" w:hAnsi="IRNazanin" w:eastAsia="IRNazanin"/>
          <w:color w:val="111111"/>
          <w:sz w:val="28"/>
          <w:sz w:val="28"/>
          <w:szCs w:val="28"/>
          <w:rtl w:val="true"/>
          <w:lang w:bidi="fa-IR"/>
        </w:rPr>
        <w:t xml:space="preserve">هدف این مقاله نشان دادن اهداف و ویژگی های اصلی دو طرح مربوط به کتاب خانه است که توسط کمیسیون و اتحادیه اروپا </w:t>
      </w:r>
      <w:r>
        <w:rPr>
          <w:rStyle w:val="FootnoteAnchor"/>
          <w:rtl w:val="true"/>
        </w:rPr>
        <w:footnoteReference w:id="16"/>
      </w:r>
      <w:r>
        <w:rPr>
          <w:rFonts w:ascii="IRNazanin" w:hAnsi="IRNazanin" w:eastAsia="IRNazanin"/>
          <w:color w:val="111111"/>
          <w:sz w:val="28"/>
          <w:sz w:val="28"/>
          <w:szCs w:val="28"/>
          <w:rtl w:val="true"/>
          <w:lang w:bidi="fa-IR"/>
        </w:rPr>
        <w:t>در اواخر دهه ی قرن بیستم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ی اروپایی، رایانه </w:t>
      </w:r>
      <w:r>
        <w:rPr>
          <w:rStyle w:val="FootnoteAnchor"/>
          <w:rtl w:val="true"/>
        </w:rPr>
        <w:footnoteReference w:id="17"/>
      </w:r>
      <w:r>
        <w:rPr>
          <w:rFonts w:ascii="IRNazanin" w:hAnsi="IRNazanin" w:eastAsia="IRNazanin"/>
          <w:color w:val="111111"/>
          <w:sz w:val="28"/>
          <w:sz w:val="28"/>
          <w:szCs w:val="28"/>
          <w:rtl w:val="true"/>
          <w:lang w:bidi="fa-IR"/>
        </w:rPr>
        <w:t xml:space="preserve">برای کتاب خانه ها، به طور رسمی در قالب سومین برنامه ی تحقیق و توسعه ی فناوری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 و با برنامه چهارم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کتاب خانه ها مورد توجه چشم گیر کمیسیون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سی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درون چارچوبی طراحی شد که بعدها اداره کل اتحادیه اروپا </w:t>
      </w:r>
      <w:r>
        <w:rPr>
          <w:rStyle w:val="FootnoteAnchor"/>
          <w:rtl w:val="true"/>
        </w:rPr>
        <w:footnoteReference w:id="19"/>
      </w:r>
      <w:r>
        <w:rPr>
          <w:rFonts w:ascii="IRNazanin" w:hAnsi="IRNazanin" w:eastAsia="IRNazanin"/>
          <w:color w:val="111111"/>
          <w:sz w:val="28"/>
          <w:sz w:val="28"/>
          <w:szCs w:val="28"/>
          <w:rtl w:val="true"/>
          <w:lang w:bidi="fa-IR"/>
        </w:rPr>
        <w:t>بود که مسئول طراحی فناوری های اطلاعات و بازار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هرگز هیچ کتاب خانه ای در اروپا برای طرح های چند ملیتی مبتنی بر فناوری چنین بودجه ای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ملی، سواد اطلاعاتی و تمام خدمات کتاب خانه ها به انقلاب فناوری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متفاوت طرحی که اتحادیه اروپا طراحی کرد، مردم سالاری نوین نامیده شد، مثل آن چه که کمونیست سابق در اروپای شرقی و مرکزی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کشورها در حال پیوستن به اتحادیه اروپا بودند باید قوانین کتاب خانه و</w:t>
      </w:r>
    </w:p>
    <w:p>
      <w:pPr>
        <w:pStyle w:val="BookText"/>
        <w:rPr/>
      </w:pPr>
      <w:r>
        <w:rPr>
          <w:rFonts w:ascii="IRNazanin" w:hAnsi="IRNazanin" w:eastAsia="IRNazanin"/>
          <w:color w:val="111111"/>
          <w:sz w:val="28"/>
          <w:sz w:val="28"/>
          <w:szCs w:val="28"/>
          <w:rtl w:val="true"/>
          <w:lang w:bidi="fa-IR"/>
        </w:rPr>
        <w:t>کتاب هایشان را اصلاح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فرهنگی اروپا راهنمای یوروپ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اِبلیدا </w:t>
      </w:r>
      <w:r>
        <w:rPr>
          <w:rStyle w:val="FootnoteAnchor"/>
          <w:rtl w:val="true"/>
        </w:rPr>
        <w:footnoteReference w:id="20"/>
      </w:r>
      <w:r>
        <w:rPr>
          <w:rFonts w:ascii="IRNazanin" w:hAnsi="IRNazanin" w:eastAsia="IRNazanin"/>
          <w:color w:val="111111"/>
          <w:sz w:val="28"/>
          <w:sz w:val="28"/>
          <w:szCs w:val="28"/>
          <w:rtl w:val="true"/>
          <w:lang w:bidi="fa-IR"/>
        </w:rPr>
        <w:t>قوانین کتاب خانه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برنامه از نظر ماهیتی اهداف به ویژه از نظر سطح بودجه ای که دریافت کردند کاملاً باهم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کردن طیف وسیعی از ابتکارات و طرح هایی که اتحادیه اروپا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غیر ممکن است، به ویژه کتاب خانه هایی که بعد از آن مستقیماً از بودجه ی اتحادیه ی اروپا نفع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پنجم اِف پی </w:t>
      </w:r>
      <w:r>
        <w:rPr>
          <w:rStyle w:val="FootnoteAnchor"/>
          <w:rtl w:val="true"/>
        </w:rPr>
        <w:footnoteReference w:id="21"/>
      </w:r>
      <w:r>
        <w:rPr>
          <w:rFonts w:ascii="IRNazanin" w:hAnsi="IRNazanin" w:eastAsia="IRNazanin"/>
          <w:color w:val="111111"/>
          <w:sz w:val="28"/>
          <w:sz w:val="28"/>
          <w:szCs w:val="28"/>
          <w:rtl w:val="true"/>
          <w:lang w:bidi="fa-IR"/>
        </w:rPr>
        <w:t>برای ساختن یک جامعه ی مبتنی بر دانش بود؛ اگر چه کتاب خانه ها بخشی از آن، از این جامعه بودند و هنوز نیز هستند، اما فقط به عنوان یک همتای شریک در طرح قانونی در نظر گرفته شده اند، به ویژه شریکی که از بخش های خصوصی و یا مؤسسات تحقیقاتی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 اساس منابع رسمی اروپا و شورای اروپاست؛ اما شامل تجربیات شخصی نیز هست، چرا که هم برای برنامه رایانه کتاب خانه ها و هم برای شورای اروپا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دو برنامه روی وب گاه های رسمی منتشر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داری بین المللی، کمسیون و اتحادیه اروپا، برنامه رایانه برای کتاب خانه ها، یوروپ اِبلیدا </w:t>
      </w:r>
      <w:bookmarkStart w:id="40" w:name="pg9659_93827"/>
    </w:p>
    <w:p>
      <w:pPr>
        <w:pStyle w:val="Heading2"/>
        <w:numPr>
          <w:ilvl w:val="1"/>
          <w:numId w:val="1"/>
        </w:numPr>
        <w:rPr/>
      </w:pPr>
      <w:bookmarkStart w:id="41" w:name="__RefHeading___Toc7825239_2870459653"/>
      <w:bookmarkStart w:id="42" w:name="_Toc14"/>
      <w:bookmarkEnd w:id="40"/>
      <w:bookmarkEnd w:id="41"/>
      <w:r>
        <w:rPr>
          <w:rtl w:val="true"/>
        </w:rPr>
        <w:t xml:space="preserve">کتابداری بین المللی در اروپا </w:t>
      </w:r>
      <w:r>
        <w:rPr>
          <w:rtl w:val="true"/>
        </w:rPr>
        <w:t>(</w:t>
      </w:r>
      <w:r>
        <w:rPr/>
        <w:t>2000</w:t>
      </w:r>
      <w:r>
        <w:rPr>
          <w:rtl w:val="true"/>
        </w:rPr>
        <w:t xml:space="preserve"> - </w:t>
      </w:r>
      <w:r>
        <w:rPr/>
        <w:t>1990</w:t>
      </w:r>
      <w:r>
        <w:rPr>
          <w:rtl w:val="true"/>
        </w:rPr>
        <w:t>)</w:t>
      </w:r>
      <w:bookmarkEnd w:id="42"/>
    </w:p>
    <w:p>
      <w:pPr>
        <w:pStyle w:val="Heading3"/>
        <w:numPr>
          <w:ilvl w:val="2"/>
          <w:numId w:val="1"/>
        </w:numPr>
        <w:rPr/>
      </w:pPr>
      <w:bookmarkStart w:id="43" w:name="__RefHeading___Toc7825241_2870459653"/>
      <w:bookmarkStart w:id="44" w:name="_Toc15"/>
      <w:bookmarkEnd w:id="43"/>
      <w:r>
        <w:rPr>
          <w:rtl w:val="true"/>
        </w:rPr>
        <w:t>اشاره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کتابداری بین المللی در اروپا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نوشته جوزپه ویتییِلو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زهرا اباذری </w:t>
      </w:r>
      <w:r>
        <w:rPr>
          <w:rStyle w:val="FootnoteAnchor"/>
          <w:rtl w:val="true"/>
        </w:rPr>
        <w:footnoteReference w:id="24"/>
      </w:r>
    </w:p>
    <w:p>
      <w:pPr>
        <w:pStyle w:val="Heading3"/>
        <w:numPr>
          <w:ilvl w:val="2"/>
          <w:numId w:val="1"/>
        </w:numPr>
        <w:rPr/>
      </w:pPr>
      <w:bookmarkStart w:id="45" w:name="__RefHeading___Toc7825243_2870459653"/>
      <w:bookmarkStart w:id="46" w:name="_Toc16"/>
      <w:bookmarkEnd w:id="45"/>
      <w:r>
        <w:rPr>
          <w:rtl w:val="true"/>
        </w:rPr>
        <w:t>به سمت فضای اروپایی برای کتاب خانه ها</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تغییرات سیاسی و اجتماعی که در پایان قرن گذشته در اروپا اتفاق می افتد ممکن است این تصور را ایجاد کند که تاریخ در گذشته آن ها می 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 تازه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دقیقاً نوعی استعاره نیست که به طور طبیعی به بروکراسی اروپایی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این برداشتی بود که من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کمیسیون اروپا و شورای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 ایی</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تاریخ از راهرو نهادهای اروپایی می دمید، نگرش های سنتی و روش های مرسوم را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ساختمان ژان مونت </w:t>
      </w:r>
      <w:r>
        <w:rPr>
          <w:rStyle w:val="FootnoteAnchor"/>
          <w:rtl w:val="true"/>
        </w:rPr>
        <w:footnoteReference w:id="27"/>
      </w:r>
      <w:r>
        <w:rPr>
          <w:rFonts w:ascii="IRNazanin" w:hAnsi="IRNazanin" w:eastAsia="IRNazanin"/>
          <w:color w:val="111111"/>
          <w:sz w:val="28"/>
          <w:sz w:val="28"/>
          <w:szCs w:val="28"/>
          <w:rtl w:val="true"/>
          <w:lang w:bidi="fa-IR"/>
        </w:rPr>
        <w:t>در لوکزامبورگ، جایی که من کار می کردم، به طور معمول، پنجاه سایه خاکستری از آسمان لوکزامبورگ را باز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نهادهای اروپایی، ایده آل اروپایی پیروزمند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تعداد اعضای اتحادیه اروپا، با الحاق سه کشوری که از قبل تحت مستبدی استریت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جَکِت </w:t>
      </w:r>
      <w:r>
        <w:rPr>
          <w:rStyle w:val="FootnoteAnchor"/>
          <w:rtl w:val="true"/>
        </w:rPr>
        <w:footnoteReference w:id="28"/>
      </w:r>
      <w:r>
        <w:rPr>
          <w:rFonts w:ascii="IRNazanin" w:hAnsi="IRNazanin" w:eastAsia="IRNazanin"/>
          <w:color w:val="111111"/>
          <w:sz w:val="28"/>
          <w:sz w:val="28"/>
          <w:szCs w:val="28"/>
          <w:rtl w:val="true"/>
          <w:lang w:bidi="fa-IR"/>
        </w:rPr>
        <w:t>بودند،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اسپانیا و 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دوراندیشی ها و هنوز رهبری بی نظیر </w:t>
      </w:r>
    </w:p>
    <w:p>
      <w:pPr>
        <w:pStyle w:val="BookText"/>
        <w:rPr/>
      </w:pPr>
      <w:r>
        <w:rPr>
          <w:rFonts w:ascii="IRNazanin" w:hAnsi="IRNazanin" w:eastAsia="IRNazanin"/>
          <w:color w:val="111111"/>
          <w:sz w:val="28"/>
          <w:sz w:val="28"/>
          <w:szCs w:val="28"/>
          <w:rtl w:val="true"/>
          <w:lang w:bidi="fa-IR"/>
        </w:rPr>
        <w:t xml:space="preserve">ژاک دلور </w:t>
      </w:r>
      <w:r>
        <w:rPr>
          <w:rStyle w:val="FootnoteAnchor"/>
          <w:rtl w:val="true"/>
        </w:rPr>
        <w:footnoteReference w:id="29"/>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کمیسیون سقوط کرد، آلمان دوباره متحد شد و بازار واحد با امضای معاهده ماستریخت </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گسترش اروپا مجموعه ای بود تا در همه سطوح، در دو دهه پیشرو به اوج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اُ ایی، قدیمی ترین سازمان میان دولتی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بخشی از اتحادیه اروپا و نباید با شورای اروپا اشتباه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روی تعمق بخشیدن، در مقابل دامنه سازمان های اروپایی که به تازگی منعقد شده بودند را گسترش می دهد که بر روی گسترش فضایی که مردم سالاری، حقوق بشر و حکومت قانون اعمال می شود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تفسیر گسترده ای از اساس نامه سی اُ ایی، مناطق سابق اتحاد جماهیر شوروی بخشی از اروپا و کشورهای عضو امضا کرد را در نظر گرفتند و کنوانسیون اروپایی حقوق بشر </w:t>
      </w:r>
      <w:r>
        <w:rPr>
          <w:rStyle w:val="FootnoteAnchor"/>
          <w:rtl w:val="true"/>
        </w:rPr>
        <w:footnoteReference w:id="31"/>
      </w:r>
      <w:r>
        <w:rPr>
          <w:rFonts w:ascii="IRNazanin" w:hAnsi="IRNazanin" w:eastAsia="IRNazanin"/>
          <w:color w:val="111111"/>
          <w:sz w:val="28"/>
          <w:sz w:val="28"/>
          <w:szCs w:val="28"/>
          <w:rtl w:val="true"/>
          <w:lang w:bidi="fa-IR"/>
        </w:rPr>
        <w:t>را در بسیار کوتاهی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من، در پیوست بی </w:t>
      </w:r>
      <w:r>
        <w:rPr>
          <w:rStyle w:val="FootnoteAnchor"/>
          <w:rtl w:val="true"/>
        </w:rPr>
        <w:footnoteReference w:id="32"/>
      </w:r>
      <w:r>
        <w:rPr>
          <w:rFonts w:ascii="IRNazanin" w:hAnsi="IRNazanin" w:eastAsia="IRNazanin"/>
          <w:color w:val="111111"/>
          <w:sz w:val="28"/>
          <w:sz w:val="28"/>
          <w:szCs w:val="28"/>
          <w:rtl w:val="true"/>
          <w:lang w:bidi="fa-IR"/>
        </w:rPr>
        <w:t>مفروضات سی اُ ایی، من می توانستم تعداد در حال افزایش پرچم کشورهای عضو را که به طور متوسط دو بار در سال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همه کشورهای اروپای شرقی استانداردهای مورد نیاز مردم سالاری های غربی را برآورده نمی کردند، سی اُ ایی از نظر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برابر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اتحادیه اروپا راهی را برای بزرگ شدن اروپا هموار می کرد، اتحادیه اروپا نسبت به گسترش مرزهای جغرافیایی اش بی 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ماستریخت که در ماهیت سیاسی اما از نظر مادی، اقتصادی بود، برای کشورهایی که بیش از چند دهه توسط رژیم کمونیستی به خاک و خون کشیده شده بودند به سختی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مالی و صنعتی کشورهای اروپای مرکزی و شرقی در حال تبدیل به بازار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دهه نود، تنها سه کشور استرالیا، فنلاند و سوئد با استاندارد بالای زندگی، مذاکره موفقی با مقامات اتحادیه اروپا داشتند با این حال، پس از ورود به هزاره سوم، تقریباَ تمام کشورهای اروپای شرقی به اتحادیه اروپا پیوستند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های اصلی سیاست اتحادیه اروپا تحقیق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تشکر از شخصیت های معتبری چون آلتیرو اسپینللی </w:t>
      </w:r>
      <w:r>
        <w:rPr>
          <w:rStyle w:val="FootnoteAnchor"/>
          <w:rtl w:val="true"/>
        </w:rPr>
        <w:footnoteReference w:id="33"/>
      </w:r>
      <w:r>
        <w:rPr>
          <w:rFonts w:ascii="IRNazanin" w:hAnsi="IRNazanin" w:eastAsia="IRNazanin"/>
          <w:color w:val="111111"/>
          <w:sz w:val="28"/>
          <w:sz w:val="28"/>
          <w:szCs w:val="28"/>
          <w:rtl w:val="true"/>
          <w:lang w:bidi="fa-IR"/>
        </w:rPr>
        <w:t xml:space="preserve">، رالف دارندورف </w:t>
      </w:r>
      <w:r>
        <w:rPr>
          <w:rStyle w:val="FootnoteAnchor"/>
          <w:rtl w:val="true"/>
        </w:rPr>
        <w:footnoteReference w:id="34"/>
      </w:r>
      <w:r>
        <w:rPr>
          <w:rFonts w:ascii="IRNazanin" w:hAnsi="IRNazanin" w:eastAsia="IRNazanin"/>
          <w:color w:val="111111"/>
          <w:sz w:val="28"/>
          <w:sz w:val="28"/>
          <w:szCs w:val="28"/>
          <w:rtl w:val="true"/>
          <w:lang w:bidi="fa-IR"/>
        </w:rPr>
        <w:t xml:space="preserve">و اِتین داوینیون </w:t>
      </w:r>
      <w:r>
        <w:rPr>
          <w:rStyle w:val="FootnoteAnchor"/>
          <w:rtl w:val="true"/>
        </w:rPr>
        <w:footnoteReference w:id="35"/>
      </w:r>
      <w:r>
        <w:rPr>
          <w:rFonts w:ascii="IRNazanin" w:hAnsi="IRNazanin" w:eastAsia="IRNazanin"/>
          <w:color w:val="111111"/>
          <w:sz w:val="28"/>
          <w:sz w:val="28"/>
          <w:szCs w:val="28"/>
          <w:rtl w:val="true"/>
          <w:lang w:bidi="fa-IR"/>
        </w:rPr>
        <w:t>، تحقیقات اروپایی در دهه هفتاد و هشتاد گام های بلندی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ویژه که برخی از آن ها هنوز تحت فشار هستند، موفق به ایجاد یک منطقه تحقیقاتی برای اروپا می شوند و آن را با نیازهای صنعت اروپا مرتبط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اِسپریت، </w:t>
      </w:r>
    </w:p>
    <w:p>
      <w:pPr>
        <w:pStyle w:val="BookText"/>
        <w:rPr/>
      </w:pPr>
      <w:r>
        <w:rPr>
          <w:rFonts w:ascii="IRNazanin" w:hAnsi="IRNazanin" w:eastAsia="IRNazanin"/>
          <w:color w:val="111111"/>
          <w:sz w:val="28"/>
          <w:sz w:val="28"/>
          <w:szCs w:val="28"/>
          <w:rtl w:val="true"/>
          <w:lang w:bidi="fa-IR"/>
        </w:rPr>
        <w:t xml:space="preserve">فست، برایت، یورم ویوریکا </w:t>
      </w:r>
      <w:r>
        <w:rPr>
          <w:rStyle w:val="FootnoteAnchor"/>
          <w:rtl w:val="true"/>
        </w:rPr>
        <w:footnoteReference w:id="36"/>
      </w:r>
      <w:r>
        <w:rPr>
          <w:rFonts w:ascii="IRNazanin" w:hAnsi="IRNazanin" w:eastAsia="IRNazanin"/>
          <w:color w:val="111111"/>
          <w:sz w:val="28"/>
          <w:sz w:val="28"/>
          <w:szCs w:val="28"/>
          <w:rtl w:val="true"/>
          <w:lang w:bidi="fa-IR"/>
        </w:rPr>
        <w:t>تنها برخی اکتشافاتی هستند که برای طرح های نوآورانه در اروپا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هشتاد ایجاد برنامه 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پی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طرح های تحقیقاتی تدریجی را به یک سیاست منسجم و سازگار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ها و محرک های اقتصادی الطافی را برای تقارب اف پی با دیگر برنامه های اروپایی، مانند وجوه ساختاری، سیاست بازار واحد و طرح 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اراسموس </w:t>
      </w:r>
      <w:r>
        <w:rPr>
          <w:rStyle w:val="FootnoteAnchor"/>
          <w:rtl w:val="true"/>
        </w:rPr>
        <w:footnoteReference w:id="38"/>
      </w:r>
      <w:r>
        <w:rPr>
          <w:rFonts w:ascii="IRNazanin" w:hAnsi="IRNazanin" w:eastAsia="IRNazanin"/>
          <w:color w:val="111111"/>
          <w:sz w:val="28"/>
          <w:sz w:val="28"/>
          <w:szCs w:val="28"/>
          <w:rtl w:val="true"/>
          <w:lang w:bidi="fa-IR"/>
        </w:rPr>
        <w:t>معروف 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اف پی از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از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سومین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پی ها هر یک شامل طرحی طراحی شده برای به خدمت گرفتن نیازهای خاص کتاب خانه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سومین اف پی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مخابراتی برای کتاب خانه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چهارمین اف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یک دوره به یادماندنی برای توسعه و همکاری خدمات کتاب خانه در اروپا منتهی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اف پی، کمک های مالی به طور طبیعی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بودجه طرح های تصویب شده را تشکیل می دهند، مگر این که بخشی از بسته های تقویتی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طراحی شده برای تقویت تأثیر سیاست های اروپایی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برای کتاب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سی اِل پی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ارائه شدند و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اِل</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تلاقی کتاب خانه ها از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منحصر به فرد دریافت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با مشارکت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ای که مجموعه 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فردی را ارائه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ال که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را جذب کرد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شرکت کننده و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کم تری شرکت 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پنج فرایند انتخاب، کمک مالی به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پیشنهاده اعطا شد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هماهنگی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و مجموعه ای از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فردی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میلیون ایی</w:t>
      </w:r>
    </w:p>
    <w:p>
      <w:pPr>
        <w:pStyle w:val="BookText"/>
        <w:rPr/>
      </w:pPr>
      <w:r>
        <w:rPr>
          <w:rFonts w:ascii="IRNazanin" w:hAnsi="IRNazanin" w:eastAsia="IRNazanin"/>
          <w:color w:val="111111"/>
          <w:sz w:val="28"/>
          <w:sz w:val="28"/>
          <w:szCs w:val="28"/>
          <w:rtl w:val="true"/>
          <w:lang w:bidi="fa-IR"/>
        </w:rPr>
        <w:t xml:space="preserve">سی یو </w:t>
      </w:r>
      <w:r>
        <w:rPr>
          <w:rStyle w:val="FootnoteAnchor"/>
          <w:rtl w:val="true"/>
        </w:rPr>
        <w:footnoteReference w:id="42"/>
      </w:r>
      <w:r>
        <w:rPr>
          <w:rFonts w:ascii="IRNazanin" w:hAnsi="IRNazanin" w:eastAsia="IRNazanin"/>
          <w:color w:val="111111"/>
          <w:sz w:val="28"/>
          <w:sz w:val="28"/>
          <w:szCs w:val="28"/>
          <w:rtl w:val="true"/>
          <w:lang w:bidi="fa-IR"/>
        </w:rPr>
        <w:t xml:space="preserve">به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پی اختصاص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برای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ال به طور قابل توجهی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افزایش یافت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استراسبورگ </w:t>
      </w:r>
      <w:r>
        <w:rPr>
          <w:rStyle w:val="FootnoteAnchor"/>
          <w:rtl w:val="true"/>
        </w:rPr>
        <w:footnoteReference w:id="43"/>
      </w:r>
      <w:r>
        <w:rPr>
          <w:rFonts w:ascii="IRNazanin" w:hAnsi="IRNazanin" w:eastAsia="IRNazanin"/>
          <w:color w:val="111111"/>
          <w:sz w:val="28"/>
          <w:sz w:val="28"/>
          <w:szCs w:val="28"/>
          <w:rtl w:val="true"/>
          <w:lang w:bidi="fa-IR"/>
        </w:rPr>
        <w:t xml:space="preserve">که دفتر مرکزی شورای اروپا در آن جا مستقر است، یک برنامه انتشارات الکترونیکی، کتاب ها و آرشیو برنامه ها </w:t>
      </w:r>
      <w:r>
        <w:rPr>
          <w:rStyle w:val="FootnoteAnchor"/>
          <w:rtl w:val="true"/>
        </w:rPr>
        <w:footnoteReference w:id="44"/>
      </w:r>
      <w:r>
        <w:rPr>
          <w:rFonts w:ascii="IRNazanin" w:hAnsi="IRNazanin" w:eastAsia="IRNazanin"/>
          <w:color w:val="111111"/>
          <w:sz w:val="28"/>
          <w:sz w:val="28"/>
          <w:szCs w:val="28"/>
          <w:rtl w:val="true"/>
          <w:lang w:bidi="fa-IR"/>
        </w:rPr>
        <w:t xml:space="preserve">به صورت هم زمان با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و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اِل، البته </w:t>
      </w:r>
      <w:bookmarkStart w:id="47" w:name="pg9659_93830"/>
    </w:p>
    <w:p>
      <w:pPr>
        <w:pStyle w:val="BookText"/>
        <w:rPr/>
      </w:pPr>
      <w:bookmarkEnd w:id="47"/>
      <w:r>
        <w:rPr>
          <w:rFonts w:ascii="IRNazanin" w:hAnsi="IRNazanin" w:eastAsia="IRNazanin"/>
          <w:color w:val="111111"/>
          <w:sz w:val="28"/>
          <w:sz w:val="28"/>
          <w:szCs w:val="28"/>
          <w:rtl w:val="true"/>
          <w:lang w:bidi="fa-IR"/>
        </w:rPr>
        <w:t>با سطح جاه طلبی پایین تری در حال اجرا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دو برنامه گسترده اروپای و ارقامی که به وضوح در بالا نشان داده می شدند، نشان دهنده سطح بالای توجه به کتاب و کتاب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بعد، می توانیم بگوییم که بسیج منابع انسانی و مالی برای طرح های اروپایی با انتظارات آن دوره متناسب بود و چشم انداز کتاب خانه را در اروپا تغییر داد؟ هر ساله هزاران طرح کتاب خانه ای در سطح ملی، به ویژه در سطح منطقه ای تأمین مالی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عادی سیستم کتاب خانه شهرستان ممکن است صدها میلیون یورو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قرار دادن آن به صورت آشکارا، این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و برنامه سی اُ ایی کوچک در پیشبرد نظام کتاب خانه اروپا و تضمین توسعه پایدار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سعی می کند تا به این سؤالات در یک چشم انداز تاریخی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اهداف و فعالیت های اصلی برنامه های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و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ال را با محاسبه عملیاتشان در چارچوب گسترده اروپا خلاصه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سی اُ ایی نیز به طور خلاصه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شباهت ها تفاوت ها را در هر دو چارچوب، بین فعالیت های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بندی و طرح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 ایی بررسی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با استفاده از روش هایی که در کتابداری تطبیقی اعمال می شوند به طور طبیعی ارزیابی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دقیق تر برای طرح های بودجه بندی – ایی سی و تأثیر آن ها روی توسعه نظام های کتاب خانه ملی ارائه خواهد شد</w:t>
      </w:r>
      <w:r>
        <w:rPr>
          <w:rFonts w:eastAsia="IRNazanin" w:cs="IRNazanin"/>
          <w:color w:val="111111"/>
          <w:sz w:val="28"/>
          <w:szCs w:val="28"/>
          <w:rtl w:val="true"/>
          <w:lang w:bidi="fa-IR"/>
        </w:rPr>
        <w:t>.</w:t>
      </w:r>
    </w:p>
    <w:p>
      <w:pPr>
        <w:pStyle w:val="Heading3"/>
        <w:numPr>
          <w:ilvl w:val="2"/>
          <w:numId w:val="1"/>
        </w:numPr>
        <w:rPr/>
      </w:pPr>
      <w:bookmarkStart w:id="48" w:name="__RefHeading___Toc7825245_2870459653"/>
      <w:bookmarkStart w:id="49" w:name="_Toc17"/>
      <w:bookmarkEnd w:id="48"/>
      <w:r>
        <w:rPr>
          <w:rtl w:val="true"/>
        </w:rPr>
        <w:t>برنامه های ایی سی برای کتاب خانه ها</w:t>
      </w:r>
      <w:bookmarkEnd w:id="49"/>
    </w:p>
    <w:p>
      <w:pPr>
        <w:pStyle w:val="BookText"/>
        <w:rPr/>
      </w:pPr>
      <w:r>
        <w:rPr>
          <w:rFonts w:ascii="IRNazanin" w:hAnsi="IRNazanin" w:eastAsia="IRNazanin"/>
          <w:color w:val="111111"/>
          <w:sz w:val="28"/>
          <w:sz w:val="28"/>
          <w:szCs w:val="28"/>
          <w:rtl w:val="true"/>
          <w:lang w:bidi="fa-IR"/>
        </w:rPr>
        <w:t>پیشینه تاریخی برنامه های ایی سی ممکن است به توضیح این که چرا سرمایه گذاری ایی سی در کتاب خانه ها به جای پرداختن به موضوعات آموزشی و فرهنگی که به طور معمول با رسالت کتاب خانه در ارتباط هستند، تأکید زیادی روی فناوری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مدیره ایی سی به طور معمول برنامه هایی را که دی جی </w:t>
      </w:r>
      <w:r>
        <w:rPr>
          <w:rStyle w:val="FootnoteAnchor"/>
          <w:rtl w:val="true"/>
        </w:rPr>
        <w:footnoteReference w:id="45"/>
      </w:r>
      <w:r>
        <w:rPr>
          <w:rFonts w:ascii="IRNazanin" w:hAnsi="IRNazanin" w:eastAsia="IRNazanin"/>
          <w:color w:val="111111"/>
          <w:sz w:val="28"/>
          <w:sz w:val="28"/>
          <w:szCs w:val="28"/>
          <w:rtl w:val="true"/>
          <w:lang w:bidi="fa-IR"/>
        </w:rPr>
        <w:t xml:space="preserve">بودند را مدیریت می کرد، آن گاه جامعه اطلاعاتی دی جی و اکنون دی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را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آن جایی که کمیسیون دِلور </w:t>
      </w:r>
      <w:r>
        <w:rPr>
          <w:rStyle w:val="FootnoteAnchor"/>
          <w:rtl w:val="true"/>
        </w:rPr>
        <w:footnoteReference w:id="46"/>
      </w:r>
      <w:r>
        <w:rPr>
          <w:rFonts w:ascii="IRNazanin" w:hAnsi="IRNazanin" w:eastAsia="IRNazanin"/>
          <w:color w:val="111111"/>
          <w:sz w:val="28"/>
          <w:sz w:val="28"/>
          <w:szCs w:val="28"/>
          <w:rtl w:val="true"/>
          <w:lang w:bidi="fa-IR"/>
        </w:rPr>
        <w:t>، دی جی در رابطه با تحقیق بهره برداری در نوآوری و استفاده از اطلاعات فناوری های ارتباطی مدیر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درک این که چرا فناوری ها برای کتاب خانه ها مهم هستند ساده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ساده تر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 خانه ها برای فناوری مهم هستند؟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پارلمان اروپا </w:t>
      </w:r>
      <w:r>
        <w:rPr>
          <w:rStyle w:val="FootnoteAnchor"/>
          <w:rtl w:val="true"/>
        </w:rPr>
        <w:footnoteReference w:id="47"/>
      </w:r>
      <w:r>
        <w:rPr>
          <w:rFonts w:ascii="IRNazanin" w:hAnsi="IRNazanin" w:eastAsia="IRNazanin"/>
          <w:color w:val="111111"/>
          <w:sz w:val="28"/>
          <w:sz w:val="28"/>
          <w:szCs w:val="28"/>
          <w:rtl w:val="true"/>
          <w:lang w:bidi="fa-IR"/>
        </w:rPr>
        <w:t xml:space="preserve">توجه سیاسی به اهمیت کتاب خانه ها برای فرهنگ اروپایی در </w:t>
      </w:r>
    </w:p>
    <w:p>
      <w:pPr>
        <w:pStyle w:val="BookText"/>
        <w:rPr/>
      </w:pPr>
      <w:r>
        <w:rPr>
          <w:rFonts w:ascii="IRNazanin" w:hAnsi="IRNazanin" w:eastAsia="IRNazanin"/>
          <w:color w:val="111111"/>
          <w:sz w:val="28"/>
          <w:sz w:val="28"/>
          <w:szCs w:val="28"/>
          <w:rtl w:val="true"/>
          <w:lang w:bidi="fa-IR"/>
        </w:rPr>
        <w:t xml:space="preserve">قطع نامه شواِنکا </w:t>
      </w:r>
      <w:r>
        <w:rPr>
          <w:rStyle w:val="FootnoteAnchor"/>
          <w:rtl w:val="true"/>
        </w:rPr>
        <w:footnoteReference w:id="48"/>
      </w:r>
      <w:r>
        <w:rPr>
          <w:rFonts w:ascii="IRNazanin" w:hAnsi="IRNazanin" w:eastAsia="IRNazanin"/>
          <w:color w:val="111111"/>
          <w:sz w:val="28"/>
          <w:sz w:val="28"/>
          <w:szCs w:val="28"/>
          <w:rtl w:val="true"/>
          <w:lang w:bidi="fa-IR"/>
        </w:rPr>
        <w:t>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نویس های اولیه قطع نامه شواِنکا هدف ایجاد یک کتاب خانه اروپایی فیزیکی به صورت معادل، در یک مقیاس اروپایی، از کتاب خانه کنگره ایالات متحده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های از این نوع در نهایت در شرایط مالی، غیر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بیشتر، از لحاظ سیاسی بیش از حد پیشرفته بود، به عنوان مفهوم لانگ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 شِد </w:t>
      </w:r>
      <w:r>
        <w:rPr>
          <w:rStyle w:val="FootnoteAnchor"/>
          <w:rtl w:val="true"/>
        </w:rPr>
        <w:footnoteReference w:id="49"/>
      </w:r>
      <w:r>
        <w:rPr>
          <w:rFonts w:ascii="IRNazanin" w:hAnsi="IRNazanin" w:eastAsia="IRNazanin"/>
          <w:color w:val="111111"/>
          <w:sz w:val="28"/>
          <w:sz w:val="28"/>
          <w:szCs w:val="28"/>
          <w:rtl w:val="true"/>
          <w:lang w:bidi="fa-IR"/>
        </w:rPr>
        <w:t xml:space="preserve">از اتحادیه اروپا بود و هنوز هم بیشتر از چشم انداز ایده آل است تا واقعی؛ بنابراین پیچیدگی های فناوری به مصلحت بود زیرا قطع نامه شواِنکا به واسطه آن قادر بود از مفهوم کتاب خانه ساخته شده از آجر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ملاط </w:t>
      </w:r>
      <w:r>
        <w:rPr>
          <w:rStyle w:val="FootnoteAnchor"/>
          <w:rtl w:val="true"/>
        </w:rPr>
        <w:footnoteReference w:id="50"/>
      </w:r>
      <w:r>
        <w:rPr>
          <w:rFonts w:ascii="IRNazanin" w:hAnsi="IRNazanin" w:eastAsia="IRNazanin"/>
          <w:color w:val="111111"/>
          <w:sz w:val="28"/>
          <w:sz w:val="28"/>
          <w:szCs w:val="28"/>
          <w:rtl w:val="true"/>
          <w:lang w:bidi="fa-IR"/>
        </w:rPr>
        <w:t>که از نظر سیاسی ناپایدار است، به مفهوم کتاب خانه مجازی اروپایی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پی بینش قابل توجهی را برای چشم انداز کتاب خانه ایی سی در درون سومین اِف پی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در طول مراحل اکتشافی و آماده سازی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ورودی ارائه شد،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به آن چه که من می خواهم خطوط اقدام موضوعی </w:t>
      </w:r>
      <w:r>
        <w:rPr>
          <w:rStyle w:val="FootnoteAnchor"/>
          <w:rtl w:val="true"/>
        </w:rPr>
        <w:footnoteReference w:id="51"/>
      </w:r>
      <w:r>
        <w:rPr>
          <w:rFonts w:ascii="IRNazanin" w:hAnsi="IRNazanin" w:eastAsia="IRNazanin"/>
          <w:color w:val="111111"/>
          <w:sz w:val="28"/>
          <w:sz w:val="28"/>
          <w:szCs w:val="28"/>
          <w:rtl w:val="true"/>
          <w:lang w:bidi="fa-IR"/>
        </w:rPr>
        <w:t>به نامم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های رایانه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بین المللی نظام ها و استانداردهای مربوطه بین المللی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نوین کتاب خانه ای با استفاده از فناوری های اطلاعاتی و ارتباطی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بازار اروپا در محصولات و خدمات رایانه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مخابراتی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عمل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در کتاب خانه های ملی مورد هدف قرار گرفت که هدف آن تنها تولید کتاب شناسی های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برای محصولات و خدمات موجود یا نوپای نظام های به هم پیوسته برای امانت بین کتاب خانه ای و مجموعه سازی مشارکتی را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تحقیق داخلی روی وضعیت خودکارسازی کتاب خانه، در مرحله مقدماتی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کشور اتحادیه اروپا یک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پر کردن شکاف موجود بین کشورهای عضو و در هر کشور در سطح انواع کتاب خانه ها توسط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پی را تضمین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کتاب خانه های عمومی به طور نامناسبی مجهز به مقابله با این تغییر بودند، در حالی که کتاب خانه های دانشگاهی مسئول اشتراک خود کارسازی کتاب خانه بودند؛ بنابراین، کتاب خانه های دانشگاهی در پاسخ به الزامات تعیین شده توسط خط 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مزیتی رقابتی لذت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هدف فرعی نداشت، تنها هدفش ایجاد هر نوع خودکارسازی خدمات و شبکه کتاب خانه ای در سطح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این خط، کتاب خانه های </w:t>
      </w:r>
    </w:p>
    <w:p>
      <w:pPr>
        <w:pStyle w:val="BookText"/>
        <w:rPr/>
      </w:pPr>
      <w:r>
        <w:rPr>
          <w:rFonts w:ascii="IRNazanin" w:hAnsi="IRNazanin" w:eastAsia="IRNazanin"/>
          <w:color w:val="111111"/>
          <w:sz w:val="28"/>
          <w:sz w:val="28"/>
          <w:szCs w:val="28"/>
          <w:rtl w:val="true"/>
          <w:lang w:bidi="fa-IR"/>
        </w:rPr>
        <w:t xml:space="preserve">عمومی به دنبال پیدا کردن راه خود در مسیر اصلی طرح های ایی سی بودند؛ و در نهایت، خط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شرکت های کوچک و متوسط فعال در بازار کتاب خانه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چهارمین اِف پی دنبال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فوری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اروپایی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اروپایی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ساختار سه برابری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اِل حقیقتاً الگوی جدیدی را ظاهر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کتاب خانه داخلی شبکه گرا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رایانه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مخابراتی برای خدمات کتاب خانه ای به هم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 خانه ای برای دسترسی به منابع اطلاعات شبکه</w:t>
      </w:r>
    </w:p>
    <w:p>
      <w:pPr>
        <w:pStyle w:val="BookText"/>
        <w:rPr/>
      </w:pPr>
      <w:r>
        <w:rPr>
          <w:rFonts w:ascii="IRNazanin" w:hAnsi="IRNazanin" w:eastAsia="IRNazanin"/>
          <w:color w:val="111111"/>
          <w:sz w:val="28"/>
          <w:sz w:val="28"/>
          <w:szCs w:val="28"/>
          <w:rtl w:val="true"/>
          <w:lang w:bidi="fa-IR"/>
        </w:rPr>
        <w:t xml:space="preserve">در مقایسه با نمونه های قبلی،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اِل دیگر تمایز اولیه بین کتاب خانه های ملی، دانشگاهی، عمومی، مدرسه ای و خصوصی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سری از سخنرانی ها که تأثیر قابل توجهی روی تصورات اروپایی داشت، ژاک دولور ایده یک اروپای متحدالمرکز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دایره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الهام بخش دیگری برای بروکراتی اروپا شد و فضای کتاب خانه به عنوان یک نظام ساختار یافته به سه دایره متحدالمرکز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داخلی از نظام های کتاب خانه داخلی شبکه بندی شده، دایره وسطی از خدمات کتاب خانه ای که با هم دیگر از طریق اینترنت در تعامل می باشند و دایره بیرونی از نظام های کتاب خانه که به پایگاه های داده خارجی، کتاب خانه های رقومی و مخازن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 با تمایز مرسوم بین انواع مختلف کتاب خانه، خودی های ایی سی نشان دادند که چه چیزی را توسط کتاب خانه ها معنی می کنند و چطور انتظار می رفت از توسعه های فناوری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به عنوان یکی از شبکه های حرفه ای بسیار که باید به سراسر اروپا متصل شوند دیده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کانال های توزیع محتوا بودند، بدون توجه به آن چه که در محتوا دارند و این که برای چه هدفی توزیع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نیاز برای طرح های بزرگ و برای افزایش بودجه طی سال های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اِف پی هم چنین آخرین بود که در آن کتاب خانه ها از توجه خاص لذت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 پی پنجم، طرح های کتاب خانه گرا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کاربرپسند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قرار گرفتند، یکی از چهار موضوع اِف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و مدیریت منابع زنده، رشد رقابتی و پایدار و توسعه پایدار و محیط زیست و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فرعی برای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کاربرپسند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میراث رقومی و محتوای </w:t>
      </w:r>
      <w:bookmarkStart w:id="50" w:name="pg9659_93833"/>
    </w:p>
    <w:p>
      <w:pPr>
        <w:pStyle w:val="BookText"/>
        <w:rPr/>
      </w:pPr>
      <w:bookmarkEnd w:id="50"/>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به خودی خود تحت فعالیت مهم ابزارها و محتوای چند رسانه ای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مالی برای طرح هایی بود که از موزه ها، کتاب خانه ها و آرشیوها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ارقام مربوط به اِف پی های پنجم و بعدی در محدوده این تحقیق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علاقه مند ممکن است به بررسی مفید نوشته شده توسط اصلان که حسابی دقیق تر از طرح های کتاب خانه ای بودجه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سی تا هفتمین اِف پی را فراهم می کند، ارجاع داده شوند</w:t>
      </w:r>
      <w:r>
        <w:rPr>
          <w:rFonts w:eastAsia="IRNazanin" w:cs="IRNazanin"/>
          <w:color w:val="111111"/>
          <w:sz w:val="28"/>
          <w:szCs w:val="28"/>
          <w:rtl w:val="true"/>
          <w:lang w:bidi="fa-IR"/>
        </w:rPr>
        <w:t>.</w:t>
      </w:r>
    </w:p>
    <w:p>
      <w:pPr>
        <w:pStyle w:val="Heading3"/>
        <w:numPr>
          <w:ilvl w:val="2"/>
          <w:numId w:val="1"/>
        </w:numPr>
        <w:rPr/>
      </w:pPr>
      <w:bookmarkStart w:id="51" w:name="__RefHeading___Toc7825247_2870459653"/>
      <w:bookmarkStart w:id="52" w:name="_Toc18"/>
      <w:bookmarkEnd w:id="51"/>
      <w:r>
        <w:rPr>
          <w:rtl w:val="true"/>
        </w:rPr>
        <w:t>برنامه انتشارات الکترونیکی، کتاب ها و آرشیوهای شورای اروپایی</w:t>
      </w:r>
      <w:bookmarkEnd w:id="52"/>
    </w:p>
    <w:p>
      <w:pPr>
        <w:pStyle w:val="BookText"/>
        <w:rPr/>
      </w:pPr>
      <w:r>
        <w:rPr>
          <w:rFonts w:ascii="IRNazanin" w:hAnsi="IRNazanin" w:eastAsia="IRNazanin"/>
          <w:color w:val="111111"/>
          <w:sz w:val="28"/>
          <w:sz w:val="28"/>
          <w:szCs w:val="28"/>
          <w:rtl w:val="true"/>
          <w:lang w:bidi="fa-IR"/>
        </w:rPr>
        <w:t xml:space="preserve">کاترین لالِمیه </w:t>
      </w:r>
      <w:r>
        <w:rPr>
          <w:rStyle w:val="FootnoteAnchor"/>
          <w:rtl w:val="true"/>
        </w:rPr>
        <w:footnoteReference w:id="59"/>
      </w:r>
      <w:r>
        <w:rPr>
          <w:rFonts w:ascii="IRNazanin" w:hAnsi="IRNazanin" w:eastAsia="IRNazanin"/>
          <w:color w:val="111111"/>
          <w:sz w:val="28"/>
          <w:sz w:val="28"/>
          <w:szCs w:val="28"/>
          <w:rtl w:val="true"/>
          <w:lang w:bidi="fa-IR"/>
        </w:rPr>
        <w:t>در اواسط دوره خود به عنوان دبیر کل شورای اروپا، هفتمین فراهمایی وزرای اروپایی مسئول امور فرهنگی را با بیان نیاز به تحکیم صنعت کتاب صوتی خلاق و حیاتی در مردم سالاری های جدید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آغاز آن، برنامه کتاب ها و کتاب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در آرشیو که چند ماه بعد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بُعد سیاسی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بود که کشورهای اروپای شرقی و مرکزی نیاز به کمک های فنی در بسط قوانین داخلی خودشان داشت تا از مردم سالاری، حقوق بشر و حکومت قانون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بود که کشورهای مرکزی و شرقی اروپا در بسط قوانین داخلی خود نیاز به کمک های فنی دارند، به همین منظور که از مردم سالاری، حقوق بشر و حکومت قانون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بودجه دولتی به بازار آزاد انتشار می یابد؛ بنابراین، فعالیت های معمولی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و آرشیوهای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شورای اروپا روی سؤالاتی مثل آزادی بیان در سیاست ها و قوانین کتاب، حقوق نویسندگان و مترجمان، حق مؤلف و بودجه کتاب خانه تمرکز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های فنی هم چنین روی مسائلی مثل آموزش حرفه ای فروشندگان کتاب، ناشران و کتابداران و هم چنین ابزارهای حرفه ای، مثل فهرست کتاب های در حال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از کتاب 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شابک </w:t>
      </w:r>
      <w:r>
        <w:rPr>
          <w:rStyle w:val="FootnoteAnchor"/>
          <w:rtl w:val="true"/>
        </w:rPr>
        <w:footnoteReference w:id="61"/>
      </w:r>
      <w:r>
        <w:rPr>
          <w:rFonts w:ascii="IRNazanin" w:hAnsi="IRNazanin" w:eastAsia="IRNazanin"/>
          <w:color w:val="111111"/>
          <w:sz w:val="28"/>
          <w:sz w:val="28"/>
          <w:szCs w:val="28"/>
          <w:rtl w:val="true"/>
          <w:lang w:bidi="fa-IR"/>
        </w:rPr>
        <w:t xml:space="preserve">و شاپا </w:t>
      </w:r>
      <w:r>
        <w:rPr>
          <w:rStyle w:val="FootnoteAnchor"/>
          <w:rtl w:val="true"/>
        </w:rPr>
        <w:footnoteReference w:id="62"/>
      </w:r>
      <w:r>
        <w:rPr>
          <w:rFonts w:ascii="IRNazanin" w:hAnsi="IRNazanin" w:eastAsia="IRNazanin"/>
          <w:color w:val="111111"/>
          <w:sz w:val="28"/>
          <w:sz w:val="28"/>
          <w:szCs w:val="28"/>
          <w:rtl w:val="true"/>
          <w:lang w:bidi="fa-IR"/>
        </w:rPr>
        <w:t>، استقرار کتاب فروشی ها و راه اندازی انجمن های مستقل حرفه ای تمرکز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کارگاه های آموزشی و همایش برای کتاب خانه ها، ناشران و کتاب فروشان در اطراف مفهوم زنجیره ای کتاب </w:t>
      </w:r>
      <w:r>
        <w:rPr>
          <w:rStyle w:val="FootnoteAnchor"/>
          <w:rtl w:val="true"/>
        </w:rPr>
        <w:footnoteReference w:id="63"/>
      </w:r>
      <w:r>
        <w:rPr>
          <w:rFonts w:ascii="IRNazanin" w:hAnsi="IRNazanin" w:eastAsia="IRNazanin"/>
          <w:color w:val="111111"/>
          <w:sz w:val="28"/>
          <w:sz w:val="28"/>
          <w:szCs w:val="28"/>
          <w:rtl w:val="true"/>
          <w:lang w:bidi="fa-IR"/>
        </w:rPr>
        <w:t>ساختار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معنی چرخه زندگی است، شامل مجموعه ای از بازیگران حرفه ای که در تولید و توزیع کتاب باید مورد اجتناب قرار بگیرند و حمایت دولتی تا آن جا که ممکن است باید به حد </w:t>
      </w:r>
    </w:p>
    <w:p>
      <w:pPr>
        <w:pStyle w:val="BookText"/>
        <w:rPr/>
      </w:pPr>
      <w:r>
        <w:rPr>
          <w:rFonts w:ascii="IRNazanin" w:hAnsi="IRNazanin" w:eastAsia="IRNazanin"/>
          <w:color w:val="111111"/>
          <w:sz w:val="28"/>
          <w:sz w:val="28"/>
          <w:szCs w:val="28"/>
          <w:rtl w:val="true"/>
          <w:lang w:bidi="fa-IR"/>
        </w:rPr>
        <w:t>محدودی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های مالی سی اُ ایی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قانون برای جهان کتاب </w:t>
      </w:r>
      <w:r>
        <w:rPr>
          <w:rStyle w:val="FootnoteAnchor"/>
          <w:rtl w:val="true"/>
        </w:rPr>
        <w:footnoteReference w:id="64"/>
      </w:r>
      <w:r>
        <w:rPr>
          <w:rFonts w:ascii="IRNazanin" w:hAnsi="IRNazanin" w:eastAsia="IRNazanin"/>
          <w:color w:val="111111"/>
          <w:sz w:val="28"/>
          <w:sz w:val="28"/>
          <w:szCs w:val="28"/>
          <w:rtl w:val="true"/>
          <w:lang w:bidi="fa-IR"/>
        </w:rPr>
        <w:t>اختصاص داده شد که نتیجه اصلی اولین مجموعه از توصیه هایی بود که در دولت های مرکزی و شرقی اروپا مورد توجه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فراهمایی ورشو قانون کتاب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امتیازات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اُ ایی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 های حرفه ای اختصاص داده بود به حداکثر خود رسید که اولین مجموعه ی توصیه های راه گشا در دولت های مرکزی و شرقی اروپا از نتایج اصلی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سالی تعیین کننده برای برنامه اتحادیه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فعالیت نشر الکترونیکی،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 و آرشیوها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سه منظور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هدف، تقویت کمک های فنی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سیر مرحله به مرحله ی برنامه پیشگام اتحادیه اروپا در بررسی خط مشی فرهنگی ملی، مجموعه ای از تجزیه و تحلیل های خط مشی کتاب ملی در راستای همکاری با مقامات دولتی و خبرگان کتاب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های خط مشی کتاب، در عمل تمام کشورهای اروپای شرقی از اسلواکی تا گرجستان، از ارمنستان و کشورهای حوزه بالتیک تا بلغارستان و مولداوی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عاشق کتاب هاست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که تحت آن، کمک های فنی در قالب حمایت برای تدوین قوانین و مقررات کتاب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در هر زمان، سیاست های دولت تلاش داشت تا آزادی بیان را محدود کند و یا تجارت رایگان کتاب را دچار اشکال نماید، اتحادیه اروپا متعهد شد تا اقدام به موقع خود را در خصوص تنظیم مناسب و یا انجام خوب کار نشان دهد یادآوری ارزشمند، یکی از ثمرات ابتکار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 عاشق کتاب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 اتحادیه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اِبلیدا </w:t>
      </w:r>
      <w:r>
        <w:rPr>
          <w:rStyle w:val="FootnoteAnchor"/>
          <w:rtl w:val="true"/>
        </w:rPr>
        <w:footnoteReference w:id="66"/>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قوانین کتاب خانه و سیاست در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اصلی دوم از برنامه اتحادیه اروپا بر روی بایگانی ها با کمک های فنی در مورد قوانین و مقررات، در افشای بایگانی در کشورهای عضو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شاخص اتحادیه اروپا در این دامنه، شامل رایانه ای کردن آرشیوها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کُمینترن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بازسازی آرشیوهای لهستانی بود که در میان بسیاری از ایالت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پخش شده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سوم، پشتیبانی انتشار الکترونیکی، به عنوان یک راه برای انتقال تنوع فرهنگی و چند زبانگی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ابتکار اتحادیه اروپا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کتاب جدید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نامیده می شد، کاملاً توسط برنامه اَدَپت </w:t>
      </w:r>
      <w:r>
        <w:rPr>
          <w:rStyle w:val="FootnoteAnchor"/>
          <w:rtl w:val="true"/>
        </w:rPr>
        <w:footnoteReference w:id="69"/>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 های کمیسیون اروپا، یکی از دو منبع ابتکارات جامعه بشری با حمایت صندوق اجتماعی اروپا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دیگر هم، استخدام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اَدَپت با هدف کمک به کارفرمایان و کارگرانی که تغییرات صنعتی را پیش بینی می کنند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صنعت کتاب، یک هدف ایده آل بود، که به عنوان زنجیره ای از کتاب های سنتی بود که با ظهور انتشار الکترونیکی،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خبره ی کتاب در شش کشور عضو اتحادیه اروپا، در ابتکار اقتصاد کتاب جدید آموزش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طرح،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در فراهمایی مشتمل بر وزرای مسئول امور فرهنگی عضو اتحادیه اروپا، به اتخاذ شورای راهکارهای اروپا در اندازه گیری های قوانین و خط مشی ها برای توسعه کتاب و انتشار الکترونیکی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کمیته اشخاص خردمند </w:t>
      </w:r>
      <w:r>
        <w:rPr>
          <w:rStyle w:val="FootnoteAnchor"/>
          <w:rtl w:val="true"/>
        </w:rPr>
        <w:footnoteReference w:id="70"/>
      </w:r>
      <w:r>
        <w:rPr>
          <w:rFonts w:ascii="IRNazanin" w:hAnsi="IRNazanin" w:eastAsia="IRNazanin"/>
          <w:color w:val="111111"/>
          <w:sz w:val="28"/>
          <w:sz w:val="28"/>
          <w:szCs w:val="28"/>
          <w:rtl w:val="true"/>
          <w:lang w:bidi="fa-IR"/>
        </w:rPr>
        <w:t xml:space="preserve">به ریاست ماریو سوارز </w:t>
      </w:r>
      <w:r>
        <w:rPr>
          <w:rStyle w:val="FootnoteAnchor"/>
          <w:rtl w:val="true"/>
        </w:rPr>
        <w:footnoteReference w:id="71"/>
      </w:r>
      <w:r>
        <w:rPr>
          <w:rFonts w:ascii="IRNazanin" w:hAnsi="IRNazanin" w:eastAsia="IRNazanin"/>
          <w:color w:val="111111"/>
          <w:sz w:val="28"/>
          <w:sz w:val="28"/>
          <w:szCs w:val="28"/>
          <w:rtl w:val="true"/>
          <w:lang w:bidi="fa-IR"/>
        </w:rPr>
        <w:t xml:space="preserve">، رئیس جمهور سابق جمهوری پرتغالی، گزارش توصیه سازماندهی مجدد از همکاری بین دولتی اتحادیه اروپا برگزار و اجرای آن تحت یک قرارداد در چارچوب ایی 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 ایی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کار سی اُ ایی، تمرکز مجدد بر روی ایجاد یک دادگاه جدید اروپایی حقوق بشر بود، فعالیت های بین دولتی سی اُ ایی بررسی شد و اگر یک برنامه معادل اتحادیه اروپا وجود داشت و یا آن ها بخشی از یک توافق ایی 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 ایی نبودند کاهش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الکترونیکی، کتاب ها و آرشیوها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چند سال پس از آن، به پایان رسید که تمام فعالیت های سی اُ ایی مربوط به اجرای کنوانسیون فرهنگی سی اُ ایی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 و یا دوباره به سمت اهداف مختلف گرایش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ایی سی و سی اُ ایی در حمایت از کتاب خانه ها به راحتی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طرح های مربوط به خودشان، ماهیت این دو سازمان، از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یو معمولاً به عنوان یک سازمان بینالمللی فارغ از محدودیت های ملی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صورت حساب های مورد تأیید انستیتوهای اروپایی ممکن است فوراً در محدوده مقررات محلی، بدون توسل به امضا و تصویب کشورهای عضو قوانین و مصوبات نهادهای اروپایی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سی اُ ایی، یک سازمان معمولی چند جانبه است، کار بین دولتی آن، بر اساس خرد جمعی است که تنها در صورتی اجرا می شود که دولت های عضو </w:t>
      </w:r>
      <w:r>
        <w:rPr>
          <w:rStyle w:val="FootnoteAnchor"/>
          <w:rtl w:val="true"/>
        </w:rPr>
        <w:footnoteReference w:id="72"/>
      </w:r>
      <w:r>
        <w:rPr>
          <w:rFonts w:ascii="IRNazanin" w:hAnsi="IRNazanin" w:eastAsia="IRNazanin"/>
          <w:color w:val="111111"/>
          <w:sz w:val="28"/>
          <w:sz w:val="28"/>
          <w:szCs w:val="28"/>
          <w:rtl w:val="true"/>
          <w:lang w:bidi="fa-IR"/>
        </w:rPr>
        <w:t>بر روی اسنادی که توسط دبیران سی اُ ایی آماده شده بود، توافق نظر داشته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همه چیز کمی پیچیده تر است که حداقل سه دلیل را می توان برای این امر،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فعالیت ایی سی باید به وسیله یک اصل کمکی،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ابتکارات ارائه شده ایی </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شود و نباید دچار مداخله ایالات عضو در سطح مرکزی، منطقه ای یا محلی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 پی های سوم و چهارم، اصل کمکی، یک مفهوم پیش رقابتی و پیش اصولی دارد که به راحتی در طرح های کتاب خانه ای قابل اجرا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در سطح کلان خط مشی اف پی، هدف اصلی، بخش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حکومت کتاب خانه ای، تقریباً به طور کامل در بخش عمومی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 کوچک و متوسط که در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پی و ایی سی تی اِل در گیر بودند، در طرح های پیشنهادی کتاب خانه، دیدگاه تخیلی داشتند، اما آن ها رهبران فضای کتاب خانه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طولانی مدت، از یک سو، نیازهای فنی و اقتصادی بیان شده توسط بخش خصوصی و از سوی دیگر، انتظاراتی را که کتاب خانه ها، به عنوان فضاهای عمومی در نظر گرفته شده برای این منظور بودند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راجرز </w:t>
      </w:r>
      <w:r>
        <w:rPr>
          <w:rStyle w:val="FootnoteAnchor"/>
          <w:rtl w:val="true"/>
        </w:rPr>
        <w:footnoteReference w:id="74"/>
      </w:r>
      <w:r>
        <w:rPr>
          <w:rFonts w:ascii="IRNazanin" w:hAnsi="IRNazanin" w:eastAsia="IRNazanin"/>
          <w:color w:val="111111"/>
          <w:sz w:val="28"/>
          <w:sz w:val="28"/>
          <w:szCs w:val="28"/>
          <w:rtl w:val="true"/>
          <w:lang w:bidi="fa-IR"/>
        </w:rPr>
        <w:t>، در کار مؤثر خود بر روی انتشار نوآوری، این معضل را در شرایط زیر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تجاری سازی فناوری، گامی ضروری است که به اندازه سرمایه گذاری خصوصی بر روی تحقیق و نوآوری اهمیت دارد، اما تا زمانی که تحقیق و نوآوری با پول خصوصی تأمین شود، اما بقایای انتشار آن در دست دروازه بان ها، گروه ها یا رویه های انتخاب شده از بین مردم باشد، همان گونه که در مورد آزمایش ها پزشکی می توان مشاهده نمود، در اداره مسیر نوآوری سازگار شده با جامع نقش تعیین کننده دارند؛ و درجه مقبولیت آن در مقیاس بزرگ یا کوچکش، در ارزیابی این موضوع است که نوآوری، چگونه می تواند یک جامعه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دلیل نهادی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کمیته های اف پی بودند که شامل خبرگانی بود که بر روی وزارت صنعت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با فناوری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کردند که شامل کارشناسان کار برای وزارت خانه های صنعت و شرکت های فناوری بالا، بودند و برای تعریف دامنه و اهداف فناوری است که قرار بود با کتاب خانه ها سازگار شوند، نام گذاری شده اند؟ به نظر می رسید تنها کاملاً مبرهن است که کتاب خانه ها، در واقع، یک نقش حاشیه ای را در شبکه های اروپایی بازی می کنند، همان گونه که آن ها به مراتب مقرون به صرفه تر از الزامات استاندارد اف پی که مورد انتظار بود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نوبه خود، در حال حاضر به فعالیت های سی اُ ایی بنگریم، به نظر می رسد روش کار بین دولتی سی اُ ایی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و بایگانی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اضافه می شود و تقویت می شود، در حال حاضر خط مشی های دوجانبه و چند جانبه کتاب از کشورهای عضو سی اُ ایی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ایالت ها، نه تنها در اروپا، درک کلی از کتاب ها را که نقش ویژه ای در جامعه دارند، به عنوان وسایل </w:t>
      </w:r>
    </w:p>
    <w:p>
      <w:pPr>
        <w:pStyle w:val="BookText"/>
        <w:rPr/>
      </w:pPr>
      <w:r>
        <w:rPr>
          <w:rFonts w:ascii="IRNazanin" w:hAnsi="IRNazanin" w:eastAsia="IRNazanin"/>
          <w:color w:val="111111"/>
          <w:sz w:val="28"/>
          <w:sz w:val="28"/>
          <w:szCs w:val="28"/>
          <w:rtl w:val="true"/>
          <w:lang w:bidi="fa-IR"/>
        </w:rPr>
        <w:t>نقلیه برای آزادی بیان و توسعه شخصی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به طور خاص، الزامات دموکراتیک در سیاست های کتاب، دلالت بر این موضوع دارد که مقررات کمی از بازیگران ورود به بازار کتاب و طیف گسترده ای از سیاست های مبتنی بر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برای کتاب 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تضمین تنوع نظرات و بیان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انجام شده توسط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و آرشیوها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اروپا برنامه نشان داد که اقدامات دولت در زمینه کتاب را می توان به طور گسترده به پنج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با توجه به حقوق مالکیت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مالی،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مالیات بر ارزش افزوده و معافیت مالیاتی برای واردات کتاب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تنظیم تقاضا،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قرض دادن کتاب خانه، پشتیبانی کتاب های درسی، قیمت های ثابت کتاب، خرید عمده کتاب توسط کتاب خانه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بهبود محتوای کتاب ها،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مالی برای انتشار طرح ها و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بین طرح های ایی سی و سی اُ ایی در شرایط اقتصادی تفاوت گسترده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مالی بین برنامه های مبتنی بر اف پی و ابتکار چندجانبه سی اُ ایی بسیار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متوسط سهم اتحادیه اروپا برای طرح ها حداقل </w:t>
      </w:r>
      <w:r>
        <w:rPr>
          <w:rFonts w:eastAsia="IRNazanin" w:cs="IRNazanin"/>
          <w:color w:val="111111"/>
          <w:sz w:val="28"/>
          <w:szCs w:val="28"/>
          <w:lang w:bidi="fa-IR"/>
        </w:rPr>
        <w:t>520000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های مالی اختصاص یافته به طرح های سی اُ ایی بالغ بر چند هزار فرانک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یک از طرح های پیشنهادی اتحادیه اروپا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عاشق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انتشارات آرشیوی و آموزش در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الکترونیکی نمی توانست خارج از چارچوب همکاری های فرهنگی سی اُ ایی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سطح جاه طلبی طرح های بودجه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ایی سی به کتاب خانه ها کمک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کنند و به آینده و اطرافشان بهتر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متوجه شدند که کسب و کار کتاب خانه ای تنها بخشی از یک کتاب و رسانه اقتصادی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استفاده از فناوری ها و طرح های گزارش دقیق و فناوری مدیریت در مسیر کار آمد تری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برنامه های ایی سی و سی اُ ایی همکاری بسیار کمی وجود داشت، بخشی به دلیل این که محدوده شان متفاوت بود و تا حدی می شود گفت که هیچ توافق نامه ای در بخش فرهنگی وجود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عدم هماهنگی، هر دو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طور تصادفی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دیگر به سمت نتیجه مشترکی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انجمن کتاب خانه اروپا برای بیان ساده مسائل، قبل از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بخش عمدهای از همکاری کتاب خانه بین ایالات متحده و سایر نقاط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به ایالات متحده آمریکا </w:t>
      </w:r>
      <w:bookmarkStart w:id="53" w:name="pg9659_93838"/>
    </w:p>
    <w:p>
      <w:pPr>
        <w:pStyle w:val="BookText"/>
        <w:rPr/>
      </w:pPr>
      <w:bookmarkEnd w:id="5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ویلهم مونته </w:t>
      </w:r>
      <w:r>
        <w:rPr>
          <w:rStyle w:val="FootnoteAnchor"/>
          <w:rtl w:val="true"/>
        </w:rPr>
        <w:footnoteReference w:id="75"/>
      </w:r>
      <w:r>
        <w:rPr>
          <w:rFonts w:ascii="IRNazanin" w:hAnsi="IRNazanin" w:eastAsia="IRNazanin"/>
          <w:color w:val="111111"/>
          <w:sz w:val="28"/>
          <w:sz w:val="28"/>
          <w:szCs w:val="28"/>
          <w:rtl w:val="true"/>
          <w:lang w:bidi="fa-IR"/>
        </w:rPr>
        <w:t xml:space="preserve">از کتاب خانه دانشگاه اسلو، در کتاب داری تطبیقی و بین المللی، به دلیل ایجاد مفهوم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اسکاندنیاوی از کتاب خانه های عمومی اغلب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استکهلم، پاریس و در طرف دیگر اقیانوس، واشنگتن دی سی بوستون یا شیکاگو رایج ترین مکان ها برای جلسات و فراهمایی های کتاب خانه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به لطف برنامه های ایی سی وسی اُ ایی، دستور کار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کارشناسان کتاب خانه اغلب جلساتشان را در پایتخت جدید کتاب داری اروپا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بروکسل، بلکه آمستردام، بارسلونا، برلین، لیسبون و آسیای مرکزی و کشورهای اروپای شرقی، بوداپست و ورشو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کتاب خانه در نهایت مراکز جدیدی را برای همکاری پیدا کرده بود</w:t>
      </w:r>
      <w:r>
        <w:rPr>
          <w:rFonts w:eastAsia="IRNazanin" w:cs="IRNazanin"/>
          <w:color w:val="111111"/>
          <w:sz w:val="28"/>
          <w:szCs w:val="28"/>
          <w:rtl w:val="true"/>
          <w:lang w:bidi="fa-IR"/>
        </w:rPr>
        <w:t>.</w:t>
      </w:r>
    </w:p>
    <w:p>
      <w:pPr>
        <w:pStyle w:val="Heading3"/>
        <w:numPr>
          <w:ilvl w:val="2"/>
          <w:numId w:val="1"/>
        </w:numPr>
        <w:rPr/>
      </w:pPr>
      <w:bookmarkStart w:id="54" w:name="__RefHeading___Toc7825249_2870459653"/>
      <w:bookmarkStart w:id="55" w:name="_Toc19"/>
      <w:bookmarkEnd w:id="54"/>
      <w:r>
        <w:rPr>
          <w:rtl w:val="true"/>
        </w:rPr>
        <w:t xml:space="preserve">برنامه های ایی سی برای کتاب خانه ها </w:t>
      </w:r>
      <w:r>
        <w:rPr>
          <w:rtl w:val="true"/>
        </w:rPr>
        <w:t>(</w:t>
      </w:r>
      <w:r>
        <w:rPr/>
        <w:t>1998</w:t>
      </w:r>
      <w:r>
        <w:rPr>
          <w:rtl w:val="true"/>
        </w:rPr>
        <w:t>-</w:t>
      </w:r>
      <w:r>
        <w:rPr/>
        <w:t>1991</w:t>
      </w:r>
      <w:r>
        <w:rPr>
          <w:rtl w:val="true"/>
        </w:rPr>
        <w:t xml:space="preserve">): </w:t>
      </w:r>
      <w:r>
        <w:rPr>
          <w:rtl w:val="true"/>
        </w:rPr>
        <w:t>ارزیابی رسمی و مشارکت ملی</w:t>
      </w:r>
      <w:bookmarkEnd w:id="55"/>
    </w:p>
    <w:p>
      <w:pPr>
        <w:pStyle w:val="BookText"/>
        <w:rPr/>
      </w:pPr>
      <w:r>
        <w:rPr>
          <w:rFonts w:ascii="IRNazanin" w:hAnsi="IRNazanin" w:eastAsia="IRNazanin"/>
          <w:color w:val="111111"/>
          <w:sz w:val="28"/>
          <w:sz w:val="28"/>
          <w:szCs w:val="28"/>
          <w:rtl w:val="true"/>
          <w:lang w:bidi="fa-IR"/>
        </w:rPr>
        <w:t xml:space="preserve">دو برنامه 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 سی به طور رسمی توسط شرکت پرایس و اترهاوس، مرجع جهانی مشاوره در امور مالی و حسابرسی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نسبتا مطلوب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ها، به ویژه آن هایی که درباره وب بودند نیازهای واقعی را برآورده نموده اند و به خوبی با نرم افزارها تجمیع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بین نتایج برنامه های اولیه و ثانویه با بسیاری از اقدامات از فراخوان اولیه تا سایر مراحل توسعه، پیوستگی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پروژه در همکاری با سایر برنامه های اتحادیه اروپا شامل ایجاد مهارت های جدید برای نیروی انسانی و همکاری با ناشران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برای پرسش دقت ارزیابی پرایس و اتر هاوس کوپرز وجود نداشت، این ارزیابی عمدتاً اساس اسناد و مدارک داخلی و مصاحبه با کتاب خانه کانون ملی در هر یک از کشورهای عضو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ارزیابی به شدت در انطباق با نتایج برنامه ها با مجموعه اهداف صنعتی و فناوری در سومین و چهارمین اِف پی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دیگر، مانند آن هایی که در بخش های فرهنگی و آموزشی بودند، معرفی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معیارهای معمول در بخش کتاب خانه استفاده شدند، مانند افزایش طولانی مدت در معاملات سند و دسترسی به کتاب خانه، به ندرت در ارزیابی های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و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ال بکار رفتند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معیارهای ارزش گذاری ساده ای که در بخش کتاب خانه استفاده می شود، مثل افزایش طولانی مدت دسترسی به کتاب خانه و اسناد هم بسیار به ندرت برای ارزیابی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و ایی سی – تی اِل به کار برده شده اند، این به این معنا نیست که ارزش گذاری و شاخص های عمل کرد به عنوان </w:t>
      </w:r>
    </w:p>
    <w:p>
      <w:pPr>
        <w:pStyle w:val="BookText"/>
        <w:rPr/>
      </w:pPr>
      <w:r>
        <w:rPr>
          <w:rFonts w:ascii="IRNazanin" w:hAnsi="IRNazanin" w:eastAsia="IRNazanin"/>
          <w:color w:val="111111"/>
          <w:sz w:val="28"/>
          <w:sz w:val="28"/>
          <w:szCs w:val="28"/>
          <w:rtl w:val="true"/>
          <w:lang w:bidi="fa-IR"/>
        </w:rPr>
        <w:t>هدف تحقیقات در طرح های مبتنی بر اف پی در نظر گرفته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بلند پروازانه ترین طرح هایی که روی ایی سی سرمایه گذاری شد بر آمار و ارقام کتاب خانه در اروپا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کمک می کند تا ویژگی های کتاب خانه های اروپایی را توضیح دهد و شاخص های عمل کرد مشترکی به وجود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شاخص هایی که بتوان از آن در آمار و ارقام ملی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طرح اقتصادی کتاب خانه در دوره 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داده های فراگیر سرمایه 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این دوره، طرح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سیاسی اغلب ادعا می کنند که تأثیرات مطالعات بر روش ها و تدابیر اروپایی به وسیله ی یک هم گرایی </w:t>
      </w:r>
      <w:r>
        <w:rPr>
          <w:rStyle w:val="FootnoteAnchor"/>
          <w:rtl w:val="true"/>
        </w:rPr>
        <w:footnoteReference w:id="76"/>
      </w:r>
      <w:r>
        <w:rPr>
          <w:rFonts w:ascii="IRNazanin" w:hAnsi="IRNazanin" w:eastAsia="IRNazanin"/>
          <w:color w:val="111111"/>
          <w:sz w:val="28"/>
          <w:sz w:val="28"/>
          <w:szCs w:val="28"/>
          <w:rtl w:val="true"/>
          <w:lang w:bidi="fa-IR"/>
        </w:rPr>
        <w:t>یا گرایش به سمت هماهنگی نفوذ کرده است که شامل اعتقاد راسخ به سیاست مشترک است و این باور مشترک که تدبیر اروپایی باعث درجه ای از هم گرایی سیاست های بخش عمومی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گروهی که راجرز توصیف می کند پذیرندگان نوآوری، آن هایی هستند که کتاب خانه ی سازمان هایی هستند که مسئول به کارگیری طرح های ایی 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بروکرات های ایی سی، این نخبگان شبکه بندی شده باید بتوانند خلاقیت های خود را اشاعه دهند و نتایج این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ها را به تدابیر دائمی کتاب خانه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واضح برای برنامه های مبتی بر اف پی چیزی مثل طرح گرند یورو </w:t>
      </w:r>
      <w:r>
        <w:rPr>
          <w:rStyle w:val="FootnoteAnchor"/>
          <w:rtl w:val="true"/>
        </w:rPr>
        <w:footnoteReference w:id="77"/>
      </w:r>
      <w:r>
        <w:rPr>
          <w:rFonts w:ascii="IRNazanin" w:hAnsi="IRNazanin" w:eastAsia="IRNazanin"/>
          <w:color w:val="111111"/>
          <w:sz w:val="28"/>
          <w:sz w:val="28"/>
          <w:szCs w:val="28"/>
          <w:rtl w:val="true"/>
          <w:lang w:bidi="fa-IR"/>
        </w:rPr>
        <w:t xml:space="preserve">است، درست همان طور که واگرایی روش های پولی و مالی زمینه ی پول واحد را آماده می کرد، فرض این بود که طرح هایی که برای ایی سی سرمایه گذاری شدند به طور خودکار هم گرایی روش های کتاب خانه ی ملی را در اروپا تحریک می کنند و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مطلوب کتاب خانه </w:t>
      </w:r>
      <w:r>
        <w:rPr>
          <w:rStyle w:val="FootnoteAnchor"/>
          <w:rtl w:val="true"/>
        </w:rPr>
        <w:footnoteReference w:id="78"/>
      </w:r>
      <w:r>
        <w:rPr>
          <w:rFonts w:ascii="IRNazanin" w:hAnsi="IRNazanin" w:eastAsia="IRNazanin"/>
          <w:color w:val="111111"/>
          <w:sz w:val="28"/>
          <w:sz w:val="28"/>
          <w:szCs w:val="28"/>
          <w:rtl w:val="true"/>
          <w:lang w:bidi="fa-IR"/>
        </w:rPr>
        <w:t>نامیده شود،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به تحلیل های مبتنی بر توصیف پدیده های طبیعی مثل آن چه در یک شرایط یکسان رخ می دهد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مندی به عنوان شکلی از نئوپوزیتیویسم </w:t>
      </w:r>
      <w:r>
        <w:rPr>
          <w:rStyle w:val="FootnoteAnchor"/>
          <w:rtl w:val="true"/>
        </w:rPr>
        <w:footnoteReference w:id="80"/>
      </w:r>
      <w:r>
        <w:rPr>
          <w:rFonts w:ascii="IRNazanin" w:hAnsi="IRNazanin" w:eastAsia="IRNazanin"/>
          <w:color w:val="111111"/>
          <w:sz w:val="28"/>
          <w:sz w:val="28"/>
          <w:szCs w:val="28"/>
          <w:rtl w:val="true"/>
          <w:lang w:bidi="fa-IR"/>
        </w:rPr>
        <w:t>برای کسانی که روش های اروپایی را جست و جو می کنند یک 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موردی و ارزیابی تعامل بین اجزای روش کتاب خانه ی ملی و اروپایی ممکن است کلید درک تأثیر برنامه های کتاب خانه ی مبتنی بر اف پی از دیدگاه های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اصلی آماری در این روش سازمانی جدید ویژگی هایی هستند که شامل گزارش ها ایی سی می باشند و سطح مشارکت سازمان های ملی را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زیر شاملارزیابی پرایس واتر هاوس کوپرز است که شکست طرح های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و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اِل را از نظر جغرافیایی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پایینی در جدول یک، سقوط ناگهانی تعداد شرکت هایی را در هر کشور نشان </w:t>
      </w:r>
    </w:p>
    <w:p>
      <w:pPr>
        <w:pStyle w:val="BookText"/>
        <w:rPr/>
      </w:pPr>
      <w:r>
        <w:rPr>
          <w:rFonts w:ascii="IRNazanin" w:hAnsi="IRNazanin" w:eastAsia="IRNazanin"/>
          <w:color w:val="111111"/>
          <w:sz w:val="28"/>
          <w:sz w:val="28"/>
          <w:szCs w:val="28"/>
          <w:rtl w:val="true"/>
          <w:lang w:bidi="fa-IR"/>
        </w:rPr>
        <w:t>می دهد که به طور کلی شامل سه تماس هستند و بیشترین علامت در سمت چپ و کم ترین علامت یا چوب خط در سمت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نمره مربوط به انگلستان و سپس ایتالیا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بزرگ ترین اقتصادهای کتاب خانه در اتحادیه اروپا شامل فرانسه و آلمان است که سطح بسیار کمی از مشارکتشان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هایی که اقتصادی به اندازه ی متوسط دارند مثل هلند، اسپانیا، یونان، دانمارک، ایرلند، پرتقال، بلژیک نمره ی نسبتاً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که سطح مشارکت هیچ تفاوتی در بخش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نشان نداده است و یا بر اساس این که ایالات چه مدت بخشی از اتحادیه اروپا بودند، تفاوتی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هلند، دانمارک و ایرلند، اسپانیا، یونان و پرتقال همه رتبه های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 مشارکت ملی بسیار بالای بریتانیا تعجب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متمرکز بر کتاب خانه و کتابخانه های بریتانیا برای پاسخ گویی به تماس های پیشنهاده های برنامه های مبتنی بر ایی سی استفاده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لاییکُن </w:t>
      </w:r>
      <w:r>
        <w:rPr>
          <w:rStyle w:val="FootnoteAnchor"/>
          <w:rtl w:val="true"/>
        </w:rPr>
        <w:footnoteReference w:id="81"/>
      </w:r>
      <w:r>
        <w:rPr>
          <w:rFonts w:ascii="IRNazanin" w:hAnsi="IRNazanin" w:eastAsia="IRNazanin"/>
          <w:color w:val="111111"/>
          <w:sz w:val="28"/>
          <w:sz w:val="28"/>
          <w:szCs w:val="28"/>
          <w:rtl w:val="true"/>
          <w:lang w:bidi="fa-IR"/>
        </w:rPr>
        <w:t>بر روی آمار و ارقام کتاب خانه ها شواهدی مبنی بر سطح خوب کتاب خانه های انگلستان، تأمین کرد به علاوه استفاده از انگلیسی به عنوان زبان ملی در</w:t>
      </w:r>
    </w:p>
    <w:p>
      <w:pPr>
        <w:pStyle w:val="BookText"/>
        <w:rPr/>
      </w:pPr>
      <w:r>
        <w:rPr>
          <w:rFonts w:ascii="IRNazanin" w:hAnsi="IRNazanin" w:eastAsia="IRNazanin"/>
          <w:color w:val="111111"/>
          <w:sz w:val="28"/>
          <w:sz w:val="28"/>
          <w:szCs w:val="28"/>
          <w:rtl w:val="true"/>
          <w:lang w:bidi="fa-IR"/>
        </w:rPr>
        <w:t>کتاب خانه های انگلستان، مزیتی زبانی قابل توجهی حساب می شود، در حالی که در کتاب خانه های یونان، پرتغال و به ویژه ایتالیایی زبان، با هم در یک سطح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مشارکت کتاب خانه های دانمارکی، اسپانیایی و آلمانی با آمار و ارقامی که در مطالعه ی لایبکُن نشان داده شده است، هم راستاست، اما این مقدار برای کتاب خانه های یونانی، پرتغالی و به ویژه ایتالیایی بیش تر از حد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مشترک ملی در اف پی چهارم مجدداً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کتاب خانه های فرانسوی و آلمانی و سازمان های وابسته بهتر نشان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 و دانمارک علاقه مندی شدیدشان را در طرح های مبتنی بر ایی سی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ایالتی که به اتحادیه اروپا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 فنلاند و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طرح های تأیید شده ی بسیاری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بودجه گذاری سطح بالای مشارکت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 پی سوم این سه کشور به عنوان بخش های ای اِف تی ای </w:t>
      </w:r>
      <w:r>
        <w:rPr>
          <w:rStyle w:val="FootnoteAnchor"/>
          <w:rtl w:val="true"/>
        </w:rPr>
        <w:footnoteReference w:id="82"/>
      </w:r>
      <w:r>
        <w:rPr>
          <w:rFonts w:ascii="IRNazanin" w:hAnsi="IRNazanin" w:eastAsia="IRNazanin"/>
          <w:color w:val="111111"/>
          <w:sz w:val="28"/>
          <w:sz w:val="28"/>
          <w:szCs w:val="28"/>
          <w:rtl w:val="true"/>
          <w:lang w:bidi="fa-IR"/>
        </w:rPr>
        <w:t>بودند که از ایی سی هیچ منفعتی نمی برد و هیچ حمایت مالی از منابع ملی ندارند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ها باید برای مسائل احتمالی که مربوط عوامل تصادفی است که اثر قطعی بر مشارکت ملی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اهمیت ایجاد کانون مرکزی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 پی</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مسئول به وجود آوردن آگاهی از برنامه های کتاب خانه و گسترش مهارت های لازم برای طرح ها و نیز جست و جوی همتاهای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جی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تلاشش را برای تشویق مشارکت در کشورهایی که از نظر سیاسی عبارت </w:t>
      </w:r>
      <w:bookmarkStart w:id="56" w:name="pg9659_93841"/>
    </w:p>
    <w:p>
      <w:pPr>
        <w:pStyle w:val="BookText"/>
        <w:rPr/>
      </w:pPr>
      <w:bookmarkEnd w:id="56"/>
      <w:r>
        <w:rPr>
          <w:rFonts w:ascii="IRNazanin" w:hAnsi="IRNazanin" w:eastAsia="IRNazanin"/>
          <w:color w:val="111111"/>
          <w:sz w:val="28"/>
          <w:sz w:val="28"/>
          <w:szCs w:val="28"/>
          <w:rtl w:val="true"/>
          <w:lang w:bidi="fa-IR"/>
        </w:rPr>
        <w:t xml:space="preserve">نادرست مناطق کم تر مورد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اف آر</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را داشتند،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وجود آوردن اِن اِف پی ها مشارکت پایین فرانسه و آلمان و حداقل ویژگی های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پی نیز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کشورها برای به وجود آوردن یک اِن اِف پی قوی موانع سازمانی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ساختار فدرال ایالتی، به وجود آوردن یک اِن اِف پی یک پارچه را برای مواردی مثل فرهنگ و آموزش دشوار می ساخت و معمولاً در حوزه ی کاوش گری </w:t>
      </w:r>
      <w:r>
        <w:rPr>
          <w:rStyle w:val="FootnoteAnchor"/>
          <w:rtl w:val="true"/>
        </w:rPr>
        <w:footnoteReference w:id="85"/>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ماهیت متمرکز اجرایی به وجود آورد نان اِف پی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وزارتی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 اِف پی می تواند به همراه کتاب خانه ها از حمایت ایالتی برخوردار باشد و این کتاب خانه ها توسط وزارت آموزش بودجه ی خود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 پی تأثیر گذار ایتالیایی احتمالاً بخشی از نخبگانی است که مسئول اشاعه ی خلاقیت و ابتکار در کتاب خانه ها هستند و هم چنین ابزاری بود که سطح شگفت آور و زیادی از مشارکت های کتاب خانه ی ایتالیایی را به وجود آورد؛ اما اِن اِف پی ها فقط تنها عامل تغيير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مختصر می توان گفت سازمان های مبتنی بر کتاب خانه که بیشتر شامل</w:t>
      </w:r>
    </w:p>
    <w:p>
      <w:pPr>
        <w:pStyle w:val="BookText"/>
        <w:rPr/>
      </w:pPr>
      <w:r>
        <w:rPr>
          <w:rFonts w:ascii="IRNazanin" w:hAnsi="IRNazanin" w:eastAsia="IRNazanin"/>
          <w:color w:val="111111"/>
          <w:sz w:val="28"/>
          <w:sz w:val="28"/>
          <w:szCs w:val="28"/>
          <w:rtl w:val="true"/>
          <w:lang w:bidi="fa-IR"/>
        </w:rPr>
        <w:t xml:space="preserve">کشورهای اروپایی جنوبی بودند، بخش خصوصیِ مشارکت بیش تری در آن داشت، طرح هایی مثل آیدا، آرکا، بامبی، کندل و کاسا </w:t>
      </w:r>
      <w:r>
        <w:rPr>
          <w:rStyle w:val="FootnoteAnchor"/>
          <w:rtl w:val="true"/>
        </w:rPr>
        <w:footnoteReference w:id="86"/>
      </w:r>
      <w:r>
        <w:rPr>
          <w:rFonts w:ascii="IRNazanin" w:hAnsi="IRNazanin" w:eastAsia="IRNazanin"/>
          <w:color w:val="111111"/>
          <w:sz w:val="28"/>
          <w:sz w:val="28"/>
          <w:szCs w:val="28"/>
          <w:rtl w:val="true"/>
          <w:lang w:bidi="fa-IR"/>
        </w:rPr>
        <w:t>و برخی دیگر از طرح ها که ذکر شدند همگی از طریق شاخص های شرکت های خصوصی تهیه و تشخیص داده شدند و نه فقط انگیزه های فناورانه را تضمین می کند، بلکه مهارت های مدیریتی و منابع واجد شرایط لازم را برای تکمیل طرح ها فراهم می کند</w:t>
      </w:r>
      <w:r>
        <w:rPr>
          <w:rFonts w:eastAsia="IRNazanin" w:cs="IRNazanin"/>
          <w:color w:val="111111"/>
          <w:sz w:val="28"/>
          <w:szCs w:val="28"/>
          <w:rtl w:val="true"/>
          <w:lang w:bidi="fa-IR"/>
        </w:rPr>
        <w:t>.</w:t>
      </w:r>
    </w:p>
    <w:p>
      <w:pPr>
        <w:pStyle w:val="Heading3"/>
        <w:numPr>
          <w:ilvl w:val="2"/>
          <w:numId w:val="1"/>
        </w:numPr>
        <w:rPr/>
      </w:pPr>
      <w:bookmarkStart w:id="57" w:name="__RefHeading___Toc7825251_2870459653"/>
      <w:bookmarkStart w:id="58" w:name="_Toc20"/>
      <w:bookmarkEnd w:id="57"/>
      <w:r>
        <w:rPr>
          <w:rtl w:val="true"/>
        </w:rPr>
        <w:t>سخنان پایانی</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به وضوح نشان می دهد که عمل ایی سی در کوتاه مدت موفقیت 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کتاب خانه های اشتراکی اروپایی اما نباید فقط محدود به برنامه های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پی و ایی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اِل باشد، بلکه باید به دوره ی زمانی فراتر از این برنامه ها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مبتنی بر اِف پی و سایر روش های تأثیر گذار کتاب خانه های ملی اروپایی نیز در بلند مدت باید در نظر گرفته شوند و پس از پایان طرح های سرمایه گذاری شده ی ایی سی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اجرای چنین ارزیابی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مطالعات لاییکُن نمونه ای ست که در بالا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کتاب خانه های اروپا امروزه به روشی تدریجی و داوطلبانه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اطلاعات قابل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 که به نظر می رسد خود این اجرا یا برنامه ارتباط و اهمیت خود را از دست داده است و یا حداقل دیدگاه مبهمی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قابل توجه در جمع آوری آمار و رقم هایی که ثبت شده اند، دست یابی به فهرست ها و وام های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چه زمانی کاربر با توجه به منابع متفاوتی مثل اینترنت به ثبت های کتاب شناختی و خدماتی مثل کتاب خانه از طریق وب گاه های مختلف دسترسی می یابند؟ و آیا تمام این منابع مربوط به کتاب و گسترش ژورنال ها چه وقتی برای کتاب خانه ها مهم خواهند بود و یا به صورت یک مأموریت جدی به شمار می روند؟ اساس کار امروزی کتاب خانه ها کم حجم تر و کم رنگ تر از دهه 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طرح های متفاوت و جهت های جدیدی در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 </w:t>
      </w:r>
      <w:r>
        <w:rPr>
          <w:rStyle w:val="FootnoteAnchor"/>
          <w:rtl w:val="true"/>
        </w:rPr>
        <w:footnoteReference w:id="8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ی اروپا حداقل به مدت سه دهه معنای اثر درونی و مهم در اِل آی اس </w:t>
      </w:r>
      <w:r>
        <w:rPr>
          <w:rStyle w:val="FootnoteAnchor"/>
          <w:rtl w:val="true"/>
        </w:rPr>
        <w:footnoteReference w:id="88"/>
      </w:r>
      <w:r>
        <w:rPr>
          <w:rFonts w:ascii="IRNazanin" w:hAnsi="IRNazanin" w:eastAsia="IRNazanin"/>
          <w:color w:val="111111"/>
          <w:sz w:val="28"/>
          <w:sz w:val="28"/>
          <w:szCs w:val="28"/>
          <w:rtl w:val="true"/>
          <w:lang w:bidi="fa-IR"/>
        </w:rPr>
        <w:t>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مطمئناً مزایای فناوری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اهمیت این مسائل فناوری از بین نرفته است، چراکه اف پی چهارم وجود دارد، یعنی وقتی که فعالیت های ویژه ای مثل ایی سی برای کتاب خانه ها کم رنگ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متمرکز بر کتاب خانه ها اکنون در برنامه های متعدد ایی سی گسترش یافته اند و ویژگی های تحقیقات کتاب خانه و ویژگی های کتابخانههای ملی را دارند که نقش و چالش مهمی در اِف پی هفتم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فناوری های مربوط به محتوا و زبان 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بین کتاب خانه ها هنوز حل نشده است، یعنی این تبادل در کتاب خانه ها به منزله ی وسیله ی فناوری های جدید و فناوری هایی ست که به صورت ابزار کتاب خانه به کار می روند و این مورد از قلم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گزارش هایی که توسط ایستگ </w:t>
      </w:r>
      <w:r>
        <w:rPr>
          <w:rStyle w:val="FootnoteAnchor"/>
          <w:rtl w:val="true"/>
        </w:rPr>
        <w:footnoteReference w:id="89"/>
      </w:r>
      <w:r>
        <w:rPr>
          <w:rFonts w:ascii="IRNazanin" w:hAnsi="IRNazanin" w:eastAsia="IRNazanin"/>
          <w:color w:val="111111"/>
          <w:sz w:val="28"/>
          <w:sz w:val="28"/>
          <w:szCs w:val="28"/>
          <w:rtl w:val="true"/>
          <w:lang w:bidi="fa-IR"/>
        </w:rPr>
        <w:t>صادر شده است، یعنی گروه مشاوره ی فناوری و اطلاعات اجتماعی که مسئول مشاوره ی ایی سی در زمینه تقدم طرح های مربوط به حمایت فناوری شده هستند، از کتاب خانه به عنوان بخش کلیدی راهبردی نام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گزارش ایستَگ پیشنهاد می کند که برای فناوری های نرم افزاری در اروپا به یک عامل راهبردی نیازمندیم که باید با همکاری صنعت و بخش عمومی و دانشگاهی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بعضی از کارهایی که در این گزارش ذکر شده اند، ممکن است وابسته به فعالیت های کتاب خانه ای باشند، به عنوان مثال دسترسی آزاد فناوری ها به کتاب خانه برای آن که با پیشرفت های موجود در منابع نرم افزاری تطبیق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کاتالیزورهای ایی سی نمونه ای برای یک کتاب خانه ی اروپایی شده در اروپاست، البته طرح های مبتنی بر ایی سی فقط جنبه ی مثبت ندارند، به ویژه وقتی که به جای همکاری برای ارتقای استانداردهای اروپایی در مقابل ایالات متحده به رقابت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نشست ها و اجلاس های اروپایی مربوط به کتاب خانه ها باید با محتواهای متفاوتی و تحت چارچوب های متعددی برگزار شود که در آن تعریف یک راهبردی واحد معتبر برای کتاب خانه ی اروپایی دشوار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بعضی از مؤسسات و شبکه ها کتاب خانه های اروپایی را در این نشست ها فراهم و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مثل لایبر </w:t>
      </w:r>
      <w:r>
        <w:rPr>
          <w:rStyle w:val="FootnoteAnchor"/>
          <w:rtl w:val="true"/>
        </w:rPr>
        <w:footnoteReference w:id="90"/>
      </w:r>
      <w:r>
        <w:rPr>
          <w:rFonts w:ascii="IRNazanin" w:hAnsi="IRNazanin" w:eastAsia="IRNazanin"/>
          <w:color w:val="111111"/>
          <w:sz w:val="28"/>
          <w:sz w:val="28"/>
          <w:szCs w:val="28"/>
          <w:rtl w:val="true"/>
          <w:lang w:bidi="fa-IR"/>
        </w:rPr>
        <w:t xml:space="preserve">، موسسه ی اروپایی تحقیقات کتاب خانه ها </w:t>
      </w:r>
      <w:r>
        <w:rPr>
          <w:rStyle w:val="FootnoteAnchor"/>
          <w:rtl w:val="true"/>
        </w:rPr>
        <w:footnoteReference w:id="91"/>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نظارت شورای اروپا </w:t>
      </w:r>
      <w:r>
        <w:rPr>
          <w:rStyle w:val="FootnoteAnchor"/>
          <w:rtl w:val="true"/>
        </w:rPr>
        <w:footnoteReference w:id="92"/>
      </w:r>
      <w:r>
        <w:rPr>
          <w:rFonts w:ascii="IRNazanin" w:hAnsi="IRNazanin" w:eastAsia="IRNazanin"/>
          <w:color w:val="111111"/>
          <w:sz w:val="28"/>
          <w:sz w:val="28"/>
          <w:szCs w:val="28"/>
          <w:rtl w:val="true"/>
          <w:lang w:bidi="fa-IR"/>
        </w:rPr>
        <w:t xml:space="preserve">تأسیس شد، اِبلیدا، دفتر کتاب خانه ی اروپا </w:t>
      </w:r>
      <w:r>
        <w:rPr>
          <w:rStyle w:val="FootnoteAnchor"/>
          <w:rtl w:val="true"/>
        </w:rPr>
        <w:footnoteReference w:id="93"/>
      </w:r>
      <w:r>
        <w:rPr>
          <w:rFonts w:ascii="IRNazanin" w:hAnsi="IRNazanin" w:eastAsia="IRNazanin"/>
          <w:color w:val="111111"/>
          <w:sz w:val="28"/>
          <w:sz w:val="28"/>
          <w:szCs w:val="28"/>
          <w:rtl w:val="true"/>
          <w:lang w:bidi="fa-IR"/>
        </w:rPr>
        <w:t xml:space="preserve">، موسسه ی اطلاعات و مستندات </w:t>
      </w:r>
      <w:r>
        <w:rPr>
          <w:rStyle w:val="FootnoteAnchor"/>
          <w:rtl w:val="true"/>
        </w:rPr>
        <w:footnoteReference w:id="94"/>
      </w:r>
      <w:r>
        <w:rPr>
          <w:rFonts w:ascii="Amiri" w:hAnsi="Amiri" w:eastAsia="Amiri" w:cs="Amiri"/>
          <w:color w:val="111111"/>
          <w:sz w:val="28"/>
          <w:sz w:val="28"/>
          <w:szCs w:val="28"/>
          <w:rtl w:val="true"/>
          <w:lang w:bidi="ar-SA"/>
        </w:rPr>
        <w:t xml:space="preserve">و سِیِنل </w:t>
      </w:r>
      <w:r>
        <w:rPr>
          <w:rStyle w:val="FootnoteAnchor"/>
          <w:rtl w:val="true"/>
        </w:rPr>
        <w:footnoteReference w:id="95"/>
      </w:r>
      <w:r>
        <w:rPr>
          <w:rFonts w:ascii="IRNazanin" w:hAnsi="IRNazanin" w:eastAsia="IRNazanin"/>
          <w:color w:val="111111"/>
          <w:sz w:val="28"/>
          <w:sz w:val="28"/>
          <w:szCs w:val="28"/>
          <w:rtl w:val="true"/>
          <w:lang w:bidi="fa-IR"/>
        </w:rPr>
        <w:t xml:space="preserve">، بنیاد کتاب خانه ملی اروپا </w:t>
      </w:r>
      <w:r>
        <w:rPr>
          <w:rStyle w:val="FootnoteAnchor"/>
          <w:rtl w:val="true"/>
        </w:rPr>
        <w:footnoteReference w:id="96"/>
      </w:r>
      <w:r>
        <w:rPr>
          <w:rFonts w:ascii="IRNazanin" w:hAnsi="IRNazanin" w:eastAsia="IRNazanin"/>
          <w:color w:val="111111"/>
          <w:sz w:val="28"/>
          <w:sz w:val="28"/>
          <w:szCs w:val="28"/>
          <w:rtl w:val="true"/>
          <w:lang w:bidi="fa-IR"/>
        </w:rPr>
        <w:t xml:space="preserve">در اصل در گروه فدراسیون بین المللی انجمن کتاب خانه های ملی </w:t>
      </w:r>
      <w:r>
        <w:rPr>
          <w:rStyle w:val="FootnoteAnchor"/>
          <w:rtl w:val="true"/>
        </w:rPr>
        <w:footnoteReference w:id="97"/>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سازمان از نظر فنی مبتنی بر ایی سی هستند، زیرا حوزهی عمل خود را به عنوان آغازگر و مدیر طرح های بودجه گذاری شده ایی سی گسترش می دهند و یا به این دلیل که آن ها برای پیگیری علایق کتاب خانه ها و متخصصین علوم و اطلاعات در مؤسسات اروپایی تأسیس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علی رغم تلاش هایی که دبیرخانه ی این سازمان ها انجام می دهد، فقدان برنامه های اختصاص داده شده 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ایی سی تشکیل و توسعه ی یک فضای کتاب خانه ی اروپایی را دشوار می کند و مانع از اجام این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نتیجه گیری، برنامه های ایی سی ممکن است برای کتاب خانه ها، سلامت کتاب خانه های اروپایی را تغییر ندهد و این بیشتر از همه به روش های فرهنگی و آموزشی ملی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یک میراث بزرگی است که به جامانده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شبکه بندی کردن، مزیت اشتراکی بودن به جای رقابت کردن، تأکید بر ارزش های تخصصی و حرفه ای کتاب خانه از این موارد است</w:t>
      </w:r>
      <w:r>
        <w:rPr>
          <w:rFonts w:eastAsia="IRNazanin" w:cs="IRNazanin"/>
          <w:color w:val="111111"/>
          <w:sz w:val="28"/>
          <w:szCs w:val="28"/>
          <w:rtl w:val="true"/>
          <w:lang w:bidi="fa-IR"/>
        </w:rPr>
        <w:t xml:space="preserve">. </w:t>
      </w:r>
      <w:bookmarkStart w:id="59" w:name="pg9659_93844"/>
    </w:p>
    <w:p>
      <w:pPr>
        <w:pStyle w:val="Heading2"/>
        <w:numPr>
          <w:ilvl w:val="1"/>
          <w:numId w:val="1"/>
        </w:numPr>
        <w:rPr/>
      </w:pPr>
      <w:bookmarkStart w:id="60" w:name="__RefHeading___Toc7825253_2870459653"/>
      <w:bookmarkStart w:id="61" w:name="_Toc21"/>
      <w:bookmarkEnd w:id="59"/>
      <w:bookmarkEnd w:id="60"/>
      <w:r>
        <w:rPr>
          <w:rtl w:val="true"/>
        </w:rPr>
        <w:t>چکیده</w:t>
      </w:r>
      <w:bookmarkEnd w:id="61"/>
    </w:p>
    <w:p>
      <w:pPr>
        <w:pStyle w:val="BookText"/>
        <w:rPr/>
      </w:pPr>
      <w:r>
        <w:rPr>
          <w:rFonts w:ascii="IRNazanin" w:hAnsi="IRNazanin" w:eastAsia="IRNazanin"/>
          <w:color w:val="111111"/>
          <w:sz w:val="28"/>
          <w:sz w:val="28"/>
          <w:szCs w:val="28"/>
          <w:rtl w:val="true"/>
          <w:lang w:bidi="fa-IR"/>
        </w:rPr>
        <w:t>كانادا سابقه طولانی در سواد آموزی و مهارت های مقدماتی بزرگ سالان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و ایالتی نقش هایی در جامعه مانند هم کاری در فعالیت های خدمات محلی، اشتراک دانش و تجربه، توسعه الگوها و روش های جدید در توسعه سواد آموزی و مهارت ها و فراهم کردن اطلاعات و استاد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سازمان های ملی خاستگاه های مختلفی دارند و در طول سال ها، تجربه خود را در حوزه های تخصصی گسترش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سازمان ملی، هر دو از کتاب خانه ها، سابقه طولانی در مشارکت با یک دیگر و با سایر کنشگرهای اصلی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نتیجه مشارکت آن ها را به ویژه مشارکت در یک طرح مشارکتی اخیر را ارائه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بزرگ سالان، کانادا، مرکز اسناد آموزش بزرگ سالان و زنان، شبکه برای توسعه سواد آموزی و مهارت ها، مرکز سواد آموزی </w:t>
      </w:r>
      <w:bookmarkStart w:id="62" w:name="pg9659_93845"/>
    </w:p>
    <w:p>
      <w:pPr>
        <w:pStyle w:val="Heading2"/>
        <w:numPr>
          <w:ilvl w:val="1"/>
          <w:numId w:val="1"/>
        </w:numPr>
        <w:rPr/>
      </w:pPr>
      <w:bookmarkStart w:id="63" w:name="__RefHeading___Toc7825255_2870459653"/>
      <w:bookmarkStart w:id="64" w:name="_Toc22"/>
      <w:bookmarkEnd w:id="62"/>
      <w:bookmarkEnd w:id="63"/>
      <w:r>
        <w:rPr>
          <w:rtl w:val="true"/>
        </w:rPr>
        <w:t>نوآوری در سواد آموزی و مهارت ها مشارکت در کانادا</w:t>
      </w:r>
      <w:bookmarkEnd w:id="64"/>
    </w:p>
    <w:p>
      <w:pPr>
        <w:pStyle w:val="Heading3"/>
        <w:numPr>
          <w:ilvl w:val="2"/>
          <w:numId w:val="1"/>
        </w:numPr>
        <w:rPr/>
      </w:pPr>
      <w:bookmarkStart w:id="65" w:name="__RefHeading___Toc7825257_2870459653"/>
      <w:bookmarkStart w:id="66" w:name="_Toc23"/>
      <w:bookmarkEnd w:id="65"/>
      <w:r>
        <w:rPr>
          <w:rtl w:val="true"/>
        </w:rPr>
        <w:t>اشاره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نوآوری در سواد آموزی و مهارت ها مشارکت در کانادا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نوشته شارون هکت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مریم اسدی </w:t>
      </w:r>
      <w:r>
        <w:rPr>
          <w:rStyle w:val="FootnoteAnchor"/>
          <w:rtl w:val="true"/>
        </w:rPr>
        <w:footnoteReference w:id="100"/>
      </w:r>
    </w:p>
    <w:p>
      <w:pPr>
        <w:pStyle w:val="Heading3"/>
        <w:numPr>
          <w:ilvl w:val="2"/>
          <w:numId w:val="1"/>
        </w:numPr>
        <w:rPr/>
      </w:pPr>
      <w:bookmarkStart w:id="67" w:name="__RefHeading___Toc7825259_2870459653"/>
      <w:bookmarkStart w:id="68" w:name="_Toc24"/>
      <w:bookmarkEnd w:id="67"/>
      <w:r>
        <w:rPr/>
        <w:t>1</w:t>
      </w:r>
      <w:r>
        <w:rPr>
          <w:rtl w:val="true"/>
        </w:rPr>
        <w:t xml:space="preserve">. </w:t>
      </w:r>
      <w:r>
        <w:rPr>
          <w:rtl w:val="true"/>
        </w:rPr>
        <w:t>مقدمه</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کتاب خانه ملی کانادا سابقه طولانی کاری در هم کاری برای توسعه سواد آموزی و مهارت های مقدماتی بزرگ سالان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خانه مرکز اسناد آموزش بزرگسالان و زنان </w:t>
      </w:r>
      <w:r>
        <w:rPr>
          <w:rStyle w:val="FootnoteAnchor"/>
          <w:rtl w:val="true"/>
        </w:rPr>
        <w:footnoteReference w:id="1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خانه یک مرکز اسناد به زبان فرانسه است که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آموزش بزرگ سالان، سواد آموزی و مهارت های بزرگ سالان و موضوعات زنان تخصص دارد و بر الگو مشارکت برای توسعه مجموعه های اسنادش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مضامین اصلی در مجموعه اش با مشارکت با شرکای متخصص یا عضو سرمایه گذار، افرادی که به سرمایه گذاری برای خرید مدارک کمک می کند و افرادی که در شناسایی روندها و اولویت ها در حوزه های موضوعی مختلف تجربه دارند،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آموزش بزرگ سالان و زنان طیفی از خدمات اسنادی مناسب عرضه می کند و یکی از نقاط قوت این مرکز ارائه خدمات رقومی و خدمات و 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از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این مرکز به صورت پیوسته و در قالب دسترسی باز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آموزش بزرگ سالان و زنان </w:t>
      </w:r>
    </w:p>
    <w:p>
      <w:pPr>
        <w:pStyle w:val="BookText"/>
        <w:rPr/>
      </w:pPr>
      <w:r>
        <w:rPr>
          <w:rFonts w:ascii="IRNazanin" w:hAnsi="IRNazanin" w:eastAsia="IRNazanin"/>
          <w:color w:val="111111"/>
          <w:sz w:val="28"/>
          <w:sz w:val="28"/>
          <w:szCs w:val="28"/>
          <w:rtl w:val="true"/>
          <w:lang w:bidi="fa-IR"/>
        </w:rPr>
        <w:t>آموزش فنی از طریق وبینار و آموزش از راه دور به علاوه خدمات در معماری اطلاعات، توسعه پایگاه اطلاعاتی و کنترل اطلاعات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گاه خود را توسعه داده و پنج بولتن ماهانه اش به دست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کتاب خانه در این مشارکت مرکز سواد آموزی </w:t>
      </w:r>
      <w:r>
        <w:rPr>
          <w:rStyle w:val="FootnoteAnchor"/>
          <w:rtl w:val="true"/>
        </w:rPr>
        <w:footnoteReference w:id="102"/>
      </w:r>
      <w:r>
        <w:rPr>
          <w:rFonts w:ascii="IRNazanin" w:hAnsi="IRNazanin" w:eastAsia="IRNazanin"/>
          <w:color w:val="111111"/>
          <w:sz w:val="28"/>
          <w:sz w:val="28"/>
          <w:szCs w:val="28"/>
          <w:rtl w:val="true"/>
          <w:lang w:bidi="fa-IR"/>
        </w:rPr>
        <w:t>، یک مرکز ملی منابع انگلیسی زبان برای یادگیری سواد و توسعه مهارت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مرکز خود را به عنوان سازمان برجسته سواد آموزی کانادا توصیف می کند، فعالیت ها و توسعه هدفمند خط مشی ها در سواد آموزی و مهارت های لازم را با ایجاد پلی بین پژوهش، خط مشی ها و فعالیت ها پشتیبانی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سواد آموزی،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برای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نهادهای تابستانی و پاییزی را سازمان دهی کرد که امکان ملاقات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 شاغل و سیاستمدار از سراسر دنیا را فراهم کرد تا دانش و فعالیت های صورت گرفته در موضوعات مربوط به روندهای جاری در سواد آموزی را به اشتراک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برای توسعه سواد آموزی و مهارت ها </w:t>
      </w:r>
      <w:r>
        <w:rPr>
          <w:rStyle w:val="FootnoteAnchor"/>
          <w:rtl w:val="true"/>
        </w:rPr>
        <w:footnoteReference w:id="103"/>
      </w:r>
      <w:r>
        <w:rPr>
          <w:rFonts w:ascii="IRNazanin" w:hAnsi="IRNazanin" w:eastAsia="IRNazanin"/>
          <w:color w:val="111111"/>
          <w:sz w:val="28"/>
          <w:sz w:val="28"/>
          <w:szCs w:val="28"/>
          <w:rtl w:val="true"/>
          <w:lang w:bidi="fa-IR"/>
        </w:rPr>
        <w:t>، سازمان همتا دیگری است که گروه ها و انجمن های فرانسه زبانی که علاقه مند به سواد آموزی در کانادا هستند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برای توسعه سواد آموزی و مهارت ها در طول دو سال گذشته، تلاش کرده است تا روشی یک پارچه و مبتنی بر شواهد را برای توسعه مهارت ها در یاد گیرندگان کم سواد فراهم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اسناد آموزش بزرگسالان و زنان با این دو سازمان در بافت های مختلف برای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مشارکت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شبکه برای توسعه سواد آموزی و مهارت ها و مرکز اسناد آموزش بزرگ سالان و زنان با یک دیگر کار کرده تا بخش سواد آموزی کانادا را که در پژوهش های زبان فرانسوی شناخت دارد راه 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نتایج ارزشمند این مشارکت شامل تولید در راهنمای آموزشی کُمپاس </w:t>
      </w:r>
      <w:r>
        <w:rPr>
          <w:rStyle w:val="FootnoteAnchor"/>
          <w:rtl w:val="true"/>
        </w:rPr>
        <w:footnoteReference w:id="104"/>
      </w:r>
      <w:r>
        <w:rPr>
          <w:rFonts w:ascii="IRNazanin" w:hAnsi="IRNazanin" w:eastAsia="IRNazanin"/>
          <w:color w:val="111111"/>
          <w:sz w:val="28"/>
          <w:sz w:val="28"/>
          <w:szCs w:val="28"/>
          <w:rtl w:val="true"/>
          <w:lang w:bidi="fa-IR"/>
        </w:rPr>
        <w:t xml:space="preserve">، در پژوهشگران و در پژوهش در زمینه سواد و مهارت ها و 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اولین مجموعه جامع کانادایی برای پژوهشگران زبان فرانسه در حوزه سواد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سواد آموزی و مرکز اسناد آموزش بزرگ سالان و زنان در ابتدا با یک دیگر کار کرده اند تا از عمل کرد کتاب خانه ها و مراکز پژوهشی در بخش توسعه سواد آموزی و مهارت ها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آن ها در تعریف این نقش منجر به طرحی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توسعه منابع و مهارت های انسانی کانادا به عنوان مرکز تجربه در سواد آموزی بزرگ سالان و مهارت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سه سازمان درصد مشارکت گسترده تر و ساختار یافته تری به منظور ترکیب بهتر نیروهایشان برای کاهش بودجه بوده اند</w:t>
      </w:r>
      <w:r>
        <w:rPr>
          <w:rFonts w:eastAsia="IRNazanin" w:cs="IRNazanin"/>
          <w:color w:val="111111"/>
          <w:sz w:val="28"/>
          <w:szCs w:val="28"/>
          <w:rtl w:val="true"/>
          <w:lang w:bidi="fa-IR"/>
        </w:rPr>
        <w:t xml:space="preserve">. </w:t>
      </w:r>
      <w:bookmarkStart w:id="69" w:name="pg9659_93847"/>
    </w:p>
    <w:p>
      <w:pPr>
        <w:pStyle w:val="Heading3"/>
        <w:numPr>
          <w:ilvl w:val="2"/>
          <w:numId w:val="1"/>
        </w:numPr>
        <w:rPr/>
      </w:pPr>
      <w:bookmarkStart w:id="70" w:name="__RefHeading___Toc7825261_2870459653"/>
      <w:bookmarkStart w:id="71" w:name="_Toc25"/>
      <w:bookmarkEnd w:id="69"/>
      <w:bookmarkEnd w:id="70"/>
      <w:r>
        <w:rPr/>
        <w:t>2</w:t>
      </w:r>
      <w:r>
        <w:rPr>
          <w:rtl w:val="true"/>
        </w:rPr>
        <w:t xml:space="preserve">. </w:t>
      </w:r>
      <w:r>
        <w:rPr>
          <w:rtl w:val="true"/>
        </w:rPr>
        <w:t>مشارکت جدید در بافت جدید</w:t>
      </w:r>
      <w:bookmarkEnd w:id="7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دفتر سواد آموزی و مهارت های ضروری </w:t>
      </w:r>
      <w:r>
        <w:rPr>
          <w:rStyle w:val="FootnoteAnchor"/>
          <w:rtl w:val="true"/>
        </w:rPr>
        <w:footnoteReference w:id="105"/>
      </w:r>
      <w:r>
        <w:rPr>
          <w:rFonts w:ascii="IRNazanin" w:hAnsi="IRNazanin" w:eastAsia="IRNazanin"/>
          <w:color w:val="111111"/>
          <w:sz w:val="28"/>
          <w:sz w:val="28"/>
          <w:szCs w:val="28"/>
          <w:rtl w:val="true"/>
          <w:lang w:bidi="fa-IR"/>
        </w:rPr>
        <w:t>، موسسه فدرال مسئول توسعه و سرمایه گذاری بخش، تغییرات مهمی در ساختار برنامه اش پیشنهاد کرد و آن امکان دیگری برای هر سازمان بود تا فعالیت خود را به طور مستقل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جدید امکان ملاقات سازمان های ملی را فراهم کرد تا راهبردهای جدید همکاری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سرمایه گذاری، پیشنهاده هایی برای تکمیل چهار کارکرد اصلی اطلاعات، پژوهش، نو آوری و روابط مورد 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سازمان ملی قوای خود را برای تشکیل هسته مشارکت با تأکید بر توسعه مداوم خدمات در بافت های اقلیت زبان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کشوری با دو زبان رسمی، کانادا اقلیت هایی در هر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 قلمر و اقلیت ها فرانسوی زبان هستند، در حالی که در کیک مردم انگلیسی زبان اند که در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کامل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سه سازمان ملی سواد آموزی، سه سازمان ذکر شده در بالا، اعضای مرکز اسناد آموزش بزرگ سالان و زنان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ایالتی و قلمرویی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فراهم کنندگان خدمات و اعضای با تجربه تخصصی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مقاله تنها بر سه شریکی که سازمان های ملی سواد آموزی و مهارت ها هستند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در زیر معرفی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آموزش بزرگ سالان و زنان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نقش رهبری در مشارکت در کارکرد اطلاعات </w:t>
      </w:r>
      <w:r>
        <w:rPr>
          <w:rStyle w:val="FootnoteAnchor"/>
          <w:rtl w:val="true"/>
        </w:rPr>
        <w:footnoteReference w:id="1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کنشگران اصلی را در موضوعات مرتبط با توسعه سواد آموزی و مهارت ها، به ویژه در بافت های اقلیت زبان مطلع نگه می دارد و اشاعه و دسترسی به اطلاعات، محصولات، منابع و بهترین فعالیت ها را تسهیل و هماهنگ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سوادآموزی دارای نقش رهبری در مشارکت به طور مشترک با موسسه کانادایی در پژوهش درباره اقلیت های زبانی در کارکرد پژوهشی </w:t>
      </w:r>
      <w:r>
        <w:rPr>
          <w:rStyle w:val="FootnoteAnchor"/>
          <w:rtl w:val="true"/>
        </w:rPr>
        <w:footnoteReference w:id="1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ها طرح های مهم پژوهشی و اشاعه نتایج پژوهششان را با تعداد بیشتر و متنوع تری از کنشگرها توسعه می دهند و پیشتبانی 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برای توسعه سواد آموزی و مهارت ها رهبر مشارکت است و دارای نقش رهبری در کار کرد نوآوری </w:t>
      </w:r>
      <w:r>
        <w:rPr>
          <w:rStyle w:val="FootnoteAnchor"/>
          <w:rtl w:val="true"/>
        </w:rPr>
        <w:footnoteReference w:id="1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سازمان ترویج، تعریف، توسعه و تبلیغ طرح ها، برنامه ها و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برای توسعه سواد آموزی و مهارت ها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روش های مؤثرتر و اثر بخش تر را با توجه به موضوع توسعه مهارت ها در بافت های اقلیت زبان ترویج می کند؛ به سرمایه گذاری انتقال برنامه ها و خدمات مناسب برای اشخاص در بافت های اقلیت زبان کمک می کند و به توسعه </w:t>
      </w:r>
      <w:bookmarkStart w:id="72" w:name="pg9659_93848"/>
    </w:p>
    <w:p>
      <w:pPr>
        <w:pStyle w:val="BookText"/>
        <w:rPr/>
      </w:pPr>
      <w:bookmarkEnd w:id="72"/>
      <w:r>
        <w:rPr>
          <w:rFonts w:ascii="IRNazanin" w:hAnsi="IRNazanin" w:eastAsia="IRNazanin"/>
          <w:color w:val="111111"/>
          <w:sz w:val="28"/>
          <w:sz w:val="28"/>
          <w:szCs w:val="28"/>
          <w:rtl w:val="true"/>
          <w:lang w:bidi="fa-IR"/>
        </w:rPr>
        <w:t xml:space="preserve">مهارت ها در سازمان ها و برای کارکنانشان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طراحان، معلمان و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کار کرد، یعنی روابط </w:t>
      </w:r>
      <w:r>
        <w:rPr>
          <w:rStyle w:val="FootnoteAnchor"/>
          <w:rtl w:val="true"/>
        </w:rPr>
        <w:footnoteReference w:id="109"/>
      </w:r>
      <w:r>
        <w:rPr>
          <w:rFonts w:ascii="IRNazanin" w:hAnsi="IRNazanin" w:eastAsia="IRNazanin"/>
          <w:color w:val="111111"/>
          <w:sz w:val="28"/>
          <w:sz w:val="28"/>
          <w:szCs w:val="28"/>
          <w:rtl w:val="true"/>
          <w:lang w:bidi="fa-IR"/>
        </w:rPr>
        <w:t>، به دو شرکای کاری شامل شبکه ملی توسعه اقتصادی فرانسه زبان و شرکت توسعه اقتصادی جامعه و قابلیت استخدام که بر جامعه انگلیسی زبان کبک تأکید دارد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بافت روابط به معنی ایجاد روابط پر معنی، جامع و طولانی مدت و مؤثر بین سازمان هایی است که با نظام یادگیری و در بازار کارگری به منظور تسهیل در پیاده سازی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آموزش راهبردی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راهبردی کار برای ترویج مهارت ها فعالیت می کنند</w:t>
      </w:r>
      <w:r>
        <w:rPr>
          <w:rFonts w:eastAsia="IRNazanin" w:cs="IRNazanin"/>
          <w:color w:val="111111"/>
          <w:sz w:val="28"/>
          <w:szCs w:val="28"/>
          <w:rtl w:val="true"/>
          <w:lang w:bidi="fa-IR"/>
        </w:rPr>
        <w:t>.</w:t>
      </w:r>
    </w:p>
    <w:p>
      <w:pPr>
        <w:pStyle w:val="Heading3"/>
        <w:numPr>
          <w:ilvl w:val="2"/>
          <w:numId w:val="1"/>
        </w:numPr>
        <w:rPr/>
      </w:pPr>
      <w:bookmarkStart w:id="73" w:name="__RefHeading___Toc7825263_2870459653"/>
      <w:bookmarkStart w:id="74" w:name="_Toc26"/>
      <w:bookmarkEnd w:id="73"/>
      <w:r>
        <w:rPr/>
        <w:t>3</w:t>
      </w:r>
      <w:r>
        <w:rPr>
          <w:rtl w:val="true"/>
        </w:rPr>
        <w:t xml:space="preserve">. </w:t>
      </w:r>
      <w:r>
        <w:rPr>
          <w:rtl w:val="true"/>
        </w:rPr>
        <w:t>همکاری اولیه</w:t>
      </w:r>
      <w:r>
        <w:rPr>
          <w:rtl w:val="true"/>
        </w:rPr>
        <w:t xml:space="preserve">: </w:t>
      </w:r>
      <w:r>
        <w:rPr>
          <w:rtl w:val="true"/>
        </w:rPr>
        <w:t>آمادگی برای برنامه بین المللی ارزیابی قابلیت های بزرگسالان</w:t>
      </w:r>
      <w:bookmarkEnd w:id="74"/>
    </w:p>
    <w:p>
      <w:pPr>
        <w:pStyle w:val="BookText"/>
        <w:rPr/>
      </w:pPr>
      <w:r>
        <w:rPr>
          <w:rFonts w:ascii="IRNazanin" w:hAnsi="IRNazanin" w:eastAsia="IRNazanin"/>
          <w:color w:val="111111"/>
          <w:sz w:val="28"/>
          <w:sz w:val="28"/>
          <w:szCs w:val="28"/>
          <w:rtl w:val="true"/>
          <w:lang w:bidi="fa-IR"/>
        </w:rPr>
        <w:t xml:space="preserve">گرچه مشارکت پیشنهادی در موسسه ملی اگر پذیرفته شود، در اواسط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سه شرکای سواد آموزی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آموزش بزرگ سالان و زنان، شبکه برای توسعه سواد آموزی و مهارت ها، مرکز سواد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برای همکاری در طرح های موجود شروع کردند این مقاله برای اولین بار چنین همکاری را حول برنامه بین المللی ارزیابی قابلیت های بزرگسالان </w:t>
      </w:r>
      <w:r>
        <w:rPr>
          <w:rStyle w:val="FootnoteAnchor"/>
          <w:rtl w:val="true"/>
        </w:rPr>
        <w:footnoteReference w:id="110"/>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فعالان حوزه سواد آموزی بزرگ سالان بدون شک با ارزیابی های سازمان توسعه و همکاری اقتصادی </w:t>
      </w:r>
      <w:r>
        <w:rPr>
          <w:rStyle w:val="FootnoteAnchor"/>
          <w:rtl w:val="true"/>
        </w:rPr>
        <w:footnoteReference w:id="111"/>
      </w:r>
      <w:r>
        <w:rPr>
          <w:rFonts w:ascii="IRNazanin" w:hAnsi="IRNazanin" w:eastAsia="IRNazanin"/>
          <w:color w:val="111111"/>
          <w:sz w:val="28"/>
          <w:sz w:val="28"/>
          <w:szCs w:val="28"/>
          <w:rtl w:val="true"/>
          <w:lang w:bidi="fa-IR"/>
        </w:rPr>
        <w:t xml:space="preserve">آشنا هستند و برنامه بین المللی ارزیابی قابلیت های بزرگسالان سومین مجموعه ای است که شامل پیمایش بین المللی سواد بزرگسالان </w:t>
      </w:r>
      <w:r>
        <w:rPr>
          <w:rStyle w:val="FootnoteAnchor"/>
          <w:rtl w:val="true"/>
        </w:rPr>
        <w:footnoteReference w:id="112"/>
      </w:r>
      <w:r>
        <w:rPr>
          <w:rFonts w:ascii="IRNazanin" w:hAnsi="IRNazanin" w:eastAsia="IRNazanin"/>
          <w:color w:val="111111"/>
          <w:sz w:val="28"/>
          <w:sz w:val="28"/>
          <w:szCs w:val="28"/>
          <w:rtl w:val="true"/>
          <w:lang w:bidi="fa-IR"/>
        </w:rPr>
        <w:t xml:space="preserve">و پیمایش مهارت های زندگی و سواد بزرگسالان </w:t>
      </w:r>
      <w:r>
        <w:rPr>
          <w:rStyle w:val="FootnoteAnchor"/>
          <w:rtl w:val="true"/>
        </w:rPr>
        <w:footnoteReference w:id="1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کانادا در برنامه بین المللی ارزیابی قابلیت های بزرگ سالان، با نمونه گیری گسترده در چندین بخش جامعه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ذینفعان از سراسر کشور شامل سیاستمداران، سازمان های ایالتی،</w:t>
      </w:r>
    </w:p>
    <w:p>
      <w:pPr>
        <w:pStyle w:val="BookText"/>
        <w:rPr/>
      </w:pPr>
      <w:r>
        <w:rPr>
          <w:rFonts w:ascii="IRNazanin" w:hAnsi="IRNazanin" w:eastAsia="IRNazanin"/>
          <w:color w:val="111111"/>
          <w:sz w:val="28"/>
          <w:sz w:val="28"/>
          <w:szCs w:val="28"/>
          <w:rtl w:val="true"/>
          <w:lang w:bidi="fa-IR"/>
        </w:rPr>
        <w:t>سازمان های ملی و پژوهشگران همگی بسیار علاقه مند ارزیابی و نتایج آن بودند که موضوع مناسبی برای مشارکت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کارکردهای مشارکت با پاسخ های کانادایی ها به ارزیابی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سه شرکای ملی در زمان انجام پیمایشبین المللی سواد بزرگ سالان و پیمایش مهارت های زندگی و سواد بزرگ سالان فعال بوده اند و در اشاعه نتایج، چارچوب بندی واکنش ها و ارائه پژوهش تجربه داشتند، اما این اولین موقعیتی بود که در آن آن ها با یک دیگر از نزدیک و با هر دو زبان فعالیت می کردند</w:t>
      </w:r>
      <w:r>
        <w:rPr>
          <w:rFonts w:eastAsia="IRNazanin" w:cs="IRNazanin"/>
          <w:color w:val="111111"/>
          <w:sz w:val="28"/>
          <w:szCs w:val="28"/>
          <w:rtl w:val="true"/>
          <w:lang w:bidi="fa-IR"/>
        </w:rPr>
        <w:t>.</w:t>
      </w:r>
    </w:p>
    <w:p>
      <w:pPr>
        <w:pStyle w:val="Heading3"/>
        <w:numPr>
          <w:ilvl w:val="2"/>
          <w:numId w:val="1"/>
        </w:numPr>
        <w:rPr/>
      </w:pPr>
      <w:bookmarkStart w:id="75" w:name="__RefHeading___Toc7825265_2870459653"/>
      <w:bookmarkStart w:id="76" w:name="_Toc27"/>
      <w:bookmarkEnd w:id="75"/>
      <w:r>
        <w:rPr/>
        <w:t>4</w:t>
      </w:r>
      <w:r>
        <w:rPr>
          <w:rtl w:val="true"/>
        </w:rPr>
        <w:t xml:space="preserve">. </w:t>
      </w:r>
      <w:r>
        <w:rPr>
          <w:rtl w:val="true"/>
        </w:rPr>
        <w:t>مشارکت در اشاعه اطلاعات تا کار برای سازمان های سواد آموزی</w:t>
      </w:r>
      <w:bookmarkEnd w:id="76"/>
    </w:p>
    <w:p>
      <w:pPr>
        <w:pStyle w:val="Heading4"/>
        <w:numPr>
          <w:ilvl w:val="3"/>
          <w:numId w:val="1"/>
        </w:numPr>
        <w:rPr/>
      </w:pPr>
      <w:bookmarkStart w:id="77" w:name="__RefHeading___Toc7825267_2870459653"/>
      <w:bookmarkStart w:id="78" w:name="_Toc28"/>
      <w:bookmarkEnd w:id="77"/>
      <w:r>
        <w:rPr>
          <w:rtl w:val="true"/>
        </w:rPr>
        <w:t>اشاره</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عينى شركاء تضمین این بود که جامعه کانادایی، هم فرانسوی زبان هم انگلیسی زبان، </w:t>
      </w:r>
    </w:p>
    <w:p>
      <w:pPr>
        <w:pStyle w:val="BookText"/>
        <w:rPr/>
      </w:pPr>
      <w:r>
        <w:rPr>
          <w:rFonts w:ascii="IRNazanin" w:hAnsi="IRNazanin" w:eastAsia="IRNazanin"/>
          <w:color w:val="111111"/>
          <w:sz w:val="28"/>
          <w:sz w:val="28"/>
          <w:szCs w:val="28"/>
          <w:rtl w:val="true"/>
          <w:lang w:bidi="fa-IR"/>
        </w:rPr>
        <w:t>فهم خوبی از برنامه بین المللی ارزیابی قابلیت های بزرگسالان، ابزارهای اندازه گیری جدید، رابطه آن با ارزیابی های قبلی سازمان توسعه و همکاری اقتصادی و سایر روش ها برای سنجش سواد و مهارت های بزرگ سالان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مرکز اسناد آموزش بزرگ سالان و زنان نظارت و اشاعه اطلاعات با توجه به برنامه بین المللی ارزیابی قابلیت های بزرگسالان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مرکز اسناد آموزش بزرگ سالان و زنان ابزارهایی فراهم کرد تا به درک کاربرانش کمک کند و مفاهیم مرتبط با برنامه را مناسب سازد، اولین ابزار پرونده ویژه </w:t>
      </w:r>
      <w:r>
        <w:rPr>
          <w:rStyle w:val="FootnoteAnchor"/>
          <w:rtl w:val="true"/>
        </w:rPr>
        <w:footnoteReference w:id="114"/>
      </w:r>
      <w:r>
        <w:rPr>
          <w:rFonts w:ascii="IRNazanin" w:hAnsi="IRNazanin" w:eastAsia="IRNazanin"/>
          <w:color w:val="111111"/>
          <w:sz w:val="28"/>
          <w:sz w:val="28"/>
          <w:szCs w:val="28"/>
          <w:rtl w:val="true"/>
          <w:lang w:bidi="fa-IR"/>
        </w:rPr>
        <w:t xml:space="preserve">با اطلاعات زمینه ای و مدارک هسته، خبرها و فیدهای توییتر و مجموعه پرسش های متداول </w:t>
      </w:r>
      <w:r>
        <w:rPr>
          <w:rStyle w:val="FootnoteAnchor"/>
          <w:rtl w:val="true"/>
        </w:rPr>
        <w:footnoteReference w:id="115"/>
      </w:r>
      <w:r>
        <w:rPr>
          <w:rFonts w:ascii="IRNazanin" w:hAnsi="IRNazanin" w:eastAsia="IRNazanin"/>
          <w:color w:val="111111"/>
          <w:sz w:val="28"/>
          <w:sz w:val="28"/>
          <w:szCs w:val="28"/>
          <w:rtl w:val="true"/>
          <w:lang w:bidi="fa-IR"/>
        </w:rPr>
        <w:t>بود که به سازمان های سواد آموزی و مهارت ها کمک خواهد کرد تا به پرسش ها از رسانه ها درباره سواد در کل و درباره سواد و مهارت ها در میان فرانسوی زبانان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ابزار رویکرد جدیدی در مرکز اسناد آموزش بزرگسالان و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مرکز اسناد آموزش بزرگسالان و زنان گام بیشتری در تبیین موضوع پرونده برداشت، ایجاد اینفوگرافیک </w:t>
      </w:r>
      <w:r>
        <w:rPr>
          <w:rStyle w:val="FootnoteAnchor"/>
          <w:rtl w:val="true"/>
        </w:rPr>
        <w:footnoteReference w:id="116"/>
      </w:r>
      <w:r>
        <w:rPr>
          <w:rFonts w:ascii="IRNazanin" w:hAnsi="IRNazanin" w:eastAsia="IRNazanin"/>
          <w:color w:val="111111"/>
          <w:sz w:val="28"/>
          <w:sz w:val="28"/>
          <w:szCs w:val="28"/>
          <w:rtl w:val="true"/>
          <w:lang w:bidi="fa-IR"/>
        </w:rPr>
        <w:t>که در برنامه</w:t>
      </w:r>
    </w:p>
    <w:p>
      <w:pPr>
        <w:pStyle w:val="BookText"/>
        <w:rPr/>
      </w:pPr>
      <w:r>
        <w:rPr>
          <w:rFonts w:ascii="IRNazanin" w:hAnsi="IRNazanin" w:eastAsia="IRNazanin"/>
          <w:color w:val="111111"/>
          <w:sz w:val="28"/>
          <w:sz w:val="28"/>
          <w:szCs w:val="28"/>
          <w:rtl w:val="true"/>
          <w:lang w:bidi="fa-IR"/>
        </w:rPr>
        <w:t>بین الملی ارزیابی قابلیت های بزرگسالان در بافت ارزیابی های قبلی استفاده شد و پیوند موضوعات مهم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تبلیغاتی پرونده ویژه و اینفوگرافیک درباره برنامه بین المللی ارزیابی قابلیت های بزرگ سالان ارسالی به اعضا و مشترکان مرکز اسناد آموزش بزرگ سالان و زنان </w:t>
      </w:r>
      <w:bookmarkStart w:id="79" w:name="pg9659_93850"/>
    </w:p>
    <w:p>
      <w:pPr>
        <w:pStyle w:val="BookText"/>
        <w:rPr/>
      </w:pPr>
      <w:bookmarkEnd w:id="79"/>
      <w:r>
        <w:rPr>
          <w:rFonts w:ascii="IRNazanin" w:hAnsi="IRNazanin" w:eastAsia="IRNazanin"/>
          <w:color w:val="111111"/>
          <w:sz w:val="28"/>
          <w:sz w:val="28"/>
          <w:szCs w:val="28"/>
          <w:rtl w:val="true"/>
          <w:lang w:bidi="fa-IR"/>
        </w:rPr>
        <w:t>سرانجام، همان طور که زمان انتشار نتایج نزدیک شد، مرکز اسناد آموزش بزرگ سالان و زنان با شبکه برای توسعه سواد و مهارت ها کار کردند تا تضمین کنند که سازمان های محلی و منطقه ای در سراسر کانادا آماده باشند تا زمانی که برنامه بین المللی ارزیابی قابلیت های بزرگسالان عرضه می شوند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برای توسعه سواد آموزی و مهارت ها مجموعه فراهمایی های تلفنی با اعضایش برگزار کرد که در آن مرکز اسناد آموزش بزرگ سالان و زنان دعوت شدند تا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کتاب دار مقیم </w:t>
      </w:r>
      <w:r>
        <w:rPr>
          <w:rStyle w:val="FootnoteAnchor"/>
          <w:rtl w:val="true"/>
        </w:rPr>
        <w:footnoteReference w:id="117"/>
      </w:r>
      <w:r>
        <w:rPr>
          <w:rFonts w:ascii="IRNazanin" w:hAnsi="IRNazanin" w:eastAsia="IRNazanin"/>
          <w:color w:val="111111"/>
          <w:sz w:val="28"/>
          <w:sz w:val="28"/>
          <w:szCs w:val="28"/>
          <w:rtl w:val="true"/>
          <w:lang w:bidi="fa-IR"/>
        </w:rPr>
        <w:t>، مرکز اسناد آموزش بزرگ سالان و زنان قادر بود تا نیازهای اطلاعاتی شبکه برای توسعه سواد آموزی و مهارت ها و سازمان های عضوش را بهتر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سازمان های عضو درباره ابزارهای مرکز اسناد آموزش بزرگ سالان و زنان که توسعه یافته بود آموزش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مطالب مطبوعاتی مقدماتی انتشار دادند که با گروه های ایالتی، منطقه ای یا محلی هماهنگ شد و زمانی که نتایج منتشر شد، برای رسانه های محلی فرستاده شد</w:t>
      </w:r>
      <w:r>
        <w:rPr>
          <w:rFonts w:eastAsia="IRNazanin" w:cs="IRNazanin"/>
          <w:color w:val="111111"/>
          <w:sz w:val="28"/>
          <w:szCs w:val="28"/>
          <w:rtl w:val="true"/>
          <w:lang w:bidi="fa-IR"/>
        </w:rPr>
        <w:t>.</w:t>
      </w:r>
    </w:p>
    <w:p>
      <w:pPr>
        <w:pStyle w:val="Heading4"/>
        <w:numPr>
          <w:ilvl w:val="3"/>
          <w:numId w:val="1"/>
        </w:numPr>
        <w:rPr/>
      </w:pPr>
      <w:bookmarkStart w:id="80" w:name="__RefHeading___Toc7825269_2870459653"/>
      <w:bookmarkStart w:id="81" w:name="_Toc29"/>
      <w:bookmarkEnd w:id="80"/>
      <w:r>
        <w:rPr>
          <w:rtl w:val="true"/>
        </w:rPr>
        <w:t>نتایج</w:t>
      </w:r>
      <w:bookmarkEnd w:id="81"/>
    </w:p>
    <w:p>
      <w:pPr>
        <w:pStyle w:val="Heading3"/>
        <w:numPr>
          <w:ilvl w:val="2"/>
          <w:numId w:val="1"/>
        </w:numPr>
        <w:rPr/>
      </w:pPr>
      <w:bookmarkStart w:id="82" w:name="__RefHeading___Toc7825271_2870459653"/>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هر یک از این عناصر بیان شده به طور جداگانه تا اندازه ای، به قابلیت سازمان ها در پاسخ به برنامه بین المللی ارزیابی قابلیت های بزرگ سالان کمک کرده است، اما در مشارکت با یک دیگر بسیار مؤثرتر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اینفوگرافیک موجب سواد آموزی و مهارت های مقدماتی طولانی به کارگران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هسته برای کمک به آن ها پیوست شد تا در کشان اصلاح شود و فیدهای خبری به آن ها امکان داد تا ببینند که چه اطلاعاتی درباره برنامه بین المللی ارزیابی قابلیت های بزرگسالان، در سراسر جهان، حتی قبل از آن که نتایج انتشار باید، در حال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سازمان های محلی و ایالتی نشریات خود را در اکتبر در زمان انتشار نتایج برنامه بین المللی ارزیابی قابلیت های بزرگسالان ارسال کردند و رسانه ها با کارشناسان آگاه و مطلع از سازمان های توسعه سواد آموزی و مهارت ها ارتباط برقرار کردند</w:t>
      </w:r>
      <w:r>
        <w:rPr>
          <w:rFonts w:eastAsia="IRNazanin" w:cs="IRNazanin"/>
          <w:color w:val="111111"/>
          <w:sz w:val="28"/>
          <w:szCs w:val="28"/>
          <w:rtl w:val="true"/>
          <w:lang w:bidi="fa-IR"/>
        </w:rPr>
        <w:t>.</w:t>
      </w:r>
    </w:p>
    <w:p>
      <w:pPr>
        <w:pStyle w:val="Heading3"/>
        <w:numPr>
          <w:ilvl w:val="2"/>
          <w:numId w:val="1"/>
        </w:numPr>
        <w:rPr/>
      </w:pPr>
      <w:bookmarkStart w:id="84" w:name="__RefHeading___Toc7825273_2870459653"/>
      <w:bookmarkStart w:id="85" w:name="_Toc31"/>
      <w:bookmarkEnd w:id="84"/>
      <w:r>
        <w:rPr/>
        <w:t>5</w:t>
      </w:r>
      <w:r>
        <w:rPr>
          <w:rtl w:val="true"/>
        </w:rPr>
        <w:t xml:space="preserve">. </w:t>
      </w:r>
      <w:r>
        <w:rPr>
          <w:rtl w:val="true"/>
        </w:rPr>
        <w:t>مشارکت در اشتراک پژوهش و تجربه اندوزی</w:t>
      </w:r>
      <w:bookmarkEnd w:id="85"/>
    </w:p>
    <w:p>
      <w:pPr>
        <w:pStyle w:val="Heading4"/>
        <w:numPr>
          <w:ilvl w:val="3"/>
          <w:numId w:val="1"/>
        </w:numPr>
        <w:rPr/>
      </w:pPr>
      <w:bookmarkStart w:id="86" w:name="__RefHeading___Toc7825275_2870459653"/>
      <w:bookmarkStart w:id="87" w:name="_Toc32"/>
      <w:bookmarkEnd w:id="86"/>
      <w:r>
        <w:rPr>
          <w:rtl w:val="true"/>
        </w:rPr>
        <w:t>اشاره</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بین المللی ارزیابی قابلیت های بزرگ سالان اخیراً در یک مجموعه بزرگ نظرسنجی های سواد آموزی و مهارت ها است که پژوهش بیشتر در کشورهای سازمان توسعه و همکاری اقتصادی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اهمیت برنامه بین المللی ارزیابی قابلیت های بزرگ سالان به پژوهش، بدون شک کار کرد پژوهش در رویکرد شرکاء در پذیرش نظر سنجی جدید در کانادا مهم </w:t>
      </w:r>
      <w:bookmarkStart w:id="88" w:name="pg9659_93851"/>
    </w:p>
    <w:p>
      <w:pPr>
        <w:pStyle w:val="BookText"/>
        <w:rPr/>
      </w:pPr>
      <w:bookmarkEnd w:id="8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بسیار علاقه مند بودند با استفاده از تجربه خوب مرکز سواد آموزی موسسه سامر را در برنامه بین المللی ارزیابی قابلیت های بزرگسالان سازمان 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مؤسسات رویدادهایی هستند که پژوهشگران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دانشگاه، مشاوران و تحلیلگران پژوهش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وکلا و شرکاء از بخش های مختلف که علاقه مند به افزایش دانش خود درباره روندهای جاری توسعه سواد آموزی و مهارت ها هستند یک جا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ایجاد مشارکت بین سه سازمان ملی، شرکاء قادر بودند تا رویداد دوزبانه ای را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سواد آموزی از کمیته رهبری برای جهت دهی هر موسسه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رهبری موسسه سامر </w:t>
      </w:r>
      <w:r>
        <w:rPr>
          <w:rStyle w:val="FootnoteAnchor"/>
          <w:rtl w:val="true"/>
        </w:rPr>
        <w:footnoteReference w:id="118"/>
      </w:r>
      <w:r>
        <w:rPr>
          <w:rFonts w:ascii="IRNazanin" w:hAnsi="IRNazanin" w:eastAsia="IRNazanin"/>
          <w:color w:val="111111"/>
          <w:sz w:val="28"/>
          <w:sz w:val="28"/>
          <w:szCs w:val="28"/>
          <w:rtl w:val="true"/>
          <w:lang w:bidi="fa-IR"/>
        </w:rPr>
        <w:t xml:space="preserve">شامل مدیران مرکز اسناد آموزش بزرگ سالان و زنان، شبکه برای توسعه سواد و مهارت ها و مرکز سواد آموزی؛ پژوهشگران از کانادا، بریتانیا و ایالات متحده؛ و نیز نمایندگان شورای وزارت خانه های آموزش و پرورش کانادا </w:t>
      </w:r>
      <w:r>
        <w:rPr>
          <w:rStyle w:val="FootnoteAnchor"/>
          <w:rtl w:val="true"/>
        </w:rPr>
        <w:footnoteReference w:id="11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کنندگان متخصص شامل پژوهشگران از آژانس ملی برای مبارزه با بی سوادی </w:t>
      </w:r>
      <w:r>
        <w:rPr>
          <w:rStyle w:val="FootnoteAnchor"/>
          <w:rtl w:val="true"/>
        </w:rPr>
        <w:footnoteReference w:id="120"/>
      </w:r>
      <w:r>
        <w:rPr>
          <w:rFonts w:ascii="IRNazanin" w:hAnsi="IRNazanin" w:eastAsia="IRNazanin"/>
          <w:color w:val="111111"/>
          <w:sz w:val="28"/>
          <w:sz w:val="28"/>
          <w:szCs w:val="28"/>
          <w:rtl w:val="true"/>
          <w:lang w:bidi="fa-IR"/>
        </w:rPr>
        <w:t xml:space="preserve">فرانسه، نمایندگان از سازمان توسعه و همکاری اقتصادی و از منابع انسانی و توسعه مهارت های کانادا </w:t>
      </w:r>
      <w:r>
        <w:rPr>
          <w:rStyle w:val="FootnoteAnchor"/>
          <w:rtl w:val="true"/>
        </w:rPr>
        <w:footnoteReference w:id="12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انتشارات مرکز اسناد آموزش بزرگ سالان و زنان تولید منابع فرانسوی زبان به ویژه برای موسسه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رهبری مرکز سواد آموزی که کتاب شناسی های توصیفی و خواندنی های پایه ای برای هر موسسه آماده می کند، مرکز اسناد آموزش بزرگ سالان و زنان کتاب شناسی توصیفی به زبان فرانسه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 داران، مجوزی برای توزیع چندین مقاله فرانسوی زبان برای شرکت کنندگان به عنوان پیش خواندنی ها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مرکز اسناد آموزش بزرگ سالان و زنان و شبکه برای توسعه سواد و مهارت ها سخنرانانی برای جلسات هیئت رئیسه دعوت کردند و شرکاء از بخش مهارت ها و سواد آموزی فرانسوی زبان برای مشارکت در موسسه تشویق شدند</w:t>
      </w:r>
      <w:r>
        <w:rPr>
          <w:rFonts w:eastAsia="IRNazanin" w:cs="IRNazanin"/>
          <w:color w:val="111111"/>
          <w:sz w:val="28"/>
          <w:szCs w:val="28"/>
          <w:rtl w:val="true"/>
          <w:lang w:bidi="fa-IR"/>
        </w:rPr>
        <w:t>.</w:t>
      </w:r>
    </w:p>
    <w:p>
      <w:pPr>
        <w:pStyle w:val="Heading4"/>
        <w:numPr>
          <w:ilvl w:val="3"/>
          <w:numId w:val="1"/>
        </w:numPr>
        <w:rPr/>
      </w:pPr>
      <w:bookmarkStart w:id="89" w:name="__RefHeading___Toc7825277_2870459653"/>
      <w:bookmarkStart w:id="90" w:name="_Toc33"/>
      <w:bookmarkEnd w:id="89"/>
      <w:r>
        <w:rPr>
          <w:rtl w:val="true"/>
        </w:rPr>
        <w:t>نتایج</w:t>
      </w:r>
      <w:bookmarkEnd w:id="90"/>
    </w:p>
    <w:p>
      <w:pPr>
        <w:pStyle w:val="Heading3"/>
        <w:numPr>
          <w:ilvl w:val="2"/>
          <w:numId w:val="1"/>
        </w:numPr>
        <w:rPr/>
      </w:pPr>
      <w:bookmarkStart w:id="91" w:name="__RefHeading___Toc7825279_2870459653"/>
      <w:bookmarkStart w:id="92" w:name="_Toc34"/>
      <w:bookmarkEnd w:id="91"/>
      <w:r>
        <w:rPr>
          <w:rtl w:val="true"/>
        </w:rPr>
        <w:t>اشاره</w:t>
      </w:r>
      <w:bookmarkEnd w:id="9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این همکاری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جامعه سواد آموزی زبان انگلیسی کانادا فرصتی برای اشتراک و توسعه دانش با هم در هر سال درباره روندهای مهم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فرانسوی زبان فرصتی برای مشارکت برای اولین بار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موسسه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به طور کامل فروخته شد و یک ماه در لیست انتظار قبل از رویداد قرار گرفت با در نظر گرفتن </w:t>
      </w:r>
      <w:bookmarkStart w:id="93" w:name="pg9659_93852"/>
    </w:p>
    <w:p>
      <w:pPr>
        <w:pStyle w:val="BookText"/>
        <w:rPr/>
      </w:pPr>
      <w:bookmarkEnd w:id="93"/>
      <w:r>
        <w:rPr>
          <w:rFonts w:ascii="IRNazanin" w:hAnsi="IRNazanin" w:eastAsia="IRNazanin"/>
          <w:color w:val="111111"/>
          <w:sz w:val="28"/>
          <w:sz w:val="28"/>
          <w:szCs w:val="28"/>
          <w:rtl w:val="true"/>
          <w:lang w:bidi="fa-IR"/>
        </w:rPr>
        <w:t xml:space="preserve">شهرت عالی مؤسسات مرکز سواد آموزی، آن تعجب آور نبود که مشارکت بالا باشد، اما شرکاء راضی شدند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 کنندگان فرانسوی زبان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بالایی برای رویداد دوزبانه اولیه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موسسه استثنایی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از کِبِک، شرق کانادا و حتی برخی از شرکت کنندگان بین المللی نظرات مثبتی درباره جمع بندی نظرات از جوامع انگلیسی زبان و فرانسوی زبان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موضوع و در مؤسسات دوزبانه، به تدریج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که توسط همان شرکاء در پاییز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دهی شد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کننده، بالاترین تعداد برای چنین رویدادی،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مسئولان مرکز سواد آموزی، سهم شرکت کنندگان بین المللی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موسسه فرصتی برای نشان دادن هنرهای شرکاء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پرونده و اینفوگرافیک مرکز اسناد آموزش بزرگسالان و زنان که پاسخ خوبی دریافت کرده بود، از سوی فرانسوی زبانان برای آمادگی موسسه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اینفوگرافیک در موسسه نمایش داده شد، بنابراین به مرکز اسناد آموزش بزرگ سالان و زنان برای رسیدن به مخاطب بیشتر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نویسندگان سازمان توسعه و همکاری اقتصادی و برنامه بین المللی ارزیابی قابلیت های بزرگ سالان کانادا بازخوردهای مفیدی از مرکز اسناد آموزش بزرگ سالان و زنان درباره اینفوگرافیک ارائه دادند و شریک دیگر پیشنهاد کرد تا به انگلیسی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کمک کرد تا پیوندهایی نیز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بین سیاستمداران از چندین کشور، بخش های اجرایی و آموزشی و نیز بین کنش گران انگلیسی و فرانسوی زبان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دوزبانه مشترک از سوی پژوهش گران دونالد لورت </w:t>
      </w:r>
      <w:r>
        <w:rPr>
          <w:rStyle w:val="FootnoteAnchor"/>
          <w:rtl w:val="true"/>
        </w:rPr>
        <w:footnoteReference w:id="122"/>
      </w:r>
      <w:r>
        <w:rPr>
          <w:rFonts w:ascii="Amiri" w:hAnsi="Amiri" w:eastAsia="Amiri" w:cs="Amiri"/>
          <w:color w:val="111111"/>
          <w:sz w:val="28"/>
          <w:sz w:val="28"/>
          <w:szCs w:val="28"/>
          <w:rtl w:val="true"/>
          <w:lang w:bidi="ar-SA"/>
        </w:rPr>
        <w:t xml:space="preserve">و استیون رِدِر </w:t>
      </w:r>
      <w:r>
        <w:rPr>
          <w:rStyle w:val="FootnoteAnchor"/>
          <w:rtl w:val="true"/>
        </w:rPr>
        <w:footnoteReference w:id="123"/>
      </w:r>
      <w:r>
        <w:rPr>
          <w:rFonts w:ascii="IRNazanin" w:hAnsi="IRNazanin" w:eastAsia="IRNazanin"/>
          <w:color w:val="111111"/>
          <w:sz w:val="28"/>
          <w:sz w:val="28"/>
          <w:szCs w:val="28"/>
          <w:rtl w:val="true"/>
          <w:lang w:bidi="fa-IR"/>
        </w:rPr>
        <w:t>نمونه اولیه از چنین مشارکت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دونالد نویسنده ای پژوهشگر است که به توسعه الگوهای مهارت ها در بافت های اقلیت زبان شامل الگو یک پارچه پیشنهاد شده از رِسدِک </w:t>
      </w:r>
      <w:r>
        <w:rPr>
          <w:rStyle w:val="FootnoteAnchor"/>
          <w:rtl w:val="true"/>
        </w:rPr>
        <w:footnoteReference w:id="124"/>
      </w:r>
      <w:r>
        <w:rPr>
          <w:rFonts w:ascii="IRNazanin" w:hAnsi="IRNazanin" w:eastAsia="IRNazanin"/>
          <w:color w:val="111111"/>
          <w:sz w:val="28"/>
          <w:sz w:val="28"/>
          <w:szCs w:val="28"/>
          <w:rtl w:val="true"/>
          <w:lang w:bidi="fa-IR"/>
        </w:rPr>
        <w:t>پرداخت؛ در حالی که استیون</w:t>
      </w:r>
    </w:p>
    <w:p>
      <w:pPr>
        <w:pStyle w:val="BookText"/>
        <w:rPr/>
      </w:pPr>
      <w:r>
        <w:rPr>
          <w:rFonts w:ascii="IRNazanin" w:hAnsi="IRNazanin" w:eastAsia="IRNazanin"/>
          <w:color w:val="111111"/>
          <w:sz w:val="28"/>
          <w:sz w:val="28"/>
          <w:szCs w:val="28"/>
          <w:rtl w:val="true"/>
          <w:lang w:bidi="fa-IR"/>
        </w:rPr>
        <w:t xml:space="preserve">نویسنده ای از مطالعه جغرافیایی است که نحوه یادگیری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تحصیل کرده در آمریکا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هم چنین پژوهشی را ارائه کردند که در بخش های اجرایی و کاری در مناطق مختلف کانادا انجام دادند</w:t>
      </w:r>
      <w:r>
        <w:rPr>
          <w:rFonts w:eastAsia="IRNazanin" w:cs="IRNazanin"/>
          <w:color w:val="111111"/>
          <w:sz w:val="28"/>
          <w:szCs w:val="28"/>
          <w:rtl w:val="true"/>
          <w:lang w:bidi="fa-IR"/>
        </w:rPr>
        <w:t>.</w:t>
      </w:r>
    </w:p>
    <w:p>
      <w:pPr>
        <w:pStyle w:val="Heading3"/>
        <w:numPr>
          <w:ilvl w:val="2"/>
          <w:numId w:val="1"/>
        </w:numPr>
        <w:rPr/>
      </w:pPr>
      <w:bookmarkStart w:id="94" w:name="__RefHeading___Toc7825281_2870459653"/>
      <w:bookmarkStart w:id="95" w:name="_Toc35"/>
      <w:bookmarkEnd w:id="94"/>
      <w:r>
        <w:rPr/>
        <w:t>6</w:t>
      </w:r>
      <w:r>
        <w:rPr>
          <w:rtl w:val="true"/>
        </w:rPr>
        <w:t xml:space="preserve">. </w:t>
      </w:r>
      <w:r>
        <w:rPr>
          <w:rtl w:val="true"/>
        </w:rPr>
        <w:t>نتیجه گیری و آینده</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نشانه موفقیت این فعالیت های مشترک تداوم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مرکز اسناد آموزش بزرگ سالان و زنان، شبکه برای توسعه سواد و مهارت ها و مرکز سواد آموزی در حال برنامه ریزی سومین موسسه با یک دیگر هستند و به بررسی سناریوهای مختلف برای تداوم مشارکت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bookmarkStart w:id="96" w:name="pg9659_93853"/>
    </w:p>
    <w:p>
      <w:pPr>
        <w:pStyle w:val="BookText"/>
        <w:rPr/>
      </w:pPr>
      <w:bookmarkEnd w:id="96"/>
      <w:r>
        <w:rPr>
          <w:rFonts w:ascii="IRNazanin" w:hAnsi="IRNazanin" w:eastAsia="IRNazanin"/>
          <w:color w:val="111111"/>
          <w:sz w:val="28"/>
          <w:sz w:val="28"/>
          <w:szCs w:val="28"/>
          <w:rtl w:val="true"/>
          <w:lang w:bidi="fa-IR"/>
        </w:rPr>
        <w:t>برای توسعه سواد آموزی و مهارت ها به یک عضو مرکز اسناد آموزش بزرگ سالان و زنان تبدیل شده است و مرکز اسناد آموزش بزرگسالان و زنان برای حفظ تمام انتشارات و توسعه مجموعه اش در مجموعه وسیع تری متعهد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بیان شده در این مقاله زاده ضرورتی بود به عنوان تغییراتی تا موسسه فدرال را حمایت کند که سازمان های ما را برای تغییر فعالیت ها و همکاری بیشتر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نوشتن این مقاله، آینده برای تمام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و ایالتی تأسیس شده به وسیله دفتر سواد آموزی و مهارت های ضروری نامطمئن باقی می ماند و طرح مشارکت، ارائه شده در پیشنهاده هنوز پاسخی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همان زمان، مشارکت بین سازمان های ملی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مشارکتشان زمانی کامل می شود که با یک دیگر مشورت کنند و مشارکت خود را در مؤسسات برای جذب اعضای بیشتر افزایش دهند</w:t>
      </w:r>
      <w:r>
        <w:rPr>
          <w:rFonts w:eastAsia="IRNazanin" w:cs="IRNazanin"/>
          <w:color w:val="111111"/>
          <w:sz w:val="28"/>
          <w:szCs w:val="28"/>
          <w:rtl w:val="true"/>
          <w:lang w:bidi="fa-IR"/>
        </w:rPr>
        <w:t>.</w:t>
      </w:r>
    </w:p>
    <w:p>
      <w:pPr>
        <w:pStyle w:val="Heading3"/>
        <w:numPr>
          <w:ilvl w:val="2"/>
          <w:numId w:val="1"/>
        </w:numPr>
        <w:rPr/>
      </w:pPr>
      <w:bookmarkStart w:id="97" w:name="__RefHeading___Toc7825283_2870459653"/>
      <w:bookmarkStart w:id="98" w:name="_Toc36"/>
      <w:bookmarkEnd w:id="97"/>
      <w:r>
        <w:rPr>
          <w:rtl w:val="true"/>
        </w:rPr>
        <w:t>منابع</w:t>
      </w:r>
      <w:bookmarkEnd w:id="98"/>
    </w:p>
    <w:p>
      <w:pPr>
        <w:pStyle w:val="BookText"/>
        <w:rPr/>
      </w:pPr>
      <w:r>
        <w:rPr>
          <w:rFonts w:eastAsia="Times New Roman" w:cs="Times New Roman" w:ascii="Times New Roman" w:hAnsi="Times New Roman"/>
          <w:color w:val="111111"/>
          <w:sz w:val="28"/>
          <w:szCs w:val="28"/>
          <w:lang w:val="en-US" w:bidi="en-US"/>
        </w:rPr>
        <w:t>CDEACF 2014, Centre de documentation sur l'éducation des adultes et la condition feminine: Accessed from http://cdeacf.ca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CLQ 2014, The Centre for Literacy. Accessed from http://www. centreforliteracy.qc.ca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RESDAC 2013, Réseau pour le développement de l'alphabétisme et des competences. Accessed from http://www.resdac.net/index.html</w:t>
      </w:r>
    </w:p>
    <w:p>
      <w:pPr>
        <w:pStyle w:val="BookText"/>
        <w:rPr/>
      </w:pPr>
      <w:r>
        <w:rPr>
          <w:rFonts w:eastAsia="Times New Roman" w:cs="Times New Roman" w:ascii="Times New Roman" w:hAnsi="Times New Roman"/>
          <w:color w:val="111111"/>
          <w:sz w:val="28"/>
          <w:szCs w:val="28"/>
          <w:lang w:val="en-US" w:bidi="en-US"/>
        </w:rPr>
        <w:t>Centre de documentation sur l'éducation des adultes et la condition</w:t>
      </w:r>
    </w:p>
    <w:p>
      <w:pPr>
        <w:pStyle w:val="BookText"/>
        <w:rPr/>
      </w:pPr>
      <w:r>
        <w:rPr>
          <w:rFonts w:eastAsia="Times New Roman" w:cs="Times New Roman" w:ascii="Times New Roman" w:hAnsi="Times New Roman"/>
          <w:color w:val="111111"/>
          <w:sz w:val="28"/>
          <w:szCs w:val="28"/>
          <w:lang w:val="en-US" w:bidi="en-US"/>
        </w:rPr>
        <w:t>féminine. (2013). Dossier special PEICA. Retrived from http://www. cdeacf.ca/peica</w:t>
      </w:r>
    </w:p>
    <w:p>
      <w:pPr>
        <w:pStyle w:val="BookText"/>
        <w:rPr/>
      </w:pPr>
      <w:r>
        <w:rPr>
          <w:rFonts w:eastAsia="Times New Roman" w:cs="Times New Roman" w:ascii="Times New Roman" w:hAnsi="Times New Roman"/>
          <w:color w:val="111111"/>
          <w:sz w:val="28"/>
          <w:szCs w:val="28"/>
          <w:lang w:val="en-US" w:bidi="en-US"/>
        </w:rPr>
        <w:t>Centre for literacy of Quebec. (n.d.). About us. Retrived from http:// centreforliteracy.qc.ca/about</w:t>
      </w:r>
    </w:p>
    <w:p>
      <w:pPr>
        <w:pStyle w:val="BookText"/>
        <w:rPr/>
      </w:pPr>
      <w:r>
        <w:rPr>
          <w:rFonts w:eastAsia="Times New Roman" w:cs="Times New Roman" w:ascii="Times New Roman" w:hAnsi="Times New Roman"/>
          <w:color w:val="111111"/>
          <w:sz w:val="28"/>
          <w:szCs w:val="28"/>
          <w:lang w:val="en-US" w:bidi="en-US"/>
        </w:rPr>
        <w:t>Centre for literacy of Quebec. (2013). Summer Institute 2013: Learning from IALS, Preparing for PIAAC - June 26-28, 2013. Retrieved from http://www.centreforliteracy.qc.ca/learningevents/si-2013 -learning-ials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preparing-piaac</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Lurette, D. (2013). Rethinking professional development: Reference manual for developing professional skills among organizations and practitioners within an integrated andragogical process. Ottawa: Réseau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pour le développement de l'alphabétisme et des compétences</w:t>
      </w:r>
    </w:p>
    <w:p>
      <w:pPr>
        <w:pStyle w:val="BookText"/>
        <w:rPr/>
      </w:pPr>
      <w:r>
        <w:rPr>
          <w:rFonts w:eastAsia="Times New Roman" w:cs="Times New Roman" w:ascii="Times New Roman" w:hAnsi="Times New Roman"/>
          <w:color w:val="111111"/>
          <w:sz w:val="28"/>
          <w:szCs w:val="28"/>
          <w:lang w:val="en-US" w:bidi="en-US"/>
        </w:rPr>
        <w:t>Lurette, D. (2011). Towards an Integrated Model to Support the Literacy Development of Francophones in Canada. Ottawa: Réseau pour le développement de l'alphabétisme et des compétences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Réseau pour le développement de l'alphabétisme et des compétences. (2013). Développer des pratiques innovantes en ACE pour la main- d'oeuvre qui vit en contexte linguistique minoritaire : Proposition déposée dans le cadre de l'Appel de proposition du BACE. Retrieved from http:// www.resdac.net/documentation/pdf/proposition_2013.pdf</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Statistique Canada; Conseil des ministres de l'éducation (Canada); Emploi et développement social Canada (2013). Les compétences au Canada: premiers résultats du Programme pour l'évaluation internationale des compétences des adultes (PEICA)</w:t>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9659_93856"/>
      <w:bookmarkStart w:id="100" w:name="pg9659_93856"/>
      <w:bookmarkEnd w:id="100"/>
    </w:p>
    <w:p>
      <w:pPr>
        <w:pStyle w:val="Heading2"/>
        <w:numPr>
          <w:ilvl w:val="1"/>
          <w:numId w:val="1"/>
        </w:numPr>
        <w:rPr/>
      </w:pPr>
      <w:bookmarkStart w:id="101" w:name="pg9659_93856"/>
      <w:bookmarkStart w:id="102" w:name="__RefHeading___Toc7825285_2870459653"/>
      <w:bookmarkStart w:id="103" w:name="_Toc37"/>
      <w:bookmarkEnd w:id="101"/>
      <w:bookmarkEnd w:id="102"/>
      <w:r>
        <w:rPr>
          <w:rtl w:val="true"/>
        </w:rPr>
        <w:t>چکیده</w:t>
      </w:r>
      <w:bookmarkEnd w:id="103"/>
    </w:p>
    <w:p>
      <w:pPr>
        <w:pStyle w:val="BookText"/>
        <w:rPr/>
      </w:pPr>
      <w:r>
        <w:rPr>
          <w:rFonts w:ascii="IRNazanin" w:hAnsi="IRNazanin" w:eastAsia="IRNazanin"/>
          <w:color w:val="111111"/>
          <w:sz w:val="28"/>
          <w:sz w:val="28"/>
          <w:szCs w:val="28"/>
          <w:rtl w:val="true"/>
          <w:lang w:bidi="fa-IR"/>
        </w:rPr>
        <w:t>در جامعه رقومی، فرایندهای تولید، نشر و استفاده از دانش، به شکل چشم گیری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حوزه متمایز از دانش در قالب انتشارات، با فضای بیکران و در اصل نامحدود از ذخایر داده ای شبکه های پویا،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دانش در این فضای داده ای، از وظایف آتی کتاب خانه هاست که به طور همزمان مستلزم تعریف جدید از نقش کتاب خانه به عنوان مباشر حافظه در جامعه دانش رقومی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دانش </w:t>
      </w:r>
      <w:r>
        <w:rPr>
          <w:rStyle w:val="FootnoteAnchor"/>
          <w:rtl w:val="true"/>
        </w:rPr>
        <w:footnoteReference w:id="125"/>
      </w:r>
      <w:r>
        <w:rPr>
          <w:rFonts w:ascii="IRNazanin" w:hAnsi="IRNazanin" w:eastAsia="IRNazanin"/>
          <w:color w:val="111111"/>
          <w:sz w:val="28"/>
          <w:sz w:val="28"/>
          <w:szCs w:val="28"/>
          <w:rtl w:val="true"/>
          <w:lang w:bidi="fa-IR"/>
        </w:rPr>
        <w:t xml:space="preserve">، پژوهش </w:t>
      </w:r>
      <w:r>
        <w:rPr>
          <w:rStyle w:val="FootnoteAnchor"/>
          <w:rtl w:val="true"/>
        </w:rPr>
        <w:footnoteReference w:id="126"/>
      </w:r>
      <w:r>
        <w:rPr>
          <w:rFonts w:ascii="IRNazanin" w:hAnsi="IRNazanin" w:eastAsia="IRNazanin"/>
          <w:color w:val="111111"/>
          <w:sz w:val="28"/>
          <w:sz w:val="28"/>
          <w:szCs w:val="28"/>
          <w:rtl w:val="true"/>
          <w:lang w:bidi="fa-IR"/>
        </w:rPr>
        <w:t xml:space="preserve">، نشر </w:t>
      </w:r>
      <w:r>
        <w:rPr>
          <w:rStyle w:val="FootnoteAnchor"/>
          <w:rtl w:val="true"/>
        </w:rPr>
        <w:footnoteReference w:id="127"/>
      </w:r>
      <w:r>
        <w:rPr>
          <w:rFonts w:ascii="IRNazanin" w:hAnsi="IRNazanin" w:eastAsia="IRNazanin"/>
          <w:color w:val="111111"/>
          <w:sz w:val="28"/>
          <w:sz w:val="28"/>
          <w:szCs w:val="28"/>
          <w:rtl w:val="true"/>
          <w:lang w:bidi="fa-IR"/>
        </w:rPr>
        <w:t xml:space="preserve">، ذخایر داده ای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4" w:name="pg9659_93857"/>
    </w:p>
    <w:p>
      <w:pPr>
        <w:pStyle w:val="Heading2"/>
        <w:numPr>
          <w:ilvl w:val="1"/>
          <w:numId w:val="1"/>
        </w:numPr>
        <w:rPr/>
      </w:pPr>
      <w:bookmarkStart w:id="105" w:name="__RefHeading___Toc7825287_2870459653"/>
      <w:bookmarkStart w:id="106" w:name="_Toc38"/>
      <w:bookmarkEnd w:id="104"/>
      <w:bookmarkEnd w:id="105"/>
      <w:r>
        <w:rPr>
          <w:rtl w:val="true"/>
        </w:rPr>
        <w:t>اطلاعات در زیست بوم دانش رقومی</w:t>
      </w:r>
      <w:r>
        <w:rPr>
          <w:rtl w:val="true"/>
        </w:rPr>
        <w:t xml:space="preserve">: </w:t>
      </w:r>
      <w:r>
        <w:rPr>
          <w:rtl w:val="true"/>
        </w:rPr>
        <w:t>چالش های آینده کتاب خانه ها</w:t>
      </w:r>
      <w:bookmarkEnd w:id="106"/>
    </w:p>
    <w:p>
      <w:pPr>
        <w:pStyle w:val="Heading3"/>
        <w:numPr>
          <w:ilvl w:val="2"/>
          <w:numId w:val="1"/>
        </w:numPr>
        <w:rPr/>
      </w:pPr>
      <w:bookmarkStart w:id="107" w:name="__RefHeading___Toc7825289_2870459653"/>
      <w:bookmarkStart w:id="108" w:name="_Toc39"/>
      <w:bookmarkEnd w:id="107"/>
      <w:r>
        <w:rPr>
          <w:rtl w:val="true"/>
        </w:rPr>
        <w:t>اشاره</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زیست بوم دانش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آینده کتاب خانه ها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نوشته کلاس کی نوا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فاطمه اسفندیاری </w:t>
      </w:r>
      <w:r>
        <w:rPr>
          <w:rStyle w:val="FootnoteAnchor"/>
          <w:rtl w:val="true"/>
        </w:rPr>
        <w:footnoteReference w:id="131"/>
      </w:r>
    </w:p>
    <w:p>
      <w:pPr>
        <w:pStyle w:val="Heading3"/>
        <w:numPr>
          <w:ilvl w:val="2"/>
          <w:numId w:val="1"/>
        </w:numPr>
        <w:rPr/>
      </w:pPr>
      <w:bookmarkStart w:id="109" w:name="__RefHeading___Toc7825291_2870459653"/>
      <w:bookmarkStart w:id="110" w:name="_Toc40"/>
      <w:bookmarkEnd w:id="109"/>
      <w:r>
        <w:rPr>
          <w:rtl w:val="true"/>
        </w:rPr>
        <w:t>پژوهش، انتشار، دانش</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باعث ایجاد دانش و دانش، به نوبه خود باعث برانگیختن پژوهش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عنوان درک تضمین و اثبات شده در هر بازهٔ خاص زمانی، گسترش یافته، منسوخ شده، با پژوهش رد شده و با ادراک جدید،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شکل گیری دانش، افق پژوهشی بلامنازع از یک دوره زمانی کامل را عرضه می کند که با تغییر الگوها، به طور کامل اعتبار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پژوهش نقشی اساسی در فرایندهای اساساً نا محدود تولید دانش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انتشار با تثبیت و توزیع وضعیت پژوهش و دانش به دست آمده در زمان حاضر، معمولاً به شکل متنی، باعث تبلیغ نتایج فرایند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در آزمایشگاه، نتایج مطالعه میدانی و بینش تفسیری در زمینه بشری، روی هم رفته به چرخه محدودی از افراد محدود می شود که تا زمان انتشار، به طور مستقیم در مراحل آن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ایجاد شده و فرایند توزیع و تخصیص دانش، فقط پس از توزیع آن در قالب رساله یا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چاپی چه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چرخه تولید، توزیع و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انتشار باعث عرضه مبنای پیوند دهنده فرایند پژوهش به عنوان </w:t>
      </w:r>
      <w:bookmarkStart w:id="111" w:name="pg9659_93858"/>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پیش انتشار</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با فرایند تخصیص، بررسی و تبدیل آن به پژوهش جدید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پس انتشار</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به عنوان مرکز و مخزن دانش، تشکیلاتی است که در آن، دانش منتشر شده، صرف نظر از شکل آن،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مقاله چاپ شده، </w:t>
      </w:r>
      <w:r>
        <w:rPr>
          <w:rStyle w:val="FootnoteAnchor"/>
          <w:rtl w:val="true"/>
        </w:rPr>
        <w:footnoteReference w:id="135"/>
      </w:r>
      <w:r>
        <w:rPr>
          <w:rFonts w:ascii="IRNazanin" w:hAnsi="IRNazanin" w:eastAsia="IRNazanin"/>
          <w:color w:val="111111"/>
          <w:sz w:val="28"/>
          <w:sz w:val="28"/>
          <w:szCs w:val="28"/>
          <w:rtl w:val="true"/>
          <w:lang w:bidi="fa-IR"/>
        </w:rPr>
        <w:t xml:space="preserve">مجله الکترونیکی یا شیء رقومی، </w:t>
      </w:r>
      <w:r>
        <w:rPr>
          <w:rStyle w:val="FootnoteAnchor"/>
          <w:rtl w:val="true"/>
        </w:rPr>
        <w:footnoteReference w:id="136"/>
      </w:r>
      <w:r>
        <w:rPr>
          <w:rFonts w:ascii="IRNazanin" w:hAnsi="IRNazanin" w:eastAsia="IRNazanin"/>
          <w:color w:val="111111"/>
          <w:sz w:val="28"/>
          <w:sz w:val="28"/>
          <w:szCs w:val="28"/>
          <w:rtl w:val="true"/>
          <w:lang w:bidi="fa-IR"/>
        </w:rPr>
        <w:t xml:space="preserve">حفظ و نگهداری، فهرست نویسی </w:t>
      </w:r>
      <w:r>
        <w:rPr>
          <w:rStyle w:val="FootnoteAnchor"/>
          <w:rtl w:val="true"/>
        </w:rPr>
        <w:footnoteReference w:id="137"/>
      </w:r>
      <w:r>
        <w:rPr>
          <w:rFonts w:ascii="IRNazanin" w:hAnsi="IRNazanin" w:eastAsia="IRNazanin"/>
          <w:color w:val="111111"/>
          <w:sz w:val="28"/>
          <w:sz w:val="28"/>
          <w:szCs w:val="28"/>
          <w:rtl w:val="true"/>
          <w:lang w:bidi="fa-IR"/>
        </w:rPr>
        <w:t>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به عنوان کارگزار اطلاعاتی، با تصدی قانونی و حفاظتی بر دانش منتشر شده، مطابق باقاعده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 به کتاب خانه و کتاب خانه ها به پژوهش</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تبدیل می شوند، پیوسته به سوی فرایند تولید، توزیع و استفاده از دانش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تشبیهی کتاب خانه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مفهوم را به شکل خلاصه بیان می کند</w:t>
      </w:r>
      <w:r>
        <w:rPr>
          <w:rFonts w:eastAsia="IRNazanin" w:cs="IRNazanin"/>
          <w:color w:val="111111"/>
          <w:sz w:val="28"/>
          <w:szCs w:val="28"/>
          <w:rtl w:val="true"/>
          <w:lang w:bidi="fa-IR"/>
        </w:rPr>
        <w:t>.</w:t>
      </w:r>
    </w:p>
    <w:p>
      <w:pPr>
        <w:pStyle w:val="Heading3"/>
        <w:numPr>
          <w:ilvl w:val="2"/>
          <w:numId w:val="1"/>
        </w:numPr>
        <w:rPr/>
      </w:pPr>
      <w:bookmarkStart w:id="112" w:name="__RefHeading___Toc7825293_2870459653"/>
      <w:bookmarkStart w:id="113" w:name="_Toc41"/>
      <w:bookmarkEnd w:id="112"/>
      <w:r>
        <w:rPr>
          <w:rtl w:val="true"/>
        </w:rPr>
        <w:t>عصر رقومی مرزهای فضای دانش را از بین می برد</w:t>
      </w:r>
      <w:bookmarkEnd w:id="113"/>
    </w:p>
    <w:p>
      <w:pPr>
        <w:pStyle w:val="BookText"/>
        <w:rPr/>
      </w:pPr>
      <w:r>
        <w:rPr>
          <w:rFonts w:ascii="IRNazanin" w:hAnsi="IRNazanin" w:eastAsia="IRNazanin"/>
          <w:color w:val="111111"/>
          <w:sz w:val="28"/>
          <w:sz w:val="28"/>
          <w:szCs w:val="28"/>
          <w:rtl w:val="true"/>
          <w:lang w:bidi="fa-IR"/>
        </w:rPr>
        <w:t>تاکنون بسیار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آیا با الگویی سروکار داریم که در نتیجه رقومی سازی جامعِ کل دنیای دانش و محیط زندگی ما، حین صحبت کردن، از هم پاشیده شده و در حقیقت، پیش از این از جهات بسیار، به موردی در گذشته تبدیل شده باشد؟ در دنیای رقومی،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دانش و زمینه منبع از اقدام هایی کتاب خانه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دانش</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به طور اساسی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تغییر، مرحله پیش انتشار، یعنی فرایند پژوهش، فرایند پس پژوهش، یعنی فرایند دریافت نتایج پژوهش است و خود انتشار به طور کامل رقومی و متعاقباً به شکل توالی بیت ها و بایت ها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نوبه خود لازمه ای برای انتشار رده ای است که به عنوان یک موجودیت خود شمول، ایستا و پایدار برای شروع مرحله تولید و دریافت در فرایند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یک پارچه با داده های پژوهشی و نتایج آتی پژوهش ها، از طریق در هم کرد جدول های تعاملی، گرافیک ها، نقشه ها، و شبیه سازی ها، ویدیوهای مربوط به آزمایش های انجام شده در آزمایشگاه و در نهایت، از طریق شبکه های بلاگ دار و محیط های پژوهشی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نتایج گزارش شده را به موضوعی برای پژوهش های آتی تبدیل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زیست بوم در حال ارتقا، از ذخایر داده ای متنی و شبکه ای، هم کاری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هر واحد از اشیای مجزا تعریف می شود که جداگانه درخور بررسی </w:t>
      </w:r>
      <w:bookmarkStart w:id="114" w:name="pg9659_93859"/>
    </w:p>
    <w:p>
      <w:pPr>
        <w:pStyle w:val="BookText"/>
        <w:rPr/>
      </w:pPr>
      <w:bookmarkEnd w:id="114"/>
      <w:r>
        <w:rPr>
          <w:rFonts w:ascii="IRNazanin" w:hAnsi="IRNazanin" w:eastAsia="IRNazanin"/>
          <w:color w:val="111111"/>
          <w:sz w:val="28"/>
          <w:sz w:val="28"/>
          <w:szCs w:val="28"/>
          <w:rtl w:val="true"/>
          <w:lang w:bidi="fa-IR"/>
        </w:rPr>
        <w:t>است و اکنون فقط یک تصویر لحظه ای مستند را در فضای شبکه ای و پویای دانش،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افزوده شده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 ذخایر داده های رقومی و اشیای رقومی حاصل از مراحل تولید و دریافت طرح پژوهشی را با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می کند؛ بنابراین، همزمان در هر دو مرحله نفوذ پذیر خواهد شد و شکل پیشین و کنونی دانش را به تصویر می کشد که در آن مفهوم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فزاینده ای مبهم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آتی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دنیای رقومی کفایت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داده ای پیوند یافته که با فقره های پژوهشی معین، مشخص شده و با زمینه های پژوهشی مجاور در لبه های آن پیوند می خورد و بنابراین، وضعیت کنونی دانش به طور کامل تعریف می شود</w:t>
      </w:r>
      <w:r>
        <w:rPr>
          <w:rFonts w:eastAsia="IRNazanin" w:cs="IRNazanin"/>
          <w:color w:val="111111"/>
          <w:sz w:val="28"/>
          <w:szCs w:val="28"/>
          <w:rtl w:val="true"/>
          <w:lang w:bidi="fa-IR"/>
        </w:rPr>
        <w:t>.</w:t>
      </w:r>
    </w:p>
    <w:p>
      <w:pPr>
        <w:pStyle w:val="Heading3"/>
        <w:numPr>
          <w:ilvl w:val="2"/>
          <w:numId w:val="1"/>
        </w:numPr>
        <w:rPr/>
      </w:pPr>
      <w:bookmarkStart w:id="115" w:name="__RefHeading___Toc7825295_2870459653"/>
      <w:bookmarkStart w:id="116" w:name="_Toc42"/>
      <w:bookmarkEnd w:id="115"/>
      <w:r>
        <w:rPr>
          <w:rtl w:val="true"/>
        </w:rPr>
        <w:t>کتاب خانه</w:t>
      </w:r>
      <w:r>
        <w:rPr>
          <w:rtl w:val="true"/>
        </w:rPr>
        <w:t xml:space="preserve">: </w:t>
      </w:r>
      <w:r>
        <w:rPr>
          <w:rtl w:val="true"/>
        </w:rPr>
        <w:t>متصدی دنیای داده های پیوند یافته باز دانش</w:t>
      </w:r>
      <w:bookmarkEnd w:id="116"/>
    </w:p>
    <w:p>
      <w:pPr>
        <w:pStyle w:val="BookText"/>
        <w:rPr/>
      </w:pPr>
      <w:r>
        <w:rPr>
          <w:rFonts w:ascii="IRNazanin" w:hAnsi="IRNazanin" w:eastAsia="IRNazanin"/>
          <w:color w:val="111111"/>
          <w:sz w:val="28"/>
          <w:sz w:val="28"/>
          <w:szCs w:val="28"/>
          <w:rtl w:val="true"/>
          <w:lang w:bidi="fa-IR"/>
        </w:rPr>
        <w:t xml:space="preserve">همان طور که زنجیره فرایند سنتی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رفته رفته با هم زمانی ذخایر داده های شبکه در دنیای رقومی، جایگزین شده است، مفهوم سنتیِ نقش کتاب خانه به عنوان کارگزار اطلاعات نیز،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فرد بتواند بین مراحل تولید، انتشار، توزیع و استفاده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قالب آنالوگ و چه در قالب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قائل شود، فعالیت آشنای کتاب خانه، به عنوان میانجی و پیوند دهنده مرحله تولید دانش با مرحلهٔ دریافت دانش از طریق گردآوری، ارائه و حفظ و نگهداری تمام منابع منتشر شده، دست نخورده و کامل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چه ادغام مرحله پیش انتشار، انتشار و پس انتشار، به نفع ذخایر متنی، پیوند یافته و پویای داده ها بیش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اُفست بعدی در فرهنگ های مختلف پژوهش و دانش در علوم و بشریت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بیش تری داشته باشد، مأموریت اصلی کتاب خانه هم بیش تر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دارا بودن مسئولیت در برابر بخشی از زنجیره ارزشی دانش، کتاب خانه باید از کل شبکه و جریان دانش،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مأموریت آتی کتاب خانه به عنوان زیرساخت پژوهشی، تصدی بر فضای باز داده های پیوند یافته است که در بالا توصیف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به شکل خلاصه تر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اقدام کتاب خانه، جریان دانش به جای فقره های دانش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جزو خدماتی است که اساساً به صورت فنی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فراهم آوردن ابزارهای همکاری و ارتباط به شکل محیط های مجازی پژوهش، بایگانی و دسترس پذیری بلند مدت رقومی برای ذخایر داده ای پیچیده و چندرسانه ای این خدمات، باید از پردازش داده ای انباشت شده رقومی برای </w:t>
      </w:r>
      <w:bookmarkStart w:id="117" w:name="pg9659_93860"/>
    </w:p>
    <w:p>
      <w:pPr>
        <w:pStyle w:val="BookText"/>
        <w:rPr/>
      </w:pPr>
      <w:bookmarkEnd w:id="117"/>
      <w:r>
        <w:rPr>
          <w:rFonts w:ascii="IRNazanin" w:hAnsi="IRNazanin" w:eastAsia="IRNazanin"/>
          <w:color w:val="111111"/>
          <w:sz w:val="28"/>
          <w:sz w:val="28"/>
          <w:szCs w:val="28"/>
          <w:rtl w:val="true"/>
          <w:lang w:bidi="fa-IR"/>
        </w:rPr>
        <w:t xml:space="preserve">تحلیل های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کلان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ساختاربندی معنائی اولیه، پیوند دادن و تصویرسازی شبکه دانش با هدف راهبری آسان آن ها پشتیبانی کند؛ زیرا تمام آن ها، فعالیتی است که از منظر پویائیِ فرایندهای پژوهشی نوین، پایان ناپذیر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طرح راهنما، یکی از رده های ضروری کار کتاب خانه، احتمالاً اهمیت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مفهوم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عضو سازماندهی نظام مند با ساختار موضوعی یا عنوانی،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محدودیت های دسترسی در نتیجه قوانین کپی برداری و اعطای مجوز، تمام ذخایر داده ها، منابع و مدارک در این فضا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با به کارگیری الگوریتم جستجوی هوشمند، فضای داده ها را مطابق میل خود ساختاربندی و مجموعه های ثانویه و جدید خود را سامان دهی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مخصوصاً برای کتاب خانه های بزرگ و جامع،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رقومی سازی آثار از مجموعه های غنی و غالباً منحصر به فرد، این آثار از زمینه اصلی خود خارج می شوند و در یک فضای دانش رقومی قرار می گیرند که آن را کاربر تعیین کرده است</w:t>
      </w:r>
      <w:r>
        <w:rPr>
          <w:rFonts w:eastAsia="IRNazanin" w:cs="IRNazanin"/>
          <w:color w:val="111111"/>
          <w:sz w:val="28"/>
          <w:szCs w:val="28"/>
          <w:rtl w:val="true"/>
          <w:lang w:bidi="fa-IR"/>
        </w:rPr>
        <w:t>.</w:t>
      </w:r>
    </w:p>
    <w:p>
      <w:pPr>
        <w:pStyle w:val="Heading3"/>
        <w:numPr>
          <w:ilvl w:val="2"/>
          <w:numId w:val="1"/>
        </w:numPr>
        <w:rPr/>
      </w:pPr>
      <w:bookmarkStart w:id="118" w:name="__RefHeading___Toc7825297_2870459653"/>
      <w:bookmarkStart w:id="119" w:name="_Toc43"/>
      <w:bookmarkEnd w:id="118"/>
      <w:r>
        <w:rPr>
          <w:rtl w:val="true"/>
        </w:rPr>
        <w:t>طراحی دانش</w:t>
      </w:r>
      <w:r>
        <w:rPr>
          <w:rtl w:val="true"/>
        </w:rPr>
        <w:t xml:space="preserve">: </w:t>
      </w:r>
      <w:r>
        <w:rPr>
          <w:rtl w:val="true"/>
        </w:rPr>
        <w:t>متحرک، وابسته به موقعیت، طبیعی</w:t>
      </w:r>
      <w:bookmarkEnd w:id="119"/>
    </w:p>
    <w:p>
      <w:pPr>
        <w:pStyle w:val="BookText"/>
        <w:rPr/>
      </w:pPr>
      <w:r>
        <w:rPr>
          <w:rFonts w:ascii="IRNazanin" w:hAnsi="IRNazanin" w:eastAsia="IRNazanin"/>
          <w:color w:val="111111"/>
          <w:sz w:val="28"/>
          <w:sz w:val="28"/>
          <w:szCs w:val="28"/>
          <w:rtl w:val="true"/>
          <w:lang w:bidi="fa-IR"/>
        </w:rPr>
        <w:t>استفاده از فضای دانش رقومی، فراتر از همۀ شکل های حمل و نقل ذخایر داده ها و اطلاعات رقومی، در آینده به طور فزاینده با سناریوهای کاربردی متحرک، تعیین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چالش جدیدی در آینده پیش روی کتاب خانه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شتاب زده کنونی از اینترنت ثابت به متحرک، چیزی بیش تر از یک تغییر فنی صرف با توجه به استفاده از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تغییر فراگیر اینترنت را نشان می دهد که در سرتاسر محیط زندگی نفوذ می کند و کاملاً با فعالیت های روزانه ما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رقومی دیگر به معنای آن چیزی نیست که کاربر در پایگاه های اینترنتی بازیابی کرده است؛ بلکه کاربر هر کجا باشد این دانش او را احاطه خواهد کرد و در همه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به بخشی شخصی از زندگی کاربران می شود و همراه همیشگی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درصد از کل نوجوانان ایالات متحده به عنوان کاربران اختصاصی اینترنت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طریق دستگاه های متحرک مانند تلفن های هوشمند و تبلت ها، به اینترنت دسترسی داشته و به ندرت از رایانه های خانگی یا لب تاپ ها استفاده می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مرتبط که بر اساس آن ذخایر اطلاعات و داده ها در اینترنت متحرک ساختاربندی، پالایش و پردازش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موقعیتی</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رقومی به نحوی طراحی شده تا در حد </w:t>
      </w:r>
    </w:p>
    <w:p>
      <w:pPr>
        <w:pStyle w:val="BookText"/>
        <w:rPr/>
      </w:pPr>
      <w:r>
        <w:rPr>
          <w:rFonts w:ascii="IRNazanin" w:hAnsi="IRNazanin" w:eastAsia="IRNazanin"/>
          <w:color w:val="111111"/>
          <w:sz w:val="28"/>
          <w:sz w:val="28"/>
          <w:szCs w:val="28"/>
          <w:rtl w:val="true"/>
          <w:lang w:bidi="fa-IR"/>
        </w:rPr>
        <w:t>امکان، به صورت دقیق موقعیت هر کاربر را با ارجاع به علایق خاص کاربردی کاربر در موقعیت فعلی او، تعدیل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مختصر از چنین کاربردهایی، خدمات وابسته به محل است و ابزارهای تکمیلی حقیقی، با ارجاع به محل فعلی کاربر و در مورد حقایق تکمیلی که مستقیماً با تصویر دنیای حقیقی ترکیب می شوند، اطلاعات را دسترس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جابه جائی اطلاعات با نوع وسیله به کار رفته،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های متحرک، مستلزم نمونه جدیدی از ساختاربندی، توزیع و استفاده به شکل شخصی شده، متمرکز بر موقعیت و هم زمان، از دانش رقومی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دانش رقومی به شدت با نمونه ای از ابزارهای متحرک هماهنگ است که می توانند به طور کامل با استفاده از صفحه های لمسی و راهبری مبتنی بر حرکات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 های سنتی گرافیکی کاربر</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های طبیعی کاربر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جایگزین شده اند که رفتار اشیای دانش رقومی را در پاسخ به زبان، اشاره و لمس، طراحی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ها فقط در صورتی می توانند نقش آینده محور در تحقق تصویر اینترنت متحرک یعنی توانائی استفاده از محتوا و خدمات رقومی در هر زمان، هر مکان و در هر موقعیت اتخاذ شده مناسب با موقعیت افراد و کاربر ایفا کند که حداقل خود را از محل رقومی انجام اقدام 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کاربران اینترنت در ایالات متحده، روزنه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وقت خود را در وب گاه ها 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با استفاده از ابزارهای نصب شده روی تلفن های همراه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استیبل </w:t>
      </w:r>
      <w:r>
        <w:rPr>
          <w:rStyle w:val="FootnoteAnchor"/>
          <w:rtl w:val="true"/>
        </w:rPr>
        <w:footnoteReference w:id="146"/>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باوجود اطلاعات نامحدود، نیاز بیشتری به پالایش اطلاعات نامرتبط داریم تا مستقیماً به آن چه به آن نیاز داریم برسیم، برنامه ها را ذخیره کنیم و هرگز باز جستجو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تبلت ها و تلفن های همراه جایگزین رایانه ها شده اند، وب گاه ها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برنامه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تبدیل شده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ثبات این روند بیش تر باشد، کتاب خانه ها باید بیش تر به طراحی زیرساخت های خدمات به شکل برنامه های شخصی و اختصاصی بپردازند که در موقعیت های خاص برای محقق ساختن انتظارات کاربران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 شده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اطلاعات در سناریوهای کاربری فعلی، برای مثال با تمرکز بر موقعیت های پژوهشی خاص، به اندازه ساختاربندی معنائی فضاهای پژوهشی معنائی جامع و گروه های محتوای جمع آوری شده، حائز اهمیت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لازمه های ضروری این امر، دست یابی به ارجاع جامع به ذخایر دانش است که تحت سرپرستی کتاب خانه ها قرار دارد</w:t>
      </w:r>
      <w:r>
        <w:rPr>
          <w:rFonts w:eastAsia="IRNazanin" w:cs="IRNazanin"/>
          <w:color w:val="111111"/>
          <w:sz w:val="28"/>
          <w:szCs w:val="28"/>
          <w:rtl w:val="true"/>
          <w:lang w:bidi="fa-IR"/>
        </w:rPr>
        <w:t xml:space="preserve">. </w:t>
      </w:r>
      <w:bookmarkStart w:id="120" w:name="pg9659_93862"/>
    </w:p>
    <w:p>
      <w:pPr>
        <w:pStyle w:val="BookText"/>
        <w:rPr/>
      </w:pPr>
      <w:bookmarkEnd w:id="120"/>
      <w:r>
        <w:rPr>
          <w:rFonts w:ascii="IRNazanin" w:hAnsi="IRNazanin" w:eastAsia="IRNazanin"/>
          <w:color w:val="111111"/>
          <w:sz w:val="28"/>
          <w:sz w:val="28"/>
          <w:szCs w:val="28"/>
          <w:rtl w:val="true"/>
          <w:lang w:bidi="fa-IR"/>
        </w:rPr>
        <w:t xml:space="preserve">این پیشرفت، به طور اجتناب ناپذیر با فقدان اهمیت دروازه ها و وب گاه های اینترنتی سازمانی بزرگ همراه خواهد بود که به سمت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کامل</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 ها و وب گاه ها با برنامه هایی جایگزین خواهند شد که برای نیل به برخی اهداف و خدمات خاص بر اساس رسوم سازمان دهی شده و مطابق با محیط های کاربری متنوع و ناهمگونِ فضای دانش رقومی متحرک با تمرکزهای فردی، سازگار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عواقب وسیعی برای نهادهایی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رقومی آلمان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یوروپیانا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دارد که مجموعه های بزرگ از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نهادها، فقط قادر نخواهند بود تا خود را به عنوان یک درگاه و بنابراین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های نمایش</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اشیای رقومی معرفی کنند و تنها به عنوان یک پایگاه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ها ذخایر داده های رقومی را برای استفاده آماده، پیوند درونی آن ها را برقرار، این ذخایر را از نظر جریان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توصیف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می کنند و از طریق واسط های باز، برای استفاده و پردازش در محیط ها و برنامه های کاری بیرونی، در دسترس قرار می دهد</w:t>
      </w:r>
      <w:r>
        <w:rPr>
          <w:rFonts w:eastAsia="IRNazanin" w:cs="IRNazanin"/>
          <w:color w:val="111111"/>
          <w:sz w:val="28"/>
          <w:szCs w:val="28"/>
          <w:rtl w:val="true"/>
          <w:lang w:bidi="fa-IR"/>
        </w:rPr>
        <w:t>.</w:t>
      </w:r>
    </w:p>
    <w:p>
      <w:pPr>
        <w:pStyle w:val="Heading3"/>
        <w:numPr>
          <w:ilvl w:val="2"/>
          <w:numId w:val="1"/>
        </w:numPr>
        <w:rPr/>
      </w:pPr>
      <w:bookmarkStart w:id="121" w:name="__RefHeading___Toc7825299_2870459653"/>
      <w:bookmarkStart w:id="122" w:name="_Toc44"/>
      <w:bookmarkEnd w:id="121"/>
      <w:r>
        <w:rPr>
          <w:rtl w:val="true"/>
        </w:rPr>
        <w:t>«</w:t>
      </w:r>
      <w:r>
        <w:rPr>
          <w:rtl w:val="true"/>
        </w:rPr>
        <w:t>صلاحیت</w:t>
      </w:r>
      <w:r>
        <w:rPr>
          <w:rtl w:val="true"/>
        </w:rPr>
        <w:t xml:space="preserve">» </w:t>
      </w:r>
      <w:r>
        <w:rPr>
          <w:rtl w:val="true"/>
        </w:rPr>
        <w:t>در فضاهای دانش رقومی</w:t>
      </w:r>
      <w:bookmarkEnd w:id="12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پویای دانش رقومی به عنوان زمینه اقدام کتاب خانه های آتی، به طور هم زمان نیازمند شکل های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کاردانش</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مخصوصاً در چارچوب مطالعه، آموزش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شود که فهم سریع و مشارکتی ساختارهای شبکه ای، جابه جایی سریع ذخایر داده های چندرسانه ای غنی و چند پیوندی و هم چنین توانائی محدود سازی آگاهانه فرد به آن چه به صورت عملی گفته شده و درک آن در سایه فضای دانش شبکه ای محدود لازم است، از اهمیت بیش تری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معکوس، این امکان وجود دارد که جدا کردن مفهوم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خودشمول و اساساً متنی از دانش معین، اهمیت وجودی بیش تری به روش های فرهنگی کلاسیک مانند دریافت متمرکز و خطی ساختارهای بحثی متوالی،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جاناتان گرودین </w:t>
      </w:r>
      <w:r>
        <w:rPr>
          <w:rStyle w:val="FootnoteAnchor"/>
          <w:rtl w:val="true"/>
        </w:rPr>
        <w:footnoteReference w:id="154"/>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مهارت های ضروری عبارت اند از جستجو، مرور، ارزیابی کیفیت و ترکیب سریع حجم زیادی از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توانائی خواندن یک مطلب و تفکر زیاد در بارۀ آن، هیچ پیامدی برای اکثر مردم به دنبال نخواهد داشت</w:t>
      </w:r>
      <w:r>
        <w:rPr>
          <w:rFonts w:eastAsia="IRNazanin" w:cs="IRNazanin"/>
          <w:color w:val="111111"/>
          <w:sz w:val="28"/>
          <w:szCs w:val="28"/>
          <w:rtl w:val="true"/>
          <w:lang w:bidi="fa-IR"/>
        </w:rPr>
        <w:t xml:space="preserve">. </w:t>
      </w:r>
      <w:bookmarkStart w:id="123" w:name="pg9659_93863"/>
    </w:p>
    <w:p>
      <w:pPr>
        <w:pStyle w:val="BookText"/>
        <w:rPr/>
      </w:pPr>
      <w:bookmarkEnd w:id="123"/>
      <w:r>
        <w:rPr>
          <w:rFonts w:ascii="IRNazanin" w:hAnsi="IRNazanin" w:eastAsia="IRNazanin"/>
          <w:color w:val="111111"/>
          <w:sz w:val="28"/>
          <w:sz w:val="28"/>
          <w:szCs w:val="28"/>
          <w:rtl w:val="true"/>
          <w:lang w:bidi="fa-IR"/>
        </w:rPr>
        <w:t xml:space="preserve">فيلسوف فرهنگی، میشل سرس </w:t>
      </w:r>
      <w:r>
        <w:rPr>
          <w:rStyle w:val="FootnoteAnchor"/>
          <w:rtl w:val="true"/>
        </w:rPr>
        <w:footnoteReference w:id="155"/>
      </w:r>
      <w:r>
        <w:rPr>
          <w:rFonts w:ascii="IRNazanin" w:hAnsi="IRNazanin" w:eastAsia="IRNazanin"/>
          <w:color w:val="111111"/>
          <w:sz w:val="28"/>
          <w:sz w:val="28"/>
          <w:szCs w:val="28"/>
          <w:rtl w:val="true"/>
          <w:lang w:bidi="fa-IR"/>
        </w:rPr>
        <w:t xml:space="preserve">در کتاب جدید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فناوری هزاره دوم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از این مرحله، قدمی جلوتر رفته و دسترس پذیری همه جانبه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دنیای رقومی به عنوان نشانه ای از تغییر اشکال درک و آگاهی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مفاهیم نیاز ضروری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بر داستان ها، مثال ها و شگفتی ها، بر خود اشیائی که به آن ها نیاز داریم، 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و نظری، این تکرار باعث بازیافتن احترام فیلسوفانی می شود که به توصیف و به اشیاء متعهد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ملاحظات، رویکردهای گوناگونی برای تعریف مجدد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اطلاعاتی</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به کتاب خانه ها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که هم اکنون از نظر فنی به عنوان انتقال مهارت های پژوهش، انتخاب و ارزیابی اطلاعات مشخص می شود، برای کتاب خانه ها در آینده، هنگامی که مفاهیم گسترده تر را تفسیر می کنند، حائز اهمیت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محدودیت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دانش</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کاردانشی</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موفق در فضای داده ای در عصر رقومی رفع شده است</w:t>
      </w:r>
      <w:r>
        <w:rPr>
          <w:rFonts w:eastAsia="IRNazanin" w:cs="IRNazanin"/>
          <w:color w:val="111111"/>
          <w:sz w:val="28"/>
          <w:szCs w:val="28"/>
          <w:rtl w:val="true"/>
          <w:lang w:bidi="fa-IR"/>
        </w:rPr>
        <w:t>.</w:t>
      </w:r>
    </w:p>
    <w:p>
      <w:pPr>
        <w:pStyle w:val="Heading3"/>
        <w:numPr>
          <w:ilvl w:val="2"/>
          <w:numId w:val="1"/>
        </w:numPr>
        <w:rPr/>
      </w:pPr>
      <w:bookmarkStart w:id="124" w:name="__RefHeading___Toc7825301_2870459653"/>
      <w:bookmarkStart w:id="125" w:name="_Toc45"/>
      <w:bookmarkEnd w:id="124"/>
      <w:r>
        <w:rPr>
          <w:rtl w:val="true"/>
        </w:rPr>
        <w:t>«</w:t>
      </w:r>
      <w:r>
        <w:rPr>
          <w:rtl w:val="true"/>
        </w:rPr>
        <w:t>کتاب خانه ها</w:t>
      </w:r>
      <w:r>
        <w:rPr>
          <w:rtl w:val="true"/>
        </w:rPr>
        <w:t xml:space="preserve">»: </w:t>
      </w:r>
      <w:r>
        <w:rPr>
          <w:rtl w:val="true"/>
        </w:rPr>
        <w:t>آینده باز</w:t>
      </w:r>
      <w:bookmarkEnd w:id="125"/>
    </w:p>
    <w:p>
      <w:pPr>
        <w:pStyle w:val="BookText"/>
        <w:rPr/>
      </w:pPr>
      <w:r>
        <w:rPr>
          <w:rFonts w:ascii="IRNazanin" w:hAnsi="IRNazanin" w:eastAsia="IRNazanin"/>
          <w:color w:val="111111"/>
          <w:sz w:val="28"/>
          <w:sz w:val="28"/>
          <w:szCs w:val="28"/>
          <w:rtl w:val="true"/>
          <w:lang w:bidi="fa-IR"/>
        </w:rPr>
        <w:t>ملاحظات این مقاله، مسلماً یک سناریوی ناشناخته از چشم انداز دانش کاملاً رقومی را ترسیم می کند که در آینده کتاب خانه باید در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مفهوم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فقره دانش</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به نفع مفهوم دانش نامحدود و شبکه ای پیوسته و جریان دانش که به صورت پویا در حال ارتقا و پیشرفت است، مستلزم این است که بسیاری از پرسش های بحث شده در بارۀ طراحی مبتنی بر پژوهش زیر ساخت های اطلاعات، به شکل متفاوت و جدید مورد سؤال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بحث فعلی دسترسی آزاد و اجزای ضروری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سبز در مقابل جادۀ طلائی، مدل حق اشتراک در مقابل هزینه پردازش مقاله، حق چاپ مجدد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اجتناب ناپذیر به مفهوم سنتی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الکترونیکی متن، پیوند دارد و احتمالاً به پرسشی درباره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دانش داده های پیوند یافته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نظر گرفتن مدل های تجاری ابتکاری تبدیل می شود که شامل تعامل بین نویسندگان، ناشران، کتاب خانه ها و تأمین کنندگان تجاری ابزارهای فناوری اطلاعات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سرعت تغییر و نوآوری در جامعه رقومی، اظهارنظر درباره رُخ نمای آتی کتاب خانه ها </w:t>
      </w:r>
      <w:bookmarkStart w:id="126" w:name="pg9659_93864"/>
    </w:p>
    <w:p>
      <w:pPr>
        <w:pStyle w:val="BookText"/>
        <w:rPr/>
      </w:pPr>
      <w:bookmarkEnd w:id="126"/>
      <w:r>
        <w:rPr>
          <w:rFonts w:ascii="IRNazanin" w:hAnsi="IRNazanin" w:eastAsia="IRNazanin"/>
          <w:color w:val="111111"/>
          <w:sz w:val="28"/>
          <w:sz w:val="28"/>
          <w:szCs w:val="28"/>
          <w:rtl w:val="true"/>
          <w:lang w:bidi="fa-IR"/>
        </w:rPr>
        <w:t>به عنوان زیر ساخت پژوهشی باید لزوماً مبهم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موضوع که آیا ساختارهای جدید، چشم انداز کنونی دانش را کامل کرده و آیا باعث انتقال این چشم انداز و سرانجام جایگزینی آن خواهند شد،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رغم پیروی از روش های جدید، کتاب خانه ایالتی باواریا </w:t>
      </w:r>
      <w:r>
        <w:rPr>
          <w:rStyle w:val="FootnoteAnchor"/>
          <w:rtl w:val="true"/>
        </w:rPr>
        <w:footnoteReference w:id="161"/>
      </w:r>
      <w:r>
        <w:rPr>
          <w:rFonts w:ascii="IRNazanin" w:hAnsi="IRNazanin" w:eastAsia="IRNazanin"/>
          <w:color w:val="111111"/>
          <w:sz w:val="28"/>
          <w:sz w:val="28"/>
          <w:szCs w:val="28"/>
          <w:rtl w:val="true"/>
          <w:lang w:bidi="fa-IR"/>
        </w:rPr>
        <w:t xml:space="preserve">هر سال حدود صد و سی هزار جلد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مجموعه خود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فنی، سناریوهای آتی که در این جا توصیف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تقریبا پیاده سازی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پرسش دربارۀ این که تحول درک ما از دانش به سمت یک جریان شناور و شبکه ای از داده ها تا چه حد چشم انداز مطلوب را ارائه می دهد، موضوع درک فرهنگی از جامعه رقومی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درباره این که چرا این جریان باید در برخی نقاط خاص متوقف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وضعیت دانش را ثبات ببخشد، در حیطه رقومی فقط با در نظر گرفتن نقش سنتی کتاب خانه به عنوان مباشر حافظه جمعی،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ایجاد ثبات در وضعیت دانش، ما آن چیزی را منتشر می کنیم که می خواهیم به طور دائم مورد حفاظت و نگهداری قرار گیرد؛ آن چیزی را منتشر می کنیم که آن قدر مهم است که حتی اگر یافته های جدید در آینده جایگزین آن شوند، به شکل بلند مدت در دسترس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پرسش مطرح می شود که جامعه با در نظر گرفتن مفهوم دانش به عنوان یک شبکه داده ای که به طور نامحدود دارای پیوند است و مجدداً ایجاد می شود، به محافظی برای اطمینان مجدد به شکل ذخایر به تواتر رسیده دانش نیاز دارد که حتی اگر عملاً به ندرت از آن ها استفاده شود، می تواند در هر زمان مورد استفاده قرار</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این سؤال، هم زمان مشخص می کند که آیا کتاب خانه حقیقتاً چیزی فراتر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ساخت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امروز تا چه حد محقق شده است</w:t>
      </w:r>
      <w:r>
        <w:rPr>
          <w:rFonts w:eastAsia="IRNazanin" w:cs="IRNazanin"/>
          <w:color w:val="111111"/>
          <w:sz w:val="28"/>
          <w:szCs w:val="28"/>
          <w:rtl w:val="true"/>
          <w:lang w:bidi="fa-IR"/>
        </w:rPr>
        <w:t>.</w:t>
      </w:r>
    </w:p>
    <w:p>
      <w:pPr>
        <w:pStyle w:val="Heading3"/>
        <w:numPr>
          <w:ilvl w:val="2"/>
          <w:numId w:val="1"/>
        </w:numPr>
        <w:rPr/>
      </w:pPr>
      <w:bookmarkStart w:id="127" w:name="__RefHeading___Toc7825303_2870459653"/>
      <w:bookmarkStart w:id="128" w:name="_Toc46"/>
      <w:bookmarkEnd w:id="127"/>
      <w:r>
        <w:rPr>
          <w:rtl w:val="true"/>
        </w:rPr>
        <w:t>منابع</w:t>
      </w:r>
      <w:bookmarkEnd w:id="128"/>
    </w:p>
    <w:p>
      <w:pPr>
        <w:pStyle w:val="BookText"/>
        <w:rPr/>
      </w:pPr>
      <w:r>
        <w:rPr>
          <w:rFonts w:eastAsia="Times New Roman" w:cs="Times New Roman" w:ascii="Times New Roman" w:hAnsi="Times New Roman"/>
          <w:color w:val="111111"/>
          <w:sz w:val="28"/>
          <w:szCs w:val="28"/>
          <w:lang w:val="en-US" w:bidi="en-US"/>
        </w:rPr>
        <w:t>See http://www.ub.hu-berlin.de/fu-push on the DFG project "Future</w:t>
      </w:r>
    </w:p>
    <w:p>
      <w:pPr>
        <w:pStyle w:val="BookText"/>
        <w:rPr/>
      </w:pPr>
      <w:r>
        <w:rPr>
          <w:rFonts w:eastAsia="Times New Roman" w:cs="Times New Roman" w:ascii="Times New Roman" w:hAnsi="Times New Roman"/>
          <w:color w:val="111111"/>
          <w:sz w:val="28"/>
          <w:szCs w:val="28"/>
          <w:lang w:val="en-US" w:bidi="en-US"/>
        </w:rPr>
        <w:t>Publications in the Humanities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Pew Research Center: Teens and Technology, 2013, S. 2. http:// www.pewinternet.org/files/old-media//Files/Reports/2013/PIP</w:t>
      </w:r>
    </w:p>
    <w:p>
      <w:pPr>
        <w:pStyle w:val="BookText"/>
        <w:rPr/>
      </w:pPr>
      <w:r>
        <w:rPr>
          <w:rFonts w:eastAsia="Times New Roman" w:cs="Times New Roman" w:ascii="Times New Roman" w:hAnsi="Times New Roman"/>
          <w:color w:val="111111"/>
          <w:sz w:val="28"/>
          <w:szCs w:val="28"/>
          <w:lang w:val="en-US" w:bidi="en-US"/>
        </w:rPr>
        <w:t>TeensandTechnology2013.pdf</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See Wolfgang Henseler: Natural User Interfaces. Die Kunst, Nutzung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intuitiv zu gestalten</w:t>
      </w:r>
    </w:p>
    <w:p>
      <w:pPr>
        <w:pStyle w:val="BookText"/>
        <w:rPr/>
      </w:pPr>
      <w:r>
        <w:rPr>
          <w:rFonts w:eastAsia="Times New Roman" w:cs="Times New Roman" w:ascii="Times New Roman" w:hAnsi="Times New Roman"/>
          <w:color w:val="111111"/>
          <w:sz w:val="28"/>
          <w:szCs w:val="28"/>
          <w:lang w:val="en-US" w:bidi="en-US"/>
        </w:rPr>
        <w:t>http://webmagazin.de/design/user-experience/Natural-User-Interfaces- Kunst-Nutzung-intuitiv-zu-gestalten</w:t>
      </w:r>
    </w:p>
    <w:p>
      <w:pPr>
        <w:pStyle w:val="BookText"/>
        <w:rPr/>
      </w:pPr>
      <w:r>
        <w:rPr>
          <w:rFonts w:eastAsia="Times New Roman" w:cs="Times New Roman" w:ascii="Times New Roman" w:hAnsi="Times New Roman"/>
          <w:color w:val="111111"/>
          <w:sz w:val="28"/>
          <w:szCs w:val="28"/>
          <w:lang w:val="en-US" w:bidi="en-US"/>
        </w:rPr>
        <w:t>Jeff Stibel: The web is dead - and the app (thankfully) killed it. http://www.wired.co.uk/magazine/archive/2013/09/ideas-bank/the- web-is-dead-and-the-app-thankfully-killed-it (Article taken from the September 2013 issue of Wired magazine). See also Jeff Stibel: Breakpoint. Why the web will implode, search will be obsolete, and everything else you need to know about technology is in your brain. New York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Source of quotation: Janna Anderson, Lee Rainie: Millenials will</w:t>
      </w:r>
    </w:p>
    <w:p>
      <w:pPr>
        <w:pStyle w:val="BookText"/>
        <w:rPr/>
      </w:pPr>
      <w:r>
        <w:rPr>
          <w:rFonts w:eastAsia="Times New Roman" w:cs="Times New Roman" w:ascii="Times New Roman" w:hAnsi="Times New Roman"/>
          <w:color w:val="111111"/>
          <w:sz w:val="28"/>
          <w:szCs w:val="28"/>
          <w:lang w:val="en-US" w:bidi="en-US"/>
        </w:rPr>
        <w:t>benefit and suffer due to their hyperconnected lives. Pew Research Center's Internet &amp; American Life Project, 2012, S. http://www.pewinternet.org</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files/old-media//Files/Reports/2012/PIP_Future_of_Internet_2012 Young_brains_PDF.pdf Translated</w:t>
      </w:r>
      <w:r>
        <w:rPr>
          <w:rFonts w:eastAsia="Times New Roman" w:cs="Times New Roman" w:ascii="Times New Roman" w:hAnsi="Times New Roman"/>
          <w:color w:val="111111"/>
          <w:sz w:val="28"/>
          <w:szCs w:val="28"/>
          <w:rtl w:val="true"/>
          <w:lang w:val="en-US" w:bidi="en-US"/>
        </w:rPr>
        <w:t xml:space="preserve"> </w:t>
      </w:r>
      <w:bookmarkStart w:id="129" w:name="pg9659_93866"/>
    </w:p>
    <w:p>
      <w:pPr>
        <w:pStyle w:val="Heading2"/>
        <w:numPr>
          <w:ilvl w:val="1"/>
          <w:numId w:val="1"/>
        </w:numPr>
        <w:rPr/>
      </w:pPr>
      <w:bookmarkStart w:id="130" w:name="__RefHeading___Toc7825305_2870459653"/>
      <w:bookmarkStart w:id="131" w:name="_Toc47"/>
      <w:bookmarkEnd w:id="129"/>
      <w:bookmarkEnd w:id="130"/>
      <w:r>
        <w:rPr>
          <w:rtl w:val="true"/>
        </w:rPr>
        <w:t>چکیده</w:t>
      </w:r>
      <w:bookmarkEnd w:id="131"/>
    </w:p>
    <w:p>
      <w:pPr>
        <w:pStyle w:val="BookText"/>
        <w:rPr/>
      </w:pPr>
      <w:r>
        <w:rPr>
          <w:rFonts w:ascii="IRNazanin" w:hAnsi="IRNazanin" w:eastAsia="IRNazanin"/>
          <w:color w:val="111111"/>
          <w:sz w:val="28"/>
          <w:sz w:val="28"/>
          <w:szCs w:val="28"/>
          <w:rtl w:val="true"/>
          <w:lang w:bidi="fa-IR"/>
        </w:rPr>
        <w:t xml:space="preserve">مقاله حاضر، به ارزیابی این مسئله می پردازد که چه طرح های فراداده ای برای مواد رادیویی با استفاده از نمونه طرح لارم </w:t>
      </w:r>
      <w:r>
        <w:rPr>
          <w:rStyle w:val="FootnoteAnchor"/>
          <w:rtl w:val="true"/>
        </w:rPr>
        <w:footnoteReference w:id="162"/>
      </w:r>
      <w:r>
        <w:rPr>
          <w:rFonts w:ascii="IRNazanin" w:hAnsi="IRNazanin" w:eastAsia="IRNazanin"/>
          <w:color w:val="111111"/>
          <w:sz w:val="28"/>
          <w:sz w:val="28"/>
          <w:szCs w:val="28"/>
          <w:rtl w:val="true"/>
          <w:lang w:bidi="fa-IR"/>
        </w:rPr>
        <w:t>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مطالعات انجام شده بر روی چندین کاربر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یک طرح فراداده ای اجرا شده است که سه لایه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آرشیوی، فراداده لارم و فراداده اختصاصی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به منظور بررسی سازگاری طرح های فراداده ای و درک کاربر از فلسفه اساسی آن، مصاحبه های آنلاینی پیگیری و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ها دو نکته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علی رغم درگیر بودن در ساختن طرح ها، مشارکت کنندگان طرح های فراداده ای فعلی را بر اساس آزمون و خطا به کاربردند و به ندرت فلسفه اساسی آن را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مشارکت کنندگان در هنگام کار با فراداده به گونه ای شگفت آور، مسئولیت پذیری بالایی را نشان دادند، به این معنا که فراهم کنندگان آرشیو باید کم تر نگران سوء استفاده از فراداده ها باشند و در عوض، از مشارکت کاربران استقبال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صوتی، محتوای کاربر تولید، رفتار اطلاعاتی، زیرساخت های الکترونیکی </w:t>
      </w:r>
      <w:bookmarkStart w:id="132" w:name="pg9659_93867"/>
    </w:p>
    <w:p>
      <w:pPr>
        <w:pStyle w:val="Heading2"/>
        <w:numPr>
          <w:ilvl w:val="1"/>
          <w:numId w:val="1"/>
        </w:numPr>
        <w:rPr/>
      </w:pPr>
      <w:bookmarkStart w:id="133" w:name="__RefHeading___Toc7825307_2870459653"/>
      <w:bookmarkStart w:id="134" w:name="_Toc48"/>
      <w:bookmarkEnd w:id="132"/>
      <w:bookmarkEnd w:id="133"/>
      <w:r>
        <w:rPr>
          <w:rtl w:val="true"/>
        </w:rPr>
        <w:t>کمترین مخرج مشترک، نیازهای کاربران را برآورده نمی کند</w:t>
      </w:r>
      <w:r>
        <w:rPr>
          <w:rtl w:val="true"/>
        </w:rPr>
        <w:t xml:space="preserve">: </w:t>
      </w:r>
      <w:r>
        <w:rPr>
          <w:rtl w:val="true"/>
        </w:rPr>
        <w:t>طرح های فراداده برای آرشیوهای صوتی رقومی</w:t>
      </w:r>
      <w:bookmarkEnd w:id="134"/>
    </w:p>
    <w:p>
      <w:pPr>
        <w:pStyle w:val="Heading3"/>
        <w:numPr>
          <w:ilvl w:val="2"/>
          <w:numId w:val="1"/>
        </w:numPr>
        <w:rPr/>
      </w:pPr>
      <w:bookmarkStart w:id="135" w:name="__RefHeading___Toc7825309_2870459653"/>
      <w:bookmarkStart w:id="136" w:name="_Toc49"/>
      <w:bookmarkEnd w:id="135"/>
      <w:r>
        <w:rPr>
          <w:rtl w:val="true"/>
        </w:rPr>
        <w:t>اشاره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مخرج مشترک، نیازهای کاربران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فراداده برای آرشیوهای صوتی رقومی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نوشته اِلكه جايفينيدار </w:t>
      </w:r>
      <w:r>
        <w:rPr>
          <w:rStyle w:val="FootnoteAnchor"/>
          <w:rtl w:val="true"/>
        </w:rPr>
        <w:footnoteReference w:id="164"/>
      </w:r>
      <w:r>
        <w:rPr>
          <w:rFonts w:ascii="IRNazanin" w:hAnsi="IRNazanin" w:eastAsia="IRNazanin"/>
          <w:color w:val="111111"/>
          <w:sz w:val="28"/>
          <w:sz w:val="28"/>
          <w:szCs w:val="28"/>
          <w:rtl w:val="true"/>
          <w:lang w:bidi="fa-IR"/>
        </w:rPr>
        <w:t xml:space="preserve">، بنت لارسن </w:t>
      </w:r>
      <w:r>
        <w:rPr>
          <w:rStyle w:val="FootnoteAnchor"/>
          <w:rtl w:val="true"/>
        </w:rPr>
        <w:footnoteReference w:id="165"/>
      </w:r>
      <w:r>
        <w:rPr>
          <w:rFonts w:ascii="IRNazanin" w:hAnsi="IRNazanin" w:eastAsia="IRNazanin"/>
          <w:color w:val="111111"/>
          <w:sz w:val="28"/>
          <w:sz w:val="28"/>
          <w:szCs w:val="28"/>
          <w:rtl w:val="true"/>
          <w:lang w:bidi="fa-IR"/>
        </w:rPr>
        <w:t xml:space="preserve">، بیرگر لارسن </w:t>
      </w:r>
      <w:r>
        <w:rPr>
          <w:rStyle w:val="FootnoteAnchor"/>
          <w:rtl w:val="true"/>
        </w:rPr>
        <w:footnoteReference w:id="166"/>
      </w:r>
      <w:r>
        <w:rPr>
          <w:rFonts w:ascii="IRNazanin" w:hAnsi="IRNazanin" w:eastAsia="IRNazanin"/>
          <w:color w:val="111111"/>
          <w:sz w:val="28"/>
          <w:sz w:val="28"/>
          <w:szCs w:val="28"/>
          <w:rtl w:val="true"/>
          <w:lang w:bidi="fa-IR"/>
        </w:rPr>
        <w:t xml:space="preserve">، آکن لوند </w:t>
      </w:r>
      <w:r>
        <w:rPr>
          <w:rStyle w:val="FootnoteAnchor"/>
          <w:rtl w:val="true"/>
        </w:rPr>
        <w:footnoteReference w:id="167"/>
      </w:r>
      <w:r>
        <w:rPr>
          <w:rFonts w:ascii="Amiri" w:hAnsi="Amiri" w:eastAsia="Amiri" w:cs="Amiri"/>
          <w:color w:val="111111"/>
          <w:sz w:val="28"/>
          <w:sz w:val="28"/>
          <w:szCs w:val="28"/>
          <w:rtl w:val="true"/>
          <w:lang w:bidi="ar-SA"/>
        </w:rPr>
        <w:t xml:space="preserve">و مته اِسکُو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امیررضا اصنافی </w:t>
      </w:r>
      <w:r>
        <w:rPr>
          <w:rStyle w:val="FootnoteAnchor"/>
          <w:rtl w:val="true"/>
        </w:rPr>
        <w:footnoteReference w:id="169"/>
      </w:r>
    </w:p>
    <w:p>
      <w:pPr>
        <w:pStyle w:val="Heading3"/>
        <w:numPr>
          <w:ilvl w:val="2"/>
          <w:numId w:val="1"/>
        </w:numPr>
        <w:rPr/>
      </w:pPr>
      <w:bookmarkStart w:id="137" w:name="__RefHeading___Toc7825311_2870459653"/>
      <w:bookmarkStart w:id="138" w:name="_Toc50"/>
      <w:bookmarkEnd w:id="137"/>
      <w:r>
        <w:rPr/>
        <w:t>1</w:t>
      </w:r>
      <w:r>
        <w:rPr>
          <w:rtl w:val="true"/>
        </w:rPr>
        <w:t xml:space="preserve">. </w:t>
      </w:r>
      <w:r>
        <w:rPr>
          <w:rtl w:val="true"/>
        </w:rPr>
        <w:t>مقدمه</w:t>
      </w:r>
      <w:bookmarkEnd w:id="138"/>
    </w:p>
    <w:p>
      <w:pPr>
        <w:pStyle w:val="BookText"/>
        <w:rPr/>
      </w:pPr>
      <w:r>
        <w:rPr>
          <w:rFonts w:ascii="IRNazanin" w:hAnsi="IRNazanin" w:eastAsia="IRNazanin"/>
          <w:color w:val="111111"/>
          <w:sz w:val="28"/>
          <w:sz w:val="28"/>
          <w:szCs w:val="28"/>
          <w:rtl w:val="true"/>
          <w:lang w:bidi="fa-IR"/>
        </w:rPr>
        <w:t>رقومی سازی میراث فرهنگیمان و حفاظت از آن، از گذشته تا به امروز انجام شده است و هنوز اولویت عمده محسوب می شود و سرمایه گذاری های انجام شده در طرح های رقومی سازی با مقیاس گسترده،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گذاری قابل توجه در میراث فرهنگی ما و پایه زیرساخت های پژوهشی در علوم انسانی رقومی، در نتیجه افزایش آگاهی بین سیاست گذاران اهمیت میراث فرهنگی ما برای امنیت دسترسی عمومی در آینده به این منابع ارزشمند نیز مورد حمایت نظام سیاسی قرار گرفته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رادیویی عمدتاً مدت زمان طولانی، از حوزه تمرکز پژوهش گران خارج بوده است، زیرا این </w:t>
      </w:r>
      <w:bookmarkStart w:id="139" w:name="pg9659_93868"/>
    </w:p>
    <w:p>
      <w:pPr>
        <w:pStyle w:val="BookText"/>
        <w:rPr/>
      </w:pPr>
      <w:bookmarkEnd w:id="139"/>
      <w:r>
        <w:rPr>
          <w:rFonts w:ascii="IRNazanin" w:hAnsi="IRNazanin" w:eastAsia="IRNazanin"/>
          <w:color w:val="111111"/>
          <w:sz w:val="28"/>
          <w:sz w:val="28"/>
          <w:szCs w:val="28"/>
          <w:rtl w:val="true"/>
          <w:lang w:bidi="fa-IR"/>
        </w:rPr>
        <w:t>مواد به واسطه محدودیت های حق مولف، ضرورتاً در دسترس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میراث فرهنگی ما پخش به صورت رادیویی است و طرح دانمارکی زیرساختی لارم نمونه ای از پژوهش خلاقانه علم الکترونیکی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میراث رادیو به صورت ضعیف با فراداده نمایه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های موجود برای اکثر برنامه ها شامل عنوان برنامه، تاریخ انتقال، کانال، طول برنامه و نام واحد پخش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یافتن برخی اطلاعات اضافی، درباره محتوای برنامه هایی است که ساعتشان طولانی باشد،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طرح لازم، برای نمایه سازی عمیق، بودجه در دسترس نبود، در نتیجه یافتن شیوه هایی برای فراهم سازی فراداده هایی است که کار با آن ها ساده است، به راحتی قابل توسعه هستند و امکان تبادل داده های انعطاف پذیر را فراهم می سازند، به عنوان یک چالش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الوند </w:t>
      </w:r>
      <w:r>
        <w:rPr>
          <w:rStyle w:val="FootnoteAnchor"/>
          <w:rtl w:val="true"/>
        </w:rPr>
        <w:footnoteReference w:id="170"/>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مقاله در ادامه به این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پیشینه ها و متون مرتبط با موضوع و طرح لارم ارائه می شود و به دنبال آن، سؤالات پژوهش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روش شناسی و نتایج پژوهش اولیه که ملزومات فراداده ها را واضح و شفاف کرده اند و نتیجه طرح های فراداده ای مورد بحث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نتایج حاصل از ارزیابی پیگیری از این طرح های فراداده ای با استفاده از مصاحبه کیفی آنلاین هم زمان خاتمه می یابد</w:t>
      </w:r>
      <w:r>
        <w:rPr>
          <w:rFonts w:eastAsia="IRNazanin" w:cs="IRNazanin"/>
          <w:color w:val="111111"/>
          <w:sz w:val="28"/>
          <w:szCs w:val="28"/>
          <w:rtl w:val="true"/>
          <w:lang w:bidi="fa-IR"/>
        </w:rPr>
        <w:t>.</w:t>
      </w:r>
    </w:p>
    <w:p>
      <w:pPr>
        <w:pStyle w:val="Heading3"/>
        <w:numPr>
          <w:ilvl w:val="2"/>
          <w:numId w:val="1"/>
        </w:numPr>
        <w:rPr/>
      </w:pPr>
      <w:bookmarkStart w:id="140" w:name="__RefHeading___Toc7825313_2870459653"/>
      <w:bookmarkStart w:id="141" w:name="_Toc51"/>
      <w:bookmarkEnd w:id="140"/>
      <w:r>
        <w:rPr/>
        <w:t>2</w:t>
      </w:r>
      <w:r>
        <w:rPr>
          <w:rtl w:val="true"/>
        </w:rPr>
        <w:t xml:space="preserve">. </w:t>
      </w:r>
      <w:r>
        <w:rPr>
          <w:rtl w:val="true"/>
        </w:rPr>
        <w:t>پیش زمینه</w:t>
      </w:r>
      <w:bookmarkEnd w:id="1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بازیابی مواد شنیداری، در فراهمایی سالانه انجمن بین المللی بازیابی اطلاعات موسیقی </w:t>
      </w:r>
      <w:r>
        <w:rPr>
          <w:rStyle w:val="FootnoteAnchor"/>
          <w:rtl w:val="true"/>
        </w:rPr>
        <w:footnoteReference w:id="171"/>
      </w:r>
      <w:r>
        <w:rPr>
          <w:rFonts w:ascii="IRNazanin" w:hAnsi="IRNazanin" w:eastAsia="IRNazanin"/>
          <w:color w:val="111111"/>
          <w:sz w:val="28"/>
          <w:sz w:val="28"/>
          <w:szCs w:val="28"/>
          <w:rtl w:val="true"/>
          <w:lang w:bidi="fa-IR"/>
        </w:rPr>
        <w:t xml:space="preserve">، به عنوان یک موضوع رو به توسعه، به گونه ای فزاینده مورد توجه اعضا و انتشارات این نهاد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اسميا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قابل توجهی در خصوص این که کاربران چگونه موسیقی مورد نظر خود را جستجو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بررسی اجمالی نگاه کنید به لی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طرح های فراداده ای ممکن است در نتیجه کار مورد نیاز باشند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نگارنده آگاهی دارد، اگر نگوییم همه طرح ها تنها تعداد اندکی از این نتایج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می تواند به خاطر قطع ارتباط بین پژوهش های رده بندی و بازیابی اطلاعات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بین پژوهش درباره رفتار یافتن کاربر و پژوهش راجع به رده بندی به منظور اجرای استانداردهای توصیف و دسترسی به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آردی اِی</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ملزومات </w:t>
      </w:r>
    </w:p>
    <w:p>
      <w:pPr>
        <w:pStyle w:val="BookText"/>
        <w:rPr/>
      </w:pPr>
      <w:r>
        <w:rPr>
          <w:rFonts w:ascii="IRNazanin" w:hAnsi="IRNazanin" w:eastAsia="IRNazanin"/>
          <w:color w:val="111111"/>
          <w:sz w:val="28"/>
          <w:sz w:val="28"/>
          <w:szCs w:val="28"/>
          <w:rtl w:val="true"/>
          <w:lang w:bidi="fa-IR"/>
        </w:rPr>
        <w:t xml:space="preserve">کاربردی پیشینه های کتاب شناختی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بی آر</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بیشتر فعال است و مطالعات متعدد دیگر کاربران درباره ملزومات فراداده ها نیز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نگاه کنید به ایرز </w:t>
      </w:r>
      <w:r>
        <w:rPr>
          <w:rStyle w:val="FootnoteAnchor"/>
          <w:rtl w:val="true"/>
        </w:rPr>
        <w:footnoteReference w:id="176"/>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کانایی </w:t>
      </w:r>
      <w:r>
        <w:rPr>
          <w:rStyle w:val="FootnoteAnchor"/>
          <w:rtl w:val="true"/>
        </w:rPr>
        <w:footnoteReference w:id="177"/>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پژوهش وینیو </w:t>
      </w:r>
      <w:r>
        <w:rPr>
          <w:rStyle w:val="FootnoteAnchor"/>
          <w:rtl w:val="true"/>
        </w:rPr>
        <w:footnoteReference w:id="179"/>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را روی کاربران درباره ارزیابی ملزومات فراداده ها در محتوای چندرسانه ای همراه، انجام دادند و گیلیگورو </w:t>
      </w:r>
      <w:r>
        <w:rPr>
          <w:rStyle w:val="FootnoteAnchor"/>
          <w:rtl w:val="true"/>
        </w:rPr>
        <w:footnoteReference w:id="180"/>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منابع را به عنوان سازوکاری برای تولید فراداده در یک بافت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کاربری درباره ملزومات فراداده ها در آرشیوهای شنیداری، به خصوص آرشیوهای رادیویی محدود و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 </w:t>
      </w:r>
      <w:r>
        <w:rPr>
          <w:rStyle w:val="FootnoteAnchor"/>
          <w:rtl w:val="true"/>
        </w:rPr>
        <w:footnoteReference w:id="181"/>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جستجو را در مجموعه های گسترده از سخنرانی های ضبط شده ارزیابی کردند و هیوانینک </w:t>
      </w:r>
      <w:r>
        <w:rPr>
          <w:rStyle w:val="FootnoteAnchor"/>
          <w:rtl w:val="true"/>
        </w:rPr>
        <w:footnoteReference w:id="182"/>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روش تحلیل لاگ فایل ها به بررسی رفتار جستجو در آرشیوهای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پژوهشی لارم، جایی که توسعه فراداده در تعامل نزدیک پژوهشگران درگیر طرح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رویکرد از بالا به پایین را 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رقومی لارم، یک میلیون ساعت برنامه رادیویی دانمارک را میزبانی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پژوهشگران دانشگاه های دانمارک می توانند پس از ثبت نام در وب سایت </w:t>
      </w:r>
      <w:r>
        <w:rPr>
          <w:rStyle w:val="FootnoteAnchor"/>
          <w:rtl w:val="true"/>
        </w:rPr>
        <w:footnoteReference w:id="183"/>
      </w:r>
      <w:r>
        <w:rPr>
          <w:rFonts w:ascii="IRNazanin" w:hAnsi="IRNazanin" w:eastAsia="IRNazanin"/>
          <w:color w:val="111111"/>
          <w:sz w:val="28"/>
          <w:sz w:val="28"/>
          <w:szCs w:val="28"/>
          <w:rtl w:val="true"/>
          <w:lang w:bidi="fa-IR"/>
        </w:rPr>
        <w:t>به صورت رایگان، از محتوای آن بهره بگیرند و از طریق رابط لازم اف ام به محتوا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اف ام در درجه اول، یک آرشیو رقومی است ولیکن به ارائه خدمات متعدد به صورت محیط زیست علم الکترونیک، هم چون ابزارهای جستجو و حاشیه نویسی و نیز ابزارهایی برای مشارکت و همکاری مانند بارگذاری و دانلود فایل ها، به اشتراک گذاری پوشه ها و طرح های فراداده ای اختصاصی طرح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تقریباً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از رشته های پژوهشی مختلف اعم از پژوهشگران و دانشجویان ثبت نام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رود مخاطبان گسترده تری در آینده بتوانند به این خدمات دسترسی داشته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لارم، طرح مشترکی بود که با مشارکت رادیو و تلویزیون ملی دانمارک، کتاب خانه دانشگاهی و ایالتی میزبان آرشیو رسانه دانمارک </w:t>
      </w:r>
      <w:r>
        <w:rPr>
          <w:rStyle w:val="FootnoteAnchor"/>
          <w:rtl w:val="true"/>
        </w:rPr>
        <w:footnoteReference w:id="184"/>
      </w:r>
      <w:r>
        <w:rPr>
          <w:rFonts w:ascii="IRNazanin" w:hAnsi="IRNazanin" w:eastAsia="IRNazanin"/>
          <w:color w:val="111111"/>
          <w:sz w:val="28"/>
          <w:sz w:val="28"/>
          <w:szCs w:val="28"/>
          <w:rtl w:val="true"/>
          <w:lang w:bidi="fa-IR"/>
        </w:rPr>
        <w:t xml:space="preserve">، دانشگاه کپنهاگ </w:t>
      </w:r>
      <w:r>
        <w:rPr>
          <w:rStyle w:val="FootnoteAnchor"/>
          <w:rtl w:val="true"/>
        </w:rPr>
        <w:footnoteReference w:id="185"/>
      </w:r>
      <w:r>
        <w:rPr>
          <w:rFonts w:ascii="IRNazanin" w:hAnsi="IRNazanin" w:eastAsia="IRNazanin"/>
          <w:color w:val="111111"/>
          <w:sz w:val="28"/>
          <w:sz w:val="28"/>
          <w:szCs w:val="28"/>
          <w:rtl w:val="true"/>
          <w:lang w:bidi="fa-IR"/>
        </w:rPr>
        <w:t xml:space="preserve">، دانشگاه آلبورگ </w:t>
      </w:r>
      <w:r>
        <w:rPr>
          <w:rStyle w:val="FootnoteAnchor"/>
          <w:rtl w:val="true"/>
        </w:rPr>
        <w:footnoteReference w:id="186"/>
      </w:r>
      <w:r>
        <w:rPr>
          <w:rFonts w:ascii="IRNazanin" w:hAnsi="IRNazanin" w:eastAsia="IRNazanin"/>
          <w:color w:val="111111"/>
          <w:sz w:val="28"/>
          <w:sz w:val="28"/>
          <w:szCs w:val="28"/>
          <w:rtl w:val="true"/>
          <w:lang w:bidi="fa-IR"/>
        </w:rPr>
        <w:t xml:space="preserve">، دانشگاه دانمارک جنوبی، </w:t>
      </w:r>
      <w:bookmarkStart w:id="142" w:name="pg9659_93870"/>
    </w:p>
    <w:p>
      <w:pPr>
        <w:pStyle w:val="BookText"/>
        <w:rPr/>
      </w:pPr>
      <w:bookmarkEnd w:id="142"/>
      <w:r>
        <w:rPr>
          <w:rFonts w:ascii="IRNazanin" w:hAnsi="IRNazanin" w:eastAsia="IRNazanin"/>
          <w:color w:val="111111"/>
          <w:sz w:val="28"/>
          <w:sz w:val="28"/>
          <w:szCs w:val="28"/>
          <w:rtl w:val="true"/>
          <w:lang w:bidi="fa-IR"/>
        </w:rPr>
        <w:t xml:space="preserve">دانشگاه رزکیلد </w:t>
      </w:r>
      <w:r>
        <w:rPr>
          <w:rStyle w:val="FootnoteAnchor"/>
          <w:rtl w:val="true"/>
        </w:rPr>
        <w:footnoteReference w:id="187"/>
      </w:r>
      <w:r>
        <w:rPr>
          <w:rFonts w:ascii="IRNazanin" w:hAnsi="IRNazanin" w:eastAsia="IRNazanin"/>
          <w:color w:val="111111"/>
          <w:sz w:val="28"/>
          <w:sz w:val="28"/>
          <w:szCs w:val="28"/>
          <w:rtl w:val="true"/>
          <w:lang w:bidi="fa-IR"/>
        </w:rPr>
        <w:t xml:space="preserve">، موزه رسانه دانمارک و کنسرسیوم ملی زیر ساخت الکترونیکی دانمارک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اِم بلاگ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این طرح که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پایان داد به مبلغ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یورو بود که توسط وزارت علوم دانمارک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طرح لارم، ساخت یک زیر ساخت الکترونیکی پژوهشی کاربر محور جهت فراهم سازی دسترسی به میراث ملی صوتی و رادیویی دانمارک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فنی آرشیو قومی، ماژول سکوی مبتنی بر فناوری ارتباطات و اطلاعات </w:t>
      </w:r>
      <w:r>
        <w:rPr>
          <w:rStyle w:val="FootnoteAnchor"/>
          <w:rtl w:val="true"/>
        </w:rPr>
        <w:footnoteReference w:id="189"/>
      </w:r>
      <w:r>
        <w:rPr>
          <w:rFonts w:ascii="IRNazanin" w:hAnsi="IRNazanin" w:eastAsia="IRNazanin"/>
          <w:color w:val="111111"/>
          <w:sz w:val="28"/>
          <w:sz w:val="28"/>
          <w:szCs w:val="28"/>
          <w:rtl w:val="true"/>
          <w:lang w:bidi="fa-IR"/>
        </w:rPr>
        <w:t xml:space="preserve">به نام نظام دسترسی آزاد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کَیاس</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رابط کاربری لارم اف ام که دسترسی را به صدای آرشیو شده و نیز ابزارهای برای جستجو، حاشیه نویسی و همکاری با فایل های صوتی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منبع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اصلی برنامه های رادیویی از شرکت رادیو و تلویزیون ملی و رادیو دانمارک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از ایستگاه های رادیویی منطقه ای، اجتماعی و تجاری نیز بازنمایی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برنامه های رادیو ملی دانمارک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آرشیو نگهداری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برنامه های رادیویی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نگهداری شده اند، ولیکن برای برنامه های رادیویی قبل از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نمایش های رادیویی ضبط و نگهداری شده اند و فقط بخش اندکی از آن ها رقومی شده اند</w:t>
      </w:r>
      <w:r>
        <w:rPr>
          <w:rFonts w:eastAsia="IRNazanin" w:cs="IRNazanin"/>
          <w:color w:val="111111"/>
          <w:sz w:val="28"/>
          <w:szCs w:val="28"/>
          <w:rtl w:val="true"/>
          <w:lang w:bidi="fa-IR"/>
        </w:rPr>
        <w:t>.</w:t>
      </w:r>
    </w:p>
    <w:p>
      <w:pPr>
        <w:pStyle w:val="Heading3"/>
        <w:numPr>
          <w:ilvl w:val="2"/>
          <w:numId w:val="1"/>
        </w:numPr>
        <w:rPr/>
      </w:pPr>
      <w:bookmarkStart w:id="143" w:name="__RefHeading___Toc7825315_2870459653"/>
      <w:bookmarkStart w:id="144" w:name="_Toc52"/>
      <w:bookmarkEnd w:id="143"/>
      <w:r>
        <w:rPr/>
        <w:t>3</w:t>
      </w:r>
      <w:r>
        <w:rPr>
          <w:rtl w:val="true"/>
        </w:rPr>
        <w:t xml:space="preserve">. </w:t>
      </w:r>
      <w:r>
        <w:rPr>
          <w:rtl w:val="true"/>
        </w:rPr>
        <w:t>سوالات پژوهش</w:t>
      </w:r>
      <w:bookmarkEnd w:id="144"/>
    </w:p>
    <w:p>
      <w:pPr>
        <w:pStyle w:val="BookText"/>
        <w:rPr/>
      </w:pPr>
      <w:r>
        <w:rPr>
          <w:rFonts w:ascii="IRNazanin" w:hAnsi="IRNazanin" w:eastAsia="IRNazanin"/>
          <w:color w:val="111111"/>
          <w:sz w:val="28"/>
          <w:sz w:val="28"/>
          <w:szCs w:val="28"/>
          <w:rtl w:val="true"/>
          <w:lang w:bidi="fa-IR"/>
        </w:rPr>
        <w:t>آرشیو رقومی با دو مشکل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فراداده فراهم شده بسیار پراکنده است و به خاطر کمبود بودجه برای نمایه سازی داخلی عمیق، افزایش همکاری فراداده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خاطر مسائل حق مؤلف فعالیت های گسترده تجمیع منابع غیر ممکن است، زیرا دسترسی به پژوهشگران و دانشجویان ثبت نام شده دانشگاه در دانمارک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گروه کاربر بسیار ناهمگن است و یک طرح فراداده ای ساده نمی تواند نیازهای همه کاربران را در جهت یافتن مواد رادیویی و کار با آن ها را برآورده 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خواسته های فراداده، بین پژوهشگران طرح به شدت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نمونه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جاکوب کروتسفلد </w:t>
      </w:r>
      <w:r>
        <w:rPr>
          <w:rStyle w:val="FootnoteAnchor"/>
          <w:rtl w:val="true"/>
        </w:rPr>
        <w:footnoteReference w:id="191"/>
      </w:r>
      <w:r>
        <w:rPr>
          <w:rFonts w:ascii="IRNazanin" w:hAnsi="IRNazanin" w:eastAsia="IRNazanin"/>
          <w:color w:val="111111"/>
          <w:sz w:val="28"/>
          <w:sz w:val="28"/>
          <w:szCs w:val="28"/>
          <w:rtl w:val="true"/>
          <w:lang w:bidi="fa-IR"/>
        </w:rPr>
        <w:t xml:space="preserve">، پژوهشگر صداهای شهری، ارتباط بین فناوری و تصویری از صدای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مورد بررسی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کروتسفلد،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پژوهش خود، به طرح فراداده ای نیاز دارد </w:t>
      </w:r>
      <w:bookmarkStart w:id="145" w:name="pg9659_93871"/>
    </w:p>
    <w:p>
      <w:pPr>
        <w:pStyle w:val="BookText"/>
        <w:rPr/>
      </w:pPr>
      <w:bookmarkEnd w:id="145"/>
      <w:r>
        <w:rPr>
          <w:rFonts w:ascii="IRNazanin" w:hAnsi="IRNazanin" w:eastAsia="IRNazanin"/>
          <w:color w:val="111111"/>
          <w:sz w:val="28"/>
          <w:sz w:val="28"/>
          <w:szCs w:val="28"/>
          <w:rtl w:val="true"/>
          <w:lang w:bidi="fa-IR"/>
        </w:rPr>
        <w:t xml:space="preserve">که شامل رده ای از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ترافیک، مغازه، ماشین، زنگ و 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رده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رده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های پرده 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بدنه اصلی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ضرباهنگ 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او به یک زمینه آزاد برای تفسیرها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دوم، تُربن سان ایلد </w:t>
      </w:r>
      <w:r>
        <w:rPr>
          <w:rStyle w:val="FootnoteAnchor"/>
          <w:rtl w:val="true"/>
        </w:rPr>
        <w:footnoteReference w:id="1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پژوهشگری که روی صدای طنین رادیو 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اِشتو کفلد </w:t>
      </w:r>
      <w:r>
        <w:rPr>
          <w:rStyle w:val="FootnoteAnchor"/>
          <w:rtl w:val="true"/>
        </w:rPr>
        <w:footnoteReference w:id="193"/>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بررسی تغییرات متمرکز فرازمانی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 آواها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اینترو </w:t>
      </w:r>
      <w:r>
        <w:rPr>
          <w:rStyle w:val="FootnoteAnchor"/>
          <w:rtl w:val="true"/>
        </w:rPr>
        <w:footnoteReference w:id="194"/>
      </w:r>
      <w:r>
        <w:rPr>
          <w:rFonts w:ascii="IRNazanin" w:hAnsi="IRNazanin" w:eastAsia="IRNazanin"/>
          <w:color w:val="111111"/>
          <w:sz w:val="28"/>
          <w:sz w:val="28"/>
          <w:szCs w:val="28"/>
          <w:rtl w:val="true"/>
          <w:lang w:bidi="fa-IR"/>
        </w:rPr>
        <w:t xml:space="preserve">به عنوان مقدمه قطعه موسیقی، ردیف های آوازی و اوترو </w:t>
      </w:r>
      <w:r>
        <w:rPr>
          <w:rStyle w:val="FootnoteAnchor"/>
          <w:rtl w:val="true"/>
        </w:rPr>
        <w:footnoteReference w:id="195"/>
      </w:r>
      <w:r>
        <w:rPr>
          <w:rFonts w:ascii="IRNazanin" w:hAnsi="IRNazanin" w:eastAsia="IRNazanin"/>
          <w:color w:val="111111"/>
          <w:sz w:val="28"/>
          <w:sz w:val="28"/>
          <w:szCs w:val="28"/>
          <w:rtl w:val="true"/>
          <w:lang w:bidi="fa-IR"/>
        </w:rPr>
        <w:t>به عنوان قطعه پایانی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کند و به طرح فراداده ای نیاز دارد تا این سه دسته بندی را به عنوان رده های سطح بالا در برگیرد، آن گاه بتوان برای آن ها رده های فرعی نیز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طرح های فرادادهای مورد نیاز برای آرشیو رقومی لارم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برای در برگرفتن کوچک ترین مخرج مشترک برای همه گروه های کاربری، مورد نیاز است اما باید فراداده ای که به تازگی تولید شده به حساب آورد و باید کار پژوهشگران را در کار با دستورالعمل ها و طرح های فراداده ای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باید بتوانند طرح های فرادادهای خود را ایجاد کنند، فیلدهای فراداده ای موجود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اشتباه را حذف کرده و اطلاعاتی را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آزاد را در متن یادداشت ها و تفسیرها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کاربری متعددی انجام شد که هدف آن پاسخ به سؤالات پژوهشی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طرح های فراداده ای برای مواد رادیویی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کاربران طرح های فراداده ای انتخاب شده را درک کرده و با آن ها سازگاری می یابند؟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فراداده مشارکتی، کار را ارتقا می دهد؟</w:t>
      </w:r>
    </w:p>
    <w:p>
      <w:pPr>
        <w:pStyle w:val="BookText"/>
        <w:rPr/>
      </w:pPr>
      <w:r>
        <w:rPr>
          <w:rFonts w:ascii="IRNazanin" w:hAnsi="IRNazanin" w:eastAsia="IRNazanin"/>
          <w:color w:val="111111"/>
          <w:sz w:val="28"/>
          <w:sz w:val="28"/>
          <w:szCs w:val="28"/>
          <w:rtl w:val="true"/>
          <w:lang w:bidi="fa-IR"/>
        </w:rPr>
        <w:t>مقاله حاضر در نظر دارد بر پاسخ به سؤال دوم پژوهش تمرکز کند</w:t>
      </w:r>
      <w:r>
        <w:rPr>
          <w:rFonts w:eastAsia="IRNazanin" w:cs="IRNazanin"/>
          <w:color w:val="111111"/>
          <w:sz w:val="28"/>
          <w:szCs w:val="28"/>
          <w:rtl w:val="true"/>
          <w:lang w:bidi="fa-IR"/>
        </w:rPr>
        <w:t>.</w:t>
      </w:r>
    </w:p>
    <w:p>
      <w:pPr>
        <w:pStyle w:val="Heading3"/>
        <w:numPr>
          <w:ilvl w:val="2"/>
          <w:numId w:val="1"/>
        </w:numPr>
        <w:rPr/>
      </w:pPr>
      <w:bookmarkStart w:id="146" w:name="__RefHeading___Toc7825317_2870459653"/>
      <w:bookmarkStart w:id="147" w:name="_Toc53"/>
      <w:bookmarkEnd w:id="146"/>
      <w:r>
        <w:rPr/>
        <w:t>4</w:t>
      </w:r>
      <w:r>
        <w:rPr>
          <w:rtl w:val="true"/>
        </w:rPr>
        <w:t xml:space="preserve">. </w:t>
      </w:r>
      <w:r>
        <w:rPr>
          <w:rtl w:val="true"/>
        </w:rPr>
        <w:t>پرسشنامه</w:t>
      </w:r>
      <w:r>
        <w:rPr>
          <w:rtl w:val="true"/>
        </w:rPr>
        <w:t xml:space="preserve">: </w:t>
      </w:r>
      <w:r>
        <w:rPr>
          <w:rtl w:val="true"/>
        </w:rPr>
        <w:t>شناسایی نیازهای کاربران</w:t>
      </w:r>
      <w:bookmarkEnd w:id="14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ای بین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بین المللی و دانمارکی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در برگیرنده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باز و بسته بود و هدف آن عبارت بود از درک علایق پژوهشی، رفتار و تجارب جستجوگری، نوع و جنس پخش مورد نظر، انواع فراداده مرتبط، سطوح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یا تمام یک پخش، مجموعه ای از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تحلیل عمیق از نیازها وظایف پژوهشی علوم انسانی </w:t>
      </w:r>
      <w:bookmarkStart w:id="148" w:name="pg9659_93872"/>
    </w:p>
    <w:p>
      <w:pPr>
        <w:pStyle w:val="BookText"/>
        <w:rPr/>
      </w:pPr>
      <w:bookmarkEnd w:id="148"/>
      <w:r>
        <w:rPr>
          <w:rFonts w:ascii="IRNazanin" w:hAnsi="IRNazanin" w:eastAsia="IRNazanin"/>
          <w:color w:val="111111"/>
          <w:sz w:val="28"/>
          <w:sz w:val="28"/>
          <w:szCs w:val="28"/>
          <w:rtl w:val="true"/>
          <w:lang w:bidi="fa-IR"/>
        </w:rPr>
        <w:t>انجام شده است که در آن پژوهشگران مشارکت کننده می توانند مفاهیم تحلیلی به کار رفته و خواسته ها و فعالیت های کد گذاری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بیشتر را در مقاله اسکُو و لوگه </w:t>
      </w:r>
      <w:r>
        <w:rPr>
          <w:rStyle w:val="FootnoteAnchor"/>
          <w:rtl w:val="true"/>
        </w:rPr>
        <w:footnoteReference w:id="196"/>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شماری از علایق پژوهشی را نمایان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موسیقی، رسانه و تاریخ فرهنگ، استفاده از پخش رادیویی به عنوان یک نمایشگاه موزه ای، رادیو وبی، صدای طنین رادیو، بهسازی زبان، اصطلاح رادیو فونیک و تاریخ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اسکُو و لوگه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به طور خاص، شماری از نیازهای اطلاعاتی شناسایی شدند که به مواد رادیویی مرتبط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توانند به عنوان عناصر محتوا و صدا و به عنوان عناصر پخش، تولید و ساختار رادیویی طبقه بندی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مدخل برتر جستجو، به عنوان عناصر مربوط یا دارای بالاترین میزان ارتباط و به عنوان مهم ترین فیلدهای فراداده ای که شامل کانال پخش، عنوان، نام فرد، نوع، زمینه موضوعی، چکیده و عنوان بود علامت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کنندگان فراداده های اختصاصی رسانه صوتی را به عنوان کم تر مرتبط در نظر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شامل فناوری ضبط، روش های ویرایش، مکان ضبط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فراداده ارائه شده توسط شرکت رادیو و تلویزیون دانمارک، برنامه های رادیویی را به عنوان یک موجودیت کلی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کنندگان خواسته شد سطح نمایه سازی مورد نظر خود را نشان دهند و نتایج نمایان ساخت که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جستجوی یک برنامه خاص رادیویی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هم چنین نشان داد که مشارکت کنندگان می خواستند این امکان وجود داشته باشد که برای هدف شخصی خود سطح بیشتری از تحلیل های جزئی برنامه رادیویی را نمایه کنند</w:t>
      </w:r>
      <w:r>
        <w:rPr>
          <w:rFonts w:eastAsia="IRNazanin" w:cs="IRNazanin"/>
          <w:color w:val="111111"/>
          <w:sz w:val="28"/>
          <w:szCs w:val="28"/>
          <w:rtl w:val="true"/>
          <w:lang w:bidi="fa-IR"/>
        </w:rPr>
        <w:t>.</w:t>
      </w:r>
    </w:p>
    <w:p>
      <w:pPr>
        <w:pStyle w:val="Heading3"/>
        <w:numPr>
          <w:ilvl w:val="2"/>
          <w:numId w:val="1"/>
        </w:numPr>
        <w:rPr/>
      </w:pPr>
      <w:bookmarkStart w:id="149" w:name="__RefHeading___Toc7825319_2870459653"/>
      <w:bookmarkStart w:id="150" w:name="_Toc54"/>
      <w:bookmarkEnd w:id="149"/>
      <w:r>
        <w:rPr/>
        <w:t>5</w:t>
      </w:r>
      <w:r>
        <w:rPr>
          <w:rtl w:val="true"/>
        </w:rPr>
        <w:t xml:space="preserve">. </w:t>
      </w:r>
      <w:r>
        <w:rPr>
          <w:rtl w:val="true"/>
        </w:rPr>
        <w:t>طرح فراداده ای اجرا شده</w:t>
      </w:r>
      <w:bookmarkEnd w:id="150"/>
    </w:p>
    <w:p>
      <w:pPr>
        <w:pStyle w:val="BookText"/>
        <w:rPr/>
      </w:pPr>
      <w:r>
        <w:rPr>
          <w:rFonts w:ascii="IRNazanin" w:hAnsi="IRNazanin" w:eastAsia="IRNazanin"/>
          <w:color w:val="111111"/>
          <w:sz w:val="28"/>
          <w:sz w:val="28"/>
          <w:szCs w:val="28"/>
          <w:rtl w:val="true"/>
          <w:lang w:bidi="fa-IR"/>
        </w:rPr>
        <w:t>بر مبنای تحلیل این نیازهای اولیه، یک طرح فراداده ای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فراداده، بر مبنای مجموعه عناصر فراداده دابلین کور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فراداده دابلین کور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دابلین کور به عنوان پایه، تبادل داده با دیگر سپردنگاه های میراث فرهنگی هم چون یوروپیانا تسهیل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سطح فراداده بهسازی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هسته آرشیوی،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لارم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مخصوص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یادداشت ها و تفسیرها نیز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سه سطح مذکور، فراداده مدیریتی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سطح، فراداده های عمومی و مخصوص طرح پژوهشی را مجزا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کنندگان مواد، فراداده آرشیوی هسته را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کاربران، اجازه جایگزین یا حذف کردن این فراداده های آرشیوی هسته را حتی اگر اشتباه هم باشند،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لارم، توسط </w:t>
      </w:r>
    </w:p>
    <w:p>
      <w:pPr>
        <w:pStyle w:val="BookText"/>
        <w:rPr/>
      </w:pPr>
      <w:r>
        <w:rPr>
          <w:rFonts w:ascii="IRNazanin" w:hAnsi="IRNazanin" w:eastAsia="IRNazanin"/>
          <w:color w:val="111111"/>
          <w:sz w:val="28"/>
          <w:sz w:val="28"/>
          <w:szCs w:val="28"/>
          <w:rtl w:val="true"/>
          <w:lang w:bidi="fa-IR"/>
        </w:rPr>
        <w:t>کاربر تولید می شود اما هنوز بیشتر ماهیت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کاربران می توانند اطلاعات اشتباه را در داده های آرشیوی هسته نشان دهند و اطلاعات صحیح و عمومی را مثل یک تاریخ یا نام یک سخنران که از دست رفته باشد، اصلاح کرده یا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فراداده لارم، چندین فیلد وجود دارد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برنامه، توصیف، نوع، موضوع، برچسب ها، یادداشت ها، اشیاء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ها، کاربران می توانند اشخاص را با هر یک از زیر مجموعه ها اضافه کنند نظیر نام، نام نقش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فراداده ای مخصوص طرح، می توانند توسط مدیران بر اساس درخواست کاربران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شامل فیلدهای فرادادهای اختصاصی هستند که پژوهشگران آن ها را برای تحلیل های خود ضروری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و تفسیرها به عنوان بخشی از سطح فراداده ای لارم مورد توجه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 ها می توانند در برگیرنده یک متن نمایش رادیویی یا افکار پژوهشگر در مورد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می توانند یادداشت ها و تفسیرها، فراداده لارم و فراداده طرح را جایگزین یا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فراداده های آرشیوی نمی توانند به هیچ وجه جایگزین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سه سطح را در رابط کاربری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فراداده آرشیوی هسته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آرکایو مِتادیتا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فراداده لارم فهرست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چهار طرح فراداده ای مرتبط با طرح تولیدات لارم رادیو </w:t>
      </w:r>
      <w:r>
        <w:rPr>
          <w:rStyle w:val="FootnoteAnchor"/>
          <w:rtl w:val="true"/>
        </w:rPr>
        <w:footnoteReference w:id="199"/>
      </w:r>
      <w:r>
        <w:rPr>
          <w:rFonts w:ascii="IRNazanin" w:hAnsi="IRNazanin" w:eastAsia="IRNazanin"/>
          <w:color w:val="111111"/>
          <w:sz w:val="28"/>
          <w:sz w:val="28"/>
          <w:szCs w:val="28"/>
          <w:rtl w:val="true"/>
          <w:lang w:bidi="fa-IR"/>
        </w:rPr>
        <w:t xml:space="preserve">، مجموعه لارم رادیو </w:t>
      </w:r>
      <w:r>
        <w:rPr>
          <w:rStyle w:val="FootnoteAnchor"/>
          <w:rtl w:val="true"/>
        </w:rPr>
        <w:footnoteReference w:id="200"/>
      </w:r>
      <w:r>
        <w:rPr>
          <w:rFonts w:ascii="IRNazanin" w:hAnsi="IRNazanin" w:eastAsia="IRNazanin"/>
          <w:color w:val="111111"/>
          <w:sz w:val="28"/>
          <w:sz w:val="28"/>
          <w:szCs w:val="28"/>
          <w:rtl w:val="true"/>
          <w:lang w:bidi="fa-IR"/>
        </w:rPr>
        <w:t xml:space="preserve">جنگلر </w:t>
      </w:r>
      <w:r>
        <w:rPr>
          <w:rStyle w:val="FootnoteAnchor"/>
          <w:rtl w:val="true"/>
        </w:rPr>
        <w:footnoteReference w:id="201"/>
      </w:r>
      <w:r>
        <w:rPr>
          <w:rFonts w:ascii="IRNazanin" w:hAnsi="IRNazanin" w:eastAsia="IRNazanin"/>
          <w:color w:val="111111"/>
          <w:sz w:val="28"/>
          <w:sz w:val="28"/>
          <w:szCs w:val="28"/>
          <w:rtl w:val="true"/>
          <w:lang w:bidi="fa-IR"/>
        </w:rPr>
        <w:t xml:space="preserve">و لیدکیلدا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و تفسیرها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جنگلر به در زبان انگلیسی به معنای صدای طنین و لید کیلدا در زبان انگلیسی به معنای منابع صدا، از نظر فنی فیلدهای متغیر یادداشت ها و تفسیرها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وسیله آیکون مشابه نشان داده شده که حباب سخنرانی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تولیدات لازم رادیو و مجموعه لارم رادیو، فیلدهای فراداده ای ساختار یافته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 لازم اف ام که سطوح طرح های فراداده ای را نشان می دهد </w:t>
      </w:r>
      <w:bookmarkStart w:id="151" w:name="pg9659_93874"/>
    </w:p>
    <w:p>
      <w:pPr>
        <w:pStyle w:val="BookText"/>
        <w:rPr/>
      </w:pPr>
      <w:bookmarkEnd w:id="151"/>
      <w:r>
        <w:rPr>
          <w:rFonts w:ascii="IRNazanin" w:hAnsi="IRNazanin" w:eastAsia="IRNazanin"/>
          <w:color w:val="111111"/>
          <w:sz w:val="28"/>
          <w:sz w:val="28"/>
          <w:szCs w:val="28"/>
          <w:rtl w:val="true"/>
          <w:lang w:bidi="fa-IR"/>
        </w:rPr>
        <w:t>مثال بالا حاشیه نویسی را بر نمایش رادیویی نشان می دهد که انتخاب صدا در یک لحظه خاص نمایش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معنا، یادداشت ها و تفسیرها متن آزاد نیستند اما شبیه کدهای ساختار یافته از یک کتاب کد شناخته شده از پژوهش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سلدانا و مایلز،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جنگلر و لید کیلدا نشان می دهد که گاهی پژوهشگران استفاده از حاشیه نویسی های بیشتر سازگار یافته را برای توصیفات آن ها به جای افتادن در ایجاد طرح های فرادادهای طرح انتخاب کرده اند</w:t>
      </w:r>
      <w:r>
        <w:rPr>
          <w:rFonts w:eastAsia="IRNazanin" w:cs="IRNazanin"/>
          <w:color w:val="111111"/>
          <w:sz w:val="28"/>
          <w:szCs w:val="28"/>
          <w:rtl w:val="true"/>
          <w:lang w:bidi="fa-IR"/>
        </w:rPr>
        <w:t>.</w:t>
      </w:r>
    </w:p>
    <w:p>
      <w:pPr>
        <w:pStyle w:val="Heading3"/>
        <w:numPr>
          <w:ilvl w:val="2"/>
          <w:numId w:val="1"/>
        </w:numPr>
        <w:rPr/>
      </w:pPr>
      <w:bookmarkStart w:id="152" w:name="__RefHeading___Toc7825321_2870459653"/>
      <w:bookmarkStart w:id="153" w:name="_Toc55"/>
      <w:bookmarkEnd w:id="152"/>
      <w:r>
        <w:rPr/>
        <w:t>6</w:t>
      </w:r>
      <w:r>
        <w:rPr>
          <w:rtl w:val="true"/>
        </w:rPr>
        <w:t xml:space="preserve">. </w:t>
      </w:r>
      <w:r>
        <w:rPr>
          <w:rtl w:val="true"/>
        </w:rPr>
        <w:t>مصاحبه های پیوسته</w:t>
      </w:r>
      <w:r>
        <w:rPr>
          <w:rtl w:val="true"/>
        </w:rPr>
        <w:t xml:space="preserve">: </w:t>
      </w:r>
      <w:r>
        <w:rPr>
          <w:rtl w:val="true"/>
        </w:rPr>
        <w:t>ارزیابی طرح های فراداده ای</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گروه طرح نسبت به ارزیابی و انتخاب طرح های فراداده ای برای مصاحبه های پیوسته همزمان با اشتراک گذاری صفحه نمایش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اجازه اکتشاف نظرات و رویکردهای کاربران را نسبت به طرح های فراداده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ادوبی کانکت </w:t>
      </w:r>
      <w:r>
        <w:rPr>
          <w:rStyle w:val="FootnoteAnchor"/>
          <w:rtl w:val="true"/>
        </w:rPr>
        <w:footnoteReference w:id="204"/>
      </w:r>
      <w:r>
        <w:rPr>
          <w:rFonts w:ascii="IRNazanin" w:hAnsi="IRNazanin" w:eastAsia="IRNazanin"/>
          <w:color w:val="111111"/>
          <w:sz w:val="28"/>
          <w:sz w:val="28"/>
          <w:szCs w:val="28"/>
          <w:rtl w:val="true"/>
          <w:lang w:bidi="fa-IR"/>
        </w:rPr>
        <w:t>برای مصاحبه های پیوسته و یوکن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Style w:val="FootnoteAnchor"/>
          <w:rtl w:val="true"/>
        </w:rPr>
        <w:footnoteReference w:id="205"/>
      </w:r>
      <w:r>
        <w:rPr>
          <w:rFonts w:ascii="IRNazanin" w:hAnsi="IRNazanin" w:eastAsia="IRNazanin"/>
          <w:color w:val="111111"/>
          <w:sz w:val="28"/>
          <w:sz w:val="28"/>
          <w:szCs w:val="28"/>
          <w:rtl w:val="true"/>
          <w:lang w:bidi="fa-IR"/>
        </w:rPr>
        <w:t>برای تنظیم زمان های مصاحبه با شرکت کنندگان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نامه ها با انتخاب نمونه ای تصادفی از تمام کاربران ثبت نام شده رابط کاربری لارم اف ام ارسال شدند و افزون بر این، دعوت نامه ای مجزا برای زیر مجموعه ای از کاربران فوق العاده که به وسیله طرح لارم تحت حمایت مالی بودند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مشارکت کنندگان، یک گوشی و دوربین را به عنوان انگیزه ای برای مصاحبه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از سه بخش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مجموعه ای از سؤالات درباره پیش زمینه کاربران، تخصص آن ها در کار با فایل های صوتی و علاقه و تجربه آن ها در کار با رابط کاربری لارم اف ام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مشارکت کنندگان سوالاتی درباره رفتار آن ها در کاربرد داده ها روی یک صفحه نما داده شد و از آن ها درخواست شد نسبت به آن ها نظرات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مشارکت کنندگان از به اشتراک گذاری صفحه نمایش برای نشان دادن رابط کاربری در دستگاه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مصاحبه ها به زبان انگلیسی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طراحی پژوهش 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طراحی پژوهش برای مصاحبه های پیوسته در طول به اشتراک گذاری صفحه نمایش</w:t>
      </w:r>
    </w:p>
    <w:p>
      <w:pPr>
        <w:pStyle w:val="BookText"/>
        <w:rPr/>
      </w:pPr>
      <w:r>
        <w:rPr>
          <w:rFonts w:ascii="IRNazanin" w:hAnsi="IRNazanin" w:eastAsia="IRNazanin"/>
          <w:color w:val="111111"/>
          <w:sz w:val="28"/>
          <w:sz w:val="28"/>
          <w:szCs w:val="28"/>
          <w:rtl w:val="true"/>
          <w:lang w:bidi="fa-IR"/>
        </w:rPr>
        <w:t xml:space="preserve">در طول سه ماه،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کیفی که هر کدام به طور متوسط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 انجام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غالباً رابط کاربری را استفاده کرده بودند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رابط کاربری را مورد استفاده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طیف گسترده ای از شرکت کنندگان یعنی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 ها را آقایان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خانم ها تشکیل می دادند که در توزیع کاربران ثبت نام شده در لازم اف ام همسان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بزرگی از مشارکت کنندگان پژوهشگرانی شامل دانشجویان کارشناسی و کارشناسی ارشد، دکتری، پسادکتری و استادان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 تری از مشارکت کنندگان، توسعه دهندگان، کادر اداری دانشکده ها و کتاب داران را تشکیل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طیف گسترده ای از رشته های منطقی که بازنمایی شدند در محدوده مطالعات رسانه، تاریخ، ریاضیات، مطالعات ژاپنی، مطالعات فرهنگ و رسانه، ادبیات تطبیقی و طراحی صدا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 هایی که در زیر آمده به صورت تصادفی انتخاب شدند و فقط جنسیت آن ها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ها نشان داد که به رغم درگیر بودن در توسعه طرح های فرادادهای شرکت کنندگان بسیاری، طرح های فراداده ای جدید را بر اساس آزمون و خطا به کار بردند و به ندرت فلسفه نهفته در آن ها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شرکت کنندگان که آن چگونه باید کار کند اما به سختی می توانستند با واژگان خود آن را توضیح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رده ها باید بیان داشت که فراداده های آرشیوی وجود دارند که عنوان اند و بر این اساس پخش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فراداده لارم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مطمئن نیستم که چیست؛ اما حدس می زنم که کسی باید آن ها را برچسب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به اسم صدای طنین وجود دارد که داده طرح است </w:t>
      </w:r>
    </w:p>
    <w:p>
      <w:pPr>
        <w:pStyle w:val="BookText"/>
        <w:rPr/>
      </w:pPr>
      <w:r>
        <w:rPr>
          <w:rFonts w:ascii="IRNazanin" w:hAnsi="IRNazanin" w:eastAsia="IRNazanin"/>
          <w:color w:val="111111"/>
          <w:sz w:val="28"/>
          <w:sz w:val="28"/>
          <w:szCs w:val="28"/>
          <w:rtl w:val="true"/>
          <w:lang w:bidi="fa-IR"/>
        </w:rPr>
        <w:t>اما نمی دانم خارج از آن به چه کار می آید و همین طور لید کیلدا که نمی دانم چرا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جا بخش حاشیه نویسی وجود دارد که روشن است کسی آن را یادداشت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فراداده نوعی توصیف محسوب می شود و البته حاشیه نویسی فراداده آرشیو درباره برنامه واقعی رادیویی است و به نظر می رسد فراداده لارم، بیشتر به این کار می آید که کاربران آن را پرکنند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اعضای طرح که در جلساتی که درباره طرح ها بحث می شد حضور داشتند در یادآوری فلسفه صحیح کار دچار مشکل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شفاف نیست که این سه لایه یا سطح متفاوت، چه کاری می خواهند انجام دهند و چرا این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آن ها وجود دارند زیرا من در جلسات حضور داشتم اما کاملاً فراموششان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این امر می تواند مشکل یک جلسه ضعیف باشد، اما نشان می دهد که طرح ها به اندازه کافی حسی نیست تا به سادگی به خاطر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کاربران گاه به گاه، تمایز به وضوح دشوارتر بود تا عبارت اطلاعاتی که در آرشیو قرار دارد قابل جستجو است در بیانیه کریس </w:t>
      </w:r>
      <w:r>
        <w:rPr>
          <w:rStyle w:val="FootnoteAnchor"/>
          <w:rtl w:val="true"/>
        </w:rPr>
        <w:footnoteReference w:id="209"/>
      </w:r>
      <w:r>
        <w:rPr>
          <w:rFonts w:ascii="IRNazanin" w:hAnsi="IRNazanin" w:eastAsia="IRNazanin"/>
          <w:color w:val="111111"/>
          <w:sz w:val="28"/>
          <w:sz w:val="28"/>
          <w:szCs w:val="28"/>
          <w:rtl w:val="true"/>
          <w:lang w:bidi="fa-IR"/>
        </w:rPr>
        <w:t>که فراداده آرشیوی را توصیف کرده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سو، یعنی کاربران گاه به گاه و کاربران فوق العاده، کاملاً اطمینان ندارند که فلسفه نهفته در فراداده را درک می کنند، به این معنی که در یک چشم انداز بلند مدت، لازم است شکل متفاوتی از طرح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پیش از این اختلافی برای تغییر اصطلاح شناسی به وجود آمده باشد و این نکته را شفاف تر می سازد که هر طرح فراداده ای چه چیزی را بازنمایی می کند و چه کاری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چنین به این مسئله که مشارکت کنندگان ابراز نگرانی کرده اند که اختلاف بین حاشیه نویسی ها و فراداده ها شفاف نیستند، کمک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واقعاً نمی دانم یک چیزی کجا و کی می تواند یک حاشیه نویسی باشد و چه موقع فراداده، منظورم رده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حدس می زنم که حاشیه نویسی ها بیشتر در آن رده هستند، نه واقعاً آن را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طور کلی، مشارکت کنندگان در طول بخش به اشتراک گذاری صفحه نمایش نشان دادند که آن ها از حاشیه نویسی ها برای تفسیر بخش هایی از یک نمایش رادیویی و از فراداده ها برای توصیف کلیت نمایش رادیویی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فقدان در ک فلسفه نهفته، مشارکت کنندگان در واقع در تولید فراداده ها و حاشیه نویسی ها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 تری از کاربران فوق العاده بودند که می گفتند آن ها مشارکتی نداشتند، اما به واسطه عادات شخصی رخ داده بود و به دلیل رد طرح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شرکت کننده گفت که او روی برگه هایی یادداشت ها را می نویسد زیرا واقعاً احساس نمی کند در حال نوشتن یادداشت های حاشیه نویسی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 دیگری حاشیه نویسی ها را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های مقدماتی ام به زبان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سادگی ترجیح دادند که روی کاغذ حاشیه نویسی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کننده نظر می دهد که عمل ایجاد فراداده طرح، بیش از حد بسیار ساده بود و این که به این ترتیب او طرح حاشیه نویسی های منعطف تر را برای این منظور مورد استفاده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لارم، به درونداد مشارکت کنندگان جهت غنی سازی آرشیو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که به وضوح توسط برخی مشارکت کنندگان حمایت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آرشیوهای رقومی واقعاً بزرگ نظیر لازم را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بخواهید نسبت به بهبود آن ها اقدام نمایید و بخشی از آن را جمع سپاری </w:t>
      </w:r>
      <w:r>
        <w:rPr>
          <w:rStyle w:val="FootnoteAnchor"/>
          <w:rtl w:val="true"/>
        </w:rPr>
        <w:footnoteReference w:id="212"/>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همه افراد در آن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سپتامبر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مجموع </w:t>
      </w:r>
      <w:r>
        <w:rPr>
          <w:rFonts w:eastAsia="IRNazanin" w:cs="IRNazanin"/>
          <w:color w:val="111111"/>
          <w:sz w:val="28"/>
          <w:szCs w:val="28"/>
          <w:lang w:bidi="fa-IR"/>
        </w:rPr>
        <w:t>578/978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فراداده تولید شده توسط کاربر، غنی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نشان گر آن است که در واقع، بیشتر پژوهشگران طرح لارم بوده اند که در غنی سازی آرشیو مشارکت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بودجه طرح در 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 جمع سپاری غنی سازی فراداده ها، ممکن نیست که یک راه حل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کمک نظرات مشارکت کنندگانی که تمایل به شرکت در طرح داشته اند مورد حمایت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قول داده ام که این کار را انجام دهم، این بخشی از وظایف من است که سیستم را به وسیله داده ها تغذیه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کریس گفت که او وقت انجام این کار را ندارد، ولی زمانی برای انجامش وقت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 نظیر گابریل </w:t>
      </w:r>
      <w:r>
        <w:rPr>
          <w:rStyle w:val="FootnoteAnchor"/>
          <w:rtl w:val="true"/>
        </w:rPr>
        <w:footnoteReference w:id="214"/>
      </w:r>
      <w:r>
        <w:rPr>
          <w:rFonts w:ascii="IRNazanin" w:hAnsi="IRNazanin" w:eastAsia="IRNazanin"/>
          <w:color w:val="111111"/>
          <w:sz w:val="28"/>
          <w:sz w:val="28"/>
          <w:szCs w:val="28"/>
          <w:rtl w:val="true"/>
          <w:lang w:bidi="fa-IR"/>
        </w:rPr>
        <w:t>بودند که اطمینان نداشتند این حاشیه نویسی ها تا چه میزان می تواند برای دیگران سودمند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هنوز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نویسی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بارگذاری نکرده ام، قصد انجامش را دارم اما نمی توانم ببینم که چه افرادی از آن ها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به نظر می رسد </w:t>
      </w:r>
    </w:p>
    <w:p>
      <w:pPr>
        <w:pStyle w:val="BookText"/>
        <w:rPr/>
      </w:pPr>
      <w:r>
        <w:rPr>
          <w:rFonts w:ascii="IRNazanin" w:hAnsi="IRNazanin" w:eastAsia="IRNazanin"/>
          <w:color w:val="111111"/>
          <w:sz w:val="28"/>
          <w:sz w:val="28"/>
          <w:szCs w:val="28"/>
          <w:rtl w:val="true"/>
          <w:lang w:bidi="fa-IR"/>
        </w:rPr>
        <w:t>جنبه احساس عذاب وجدان در مشارکت در طرح، نسبت به تمایل و خواست آزادانه جهت شرکت در آن بیشتر 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گاه به گاه که بخشی از طرح تحت حمایت مالی، نبودند هیچ مشارکتی در طرح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کاربران در طرح فراداده و حاشیه نویسی ها متن کامل نمایش های رادیویی، خلاصه اظهار نظرها یا تقسیم بندی های زمان نمایش های رادیویی را به وجود آورد اما گاهی اوقات فقط یک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مصاحبه ها این گونه به نظر می رسد که بیش ترین جمعیت کاربران مشارکت کننده چیزی را به آرشیو اضافه نکرده اند اما نسبت به انجام اصلاحات در آن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کاربران اجازه نداشتند فراداده آرشیوی هسته را تغییر دهند، به عنوان مثال یک عنوان صحیح را به فراداده لارم کردند، به طوری که اگر کاربر دیگری در جستجوی موردی بود، فایل در نتایج جستجو نمایش داده خواهد شد حتی اگر عنوان هنوز به منزله عنوان آرشیوی اصلی نشان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فراداده لارم، جایی است که من می توانم نظراتم را بنویسم و چندین بار این کار را انجام داده ام؛ اما مشکل این است که من نمی توانم عنوان فایل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 توانم نظراتم را در فراداده لارم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 توانم بنویسم که عنوان اشتباه و همین طور سخنران، فرد دیگری است نه فردی که در فایل ذکر شده است؛ اما به هر حال کاربران دیگر، به زیر فراداده لارم نگاه کنند و شاید آن ها این کار را انجام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مصاحبه های بسیاری، مشارکت کنندگان به طرز شگفت انگیزی میزان پاسخ گویی بالایی را در کار با فراداده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اقدامات خود را درباره عواقب ناشی از تغییر فراداده و درباره سؤال اساسی مدیریت حقوق کاربر در محیط های علم الکترونیکی، انعکاس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مشارکت کننده آرزو داشتند که یک خط مشی مکتوب درباره تغییرات فراداده ها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من واقعاً آرشیو را با قرار دادن چیزی که در آن نبود، غنی کردم؛ اما مشکلی را ایجاد می کند که سؤال برانگیز است، چه موقع چیزی را که اضافه می کنم بهتر از موردی است که قبلاً در آن وجود داشته است؟ می دانید که منظورم چیست؟ توصیف آن دشوار است اما اگر چیزی را فراتر از قواعد اضافه کنم، موردهای پیشین چه خواهد شد؟ اگر آن چه را که اضافه کردم اشتباه بود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پایین مشارکت در کمک به آرشیو، کمبود در آینده طرح هایی با زیر ساخت های الکترونیکی است که اگر قرار است به موفقیت برسند باید روی آن ها کار شود؛ اما سطح بالای پاسخ گویی از جانب </w:t>
      </w:r>
      <w:bookmarkStart w:id="154" w:name="pg9659_93879"/>
    </w:p>
    <w:p>
      <w:pPr>
        <w:pStyle w:val="BookText"/>
        <w:rPr/>
      </w:pPr>
      <w:bookmarkEnd w:id="154"/>
      <w:r>
        <w:rPr>
          <w:rFonts w:ascii="IRNazanin" w:hAnsi="IRNazanin" w:eastAsia="IRNazanin"/>
          <w:color w:val="111111"/>
          <w:sz w:val="28"/>
          <w:sz w:val="28"/>
          <w:szCs w:val="28"/>
          <w:rtl w:val="true"/>
          <w:lang w:bidi="fa-IR"/>
        </w:rPr>
        <w:t>کاربران، به این معناست که فراهم کنندگان آرشیو باید کم تر نگران سوء استفاده از فراداده باشند به جای آن به استقبال مشارکت کاربران بروند</w:t>
      </w:r>
      <w:r>
        <w:rPr>
          <w:rFonts w:eastAsia="IRNazanin" w:cs="IRNazanin"/>
          <w:color w:val="111111"/>
          <w:sz w:val="28"/>
          <w:szCs w:val="28"/>
          <w:rtl w:val="true"/>
          <w:lang w:bidi="fa-IR"/>
        </w:rPr>
        <w:t>.</w:t>
      </w:r>
    </w:p>
    <w:p>
      <w:pPr>
        <w:pStyle w:val="Heading3"/>
        <w:numPr>
          <w:ilvl w:val="2"/>
          <w:numId w:val="1"/>
        </w:numPr>
        <w:rPr/>
      </w:pPr>
      <w:bookmarkStart w:id="155" w:name="__RefHeading___Toc7825323_2870459653"/>
      <w:bookmarkStart w:id="156" w:name="_Toc56"/>
      <w:bookmarkEnd w:id="155"/>
      <w:r>
        <w:rPr/>
        <w:t>7</w:t>
      </w:r>
      <w:r>
        <w:rPr>
          <w:rtl w:val="true"/>
        </w:rPr>
        <w:t xml:space="preserve">. </w:t>
      </w:r>
      <w:r>
        <w:rPr>
          <w:rtl w:val="true"/>
        </w:rPr>
        <w:t>نتیجه گیری</w:t>
      </w:r>
      <w:bookmarkEnd w:id="156"/>
    </w:p>
    <w:p>
      <w:pPr>
        <w:pStyle w:val="BookText"/>
        <w:rPr/>
      </w:pPr>
      <w:r>
        <w:rPr>
          <w:rFonts w:ascii="IRNazanin" w:hAnsi="IRNazanin" w:eastAsia="IRNazanin"/>
          <w:color w:val="111111"/>
          <w:sz w:val="28"/>
          <w:sz w:val="28"/>
          <w:szCs w:val="28"/>
          <w:rtl w:val="true"/>
          <w:lang w:bidi="fa-IR"/>
        </w:rPr>
        <w:t>این پژوهش به بررسی این نکته پرداخت که چه طرح های فراداده ای برای مواد رادیویی موردنیاز هستند و کاربران چگونه با طرح های فراداده ای انتخاب شده سازگاری می یابند و آن ها را درک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سؤال درباره ارتقای فراداده مشارکتی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مطالعاتی که روی چندین کاربر انجام شد، با استفاده از پرسشنامه هایی که به اعضای طرح و کاربران بالقوه ارسال گردید، سؤال اول پژوهش در یک طرح فراداده ای که شامل سه لایه بود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اول، فراداده آرشیوی هسته است که به وسیله فراهم آورندگان محتوا تحویل داده می شود و نمی تواند تغییر کند مگر به وسیله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دوم، لایه فراداده لارم نامیده می شود و دربرگیرنده فراداده ای است که توسط کاربران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فراداده ای می تواند توسط همه کاربران تغییر کند و تمام فایل ها را نیز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 نمایش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سوم، فراداده اختصاصی طرح است که می تواند برای کاربران ایجاد شود و هم چون مثالی که برای فراداده های اصوات مطرح شد، اختصاصی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حاشیه نویسی ها به عنوان بخشی از طرح های فراداده ای ارائه می شوند، مشارکت کنندگان بیان داشتند که آن ها حاشیه نویسی ها را برای توصیف بخش هایی از یک فایل و فراداده را برای توصیف کل یک فایل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مصاحبه های پیوسته، سازگاری طرح های فراداده ای و درک کاربران از فلسفه اساسی آن،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برخی شرکت کنندگان گزارش دادند که آن ها طرح های فراداده ای و حاشیه نویسی ها را استفاده می کردند، در حالی که دیگران راه های متفاوت کار با داده های خود را ترجیح دادند یا احساس می کردند که به دلیل درگیر شدنشان در طرح مجبورند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سؤال موفقیت آمیز بودن جمع سپاری افزایش فراداده 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در آرشیو مشارکت داشتند، به خصوص، کاربرانی که تحت حمایت مالی طرح بودند، شوق و شور زیادی نداشتند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فراداده ها و حاشیه نویسی ها که توسط کاربران فراهم شده بود، در طیفی از یک کلمه تا متن کامل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اغلب همکاری ها در راستای اصلاحات فراداده آرشیو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مشارکت ها کاربران میزان بالایی از پاسخ گویی را نشان دادند که قول داده بودند از داده ها سوء استفاده نکنند که عملاً هرگز در مورد حاضر رخ نداد</w:t>
      </w:r>
      <w:r>
        <w:rPr>
          <w:rFonts w:eastAsia="IRNazanin" w:cs="IRNazanin"/>
          <w:color w:val="111111"/>
          <w:sz w:val="28"/>
          <w:szCs w:val="28"/>
          <w:rtl w:val="true"/>
          <w:lang w:bidi="fa-IR"/>
        </w:rPr>
        <w:t xml:space="preserve">. </w:t>
      </w:r>
      <w:bookmarkStart w:id="157" w:name="pg9659_93880"/>
    </w:p>
    <w:p>
      <w:pPr>
        <w:pStyle w:val="BookText"/>
        <w:rPr/>
      </w:pPr>
      <w:bookmarkEnd w:id="157"/>
      <w:r>
        <w:rPr>
          <w:rFonts w:ascii="IRNazanin" w:hAnsi="IRNazanin" w:eastAsia="IRNazanin"/>
          <w:color w:val="111111"/>
          <w:sz w:val="28"/>
          <w:sz w:val="28"/>
          <w:szCs w:val="28"/>
          <w:rtl w:val="true"/>
          <w:lang w:bidi="fa-IR"/>
        </w:rPr>
        <w:t>به طور مختصر، بهسازی طرح فراداده ای در ارتباط نزدیک با کاربران آینده، حتی اگر دارای معایبی هم باشد به تهیه یک طرح فراداده ای بهتر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موفقیت در امر جمع سپاری، طرح های آینده زیر ساخت الکترونیکی، لازم است در جستجوی راه های درگیر کننده ای باشند که مشارکت بیشتر کاربران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های آینده، تمرکز بر فرایند ساخت طرح فراداده ای باید مورد توجه قرار گیرد حتی اگر بیشتر بر این نکته تأکید شود که کاربران چگونه داده ها را توصیف می کنند یا کم تر به این موضوع توجه شود که آن ها چطور به جستجوی داده ها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تمام پاسخ ها آشکار شد که طرح فراداده ای آرمانی برای تمام کاربران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برنامه بخواهد چیزی بیش از یک آرشیو با عمل کرد جستجو باشد حداقل مخرج مشترک، نیازهای کاربران را برای زیر ساخت های الکترونیکی تأمین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تلاش برای تحقق نیازهای مختلف جهت چنین گروه کاربری متنوع، محال است و به یک محیط کاربر پسند تر منجر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کاربران می خواهند به مواد دسترسی داشته باشند و بر ابزارهایی تکیه می کنند که به آن ها عادت دارند که اکثر آن ها خارج از محیط زیر ساخت الکترونیکی در دسترس هستند</w:t>
      </w:r>
      <w:r>
        <w:rPr>
          <w:rFonts w:eastAsia="IRNazanin" w:cs="IRNazanin"/>
          <w:color w:val="111111"/>
          <w:sz w:val="28"/>
          <w:szCs w:val="28"/>
          <w:rtl w:val="true"/>
          <w:lang w:bidi="fa-IR"/>
        </w:rPr>
        <w:t>.</w:t>
      </w:r>
    </w:p>
    <w:p>
      <w:pPr>
        <w:pStyle w:val="Heading3"/>
        <w:numPr>
          <w:ilvl w:val="2"/>
          <w:numId w:val="1"/>
        </w:numPr>
        <w:rPr/>
      </w:pPr>
      <w:bookmarkStart w:id="158" w:name="__RefHeading___Toc7825325_2870459653"/>
      <w:bookmarkStart w:id="159" w:name="_Toc57"/>
      <w:bookmarkEnd w:id="158"/>
      <w:r>
        <w:rPr>
          <w:rtl w:val="true"/>
        </w:rPr>
        <w:t>تشکر و قدردانی</w:t>
      </w:r>
      <w:bookmarkEnd w:id="159"/>
    </w:p>
    <w:p>
      <w:pPr>
        <w:pStyle w:val="BookText"/>
        <w:rPr/>
      </w:pPr>
      <w:r>
        <w:rPr>
          <w:rFonts w:ascii="IRNazanin" w:hAnsi="IRNazanin" w:eastAsia="IRNazanin"/>
          <w:color w:val="111111"/>
          <w:sz w:val="28"/>
          <w:sz w:val="28"/>
          <w:szCs w:val="28"/>
          <w:rtl w:val="true"/>
          <w:lang w:bidi="fa-IR"/>
        </w:rPr>
        <w:t xml:space="preserve">طرح لازم توسط برنامه ملی برای زیر ساخت پژوهشی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پژوهانه </w:t>
      </w:r>
      <w:r>
        <w:rPr>
          <w:rFonts w:eastAsia="IRNazanin" w:cs="IRNazanin"/>
          <w:color w:val="111111"/>
          <w:sz w:val="28"/>
          <w:szCs w:val="28"/>
          <w:lang w:bidi="fa-IR"/>
        </w:rPr>
        <w:t>067292</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پشتیبانی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سارا دیویس </w:t>
      </w:r>
      <w:r>
        <w:rPr>
          <w:rStyle w:val="FootnoteAnchor"/>
          <w:rtl w:val="true"/>
        </w:rPr>
        <w:footnoteReference w:id="218"/>
      </w:r>
      <w:r>
        <w:rPr>
          <w:rFonts w:ascii="IRNazanin" w:hAnsi="IRNazanin" w:eastAsia="IRNazanin"/>
          <w:color w:val="111111"/>
          <w:sz w:val="28"/>
          <w:sz w:val="28"/>
          <w:szCs w:val="28"/>
          <w:rtl w:val="true"/>
          <w:lang w:bidi="fa-IR"/>
        </w:rPr>
        <w:t xml:space="preserve">برای کمکی که در متن مصاحبه ها انجام داد، از ساندرا لیکهیلت </w:t>
      </w:r>
      <w:r>
        <w:rPr>
          <w:rStyle w:val="FootnoteAnchor"/>
          <w:rtl w:val="true"/>
        </w:rPr>
        <w:footnoteReference w:id="219"/>
      </w:r>
      <w:r>
        <w:rPr>
          <w:rFonts w:ascii="IRNazanin" w:hAnsi="IRNazanin" w:eastAsia="IRNazanin"/>
          <w:color w:val="111111"/>
          <w:sz w:val="28"/>
          <w:sz w:val="28"/>
          <w:szCs w:val="28"/>
          <w:rtl w:val="true"/>
          <w:lang w:bidi="fa-IR"/>
        </w:rPr>
        <w:t xml:space="preserve">برای پشتیبانی اش در راهنمایی مصاحبه ها و پروفسور ماریان لوگه </w:t>
      </w:r>
      <w:r>
        <w:rPr>
          <w:rStyle w:val="FootnoteAnchor"/>
          <w:rtl w:val="true"/>
        </w:rPr>
        <w:footnoteReference w:id="220"/>
      </w:r>
      <w:r>
        <w:rPr>
          <w:rFonts w:ascii="IRNazanin" w:hAnsi="IRNazanin" w:eastAsia="IRNazanin"/>
          <w:color w:val="111111"/>
          <w:sz w:val="28"/>
          <w:sz w:val="28"/>
          <w:szCs w:val="28"/>
          <w:rtl w:val="true"/>
          <w:lang w:bidi="fa-IR"/>
        </w:rPr>
        <w:t xml:space="preserve">از دانشگاه آلبورگ </w:t>
      </w:r>
      <w:r>
        <w:rPr>
          <w:rStyle w:val="FootnoteAnchor"/>
          <w:rtl w:val="true"/>
        </w:rPr>
        <w:footnoteReference w:id="221"/>
      </w:r>
      <w:r>
        <w:rPr>
          <w:rFonts w:ascii="IRNazanin" w:hAnsi="IRNazanin" w:eastAsia="IRNazanin"/>
          <w:color w:val="111111"/>
          <w:sz w:val="28"/>
          <w:sz w:val="28"/>
          <w:szCs w:val="28"/>
          <w:rtl w:val="true"/>
          <w:lang w:bidi="fa-IR"/>
        </w:rPr>
        <w:t>برای مشارکتش در تنظیم پرسشنامه ها و بهسازی طرح های فراداده ای سپاسگزاری می کنیم</w:t>
      </w:r>
      <w:r>
        <w:rPr>
          <w:rFonts w:eastAsia="IRNazanin" w:cs="IRNazanin"/>
          <w:color w:val="111111"/>
          <w:sz w:val="28"/>
          <w:szCs w:val="28"/>
          <w:rtl w:val="true"/>
          <w:lang w:bidi="fa-IR"/>
        </w:rPr>
        <w:t>.</w:t>
      </w:r>
    </w:p>
    <w:p>
      <w:pPr>
        <w:pStyle w:val="Heading3"/>
        <w:numPr>
          <w:ilvl w:val="2"/>
          <w:numId w:val="1"/>
        </w:numPr>
        <w:rPr/>
      </w:pPr>
      <w:bookmarkStart w:id="160" w:name="__RefHeading___Toc7825327_2870459653"/>
      <w:bookmarkStart w:id="161" w:name="_Toc58"/>
      <w:bookmarkEnd w:id="160"/>
      <w:r>
        <w:rPr>
          <w:rtl w:val="true"/>
        </w:rPr>
        <w:t>منابع</w:t>
      </w:r>
      <w:bookmarkEnd w:id="161"/>
    </w:p>
    <w:p>
      <w:pPr>
        <w:pStyle w:val="BookText"/>
        <w:rPr/>
      </w:pPr>
      <w:r>
        <w:rPr>
          <w:rFonts w:eastAsia="Times New Roman" w:cs="Times New Roman" w:ascii="Times New Roman" w:hAnsi="Times New Roman"/>
          <w:color w:val="111111"/>
          <w:sz w:val="28"/>
          <w:szCs w:val="28"/>
          <w:lang w:val="en-US" w:bidi="en-US"/>
        </w:rPr>
        <w:t>Ayres, M.L. (2005), "Case Studies in implementing Functional Requirements for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Bibliographic Records [FRBR]: AustLit and Music Australia",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Australian Library Journal, Vol. 54 No. 1, pp. 43–54</w:t>
      </w:r>
    </w:p>
    <w:p>
      <w:pPr>
        <w:pStyle w:val="BookText"/>
        <w:rPr/>
      </w:pPr>
      <w:r>
        <w:rPr>
          <w:rFonts w:eastAsia="Times New Roman" w:cs="Times New Roman" w:ascii="Times New Roman" w:hAnsi="Times New Roman"/>
          <w:color w:val="111111"/>
          <w:sz w:val="28"/>
          <w:szCs w:val="28"/>
          <w:lang w:val="en-US" w:bidi="en-US"/>
        </w:rPr>
        <w:t>Dublin Core Metadata Initiative (2012), "Dublin Core Metadata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Element Set, Version 1.1", available at: http://dublincore.org/documents /.dces</w:t>
      </w:r>
    </w:p>
    <w:p>
      <w:pPr>
        <w:pStyle w:val="BookText"/>
        <w:rPr/>
      </w:pPr>
      <w:r>
        <w:rPr>
          <w:rFonts w:eastAsia="Times New Roman" w:cs="Times New Roman" w:ascii="Times New Roman" w:hAnsi="Times New Roman"/>
          <w:color w:val="111111"/>
          <w:sz w:val="28"/>
          <w:szCs w:val="28"/>
          <w:lang w:val="en-US" w:bidi="en-US"/>
        </w:rPr>
        <w:t>Gligorov, R. (2012), "User-generated Metadata in Audio-visual Collections", in Proceedings of the 21st International Conference Companion on World Wide Web, ACM, New York, NY, USA, pp.139-144</w:t>
      </w:r>
    </w:p>
    <w:p>
      <w:pPr>
        <w:pStyle w:val="BookText"/>
        <w:rPr/>
      </w:pPr>
      <w:r>
        <w:rPr>
          <w:rFonts w:eastAsia="Times New Roman" w:cs="Times New Roman" w:ascii="Times New Roman" w:hAnsi="Times New Roman"/>
          <w:color w:val="111111"/>
          <w:sz w:val="28"/>
          <w:szCs w:val="28"/>
          <w:lang w:val="en-US" w:bidi="en-US"/>
        </w:rPr>
        <w:t>Lund, H.; Bogers, T.; Larsen, B &amp; Marianne Lykke (2013), "CHAOS: User-driven</w:t>
      </w:r>
    </w:p>
    <w:p>
      <w:pPr>
        <w:pStyle w:val="BookText"/>
        <w:rPr/>
      </w:pPr>
      <w:r>
        <w:rPr>
          <w:rFonts w:eastAsia="Times New Roman" w:cs="Times New Roman" w:ascii="Times New Roman" w:hAnsi="Times New Roman"/>
          <w:color w:val="111111"/>
          <w:sz w:val="28"/>
          <w:szCs w:val="28"/>
          <w:lang w:val="en-US" w:bidi="en-US"/>
        </w:rPr>
        <w:t>Development of a Metadata Scheme for Radio Broadcast Archives", in Proceedings of the iConference 2013, pp. 990-994</w:t>
      </w:r>
    </w:p>
    <w:p>
      <w:pPr>
        <w:pStyle w:val="BookText"/>
        <w:rPr/>
      </w:pPr>
      <w:r>
        <w:rPr>
          <w:rFonts w:eastAsia="Times New Roman" w:cs="Times New Roman" w:ascii="Times New Roman" w:hAnsi="Times New Roman"/>
          <w:color w:val="111111"/>
          <w:sz w:val="28"/>
          <w:szCs w:val="28"/>
          <w:lang w:val="en-US" w:bidi="en-US"/>
        </w:rPr>
        <w:t>Huurnink, B., Hollink, L., van den Heuvel, W. and Rijke, M. de (2010), "earch behavior of media professionals at an audiovisual archive: A transaction log analysis", Journal of the American Society for Information Science and technology, Vol. 61 No. 6, pp. 1180–1197</w:t>
      </w:r>
    </w:p>
    <w:p>
      <w:pPr>
        <w:pStyle w:val="BookText"/>
        <w:rPr/>
      </w:pPr>
      <w:r>
        <w:rPr>
          <w:rFonts w:eastAsia="Times New Roman" w:cs="Times New Roman" w:ascii="Times New Roman" w:hAnsi="Times New Roman"/>
          <w:color w:val="111111"/>
          <w:sz w:val="28"/>
          <w:szCs w:val="28"/>
          <w:lang w:val="en-US" w:bidi="en-US"/>
        </w:rPr>
        <w:t>ISMIR - The International Society for Music Information Retrieval (2014), available at:http://www.ismir.net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Kanai, K. (2013), "Differentiation of Metadata Elements Based on Users' Music Information Needs: Focusing on FRBR, FRAD and Variations", LIBRARY AND INFORMATION SCIENCE No. 70, pp. 89-118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 J., Oard, D.W. and Soergel, D. (2003), "Searching Large collections of Recirded Speech: A Preliminary Studt Proceedings of the American Society for Information Science and Technology, Vol. 40 No. 1 pp. 330-339</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Kreutzfeldt, J. (2012), "Street Cries and the urban refrain: A ,methodological investigation of street cries", Sound Effects, Vol. 1 No. 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pp. 62-80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LARM.fm blog (2014), available at: http://larm.blogs.ku.dk/about- larm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Lee, J.H. (2010), "Analysis of user needs and information features in natural language queries seeking music information", Journal of the American Society for Information Science and technology, Vol. 61 No. 5, pp. 1025-1045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Stockfelt, O., Lønstrup, A. &amp; Sangild, T. (2012), Radiolab - three different approaches "SoundEffects - An Interdisciplinary Journal of Sound and Sound Experience, Vol. 2 No. 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Riley, J. (2011), "Leveraging the FRBR model for music discovery and data sharing Autobiographical note", OCLC Systems &amp; Services, Vol. 27 No. 3, pp. 175–189</w:t>
      </w:r>
    </w:p>
    <w:p>
      <w:pPr>
        <w:pStyle w:val="BookText"/>
        <w:rPr/>
      </w:pPr>
      <w:r>
        <w:rPr>
          <w:rFonts w:eastAsia="Times New Roman" w:cs="Times New Roman" w:ascii="Times New Roman" w:hAnsi="Times New Roman"/>
          <w:color w:val="111111"/>
          <w:sz w:val="28"/>
          <w:szCs w:val="28"/>
          <w:lang w:val="en-US" w:bidi="en-US"/>
        </w:rPr>
        <w:t>Saldaña, J. and Miles, M.B. (2013-2014), The coding manual for qualitative researchers + qualitative data analysis: A methods sourcebook Sage Publications, London, Thousand Oaks, Calif</w:t>
      </w:r>
    </w:p>
    <w:p>
      <w:pPr>
        <w:pStyle w:val="BookText"/>
        <w:rPr/>
      </w:pPr>
      <w:r>
        <w:rPr>
          <w:rFonts w:eastAsia="Times New Roman" w:cs="Times New Roman" w:ascii="Times New Roman" w:hAnsi="Times New Roman"/>
          <w:color w:val="111111"/>
          <w:sz w:val="28"/>
          <w:szCs w:val="28"/>
          <w:lang w:val="en-US" w:bidi="en-US"/>
        </w:rPr>
        <w:t>Skov, M. and Lykke, M. (2012), "Unlocking Radio Broadcasts</w:t>
      </w:r>
    </w:p>
    <w:p>
      <w:pPr>
        <w:pStyle w:val="BookText"/>
        <w:rPr/>
      </w:pPr>
      <w:r>
        <w:rPr>
          <w:rFonts w:eastAsia="Times New Roman" w:cs="Times New Roman" w:ascii="Times New Roman" w:hAnsi="Times New Roman"/>
          <w:color w:val="111111"/>
          <w:sz w:val="28"/>
          <w:szCs w:val="28"/>
          <w:lang w:val="en-US" w:bidi="en-US"/>
        </w:rPr>
        <w:t>User Needs in Sound Retrieval", in Proceedings of the 4th Information</w:t>
      </w:r>
    </w:p>
    <w:p>
      <w:pPr>
        <w:pStyle w:val="BookText"/>
        <w:rPr/>
      </w:pPr>
      <w:r>
        <w:rPr>
          <w:rFonts w:eastAsia="Times New Roman" w:cs="Times New Roman" w:ascii="Times New Roman" w:hAnsi="Times New Roman"/>
          <w:color w:val="111111"/>
          <w:sz w:val="28"/>
          <w:szCs w:val="28"/>
          <w:lang w:val="en-US" w:bidi="en-US"/>
        </w:rPr>
        <w:t>Interaction in Context Symposium, ACM,New York, USA, pp. 298–301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Vainio, T., Väänänen-Vainio-Mattila, K., Kaakinen, A., Kärkkäinen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 and Lehikoinen, J" (9) User Needs for Metadata Management in Mobile Multimedia Content Services", in Proceedings of the 6th International Conference on Mobile Technology, Application &amp; Systems</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ACM, New York, USA, pp. 51:1 51:8</w:t>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659_93884"/>
      <w:bookmarkStart w:id="163" w:name="pg9659_93884"/>
      <w:bookmarkEnd w:id="163"/>
    </w:p>
    <w:p>
      <w:pPr>
        <w:pStyle w:val="Heading2"/>
        <w:numPr>
          <w:ilvl w:val="1"/>
          <w:numId w:val="1"/>
        </w:numPr>
        <w:rPr/>
      </w:pPr>
      <w:bookmarkStart w:id="164" w:name="pg9659_93884"/>
      <w:bookmarkStart w:id="165" w:name="__RefHeading___Toc7825329_2870459653"/>
      <w:bookmarkStart w:id="166" w:name="_Toc59"/>
      <w:bookmarkEnd w:id="164"/>
      <w:bookmarkEnd w:id="165"/>
      <w:r>
        <w:rPr>
          <w:rtl w:val="true"/>
        </w:rPr>
        <w:t>چکیده</w:t>
      </w:r>
      <w:bookmarkEnd w:id="166"/>
    </w:p>
    <w:p>
      <w:pPr>
        <w:pStyle w:val="BookText"/>
        <w:rPr/>
      </w:pPr>
      <w:r>
        <w:rPr>
          <w:rFonts w:ascii="IRNazanin" w:hAnsi="IRNazanin" w:eastAsia="IRNazanin"/>
          <w:color w:val="111111"/>
          <w:sz w:val="28"/>
          <w:sz w:val="28"/>
          <w:szCs w:val="28"/>
          <w:rtl w:val="true"/>
          <w:lang w:bidi="fa-IR"/>
        </w:rPr>
        <w:t xml:space="preserve">این مقاله درباره کاربرد کنترل کتاب شناختی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بی سی</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در محیط وب معنایی و داده های پیوندی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در راستای پیاده سازی کنترل کتاب شناختی جهانی در مقیاس جهانی تا حدودی موفقیت آمیز بوده است، کنترل کتاب شناختی جهانی نظامی جهانی برای کنترل و تبادل اطلاعات کتاب شناختی است که پیاده سازی آن با استفاده از روش شناختی هایی با رویکرد از بالا به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انجام شده، به کارگیری رویکردهای یک پارچه استاندارد در حوزه های خاص کنترل کتاب شناختی بوده است، مانند کد گذاری فراداده با استفاده از یونی مارک، تولید محتوا با استفاده از استاندارد بین المللی توصیف کتاب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اِس بی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شناسایی سرعنوان های مستند در راهنمای تهیه پیشینه های مستند و ارجاعی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ای آر آر</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 ملزومات کارکردی داده های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فراد تا اندازه ای تحت تأثیر فناوری های وب معنایی بوده است، به خصوص پیوند گذاری و استفاده مجدد از داده های منابع ناهمگون و هم چنین به کارگیری و حتی ادغام رویکردهای محلی در روش های مشترک جوامع بزرگ تر در سطح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برخی از فن های جدید را معرفی می کند، فنونی که امکان اشتراک فراداده های محلی را با برنامه های کاربردی غیر محلی و هم چنین فنونی که استفاده از فراداده های جهانی را در برنامه های کاربردی محلی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مسائلی را که به واسطه این روش ها در مسیر کنترل کتاب شناختی پیش آمده است را مورد بحث و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این روش در محیط داده های پیوندی، دیدگاهی است که در آن پالایش گروه عناصر توصیفی و ارتباطی جهانی برای برآوردن نیازهای برنامه های کاربردی محلی را در مقابل دیدگاه دیگری مطرح می کند، دیدگاهی که در آن مجموعه عناصر محلی موجود را در نظر می گیرد و نتیجه آن پیدایش نقاط مشترک جهانی برگرفته از روش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مثال های واقعی استانداردهای ایفلا و غير ايفلا مثل توصیف و دسترسی به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 دابلین کور </w:t>
      </w:r>
      <w:r>
        <w:rPr>
          <w:rStyle w:val="FootnoteAnchor"/>
          <w:rtl w:val="true"/>
        </w:rPr>
        <w:footnoteReference w:id="226"/>
      </w:r>
      <w:r>
        <w:rPr>
          <w:rFonts w:ascii="IRNazanin" w:hAnsi="IRNazanin" w:eastAsia="IRNazanin"/>
          <w:color w:val="111111"/>
          <w:sz w:val="28"/>
          <w:sz w:val="28"/>
          <w:szCs w:val="28"/>
          <w:rtl w:val="true"/>
          <w:lang w:bidi="fa-IR"/>
        </w:rPr>
        <w:t>و بیب فریم</w:t>
      </w:r>
    </w:p>
    <w:p>
      <w:pPr>
        <w:pStyle w:val="BookText"/>
        <w:rPr/>
      </w:pPr>
      <w:r>
        <w:rPr>
          <w:rStyle w:val="FootnoteAnchor"/>
          <w:rtl w:val="true"/>
        </w:rPr>
        <w:footnoteReference w:id="227"/>
      </w:r>
      <w:r>
        <w:rPr>
          <w:rFonts w:ascii="IRNazanin" w:hAnsi="IRNazanin" w:eastAsia="IRNazanin"/>
          <w:color w:val="111111"/>
          <w:sz w:val="28"/>
          <w:sz w:val="28"/>
          <w:szCs w:val="28"/>
          <w:rtl w:val="true"/>
          <w:lang w:bidi="fa-IR"/>
        </w:rPr>
        <w:t xml:space="preserve">و اِسکیما دات اُرگ </w:t>
      </w:r>
      <w:r>
        <w:rPr>
          <w:rStyle w:val="FootnoteAnchor"/>
          <w:rtl w:val="true"/>
        </w:rPr>
        <w:footnoteReference w:id="228"/>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مقاله چنین استنتاج می کند که چشم انداز یوبی سی که در طی سالیان توسط ایفلا گسترش یافته است، به اعتبار خود باقی است و زوال نیافته است، اما اگر در آینده می خواهیم از سرمایه های گذشته سود ببریم، کنترل کتاب شناختی جهانی نیاز به تغییر جهت اساسی دارد، تغییر از نگرش جهانی به دیدگاه محلی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کتاب شناختی جهانی، داده های پیوندی، وب معنایی، محلی سازی، میان کنش پذیری</w:t>
      </w:r>
      <w:r>
        <w:rPr>
          <w:rFonts w:eastAsia="IRNazanin" w:cs="IRNazanin"/>
          <w:color w:val="111111"/>
          <w:sz w:val="28"/>
          <w:szCs w:val="28"/>
          <w:rtl w:val="true"/>
          <w:lang w:bidi="fa-IR"/>
        </w:rPr>
        <w:t xml:space="preserve">. </w:t>
      </w:r>
      <w:bookmarkStart w:id="167" w:name="pg9659_93885"/>
    </w:p>
    <w:p>
      <w:pPr>
        <w:pStyle w:val="Heading2"/>
        <w:numPr>
          <w:ilvl w:val="1"/>
          <w:numId w:val="1"/>
        </w:numPr>
        <w:rPr/>
      </w:pPr>
      <w:bookmarkStart w:id="168" w:name="__RefHeading___Toc7825331_2870459653"/>
      <w:bookmarkStart w:id="169" w:name="_Toc60"/>
      <w:bookmarkEnd w:id="167"/>
      <w:bookmarkEnd w:id="168"/>
      <w:r>
        <w:rPr>
          <w:rtl w:val="true"/>
        </w:rPr>
        <w:t>محلی در بطن جهانی</w:t>
      </w:r>
      <w:r>
        <w:rPr>
          <w:rtl w:val="true"/>
        </w:rPr>
        <w:t xml:space="preserve">: </w:t>
      </w:r>
      <w:r>
        <w:rPr>
          <w:rtl w:val="true"/>
        </w:rPr>
        <w:t>کنترل کتاب شناختی جهانی با رویکرد روش شناختی پایین به بالا</w:t>
      </w:r>
      <w:bookmarkEnd w:id="169"/>
    </w:p>
    <w:p>
      <w:pPr>
        <w:pStyle w:val="Heading3"/>
        <w:numPr>
          <w:ilvl w:val="2"/>
          <w:numId w:val="1"/>
        </w:numPr>
        <w:rPr/>
      </w:pPr>
      <w:bookmarkStart w:id="170" w:name="__RefHeading___Toc7825333_2870459653"/>
      <w:bookmarkStart w:id="171" w:name="_Toc61"/>
      <w:bookmarkEnd w:id="170"/>
      <w:r>
        <w:rPr>
          <w:rtl w:val="true"/>
        </w:rPr>
        <w:t>اشاره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بطن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کتاب شناختی جهانی با رویکرد روش شناختی پایین به بالا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نوشته گوردون دانسایر </w:t>
      </w:r>
      <w:r>
        <w:rPr>
          <w:rStyle w:val="FootnoteAnchor"/>
          <w:rtl w:val="true"/>
        </w:rPr>
        <w:footnoteReference w:id="230"/>
      </w:r>
      <w:r>
        <w:rPr>
          <w:rFonts w:ascii="IRNazanin" w:hAnsi="IRNazanin" w:eastAsia="IRNazanin"/>
          <w:color w:val="111111"/>
          <w:sz w:val="28"/>
          <w:sz w:val="28"/>
          <w:szCs w:val="28"/>
          <w:rtl w:val="true"/>
          <w:lang w:bidi="fa-IR"/>
        </w:rPr>
        <w:t xml:space="preserve">، میرنا ویلر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سعیده اکبری داریان </w:t>
      </w:r>
      <w:r>
        <w:rPr>
          <w:rStyle w:val="FootnoteAnchor"/>
          <w:rtl w:val="true"/>
        </w:rPr>
        <w:footnoteReference w:id="232"/>
      </w:r>
    </w:p>
    <w:p>
      <w:pPr>
        <w:pStyle w:val="Heading3"/>
        <w:numPr>
          <w:ilvl w:val="2"/>
          <w:numId w:val="1"/>
        </w:numPr>
        <w:rPr/>
      </w:pPr>
      <w:bookmarkStart w:id="172" w:name="__RefHeading___Toc7825335_2870459653"/>
      <w:bookmarkStart w:id="173" w:name="_Toc62"/>
      <w:bookmarkEnd w:id="172"/>
      <w:r>
        <w:rPr/>
        <w:t>1</w:t>
      </w:r>
      <w:r>
        <w:rPr>
          <w:rtl w:val="true"/>
        </w:rPr>
        <w:t xml:space="preserve">. </w:t>
      </w:r>
      <w:r>
        <w:rPr>
          <w:rtl w:val="true"/>
        </w:rPr>
        <w:t>مقدمه و پیشینه</w:t>
      </w:r>
      <w:bookmarkEnd w:id="173"/>
    </w:p>
    <w:p>
      <w:pPr>
        <w:pStyle w:val="BookText"/>
        <w:rPr/>
      </w:pPr>
      <w:r>
        <w:rPr>
          <w:rFonts w:ascii="IRNazanin" w:hAnsi="IRNazanin" w:eastAsia="IRNazanin"/>
          <w:color w:val="111111"/>
          <w:sz w:val="28"/>
          <w:sz w:val="28"/>
          <w:szCs w:val="28"/>
          <w:rtl w:val="true"/>
          <w:lang w:bidi="fa-IR"/>
        </w:rPr>
        <w:t xml:space="preserve">همان گونه که ریاست ایفلا، هرمن لیبارز </w:t>
      </w:r>
      <w:r>
        <w:rPr>
          <w:rStyle w:val="FootnoteAnchor"/>
          <w:rtl w:val="true"/>
        </w:rPr>
        <w:footnoteReference w:id="233"/>
      </w:r>
      <w:r>
        <w:rPr>
          <w:rFonts w:ascii="IRNazanin" w:hAnsi="IRNazanin" w:eastAsia="IRNazanin"/>
          <w:color w:val="111111"/>
          <w:sz w:val="28"/>
          <w:sz w:val="28"/>
          <w:szCs w:val="28"/>
          <w:rtl w:val="true"/>
          <w:lang w:bidi="fa-IR"/>
        </w:rPr>
        <w:t xml:space="preserve">در مقدمه سند ایفلا کنترل کتاب شناختی جهانی خط مشی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 عملیاتی </w:t>
      </w:r>
      <w:r>
        <w:rPr>
          <w:rStyle w:val="FootnoteAnchor"/>
          <w:rtl w:val="true"/>
        </w:rPr>
        <w:footnoteReference w:id="234"/>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مرقوم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بیانیه نهایی ایفلا به بلوغ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 بی سی یا برنامه کنترل کتاب شناختی جهانی، خدمات کتاب شناختی که در اختیار داریم و از آن استفاده می کنیم را توانمند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مذکور به مسئولیت سازمان های کتاب شناختی ملی جهت تولید پیشینه های کتاب شناختی معتبر مربوط به انتشارات کشورشان و هم چنین قابل دسترس کردن آن ها برای سایر سازمان های کتاب شناختی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فرایند کنترل کتاب شناختی جهانی با تولید پیشینه های کتاب شناختی و مستندات مطابق با استانداردهای بین المللی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اندرسن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دستیابی به هدف برنامه کنترل کتاب شناختی جهانی، ایفلا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و وظیفه تدوین و ارتقای استانداردهای بین المللی دستور العمل ها، قواعد و اصطلاحات و از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 مسئولیت تدوین نمونه های مفهومی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اصلی برنامه کنترل کتاب شناختی جهانی، ایده یک دستی </w:t>
      </w:r>
      <w:r>
        <w:rPr>
          <w:rStyle w:val="FootnoteAnchor"/>
          <w:rtl w:val="true"/>
        </w:rPr>
        <w:footnoteReference w:id="236"/>
      </w:r>
      <w:r>
        <w:rPr>
          <w:rFonts w:ascii="IRNazanin" w:hAnsi="IRNazanin" w:eastAsia="IRNazanin"/>
          <w:color w:val="111111"/>
          <w:sz w:val="28"/>
          <w:sz w:val="28"/>
          <w:szCs w:val="28"/>
          <w:rtl w:val="true"/>
          <w:lang w:bidi="fa-IR"/>
        </w:rPr>
        <w:t xml:space="preserve">بوده است، به این معنی که سرعنوان های قراردادی </w:t>
      </w:r>
      <w:r>
        <w:rPr>
          <w:rStyle w:val="FootnoteAnchor"/>
          <w:rtl w:val="true"/>
        </w:rPr>
        <w:footnoteReference w:id="237"/>
      </w:r>
      <w:r>
        <w:rPr>
          <w:rFonts w:ascii="IRNazanin" w:hAnsi="IRNazanin" w:eastAsia="IRNazanin"/>
          <w:color w:val="111111"/>
          <w:sz w:val="28"/>
          <w:sz w:val="28"/>
          <w:szCs w:val="28"/>
          <w:rtl w:val="true"/>
          <w:lang w:bidi="fa-IR"/>
        </w:rPr>
        <w:t xml:space="preserve">باید بر اساس نام یا عنوانی انتخاب شود که در ویراست های مختلف آثار فهرست شده بیش از همه به کار رفته رفته است، بنابراین این اطمینان را می دهد که شکل یک سانی از نام در همه فهرست ها ظاهر شود و علاوه بر جنبه اقتصادی برای کتاب خانه هایی که تبادل اطلاعات دارند و هم چنین کاربرانی که با فهرست های مختلف مشاوره می کنند کار آمد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پاریس،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 اِس بی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بین المللی کتاب شناختی </w:t>
      </w:r>
      <w:r>
        <w:rPr>
          <w:rStyle w:val="FootnoteAnchor"/>
          <w:rtl w:val="true"/>
        </w:rPr>
        <w:footnoteReference w:id="239"/>
      </w:r>
      <w:r>
        <w:rPr>
          <w:rFonts w:ascii="IRNazanin" w:hAnsi="IRNazanin" w:eastAsia="IRNazanin"/>
          <w:color w:val="111111"/>
          <w:sz w:val="28"/>
          <w:sz w:val="28"/>
          <w:szCs w:val="28"/>
          <w:rtl w:val="true"/>
          <w:lang w:bidi="fa-IR"/>
        </w:rPr>
        <w:t xml:space="preserve">با همان مفهوم اشاره شده طراحی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اِم سی ایی،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دروتی </w:t>
      </w:r>
      <w:r>
        <w:rPr>
          <w:rStyle w:val="FootnoteAnchor"/>
          <w:rtl w:val="true"/>
        </w:rPr>
        <w:footnoteReference w:id="241"/>
      </w:r>
      <w:r>
        <w:rPr>
          <w:rFonts w:ascii="IRNazanin" w:hAnsi="IRNazanin" w:eastAsia="IRNazanin"/>
          <w:color w:val="111111"/>
          <w:sz w:val="28"/>
          <w:sz w:val="28"/>
          <w:szCs w:val="28"/>
          <w:rtl w:val="true"/>
          <w:lang w:bidi="fa-IR"/>
        </w:rPr>
        <w:t>اندرسن، اولین مقام مسئول برنامه کنترل کتاب شناختی جهانی و نویسنده سند کنترل کتاب شناختی جهانی که قبلاً به آن استناد شد، اختلاف نظر برخی کتاب خانه ها را در مورد مسئله نبود مفهوم یک دستی کاملاً شفاف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خود را در این زمینه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نظام کنترل کتاب شناختی جهانی یک دستی بر اساس استانداردهای بین المللی است که همیشه مجموعه قواعد سخت و غیر انعطاف نیست، بلکه اصول پذیرفته شده بین المللی برای مسائل خاص است که مجوز تغییرات ملی را نیز به سازمان ها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اندرسن،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چارچوب کنترل کتاب شناختی جهانی ترکیبی از رویکردهای محلی و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به منظور برقراری تعادل بین استخراج خود توصیف </w:t>
      </w:r>
      <w:r>
        <w:rPr>
          <w:rStyle w:val="FootnoteAnchor"/>
          <w:rtl w:val="true"/>
        </w:rPr>
        <w:footnoteReference w:id="242"/>
      </w:r>
      <w:r>
        <w:rPr>
          <w:rFonts w:ascii="IRNazanin" w:hAnsi="IRNazanin" w:eastAsia="IRNazanin"/>
          <w:color w:val="111111"/>
          <w:sz w:val="28"/>
          <w:sz w:val="28"/>
          <w:szCs w:val="28"/>
          <w:rtl w:val="true"/>
          <w:lang w:bidi="fa-IR"/>
        </w:rPr>
        <w:t>سر عنوان های قراردادی با نیاز به تمایز آن ها در سطوح مختلف خوشه های مجموعه ای و نیز در محدوده های معین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تمایز در بالاترین سطح، بیشتر مورد نیاز است، کل مجموعه ویرایش های میراث فرهنگی و کتاب شناختی، هنوز روش های متفاوتی برای تمایز سرعنوان ها در سطوح محلی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نیاز به جداسازی چارچوب جامع از روش شناختی های به کار رفته در درون آن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در مقیاس جهانی به زیر ساخت شناسایی جهانی نیازمند است؛ خود توصیف فرایند آوانویسی به کار گرفته شده در محلی ترین سطح برای مدرک در دست فهرست نویسی است؛ گردهم آوری </w:t>
      </w:r>
      <w:r>
        <w:rPr>
          <w:rStyle w:val="FootnoteAnchor"/>
          <w:rtl w:val="true"/>
        </w:rPr>
        <w:footnoteReference w:id="243"/>
      </w:r>
      <w:r>
        <w:rPr>
          <w:rFonts w:ascii="IRNazanin" w:hAnsi="IRNazanin" w:eastAsia="IRNazanin"/>
          <w:color w:val="111111"/>
          <w:sz w:val="28"/>
          <w:sz w:val="28"/>
          <w:szCs w:val="28"/>
          <w:rtl w:val="true"/>
          <w:lang w:bidi="fa-IR"/>
        </w:rPr>
        <w:t>با استفاده از سرعنوان ها جایی در بین این ها قرار دارد</w:t>
      </w:r>
      <w:r>
        <w:rPr>
          <w:rFonts w:eastAsia="IRNazanin" w:cs="IRNazanin"/>
          <w:color w:val="111111"/>
          <w:sz w:val="28"/>
          <w:szCs w:val="28"/>
          <w:rtl w:val="true"/>
          <w:lang w:bidi="fa-IR"/>
        </w:rPr>
        <w:t xml:space="preserve">. </w:t>
      </w:r>
      <w:bookmarkStart w:id="174" w:name="pg9659_93887"/>
    </w:p>
    <w:p>
      <w:pPr>
        <w:pStyle w:val="Heading3"/>
        <w:numPr>
          <w:ilvl w:val="2"/>
          <w:numId w:val="1"/>
        </w:numPr>
        <w:rPr/>
      </w:pPr>
      <w:bookmarkStart w:id="175" w:name="__RefHeading___Toc7825337_2870459653"/>
      <w:bookmarkStart w:id="176" w:name="_Toc63"/>
      <w:bookmarkEnd w:id="174"/>
      <w:bookmarkEnd w:id="175"/>
      <w:r>
        <w:rPr>
          <w:rtl w:val="true"/>
        </w:rPr>
        <w:t>مسائل مربوط به رویکرد روش شناختی از بالا به پایین</w:t>
      </w:r>
      <w:bookmarkEnd w:id="176"/>
    </w:p>
    <w:p>
      <w:pPr>
        <w:pStyle w:val="BookText"/>
        <w:rPr/>
      </w:pPr>
      <w:r>
        <w:rPr>
          <w:rFonts w:ascii="IRNazanin" w:hAnsi="IRNazanin" w:eastAsia="IRNazanin"/>
          <w:color w:val="111111"/>
          <w:sz w:val="28"/>
          <w:sz w:val="28"/>
          <w:szCs w:val="28"/>
          <w:rtl w:val="true"/>
          <w:lang w:bidi="fa-IR"/>
        </w:rPr>
        <w:t>مدیریت شناسایی جهانی به فرانمای شناسگرهای جهانی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ملزومات در سطوح استاندارد ایزو و نظام های شماره دهی مثل آی اس بی ان </w:t>
      </w:r>
      <w:r>
        <w:rPr>
          <w:rStyle w:val="FootnoteAnchor"/>
          <w:rtl w:val="true"/>
        </w:rPr>
        <w:footnoteReference w:id="244"/>
      </w:r>
      <w:r>
        <w:rPr>
          <w:rFonts w:ascii="IRNazanin" w:hAnsi="IRNazanin" w:eastAsia="IRNazanin"/>
          <w:color w:val="111111"/>
          <w:sz w:val="28"/>
          <w:sz w:val="28"/>
          <w:szCs w:val="28"/>
          <w:rtl w:val="true"/>
          <w:lang w:bidi="fa-IR"/>
        </w:rPr>
        <w:t xml:space="preserve">، آی اس اس ان </w:t>
      </w:r>
      <w:r>
        <w:rPr>
          <w:rStyle w:val="FootnoteAnchor"/>
          <w:rtl w:val="true"/>
        </w:rPr>
        <w:footnoteReference w:id="245"/>
      </w:r>
      <w:r>
        <w:rPr>
          <w:rFonts w:ascii="IRNazanin" w:hAnsi="IRNazanin" w:eastAsia="IRNazanin"/>
          <w:color w:val="111111"/>
          <w:sz w:val="28"/>
          <w:sz w:val="28"/>
          <w:szCs w:val="28"/>
          <w:rtl w:val="true"/>
          <w:lang w:bidi="fa-IR"/>
        </w:rPr>
        <w:t xml:space="preserve">، آی اس آر ان </w:t>
      </w:r>
      <w:r>
        <w:rPr>
          <w:rStyle w:val="FootnoteAnchor"/>
          <w:rtl w:val="true"/>
        </w:rPr>
        <w:footnoteReference w:id="246"/>
      </w:r>
      <w:r>
        <w:rPr>
          <w:rFonts w:ascii="IRNazanin" w:hAnsi="IRNazanin" w:eastAsia="IRNazanin"/>
          <w:color w:val="111111"/>
          <w:sz w:val="28"/>
          <w:sz w:val="28"/>
          <w:szCs w:val="28"/>
          <w:rtl w:val="true"/>
          <w:lang w:bidi="fa-IR"/>
        </w:rPr>
        <w:t xml:space="preserve">، آی اس آر سی </w:t>
      </w:r>
      <w:r>
        <w:rPr>
          <w:rStyle w:val="FootnoteAnchor"/>
          <w:rtl w:val="true"/>
        </w:rPr>
        <w:footnoteReference w:id="247"/>
      </w:r>
      <w:r>
        <w:rPr>
          <w:rFonts w:ascii="IRNazanin" w:hAnsi="IRNazanin" w:eastAsia="IRNazanin"/>
          <w:color w:val="111111"/>
          <w:sz w:val="28"/>
          <w:sz w:val="28"/>
          <w:szCs w:val="28"/>
          <w:rtl w:val="true"/>
          <w:lang w:bidi="fa-IR"/>
        </w:rPr>
        <w:t xml:space="preserve">و اخيراً آی اس ان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شناسگر استاندارد بین المللی نام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چنین شناسگرهایی بخش اصلی توصیف کتاب شناختی هستند که پیوند لازم از توصیف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شماره دهی جهانی را فراهم می کنند که در این صورت شناسایی یکتا امکان پذیر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قراردادهای برچسب گذاری در قالب نقاط دسترسی مستند </w:t>
      </w:r>
      <w:r>
        <w:rPr>
          <w:rStyle w:val="FootnoteAnchor"/>
          <w:rtl w:val="true"/>
        </w:rPr>
        <w:footnoteReference w:id="249"/>
      </w:r>
      <w:r>
        <w:rPr>
          <w:rFonts w:ascii="IRNazanin" w:hAnsi="IRNazanin" w:eastAsia="IRNazanin"/>
          <w:color w:val="111111"/>
          <w:sz w:val="28"/>
          <w:sz w:val="28"/>
          <w:szCs w:val="28"/>
          <w:rtl w:val="true"/>
          <w:lang w:bidi="fa-IR"/>
        </w:rPr>
        <w:t xml:space="preserve">و هم چنین شکل های مختلف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نقاط دسترسی کنترل شده را تشکیل می دهند به تلاش ذهنی برای انطباق آن ها به همان موجودیت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مفهوم گزاره نقاط دسترسی مستند جایگزین گزاره سرعنوان های قراردادی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دسترسی مستند، کاربر ملی </w:t>
      </w:r>
      <w:r>
        <w:rPr>
          <w:rStyle w:val="FootnoteAnchor"/>
          <w:rtl w:val="true"/>
        </w:rPr>
        <w:footnoteReference w:id="250"/>
      </w:r>
      <w:r>
        <w:rPr>
          <w:rFonts w:ascii="IRNazanin" w:hAnsi="IRNazanin" w:eastAsia="IRNazanin"/>
          <w:color w:val="111111"/>
          <w:sz w:val="28"/>
          <w:sz w:val="28"/>
          <w:szCs w:val="28"/>
          <w:rtl w:val="true"/>
          <w:lang w:bidi="fa-IR"/>
        </w:rPr>
        <w:t>و نیازهایش را ترجیح می دهد و در نتیجه شکل نقاط دسترسی گزیده به سازمان کتاب شناختی و قوانین فهرست نویسی خاصی مورد استفاده است، وابسته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دیدگاه از لحاظ فرهنگی به دیگران احترام بگذارید وجود ندارد، بلکه قاعده زیر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من، یا استنباط من، از فرهنگ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چنین تغییر دیدگاهی در مفهوم کنترل کتاب شناختی جهانی همان شکل سرعنوانی استفاده شده در سطح جهانی برای موجودیت است که دیگر عملی و مورد نیاز نیست، زیرا با توسعه قابلیت های رایانه، ما پیشینه های مستندی که در کشوری مطابق با مجموعه قواعد فهرست نویسی مشخصی تولید شده است به مستندات کشور دیگری پیوند می دهیم تا اشتراک پیشینه های مستند تسهیل شود و بالقوه به کمک رایانه نمایش</w:t>
      </w:r>
    </w:p>
    <w:p>
      <w:pPr>
        <w:pStyle w:val="BookText"/>
        <w:rPr/>
      </w:pPr>
      <w:r>
        <w:rPr>
          <w:rFonts w:ascii="IRNazanin" w:hAnsi="IRNazanin" w:eastAsia="IRNazanin"/>
          <w:color w:val="111111"/>
          <w:sz w:val="28"/>
          <w:sz w:val="28"/>
          <w:szCs w:val="28"/>
          <w:rtl w:val="true"/>
          <w:lang w:bidi="fa-IR"/>
        </w:rPr>
        <w:t xml:space="preserve">شکل های مختلف مستند را فراهم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ای آر آر،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آی ایکس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فهرست مشترک مستندات اصطلاح نامه کنسرسیوم کتاب خانه های تحقیقاتی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بود فهرست مستند پایگاه اطلاعاتی کتاب های چاپی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اکنون نام آن میراث کتاب های </w:t>
      </w:r>
    </w:p>
    <w:p>
      <w:pPr>
        <w:pStyle w:val="BookText"/>
        <w:rPr/>
      </w:pPr>
      <w:r>
        <w:rPr>
          <w:rFonts w:ascii="IRNazanin" w:hAnsi="IRNazanin" w:eastAsia="IRNazanin"/>
          <w:color w:val="111111"/>
          <w:sz w:val="28"/>
          <w:sz w:val="28"/>
          <w:szCs w:val="28"/>
          <w:rtl w:val="true"/>
          <w:lang w:bidi="fa-IR"/>
        </w:rPr>
        <w:t xml:space="preserve">چاپی در اروپا </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کنسرسیوم کتاب خانه های تحقیقاتی اروپایی در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نامه کنسرسیوم کتاب خانه های تحقیقاتی اروپایی شکل های مستند و استاندارد نام ها را که در فهرست های کتاب خانه ای امروزی مورد استفاده قرار گرفته اند را در یک موجودیت ترکیب می کند؛ بدون اعمال نفوذ شکل معتبر نامی که در خود کنسرسیوم کتاب خانه های تحقیقاتی اروپایی به کار رفته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شکل های گزیده و ناگزیده به صورت الفبایی تنظیم می شوند و در کنار آن ها نشان گر مؤسساتی که از آن مستند استفاده می کنند، آورده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نامه کنسرسیوم کتاب خانه های تحقیقاتی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روش های فهرست نویسی که در گذشته به صورت دستی در قالب فهرست برگه ها یا حتی سیاهه های موجودی انجام می شده است، سبب شده است امکان فرضی برای این هدف که سرعنوان های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دسترسی یک دست برای موجودیت های توصیف شده ایجاد شود، وجود ندارد؛ مانند موجودیت های محل های جغرافیایی، چاپ خانه ها، نویسندگان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نام لاین </w:t>
      </w:r>
      <w:r>
        <w:rPr>
          <w:rStyle w:val="FootnoteAnchor"/>
          <w:rtl w:val="true"/>
        </w:rPr>
        <w:footnoteReference w:id="256"/>
      </w:r>
      <w:r>
        <w:rPr>
          <w:rFonts w:ascii="IRNazanin" w:hAnsi="IRNazanin" w:eastAsia="IRNazanin"/>
          <w:color w:val="111111"/>
          <w:sz w:val="28"/>
          <w:sz w:val="28"/>
          <w:szCs w:val="28"/>
          <w:rtl w:val="true"/>
          <w:lang w:bidi="fa-IR"/>
        </w:rPr>
        <w:t>به عنوان محل چاپ در اصطلاح نامه مذکور</w:t>
      </w:r>
    </w:p>
    <w:p>
      <w:pPr>
        <w:pStyle w:val="BookText"/>
        <w:rPr/>
      </w:pP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پایدار</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خاطرنشان باید کرد که در انطباق نام ها تلاش فکری درگیر بوده است و تنها الگوریتم های رایانه 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اصلی تصمیم گیری برای طراحی این اصطلاح نامه، به جای ایجاد فهرست مستنداتی با مفهوم سرعنوان های قراردادی، انطباق مستندات به منظور کاهش تبدیل داده ها و هزینه های توسعه سیستم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چنین دیدگاهی به آسانی می تواند شایع شود؛ با تغییرات اساسی که انتظار می رود در اتخاذ یا تدوین قواعد فهرست نویسی جدید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بخواهیم محتواهای آتی را در محتواهای قدیمی جای دهیم مفهوم سرعنوان های قراردادی محدودیت ایجاد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مستند مجازی بین المللی </w:t>
      </w:r>
      <w:r>
        <w:rPr>
          <w:rStyle w:val="FootnoteAnchor"/>
          <w:rtl w:val="true"/>
        </w:rPr>
        <w:footnoteReference w:id="258"/>
      </w:r>
      <w:r>
        <w:rPr>
          <w:rFonts w:ascii="IRNazanin" w:hAnsi="IRNazanin" w:eastAsia="IRNazanin"/>
          <w:color w:val="111111"/>
          <w:sz w:val="28"/>
          <w:sz w:val="28"/>
          <w:szCs w:val="28"/>
          <w:rtl w:val="true"/>
          <w:lang w:bidi="fa-IR"/>
        </w:rPr>
        <w:t xml:space="preserve">نوع مشابهی از فهرست مشترک مستندات با برخی کار کر دپذیری های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مستند مجازی بین المللی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کاملاً مشابه فهرست مشترک کنسرسیوم اشاره شده در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مستند مجازی بین المللی شکل های مختلف نقاط دسترسی مستند که توسط سازمان های کتاب شناختی ملی مختلفی برای موجودیت واحدی تعریف شده است، به یک موجودیت پیوند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های دیگر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مستند 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همان مثال قبلی 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پایدار</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نشان می دهد لاین نام جغرافیایی است که توسط هشت کتاب خانه ملی به کار گرفته شده است</w:t>
      </w:r>
      <w:r>
        <w:rPr>
          <w:rFonts w:eastAsia="IRNazanin" w:cs="IRNazanin"/>
          <w:color w:val="111111"/>
          <w:sz w:val="28"/>
          <w:szCs w:val="28"/>
          <w:rtl w:val="true"/>
          <w:lang w:bidi="fa-IR"/>
        </w:rPr>
        <w:t xml:space="preserve">. </w:t>
      </w:r>
      <w:bookmarkStart w:id="177" w:name="pg9659_93889"/>
    </w:p>
    <w:p>
      <w:pPr>
        <w:pStyle w:val="BookText"/>
        <w:rPr/>
      </w:pPr>
      <w:bookmarkEnd w:id="177"/>
      <w:r>
        <w:rPr>
          <w:rFonts w:ascii="IRNazanin" w:hAnsi="IRNazanin" w:eastAsia="IRNazanin"/>
          <w:color w:val="111111"/>
          <w:sz w:val="28"/>
          <w:sz w:val="28"/>
          <w:szCs w:val="28"/>
          <w:rtl w:val="true"/>
          <w:lang w:bidi="fa-IR"/>
        </w:rPr>
        <w:t xml:space="preserve">با این وجود، هیچ روش شفافی برای مدیریت تغییر یا تبدیل های گذشته نگر </w:t>
      </w:r>
      <w:r>
        <w:rPr>
          <w:rStyle w:val="FootnoteAnchor"/>
          <w:rtl w:val="true"/>
        </w:rPr>
        <w:footnoteReference w:id="260"/>
      </w:r>
      <w:r>
        <w:rPr>
          <w:rFonts w:ascii="IRNazanin" w:hAnsi="IRNazanin" w:eastAsia="IRNazanin"/>
          <w:color w:val="111111"/>
          <w:sz w:val="28"/>
          <w:sz w:val="28"/>
          <w:szCs w:val="28"/>
          <w:rtl w:val="true"/>
          <w:lang w:bidi="fa-IR"/>
        </w:rPr>
        <w:t>در پایگاه های اطلاعاتی منفرد یا فهرست های مشترک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مشکلات عمده ای که احتمالاً ناشی از پیاده سازی ویرایش یک پارچه آی اِس بی دی </w:t>
      </w:r>
      <w:r>
        <w:rPr>
          <w:rStyle w:val="FootnoteAnchor"/>
          <w:rtl w:val="true"/>
        </w:rPr>
        <w:footnoteReference w:id="261"/>
      </w:r>
      <w:r>
        <w:rPr>
          <w:rFonts w:ascii="IRNazanin" w:hAnsi="IRNazanin" w:eastAsia="IRNazanin"/>
          <w:color w:val="111111"/>
          <w:sz w:val="28"/>
          <w:sz w:val="28"/>
          <w:szCs w:val="28"/>
          <w:rtl w:val="true"/>
          <w:lang w:bidi="fa-IR"/>
        </w:rPr>
        <w:t xml:space="preserve">شد ناحیه صفر، ناحیه نوع رسانه و شکل محتوا </w:t>
      </w:r>
      <w:r>
        <w:rPr>
          <w:rStyle w:val="FootnoteAnchor"/>
          <w:rtl w:val="true"/>
        </w:rPr>
        <w:footnoteReference w:id="262"/>
      </w:r>
      <w:r>
        <w:rPr>
          <w:rFonts w:ascii="IRNazanin" w:hAnsi="IRNazanin" w:eastAsia="IRNazanin"/>
          <w:color w:val="111111"/>
          <w:sz w:val="28"/>
          <w:sz w:val="28"/>
          <w:szCs w:val="28"/>
          <w:rtl w:val="true"/>
          <w:lang w:bidi="fa-IR"/>
        </w:rPr>
        <w:t xml:space="preserve">بوده است که جایگزین وجه تسمیه عام </w:t>
      </w:r>
      <w:r>
        <w:rPr>
          <w:rStyle w:val="FootnoteAnchor"/>
          <w:rtl w:val="true"/>
        </w:rPr>
        <w:footnoteReference w:id="26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چگونگی برخورد با عنصر قدیمی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همواره در قراردادهای آی اِس بی دی و پیشینه های توصیفی ارائه می شده است، زمانی که مفهوم وجه تسميه عام کنار گذاشته شد، همان شماره برای عنصر عنوان برابر </w:t>
      </w:r>
      <w:r>
        <w:rPr>
          <w:rStyle w:val="FootnoteAnchor"/>
          <w:rtl w:val="true"/>
        </w:rPr>
        <w:footnoteReference w:id="264"/>
      </w:r>
      <w:r>
        <w:rPr>
          <w:rFonts w:ascii="IRNazanin" w:hAnsi="IRNazanin" w:eastAsia="IRNazanin"/>
          <w:color w:val="111111"/>
          <w:sz w:val="28"/>
          <w:sz w:val="28"/>
          <w:szCs w:val="28"/>
          <w:rtl w:val="true"/>
          <w:lang w:bidi="fa-IR"/>
        </w:rPr>
        <w:t>در ویراست تلفیقی آی اِس بی 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کتاب شناختی یونی مارک هنوز منسوخ شدن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دالر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وجه تسمیه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قالب کتاب شناختی یونی مارک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وجه تسمیه عام تنها در پیشینه های قدیمی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با چیزی کنار بیاییم که یک بار برای کاربران فهرست مهم در نظر گرفته شده بود، در عین حال در استاندارد نوین منسوخ شده است؟ آیا این مسئله نشان می دهد که یک عنصر استاندارد محتوای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خود را از دست می دهد و به یک عنصر محلی که هم چنان</w:t>
      </w:r>
    </w:p>
    <w:p>
      <w:pPr>
        <w:pStyle w:val="BookText"/>
        <w:rPr/>
      </w:pPr>
      <w:r>
        <w:rPr>
          <w:rFonts w:ascii="IRNazanin" w:hAnsi="IRNazanin" w:eastAsia="IRNazanin"/>
          <w:color w:val="111111"/>
          <w:sz w:val="28"/>
          <w:sz w:val="28"/>
          <w:szCs w:val="28"/>
          <w:rtl w:val="true"/>
          <w:lang w:bidi="fa-IR"/>
        </w:rPr>
        <w:t>دارای اهمیت است تبدیل می شود که این اهمیت ضرورت نگهداری آن را توجیه می کند؟</w:t>
      </w:r>
    </w:p>
    <w:p>
      <w:pPr>
        <w:pStyle w:val="Heading3"/>
        <w:numPr>
          <w:ilvl w:val="2"/>
          <w:numId w:val="1"/>
        </w:numPr>
        <w:rPr/>
      </w:pPr>
      <w:bookmarkStart w:id="178" w:name="__RefHeading___Toc7825339_2870459653"/>
      <w:bookmarkStart w:id="179" w:name="_Toc64"/>
      <w:bookmarkEnd w:id="178"/>
      <w:r>
        <w:rPr>
          <w:rtl w:val="true"/>
        </w:rPr>
        <w:t>محلی سازی و جهانی سازی</w:t>
      </w:r>
      <w:bookmarkEnd w:id="179"/>
    </w:p>
    <w:p>
      <w:pPr>
        <w:pStyle w:val="BookText"/>
        <w:rPr/>
      </w:pPr>
      <w:r>
        <w:rPr>
          <w:rFonts w:ascii="IRNazanin" w:hAnsi="IRNazanin" w:eastAsia="IRNazanin"/>
          <w:color w:val="111111"/>
          <w:sz w:val="28"/>
          <w:sz w:val="28"/>
          <w:szCs w:val="28"/>
          <w:rtl w:val="true"/>
          <w:lang w:bidi="fa-IR"/>
        </w:rPr>
        <w:t xml:space="preserve">فرمان جهانی بیندیشید محلی اقدام کنید </w:t>
      </w:r>
      <w:r>
        <w:rPr>
          <w:rStyle w:val="FootnoteAnchor"/>
          <w:rtl w:val="true"/>
        </w:rPr>
        <w:footnoteReference w:id="266"/>
      </w:r>
      <w:r>
        <w:rPr>
          <w:rFonts w:ascii="IRNazanin" w:hAnsi="IRNazanin" w:eastAsia="IRNazanin"/>
          <w:color w:val="111111"/>
          <w:sz w:val="28"/>
          <w:sz w:val="28"/>
          <w:szCs w:val="28"/>
          <w:rtl w:val="true"/>
          <w:lang w:bidi="fa-IR"/>
        </w:rPr>
        <w:t xml:space="preserve">بر اساس اثر پاتریک گدیس </w:t>
      </w:r>
      <w:r>
        <w:rPr>
          <w:rStyle w:val="FootnoteAnchor"/>
          <w:rtl w:val="true"/>
        </w:rPr>
        <w:footnoteReference w:id="267"/>
      </w:r>
      <w:r>
        <w:rPr>
          <w:rFonts w:ascii="IRNazanin" w:hAnsi="IRNazanin" w:eastAsia="IRNazanin"/>
          <w:color w:val="111111"/>
          <w:sz w:val="28"/>
          <w:sz w:val="28"/>
          <w:szCs w:val="28"/>
          <w:rtl w:val="true"/>
          <w:lang w:bidi="fa-IR"/>
        </w:rPr>
        <w:t>در حوزه برنامه ریزی شهری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طرح معتبری باید و باید استفاده از طرح را در شرایط محلی و ناحیه ای در خود جای دهد و تجلی هویت محلی و ناحیه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جریان فهم کافی و مناسب و برخورد با کل محیط و هم دلی با کاری که در محل مرتبط انجام می شود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گدیس،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این دیدگاه در بافت بهداشت محیط زیست به کار گرفته شده است، ولیکن اگر این را به عنوان دستور کار برای محیط های داده های پیوندی در حوزه میراث فرهنگی قرار داده شود، مفید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بافت میراث فرهنگی و کتاب شناختی، ساختار داده های محلی به تطبیق محتوای محلی با مخاطب محلی در فرهنگ محلی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هر کاربر ممکن است اهدافی داشته باشد که </w:t>
      </w:r>
      <w:bookmarkStart w:id="180" w:name="pg9659_93890"/>
    </w:p>
    <w:p>
      <w:pPr>
        <w:pStyle w:val="BookText"/>
        <w:rPr/>
      </w:pPr>
      <w:bookmarkEnd w:id="180"/>
      <w:r>
        <w:rPr>
          <w:rFonts w:ascii="IRNazanin" w:hAnsi="IRNazanin" w:eastAsia="IRNazanin"/>
          <w:color w:val="111111"/>
          <w:sz w:val="28"/>
          <w:sz w:val="28"/>
          <w:szCs w:val="28"/>
          <w:rtl w:val="true"/>
          <w:lang w:bidi="fa-IR"/>
        </w:rPr>
        <w:t>صرفاً با محتوای غیر محلی و یا محتوای خارج از مرزهای محلی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جهانی هر کاربر هست که در هر جایی از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دیدگاه محلی به منابع، مانند مجموعه کتاب خانه ملی که همه موضوع های مورد علاقه شهروندان کشورش را پشتیبانی می کند و نیاز به دیدگاه محلی با رویکرد جهانی، مثل مجموعه کتاب خانه ملی که موضوع های مورد علاقه ملی را مطابق با فرهنگ، زبان و غیره، پشتیبانی می کند؛ و همین است که کتاب خانه های ملی نسخه ای از هر کتابی که در کشورشان منتشر شده باشد و نسخه ای از کتاب های زیادی که در مورد کشورشان در هرجایی منتشر شده باشد را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محلی در محمل های جهانی و محتوای جهانی در محمل های محلی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محلی </w:t>
      </w:r>
      <w:r>
        <w:rPr>
          <w:rStyle w:val="FootnoteAnchor"/>
          <w:rtl w:val="true"/>
        </w:rPr>
        <w:footnoteReference w:id="268"/>
      </w:r>
      <w:r>
        <w:rPr>
          <w:rFonts w:ascii="IRNazanin" w:hAnsi="IRNazanin" w:eastAsia="IRNazanin"/>
          <w:color w:val="111111"/>
          <w:sz w:val="28"/>
          <w:sz w:val="28"/>
          <w:szCs w:val="28"/>
          <w:rtl w:val="true"/>
          <w:lang w:bidi="fa-IR"/>
        </w:rPr>
        <w:t xml:space="preserve">و جهانی </w:t>
      </w:r>
      <w:r>
        <w:rPr>
          <w:rStyle w:val="FootnoteAnchor"/>
          <w:rtl w:val="true"/>
        </w:rPr>
        <w:footnoteReference w:id="269"/>
      </w:r>
      <w:r>
        <w:rPr>
          <w:rFonts w:ascii="IRNazanin" w:hAnsi="IRNazanin" w:eastAsia="IRNazanin"/>
          <w:color w:val="111111"/>
          <w:sz w:val="28"/>
          <w:sz w:val="28"/>
          <w:szCs w:val="28"/>
          <w:rtl w:val="true"/>
          <w:lang w:bidi="fa-IR"/>
        </w:rPr>
        <w:t xml:space="preserve">کاملاً با یک دیگر مرتبط هستند و ناحیه ای </w:t>
      </w:r>
      <w:r>
        <w:rPr>
          <w:rStyle w:val="FootnoteAnchor"/>
          <w:rtl w:val="true"/>
        </w:rPr>
        <w:footnoteReference w:id="270"/>
      </w:r>
      <w:r>
        <w:rPr>
          <w:rFonts w:ascii="IRNazanin" w:hAnsi="IRNazanin" w:eastAsia="IRNazanin"/>
          <w:color w:val="111111"/>
          <w:sz w:val="28"/>
          <w:sz w:val="28"/>
          <w:szCs w:val="28"/>
          <w:rtl w:val="true"/>
          <w:lang w:bidi="fa-IR"/>
        </w:rPr>
        <w:t>در بین آن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رویکرد جزئی نگرانه تری </w:t>
      </w:r>
      <w:r>
        <w:rPr>
          <w:rStyle w:val="FootnoteAnchor"/>
          <w:rtl w:val="true"/>
        </w:rPr>
        <w:footnoteReference w:id="271"/>
      </w:r>
      <w:r>
        <w:rPr>
          <w:rFonts w:ascii="IRNazanin" w:hAnsi="IRNazanin" w:eastAsia="IRNazanin"/>
          <w:color w:val="111111"/>
          <w:sz w:val="28"/>
          <w:sz w:val="28"/>
          <w:szCs w:val="28"/>
          <w:rtl w:val="true"/>
          <w:lang w:bidi="fa-IR"/>
        </w:rPr>
        <w:t>برای مطابقت تغییرات محلی در فرانماهای فراداده ای و هم سویی با چشم اندازهای جهانی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تطابق باید جزئی تر از پیشینه کتاب شناختی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پیشینه در فرانمای امروزی بسیار وسیع و غیرقابل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کاربردی محلی شاید به همه عناصر داده ای نیاز نداشته باشند؛ بنابراین منابع محلی ممکن است عناصر اجباری </w:t>
      </w:r>
      <w:r>
        <w:rPr>
          <w:rStyle w:val="FootnoteAnchor"/>
          <w:rtl w:val="true"/>
        </w:rPr>
        <w:footnoteReference w:id="272"/>
      </w:r>
      <w:r>
        <w:rPr>
          <w:rFonts w:ascii="IRNazanin" w:hAnsi="IRNazanin" w:eastAsia="IRNazanin"/>
          <w:color w:val="111111"/>
          <w:sz w:val="28"/>
          <w:sz w:val="28"/>
          <w:szCs w:val="28"/>
          <w:rtl w:val="true"/>
          <w:lang w:bidi="fa-IR"/>
        </w:rPr>
        <w:t>را مقداردهی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خوبی در مضمون بافت های یکسان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توسعه کتاب خانه رقومی ملی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هیلمن </w:t>
      </w:r>
      <w:r>
        <w:rPr>
          <w:rStyle w:val="FootnoteAnchor"/>
          <w:rtl w:val="true"/>
        </w:rPr>
        <w:footnoteReference w:id="273"/>
      </w:r>
      <w:r>
        <w:rPr>
          <w:rFonts w:ascii="IRNazanin" w:hAnsi="IRNazanin" w:eastAsia="IRNazanin"/>
          <w:color w:val="111111"/>
          <w:sz w:val="28"/>
          <w:sz w:val="28"/>
          <w:szCs w:val="28"/>
          <w:rtl w:val="true"/>
          <w:lang w:bidi="fa-IR"/>
        </w:rPr>
        <w:t xml:space="preserve">، دوشای </w:t>
      </w:r>
      <w:r>
        <w:rPr>
          <w:rStyle w:val="FootnoteAnchor"/>
          <w:rtl w:val="true"/>
        </w:rPr>
        <w:footnoteReference w:id="274"/>
      </w:r>
      <w:r>
        <w:rPr>
          <w:rFonts w:ascii="IRNazanin" w:hAnsi="IRNazanin" w:eastAsia="IRNazanin"/>
          <w:color w:val="111111"/>
          <w:sz w:val="28"/>
          <w:sz w:val="28"/>
          <w:szCs w:val="28"/>
          <w:rtl w:val="true"/>
          <w:lang w:bidi="fa-IR"/>
        </w:rPr>
        <w:t xml:space="preserve">، فیپس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یوروپینا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ایی دی ام پرایمر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دوی این نمونه ها راهکار، تغییر به سطح ریزدانگی فراداده از پیشینه به تک گزاره هایی است که در پیشینه در قالب جفت های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تگ </w:t>
      </w:r>
      <w:r>
        <w:rPr>
          <w:rStyle w:val="FootnoteAnchor"/>
          <w:rtl w:val="true"/>
        </w:rPr>
        <w:footnoteReference w:id="278"/>
      </w:r>
      <w:r>
        <w:rPr>
          <w:rFonts w:ascii="IRNazanin" w:hAnsi="IRNazanin" w:eastAsia="IRNazanin"/>
          <w:color w:val="111111"/>
          <w:sz w:val="28"/>
          <w:sz w:val="28"/>
          <w:szCs w:val="28"/>
          <w:rtl w:val="true"/>
          <w:lang w:bidi="fa-IR"/>
        </w:rPr>
        <w:t>برای خصیصه ها یا فیلدها موجود هستند</w:t>
      </w:r>
      <w:r>
        <w:rPr>
          <w:rFonts w:eastAsia="IRNazanin" w:cs="IRNazanin"/>
          <w:color w:val="111111"/>
          <w:sz w:val="28"/>
          <w:szCs w:val="28"/>
          <w:rtl w:val="true"/>
          <w:lang w:bidi="fa-IR"/>
        </w:rPr>
        <w:t>.</w:t>
      </w:r>
    </w:p>
    <w:p>
      <w:pPr>
        <w:pStyle w:val="Heading3"/>
        <w:numPr>
          <w:ilvl w:val="2"/>
          <w:numId w:val="1"/>
        </w:numPr>
        <w:rPr/>
      </w:pPr>
      <w:bookmarkStart w:id="181" w:name="__RefHeading___Toc7825341_2870459653"/>
      <w:bookmarkStart w:id="182" w:name="_Toc65"/>
      <w:bookmarkEnd w:id="181"/>
      <w:r>
        <w:rPr>
          <w:rtl w:val="true"/>
        </w:rPr>
        <w:t>داده های پیوندی و آر دی اِف</w:t>
      </w:r>
      <w:bookmarkEnd w:id="1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چارچوب توصیف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اِف</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قالب داده ای وب معنایی جهانی و محیط داده های پیوندی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چارچوب توصیف منبع فراداده را در قالب گزاره های منفرد درباره شی شناسایی شده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گزاره شامل سه بخش است و سه بخشی </w:t>
      </w:r>
      <w:r>
        <w:rPr>
          <w:rStyle w:val="FootnoteAnchor"/>
          <w:rtl w:val="true"/>
        </w:rPr>
        <w:footnoteReference w:id="280"/>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قرار می گیرد و به دنبال آن وجه شناسایی شده شی توصیف شده قرار می گیرد که خبر </w:t>
      </w:r>
      <w:r>
        <w:rPr>
          <w:rStyle w:val="FootnoteAnchor"/>
          <w:rtl w:val="true"/>
        </w:rPr>
        <w:footnoteReference w:id="282"/>
      </w:r>
      <w:r>
        <w:rPr>
          <w:rFonts w:ascii="IRNazanin" w:hAnsi="IRNazanin" w:eastAsia="IRNazanin"/>
          <w:color w:val="111111"/>
          <w:sz w:val="28"/>
          <w:sz w:val="28"/>
          <w:szCs w:val="28"/>
          <w:rtl w:val="true"/>
          <w:lang w:bidi="fa-IR"/>
        </w:rPr>
        <w:t xml:space="preserve">یا مسند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به دنبال آن مقدار یا شناسگر شی که مفعول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مقدار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بخشی شامل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شناسگرها در آر دی اف، یعنی شناسگرهای منبع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آر آی ها</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 سطح جهانی و درنتیجه در سطح محلی نیز یکتا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گزاره سه بخشی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آی اس بی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اگرب</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این گزاره از قالب زبان سه گانه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تی اِل</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استفاده می کند که در آن یو آر آی ها در شکل فشرده هستند و مقادیر واقعی </w:t>
      </w:r>
      <w:r>
        <w:rPr>
          <w:rStyle w:val="FootnoteAnchor"/>
          <w:rtl w:val="true"/>
        </w:rPr>
        <w:footnoteReference w:id="288"/>
      </w:r>
      <w:r>
        <w:rPr>
          <w:rFonts w:ascii="IRNazanin" w:hAnsi="IRNazanin" w:eastAsia="IRNazanin"/>
          <w:color w:val="111111"/>
          <w:sz w:val="28"/>
          <w:sz w:val="28"/>
          <w:szCs w:val="28"/>
          <w:rtl w:val="true"/>
          <w:lang w:bidi="fa-IR"/>
        </w:rPr>
        <w:t>در داخل علامت نقل قول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آر آی فشرده </w:t>
      </w:r>
      <w:r>
        <w:rPr>
          <w:rStyle w:val="FootnoteAnchor"/>
          <w:rtl w:val="true"/>
        </w:rPr>
        <w:footnoteReference w:id="289"/>
      </w:r>
      <w:r>
        <w:rPr>
          <w:rFonts w:ascii="IRNazanin" w:hAnsi="IRNazanin" w:eastAsia="IRNazanin"/>
          <w:color w:val="111111"/>
          <w:sz w:val="28"/>
          <w:sz w:val="28"/>
          <w:szCs w:val="28"/>
          <w:rtl w:val="true"/>
          <w:lang w:bidi="fa-IR"/>
        </w:rPr>
        <w:t xml:space="preserve">به آر آی کامل گسترش پیدا می کند </w:t>
      </w:r>
      <w:r>
        <w:rPr>
          <w:rStyle w:val="FootnoteAnchor"/>
          <w:rtl w:val="true"/>
        </w:rPr>
        <w:footnoteReference w:id="290"/>
      </w:r>
      <w:r>
        <w:rPr>
          <w:rFonts w:ascii="IRNazanin" w:hAnsi="IRNazanin" w:eastAsia="IRNazanin"/>
          <w:color w:val="111111"/>
          <w:sz w:val="28"/>
          <w:sz w:val="28"/>
          <w:szCs w:val="28"/>
          <w:rtl w:val="true"/>
          <w:lang w:bidi="fa-IR"/>
        </w:rPr>
        <w:t xml:space="preserve">که در آن برچسب دارای مکان نشر، تولید و توزیع </w:t>
      </w:r>
      <w:r>
        <w:rPr>
          <w:rStyle w:val="FootnoteAnchor"/>
          <w:rtl w:val="true"/>
        </w:rPr>
        <w:footnoteReference w:id="291"/>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آی اِس بی دی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اختصاراتی ایکس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نامگان محلی یو آر آی های منبع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 سه بخشی که در بالا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شناسایی شده توسط یو آر آی فشرده ایی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Style w:val="FootnoteAnchor"/>
        </w:rPr>
        <w:footnoteReference w:id="29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 نشر، تولید و توزیع زاگرب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سه بخشی آر دی اِف به این معنا است که ریزدانگی گزاره صرفاً توسط ویژگی کنترل می شود؛ ریزدانگی هر منبعی با تعریف تعیین می شود و مقدار هر ویژگی ریزدانگی آن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گزاره ریزدانه تر درباره همان منبع به شرح زیر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 شناسایی شده توسط یو آر آی فشرده ایی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 نشر زاگرب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گزاره می تواند توسط این سه بخشی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دی 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زاگرب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در این سه بخشی از ویژگی بخش قالب </w:t>
      </w:r>
      <w:r>
        <w:rPr>
          <w:rStyle w:val="FootnoteAnchor"/>
          <w:rtl w:val="true"/>
        </w:rPr>
        <w:footnoteReference w:id="296"/>
      </w:r>
      <w:r>
        <w:rPr>
          <w:rFonts w:ascii="IRNazanin" w:hAnsi="IRNazanin" w:eastAsia="IRNazanin"/>
          <w:color w:val="111111"/>
          <w:sz w:val="28"/>
          <w:sz w:val="28"/>
          <w:szCs w:val="28"/>
          <w:rtl w:val="true"/>
          <w:lang w:bidi="fa-IR"/>
        </w:rPr>
        <w:t xml:space="preserve">آر دی اِی با برچسب دارای محل نشر </w:t>
      </w:r>
      <w:r>
        <w:rPr>
          <w:rStyle w:val="FootnoteAnchor"/>
          <w:rtl w:val="true"/>
        </w:rPr>
        <w:footnoteReference w:id="297"/>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آر دی اِی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ای از یک سه بخشی درشت دانه تر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دهنده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 خانه کرواسی،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در این سه بخشی از ویژگی بیب فریم </w:t>
      </w:r>
      <w:r>
        <w:rPr>
          <w:rStyle w:val="FootnoteAnchor"/>
          <w:rtl w:val="true"/>
        </w:rPr>
        <w:footnoteReference w:id="301"/>
      </w:r>
      <w:r>
        <w:rPr>
          <w:rFonts w:ascii="IRNazanin" w:hAnsi="IRNazanin" w:eastAsia="IRNazanin"/>
          <w:color w:val="111111"/>
          <w:sz w:val="28"/>
          <w:sz w:val="28"/>
          <w:szCs w:val="28"/>
          <w:rtl w:val="true"/>
          <w:lang w:bidi="fa-IR"/>
        </w:rPr>
        <w:t xml:space="preserve">با برچسب محل، نام یا تاریخ اطلاعات مرتبط با نشر، چاپ، توزیع، شماره نشر، مجوز نشر یا نمونه چاپ </w:t>
      </w:r>
      <w:r>
        <w:rPr>
          <w:rStyle w:val="FootnoteAnchor"/>
          <w:rtl w:val="true"/>
        </w:rPr>
        <w:footnoteReference w:id="302"/>
      </w:r>
      <w:r>
        <w:rPr>
          <w:rFonts w:ascii="IRNazanin" w:hAnsi="IRNazanin" w:eastAsia="IRNazanin"/>
          <w:color w:val="111111"/>
          <w:sz w:val="28"/>
          <w:sz w:val="28"/>
          <w:szCs w:val="28"/>
          <w:rtl w:val="true"/>
          <w:lang w:bidi="fa-IR"/>
        </w:rPr>
        <w:t xml:space="preserve">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بیب فریم،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مختلف ریزدانگی در ویژگی های سه بخشی</w:t>
      </w:r>
    </w:p>
    <w:p>
      <w:pPr>
        <w:pStyle w:val="BookText"/>
        <w:rPr/>
      </w:pPr>
      <w:r>
        <w:rPr>
          <w:rFonts w:ascii="IRNazanin" w:hAnsi="IRNazanin" w:eastAsia="IRNazanin"/>
          <w:color w:val="111111"/>
          <w:sz w:val="28"/>
          <w:sz w:val="28"/>
          <w:szCs w:val="28"/>
          <w:rtl w:val="true"/>
          <w:lang w:bidi="fa-IR"/>
        </w:rPr>
        <w:t>عکس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خاطرنشان می شود، گرچه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بندی کلی از ریزدانگی نسبی بین بیب فریم، آی اِس بی دی و آر دی اِی را نشان می دهد، هر نامگان ویژگی درشت دانه تر یا ریزدانه تر از خودش را برای محل نشر دارا هست، برای مثال در آر دی ای، ویژگی درشت دانه تر از ویژگی ذکر شده در جدول بالا دارای وضعیت نشر، در آی اِس بی دی ویژگی درشت دانه تر دارای ناحیه نشر، تولید، توزیع و غیره موجود و </w:t>
      </w:r>
    </w:p>
    <w:p>
      <w:pPr>
        <w:pStyle w:val="BookText"/>
        <w:rPr/>
      </w:pPr>
      <w:r>
        <w:rPr>
          <w:rFonts w:ascii="IRNazanin" w:hAnsi="IRNazanin" w:eastAsia="IRNazanin"/>
          <w:color w:val="111111"/>
          <w:sz w:val="28"/>
          <w:sz w:val="28"/>
          <w:szCs w:val="28"/>
          <w:rtl w:val="true"/>
          <w:lang w:bidi="fa-IR"/>
        </w:rPr>
        <w:t>در بیب فریم ویژگی ریزدانه تر محل نشر، چاپ، توزیع، شماره، مجوز نشر و نمونه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ریزدانگی که در توصیف کتاب شناختی ظاهر می شود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ریزدانگی معنایی و ریزدانگی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گزاره محل نشر از گزاره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نشر، تولید، خاص تر است، نمونه ای از ریزدانگی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یک نوع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ترکیبی از چندین نوع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نشر، تولید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و گزاره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تر از گزاره محل،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چاپ نمونه ای از ریزدانگی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محل نشر تا ترکیبی از محل نشر و نام ناشر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ویژگی درشت دانه تر مفهوم وسیع تری دارد اما رابطه معنایی ساختار ترکیبی دارد تا ساختار سلسله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ریزدانگی را می توان در مقوله بندی عناصر آر دی ای به صورت عنصر، ویژگی فرعی عنصر </w:t>
      </w:r>
      <w:r>
        <w:rPr>
          <w:rStyle w:val="FootnoteAnchor"/>
          <w:rtl w:val="true"/>
        </w:rPr>
        <w:footnoteReference w:id="303"/>
      </w:r>
      <w:r>
        <w:rPr>
          <w:rFonts w:ascii="IRNazanin" w:hAnsi="IRNazanin" w:eastAsia="IRNazanin"/>
          <w:color w:val="111111"/>
          <w:sz w:val="28"/>
          <w:sz w:val="28"/>
          <w:szCs w:val="28"/>
          <w:rtl w:val="true"/>
          <w:lang w:bidi="fa-IR"/>
        </w:rPr>
        <w:t xml:space="preserve">و عنصر فرعی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اِس سی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اشتراک گذاری و استفاده مجدد از داده ها تحت کنترل کتاب شناختی جهانی به روش های خودکار برای حرکت داده ها بین سطوح مختلف ریزدانگی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 هایی انتظار می رود مجموعه ای از جعبه های سیاهی باشد که در آن سه بخشی هایی در قالب درونداد و تولید سه بخشی های دیگر در قالب برونداد باشند، این کار با استفاده از نرم افزار داخلی که داده ها را با روش ثابتی پردازش می کند،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است که این جعبه، داده های سه بخشی جدیدی تولید می کند اما درونداد سه بخشی را عوض نمی کند تا درونداد برای سایر فرایندها هم چنان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نمونه از چنین جعبه هایی در این جا پیشنهاد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فرانما </w:t>
      </w:r>
      <w:r>
        <w:rPr>
          <w:rStyle w:val="FootnoteAnchor"/>
          <w:rtl w:val="true"/>
        </w:rPr>
        <w:footnoteReference w:id="305"/>
      </w:r>
      <w:r>
        <w:rPr>
          <w:rFonts w:ascii="IRNazanin" w:hAnsi="IRNazanin" w:eastAsia="IRNazanin"/>
          <w:color w:val="111111"/>
          <w:sz w:val="28"/>
          <w:sz w:val="28"/>
          <w:szCs w:val="28"/>
          <w:rtl w:val="true"/>
          <w:lang w:bidi="fa-IR"/>
        </w:rPr>
        <w:t xml:space="preserve">، مترجم اصطلاح </w:t>
      </w:r>
      <w:r>
        <w:rPr>
          <w:rStyle w:val="FootnoteAnchor"/>
          <w:rtl w:val="true"/>
        </w:rPr>
        <w:footnoteReference w:id="306"/>
      </w:r>
      <w:r>
        <w:rPr>
          <w:rFonts w:ascii="IRNazanin" w:hAnsi="IRNazanin" w:eastAsia="IRNazanin"/>
          <w:color w:val="111111"/>
          <w:sz w:val="28"/>
          <w:sz w:val="28"/>
          <w:szCs w:val="28"/>
          <w:rtl w:val="true"/>
          <w:lang w:bidi="fa-IR"/>
        </w:rPr>
        <w:t xml:space="preserve">، گزاره ساز </w:t>
      </w:r>
      <w:r>
        <w:rPr>
          <w:rStyle w:val="FootnoteAnchor"/>
          <w:rtl w:val="true"/>
        </w:rPr>
        <w:footnoteReference w:id="307"/>
      </w:r>
      <w:r>
        <w:rPr>
          <w:rFonts w:ascii="IRNazanin" w:hAnsi="IRNazanin" w:eastAsia="IRNazanin"/>
          <w:color w:val="111111"/>
          <w:sz w:val="28"/>
          <w:sz w:val="28"/>
          <w:szCs w:val="28"/>
          <w:rtl w:val="true"/>
          <w:lang w:bidi="fa-IR"/>
        </w:rPr>
        <w:t xml:space="preserve">، جداساز گزاره </w:t>
      </w:r>
      <w:r>
        <w:rPr>
          <w:rStyle w:val="FootnoteAnchor"/>
          <w:rtl w:val="true"/>
        </w:rPr>
        <w:footnoteReference w:id="308"/>
      </w:r>
      <w:r>
        <w:rPr>
          <w:rFonts w:ascii="IRNazanin" w:hAnsi="IRNazanin" w:eastAsia="IRNazanin"/>
          <w:color w:val="111111"/>
          <w:sz w:val="28"/>
          <w:sz w:val="28"/>
          <w:szCs w:val="28"/>
          <w:rtl w:val="true"/>
          <w:lang w:bidi="fa-IR"/>
        </w:rPr>
        <w:t xml:space="preserve">، پیشینه ساز </w:t>
      </w:r>
      <w:r>
        <w:rPr>
          <w:rStyle w:val="FootnoteAnchor"/>
          <w:rtl w:val="true"/>
        </w:rPr>
        <w:footnoteReference w:id="309"/>
      </w:r>
      <w:r>
        <w:rPr>
          <w:rFonts w:ascii="IRNazanin" w:hAnsi="IRNazanin" w:eastAsia="IRNazanin"/>
          <w:color w:val="111111"/>
          <w:sz w:val="28"/>
          <w:sz w:val="28"/>
          <w:szCs w:val="28"/>
          <w:rtl w:val="true"/>
          <w:lang w:bidi="fa-IR"/>
        </w:rPr>
        <w:t xml:space="preserve">، جداساز پیشینه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سیاه مترجم فرانما </w:t>
      </w:r>
    </w:p>
    <w:p>
      <w:pPr>
        <w:pStyle w:val="BookText"/>
        <w:rPr/>
      </w:pPr>
      <w:r>
        <w:rPr>
          <w:rFonts w:ascii="IRNazanin" w:hAnsi="IRNazanin" w:eastAsia="IRNazanin"/>
          <w:color w:val="111111"/>
          <w:sz w:val="28"/>
          <w:sz w:val="28"/>
          <w:szCs w:val="28"/>
          <w:rtl w:val="true"/>
          <w:lang w:bidi="fa-IR"/>
        </w:rPr>
        <w:t>در شکل الف، جعبه سیاه مترجم فرانما، داده هایی که با استفاده از مجموعه عناصر یک نامگان تولید شده است به نامگان دیگری ترجمه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فراداده ای که با استفاده از یک فرانمای کتاب شناختی تولید شده است به گزاره منطبق با فرانمای مرتبط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درونداد نمونه بالا، سه بخشی است که از بخش قالب آر دی ای ویژگی ص </w:t>
      </w:r>
      <w:r>
        <w:rPr>
          <w:rFonts w:eastAsia="IRNazanin" w:cs="IRNazanin"/>
          <w:color w:val="111111"/>
          <w:sz w:val="28"/>
          <w:szCs w:val="28"/>
          <w:lang w:bidi="fa-IR"/>
        </w:rPr>
        <w:t>30088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برونداد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بخشی استفاده شده از فرانمای آی اِس بی دی، ویژگی ص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 نشر، تولید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مذکور بر اساس هم ترازی بین عناصر آی اِس بی دی و آر دی ای است که در قالب نگاشت آر دی اِف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نگاشتی که از ارتباط های بین ویژگی های فرعی آر دی اِف 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دانسایر و گروه بررسی آی اِس بی دی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شامل قاعده عمل پذیری خودکاری است که مجموعه دروندادی سه بخشی را با ویژگی متناظر از مجموعه عناصر بروندادی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خاطرنشان می شود که جعبه سیاه صرفاً در یک جهت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سیاه طوری داده ها را تغییر و تبدیل می کند تا معناهای گزاره برونداد با فرانمای مقصد هم خوانی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بتوان گزاره خاص تری را از طریق استنباط به دست آورد،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مترجم فرانما از عناصر عنوان در هستی شناسی پیشنهاد شده در آی اِس بی دی، آر دی اِی و دابلین کور 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دانسایر، هیلمن و فیپس،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ص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عنوان اصلی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 اس بی دی، صرفاً به ویژگی عنوان در دابلین کور ترجمه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تعیین کاربردهای دابلین کور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هستی شناسی، برونداد یکسان از یک درونداد داده ای که از ویژگی های بخش قالب آر دی ای استفاده کرده است حاصل می شود، مثل ص </w:t>
      </w:r>
      <w:r>
        <w:rPr>
          <w:rFonts w:eastAsia="IRNazanin" w:cs="IRNazanin"/>
          <w:color w:val="111111"/>
          <w:sz w:val="28"/>
          <w:szCs w:val="28"/>
          <w:lang w:bidi="fa-IR"/>
        </w:rPr>
        <w:t>30156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برونداد عکس فرایند مذکور باید حدس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سه بخشی که از ویژگی آردی ای استفاده کرده است، یو آر آی منبع، یک قالب را شناسایی می کند در حالی که سه بخشی که از ویژگی آی اِس بی دی بهره گرفته است، به یک منبع اشاره می کند که این دو مشابه یک دیگر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دانسایر،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برونداد مترجم فرانمای بالا در قالب درونداد به سیستم تزریق شود، تنها برونداد محتمل فرانمای درشت دانه تر مثل اسکیما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تصویر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سیاه مترجم اصطلاح</w:t>
      </w:r>
    </w:p>
    <w:p>
      <w:pPr>
        <w:pStyle w:val="BookText"/>
        <w:rPr/>
      </w:pPr>
      <w:r>
        <w:rPr>
          <w:rFonts w:ascii="IRNazanin" w:hAnsi="IRNazanin" w:eastAsia="IRNazanin"/>
          <w:color w:val="111111"/>
          <w:sz w:val="28"/>
          <w:sz w:val="28"/>
          <w:szCs w:val="28"/>
          <w:rtl w:val="true"/>
          <w:lang w:bidi="fa-IR"/>
        </w:rPr>
        <w:t xml:space="preserve">جعبه سیاه مترجم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داده ای را از یک نظام سازمان دهی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به نظام دیگر ترجمه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فراداده ای که مقدار داده ای از یک اصطلاح شناسی کنترل شده است به گزارهای با مقدار داده ای در نظام اصطلاح شناسی کنترل شده دیگری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درونداد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بخشی که از ویژگی بانک کتاب شناختی یونی مارک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یو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Style w:val="FootnoteAnchor"/>
          <w:rtl w:val="true"/>
        </w:rPr>
        <w:footnoteReference w:id="317"/>
      </w:r>
      <w:r>
        <w:rPr>
          <w:rFonts w:ascii="IRNazanin" w:hAnsi="IRNazanin" w:eastAsia="IRNazanin"/>
          <w:color w:val="111111"/>
          <w:sz w:val="28"/>
          <w:sz w:val="28"/>
          <w:szCs w:val="28"/>
          <w:rtl w:val="true"/>
          <w:lang w:bidi="fa-IR"/>
        </w:rPr>
        <w:t xml:space="preserve">، دوره انتشار منابع با انتشار مستمر </w:t>
      </w:r>
      <w:r>
        <w:rPr>
          <w:rStyle w:val="FootnoteAnchor"/>
          <w:rtl w:val="true"/>
        </w:rPr>
        <w:footnoteReference w:id="318"/>
      </w:r>
      <w:r>
        <w:rPr>
          <w:rFonts w:ascii="IRNazanin" w:hAnsi="IRNazanin" w:eastAsia="IRNazanin"/>
          <w:color w:val="111111"/>
          <w:sz w:val="28"/>
          <w:sz w:val="28"/>
          <w:szCs w:val="28"/>
          <w:rtl w:val="true"/>
          <w:lang w:bidi="fa-IR"/>
        </w:rPr>
        <w:t>، فیلد داده های کد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با انتشار مستمر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 آر آی منبع برای کد اچ در بانک یونی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انتشار</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است؛ و برونداد گزینه ای است که از آر دی اِی انتخاب می شود و یو آر آی منبع، مقدار مشابهی در واژگان دوره انتشار در آر دی اِی </w:t>
      </w:r>
      <w:r>
        <w:rPr>
          <w:rStyle w:val="FootnoteAnchor"/>
          <w:rtl w:val="true"/>
        </w:rPr>
        <w:footnoteReference w:id="3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شكل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سیاه گزاره ساز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شکل ج، جعبه سیاه گزاره ساز مقادیر گزاره های فراداده ای ریزدانه ای را به گزاره درشت دانه تر پیوند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افزودن محدود کننده هایی مثل علائم نقطه گذاری یا کدگذاری آرایه بندی یا نمایش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درونداد، سه بخشی است که از ویژگی های آی اِس بی دی به شرح زیر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ص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 نشر، تولید و 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ناشر، تولید کننده، توزیع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تاریخ نشر، تولید و 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بروندادهای جعبه سیاه، گزاره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ناحیه نشر، تولید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قواعد نقطه گذاری آی اِس بی دی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اِس بی دی،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شکل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سیاه جداساز گزاره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کرد جعبه سیاه جداساز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عمل کرد جعبه سیاه گزاره ساز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سیاه جداساز گزاره مقدار یک گزاره فراداده ای را به مجموعه ای از گزاره های ریزدانه تجزیه می کند، این کار را با شناسایی محدود کننده ها قبل از برداشتن آن ها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بالا، درونداد، سه بخشی است که از ویژگی گزارۀ ص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 اِس بی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ناحیه نشر، تولید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اجزای سه بخشی برونداد جعبه سیاه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بخشی ای که از ویژگی های آی اِس بی دی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ص</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 نشر، تولید و 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ناشر، تولید کننده، توزیع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تاریخ نشر، تولید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علائم نقطه گذاری آی اِس بی 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شكل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سیاه پیشینه ساز</w:t>
      </w:r>
    </w:p>
    <w:p>
      <w:pPr>
        <w:pStyle w:val="BookText"/>
        <w:rPr/>
      </w:pPr>
      <w:r>
        <w:rPr>
          <w:rFonts w:ascii="IRNazanin" w:hAnsi="IRNazanin" w:eastAsia="IRNazanin"/>
          <w:color w:val="111111"/>
          <w:sz w:val="28"/>
          <w:sz w:val="28"/>
          <w:szCs w:val="28"/>
          <w:rtl w:val="true"/>
          <w:lang w:bidi="fa-IR"/>
        </w:rPr>
        <w:t xml:space="preserve">جعبه سیاه پیشینه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کارکردپذیری جعبه سیاه گزاره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جعبه سیاه از پروفایل کاربردی برای خاص کردن اجزا و ساختار یک پیشینه فراداده ای مطابق با یک فرانما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پروفایل کاربردی پیشینه های فراداده ای را تعریف می کند که در آن ها نیازهای کاربردی خاص را با گسترش آن چه که مد نظر است و نیز می تواند از داده ها انتظار رود، برآورده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کویل و بیکر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مجموعه سه بخشی هایی با مجموعه ای از گزاره ها که از ویژگی های آر دی اِی استفاده می کنند در ونداد را تشکیل می دهد و برونداد عبارت است از یک پیشینه آر دی اِی در قالب مجموعه سه بخشی هایی است که با یک پروفایل کاربردی منطبق است که این پروفایل کاربردی مشخص می کند که باید صرفاً از ویژگی های اصلی همراه با ترتیب ارائه و وضعیت اجباری یا تکرارپذیری هر کدام از این ویژگی 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سیاه جداساز پیشینه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کرد جعبه سیاه جداساز 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عمل کرد پیشینه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سیاه جداساز پیشینه فراداده ای را به عناصر اجزای آن تجزیه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استفاده از پروفایل کاربردی برای فرانمای پیشینه ای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در ونداد، پیشینه آر دی ای است که در ساختار نحوی خاصی کدگذاری شده است و بروندادهای جعبه سیاه در شکل بالا، مجموعه سه </w:t>
      </w:r>
      <w:bookmarkStart w:id="183" w:name="pg9659_93898"/>
    </w:p>
    <w:p>
      <w:pPr>
        <w:pStyle w:val="BookText"/>
        <w:rPr/>
      </w:pPr>
      <w:bookmarkEnd w:id="183"/>
      <w:r>
        <w:rPr>
          <w:rFonts w:ascii="IRNazanin" w:hAnsi="IRNazanin" w:eastAsia="IRNazanin"/>
          <w:color w:val="111111"/>
          <w:sz w:val="28"/>
          <w:sz w:val="28"/>
          <w:szCs w:val="28"/>
          <w:rtl w:val="true"/>
          <w:lang w:bidi="fa-IR"/>
        </w:rPr>
        <w:t>بخشی هایی هستند که از ویژگی ها و مقادیر نامگان آر دی اِی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مختلف جعبه سیاه ها می توانند زنجیروار به یک دیگر متصل شوند تا عملکردهای میانکنش پذیری پیچیده تری را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پیشینه های داده های پیوندی برای بازیابی یک منبع خاص می توانند تولید شوند؛ این کار را با جمع آوری گزاره های فراداده ای از منابع متنوع که از عناصر و اصطلاح شناسی های مختلفی استفاده کرده اند و هم چنین تزریق آن ها از طریق فرایندهای جعبه های سیاه مترجم فرانما، مترجم اصطلاح، گزاره ساز و پیشینه ساز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فرایندهای داخلی مورد نیاز در داخل هر نوع جعبه سیاهی به خوبی در جوامع وب معنایی شناخته شده هستند؛ و موانع فنی غیر قابل حلی برای ایجاد چنین عوامل نرم افزاری پردازش داده های پیوندی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می توانند بخش های غیر شفاف مرورگرهای وب معنایی باشند، مثل مترجم خودکار زبان و پلاگین های مبدل مناطق زمانی برای مرورگرهای استاندارد وب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برای این که جعبه های سیاه عمل کنند، تولیدکنندگان به استانداردهای کتاب شناختی آردی اِف و نیز نگاشت های مرتبط با آن ها و پروفایل های کاربردی برای مجموعه های شبه پیشینه گزاره های فراداده ای نیاز دارند</w:t>
      </w:r>
      <w:r>
        <w:rPr>
          <w:rFonts w:eastAsia="IRNazanin" w:cs="IRNazanin"/>
          <w:color w:val="111111"/>
          <w:sz w:val="28"/>
          <w:szCs w:val="28"/>
          <w:rtl w:val="true"/>
          <w:lang w:bidi="fa-IR"/>
        </w:rPr>
        <w:t>.</w:t>
      </w:r>
    </w:p>
    <w:p>
      <w:pPr>
        <w:pStyle w:val="Heading3"/>
        <w:numPr>
          <w:ilvl w:val="2"/>
          <w:numId w:val="1"/>
        </w:numPr>
        <w:rPr/>
      </w:pPr>
      <w:bookmarkStart w:id="184" w:name="__RefHeading___Toc7825343_2870459653"/>
      <w:bookmarkStart w:id="185" w:name="_Toc66"/>
      <w:bookmarkEnd w:id="184"/>
      <w:r>
        <w:rPr>
          <w:rtl w:val="true"/>
        </w:rPr>
        <w:t>چگونه جهانی فکر کنیم؟</w:t>
      </w:r>
      <w:bookmarkEnd w:id="185"/>
    </w:p>
    <w:p>
      <w:pPr>
        <w:pStyle w:val="BookText"/>
        <w:rPr/>
      </w:pPr>
      <w:r>
        <w:rPr>
          <w:rFonts w:ascii="IRNazanin" w:hAnsi="IRNazanin" w:eastAsia="IRNazanin"/>
          <w:color w:val="111111"/>
          <w:sz w:val="28"/>
          <w:sz w:val="28"/>
          <w:szCs w:val="28"/>
          <w:rtl w:val="true"/>
          <w:lang w:bidi="fa-IR"/>
        </w:rPr>
        <w:t>فرض بر این است که در سطح جهانی هر شی با شی دیگری ارتباط دارد، اگر حالا نه حداقل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وب معنایی پیوندهای بین اشیا به صورت مستقیم یا توسط گذرگاه های چندگانه تکثیر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منبع کتاب شناختی مستقیماً می تواند به محل نشر خود، از طریق محل نشر یا خصیصه محل نشر </w:t>
      </w:r>
      <w:r>
        <w:rPr>
          <w:rStyle w:val="FootnoteAnchor"/>
          <w:rtl w:val="true"/>
        </w:rPr>
        <w:footnoteReference w:id="323"/>
      </w:r>
      <w:r>
        <w:rPr>
          <w:rFonts w:ascii="IRNazanin" w:hAnsi="IRNazanin" w:eastAsia="IRNazanin"/>
          <w:color w:val="111111"/>
          <w:sz w:val="28"/>
          <w:sz w:val="28"/>
          <w:szCs w:val="28"/>
          <w:rtl w:val="true"/>
          <w:lang w:bidi="fa-IR"/>
        </w:rPr>
        <w:t xml:space="preserve">، یا به صورت غیر مستقیم از طریق وضعیت نشر </w:t>
      </w:r>
      <w:r>
        <w:rPr>
          <w:rStyle w:val="FootnoteAnchor"/>
          <w:rtl w:val="true"/>
        </w:rPr>
        <w:footnoteReference w:id="324"/>
      </w:r>
      <w:r>
        <w:rPr>
          <w:rFonts w:ascii="IRNazanin" w:hAnsi="IRNazanin" w:eastAsia="IRNazanin"/>
          <w:color w:val="111111"/>
          <w:sz w:val="28"/>
          <w:sz w:val="28"/>
          <w:szCs w:val="28"/>
          <w:rtl w:val="true"/>
          <w:lang w:bidi="fa-IR"/>
        </w:rPr>
        <w:t xml:space="preserve">یا نام ناشری </w:t>
      </w:r>
      <w:r>
        <w:rPr>
          <w:rStyle w:val="FootnoteAnchor"/>
          <w:rtl w:val="true"/>
        </w:rPr>
        <w:footnoteReference w:id="325"/>
      </w:r>
      <w:r>
        <w:rPr>
          <w:rFonts w:ascii="IRNazanin" w:hAnsi="IRNazanin" w:eastAsia="IRNazanin"/>
          <w:color w:val="111111"/>
          <w:sz w:val="28"/>
          <w:sz w:val="28"/>
          <w:szCs w:val="28"/>
          <w:rtl w:val="true"/>
          <w:lang w:bidi="fa-IR"/>
        </w:rPr>
        <w:t>که خودش به محل ناشر متصل می شود پیوند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حائز اهمیت است که بر روی شی خاصی یا یک نوع از اشیا در یک زمان متمرکز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فراداده توصیفی برای منبعی را تولید و آن را به محل نشرش پیوند دهیم یا برای محل نشر آن فراداده تولید کنیم و سپس آن را به منبع ارتباط دهیم، از توصیف منبع و محل در یک عملیات محلی واحد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دیگر نیز رویکرد مشابهی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خدمات اطلاعاتی دولتی فراداده ی مکان ها را به عنوان بخشی از داده های سرشماری تولید خواهد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های محلی یک شی می تواند به عنوان پالایش های مفهومی از دیدگاه جهانی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خصیصه خاص عنوان اصلی </w:t>
      </w:r>
      <w:r>
        <w:rPr>
          <w:rStyle w:val="FootnoteAnchor"/>
          <w:rtl w:val="true"/>
        </w:rPr>
        <w:footnoteReference w:id="326"/>
      </w:r>
      <w:r>
        <w:rPr>
          <w:rFonts w:ascii="IRNazanin" w:hAnsi="IRNazanin" w:eastAsia="IRNazanin"/>
          <w:color w:val="111111"/>
          <w:sz w:val="28"/>
          <w:sz w:val="28"/>
          <w:szCs w:val="28"/>
          <w:rtl w:val="true"/>
          <w:lang w:bidi="fa-IR"/>
        </w:rPr>
        <w:t xml:space="preserve">که در توصیف کتاب شناختی به کار می رود پالایش </w:t>
      </w:r>
      <w:bookmarkStart w:id="186" w:name="pg9659_93899"/>
    </w:p>
    <w:p>
      <w:pPr>
        <w:pStyle w:val="BookText"/>
        <w:rPr/>
      </w:pPr>
      <w:bookmarkEnd w:id="186"/>
      <w:r>
        <w:rPr>
          <w:rFonts w:ascii="IRNazanin" w:hAnsi="IRNazanin" w:eastAsia="IRNazanin"/>
          <w:color w:val="111111"/>
          <w:sz w:val="28"/>
          <w:sz w:val="28"/>
          <w:szCs w:val="28"/>
          <w:rtl w:val="true"/>
          <w:lang w:bidi="fa-IR"/>
        </w:rPr>
        <w:t>خصيصه عام تر عنوان است که در بخش میراث فرهنگی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یک اثر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خصیصه عنوان خودش پالایش مفهوم عام برچسب </w:t>
      </w:r>
      <w:r>
        <w:rPr>
          <w:rStyle w:val="FootnoteAnchor"/>
          <w:rtl w:val="true"/>
        </w:rPr>
        <w:footnoteReference w:id="327"/>
      </w:r>
      <w:r>
        <w:rPr>
          <w:rFonts w:ascii="IRNazanin" w:hAnsi="IRNazanin" w:eastAsia="IRNazanin"/>
          <w:color w:val="111111"/>
          <w:sz w:val="28"/>
          <w:sz w:val="28"/>
          <w:szCs w:val="28"/>
          <w:rtl w:val="true"/>
          <w:lang w:bidi="fa-IR"/>
        </w:rPr>
        <w:t>است؛ همه اشیا برای تهیه یک شناسگر متنی می توانند برچسب گذاری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خصیصه نام یک شخص، خاندان یا تنالگان نیز پالایش برچسب است و به همین ترتیب برچسب توسط نام مستعار </w:t>
      </w:r>
      <w:r>
        <w:rPr>
          <w:rStyle w:val="FootnoteAnchor"/>
          <w:rtl w:val="true"/>
        </w:rPr>
        <w:footnoteReference w:id="328"/>
      </w:r>
      <w:r>
        <w:rPr>
          <w:rFonts w:ascii="IRNazanin" w:hAnsi="IRNazanin" w:eastAsia="IRNazanin"/>
          <w:color w:val="111111"/>
          <w:sz w:val="28"/>
          <w:sz w:val="28"/>
          <w:szCs w:val="28"/>
          <w:rtl w:val="true"/>
          <w:lang w:bidi="fa-IR"/>
        </w:rPr>
        <w:t>پالایش می نام مستعار جنبه ای از موجودیت کتاب شناختی نام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هیچ خصیصه عامی برای پالایش وجود نداشته باشد، جنبه های خاصی که موجودیت های کتاب شناختی را محدود می کنند، می توانند به مجموعه خصیصه های جهانی افزوده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نادر است زیرا جنبه های خاص در جامعه محلی با استفاده عام تر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خصیصه ویراست اساساً برای تک نگاشت ها مورد استفاده قرار گرفته است اما امروزه برای ویراست های ویژه </w:t>
      </w:r>
      <w:r>
        <w:rPr>
          <w:rStyle w:val="FootnoteAnchor"/>
          <w:rtl w:val="true"/>
        </w:rPr>
        <w:footnoteReference w:id="329"/>
      </w:r>
      <w:r>
        <w:rPr>
          <w:rFonts w:ascii="IRNazanin" w:hAnsi="IRNazanin" w:eastAsia="IRNazanin"/>
          <w:color w:val="111111"/>
          <w:sz w:val="28"/>
          <w:sz w:val="28"/>
          <w:szCs w:val="28"/>
          <w:rtl w:val="true"/>
          <w:lang w:bidi="fa-IR"/>
        </w:rPr>
        <w:t>تصاویر متحرک و حتی شکلات ها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جهانی، به منظور جلوگیری از تلفیق هویت های موجودیت های متفاوت نگهداری اشیا به صورت جداگانه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منبع و جایگزین رقومی آن هر چند که دارای محتوای مشابهی هستند اما بهتر است به عنوان اشیای متمایز با آن ها رفتار شود تا هویت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ام ای آی سی سی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رقومی شده عکس رقومی نیست و تفاوت مذکور در هر فرانمایی حائز اهمیت است که در آن فرانما موجودیت های جداگانه ای برای توصیف محتوا و مشخصات محمل دارد، مثل اثر و نمونه در بیب فریم</w:t>
      </w:r>
      <w:r>
        <w:rPr>
          <w:rFonts w:eastAsia="IRNazanin" w:cs="IRNazanin"/>
          <w:color w:val="111111"/>
          <w:sz w:val="28"/>
          <w:szCs w:val="28"/>
          <w:rtl w:val="true"/>
          <w:lang w:bidi="fa-IR"/>
        </w:rPr>
        <w:t>.</w:t>
      </w:r>
    </w:p>
    <w:p>
      <w:pPr>
        <w:pStyle w:val="Heading3"/>
        <w:numPr>
          <w:ilvl w:val="2"/>
          <w:numId w:val="1"/>
        </w:numPr>
        <w:rPr/>
      </w:pPr>
      <w:bookmarkStart w:id="187" w:name="__RefHeading___Toc7825345_2870459653"/>
      <w:bookmarkStart w:id="188" w:name="_Toc67"/>
      <w:bookmarkEnd w:id="187"/>
      <w:r>
        <w:rPr>
          <w:rtl w:val="true"/>
        </w:rPr>
        <w:t>چگونه محلی اقدام کنیم؟</w:t>
      </w:r>
      <w:bookmarkEnd w:id="1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معنایی بر اساس وب گسترده جهانی است که وب هم به نوبه خود بر اساس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دسترسی به محیط داده های پیوندی برای هر کس با دسترسی به اینترنت،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فنی برای انتشار فرانماها و اصطلاح شناسی های فراداده ای محلی در آر دی اِف اندک است، این کار با نشر پیشینه های کتاب شناختی محلی در قالب داده های سه بخشی بدون از دست دادن جزییات داده ها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سه بخشی ها می توانند با استفاده از ویرایشگرهای متنی متداول تولید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 شامل ابزارهای دسترسی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نشر و مدیریت مجموعه عناصر و نیز </w:t>
      </w:r>
    </w:p>
    <w:p>
      <w:pPr>
        <w:pStyle w:val="BookText"/>
        <w:rPr/>
      </w:pPr>
      <w:r>
        <w:rPr>
          <w:rFonts w:ascii="IRNazanin" w:hAnsi="IRNazanin" w:eastAsia="IRNazanin"/>
          <w:color w:val="111111"/>
          <w:sz w:val="28"/>
          <w:sz w:val="28"/>
          <w:szCs w:val="28"/>
          <w:rtl w:val="true"/>
          <w:lang w:bidi="fa-IR"/>
        </w:rPr>
        <w:t xml:space="preserve">مقادیر واژگان </w:t>
      </w:r>
      <w:r>
        <w:rPr>
          <w:rStyle w:val="FootnoteAnchor"/>
          <w:rtl w:val="true"/>
        </w:rPr>
        <w:footnoteReference w:id="331"/>
      </w:r>
      <w:r>
        <w:rPr>
          <w:rFonts w:ascii="IRNazanin" w:hAnsi="IRNazanin" w:eastAsia="IRNazanin"/>
          <w:color w:val="111111"/>
          <w:sz w:val="28"/>
          <w:sz w:val="28"/>
          <w:szCs w:val="28"/>
          <w:rtl w:val="true"/>
          <w:lang w:bidi="fa-IR"/>
        </w:rPr>
        <w:t xml:space="preserve">را فراهم می کنند، مانند ثبت فراداده باز </w:t>
      </w:r>
      <w:r>
        <w:rPr>
          <w:rStyle w:val="FootnoteAnchor"/>
          <w:rtl w:val="true"/>
        </w:rPr>
        <w:footnoteReference w:id="332"/>
      </w:r>
      <w:r>
        <w:rPr>
          <w:rFonts w:ascii="IRNazanin" w:hAnsi="IRNazanin" w:eastAsia="IRNazanin"/>
          <w:color w:val="111111"/>
          <w:sz w:val="28"/>
          <w:sz w:val="28"/>
          <w:szCs w:val="28"/>
          <w:rtl w:val="true"/>
          <w:lang w:bidi="fa-IR"/>
        </w:rPr>
        <w:t xml:space="preserve">که برای نامگان های ایفلا و آر دی اِی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فراداده باز،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گستره وسیعی از مستندات پشتیبانی از استانداردهای فنی تا وب گاه های شبکه های اجتماعی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کاربرد محلی یک فرانمای جهانی کاملاً انطباق باشد، عناصر نامگان فرانمای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صورت مجموعه داده های سه بخشی بدون کاهش محتوای داده های منبع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مجدد از عناصر جهانی، تکرار غیر ضروری مجموعه عناصر و مقادیر واژگان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معناشناسی بسیار نزدیک و مترجم های فرانمایی که کمی فراتر از تشخیص دهنده هویت </w:t>
      </w:r>
      <w:r>
        <w:rPr>
          <w:rStyle w:val="FootnoteAnchor"/>
          <w:rtl w:val="true"/>
        </w:rPr>
        <w:footnoteReference w:id="333"/>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دیگری از جعبه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تغییرات در خصوص محتوای محلی قابل توجه باشد در این صورت می توان با تغییر در قالب پالایش فرانمای جهانی یا نشان دادن فران های محلی در نامگان متعلق به خود از کاهش محتوای داده 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وضعیت محلی داده ها این امکان را فراهم می کند که محیط جهانی بدون جرح و تعدیل محتوا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عناصر محلی و تغییرات آن نیازمند برقراری ارتباط با مجموعه عناصر جهانی توسط نگاشتی هستند که این نگاشت توسط مترجم فرانما از فرانمای محلی به جهانی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واژگان جهانی و محلی باید با مترجم اصطلاح مناسبی هم تراز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حمایت از نگاشت های فرانماهای جهانی که با موجودیت های محلی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ویژگی ها مجموعه عناصر محلی در سطح وسیع سودمند است البته نه الزاماً ویژگی های هر موجودیتی، برای مثال نامگان آر دی ای شامل ویژگی هایی هستند که تنها به موجودیت های آر دی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آر بی آر یعنی اثر، بیان، قالب و مدرک محدود نمی شوند و امکان استفاده از آن ها در نگاشت های فرانماهای غیر اِف آر بی آر مثل آی اِس بی 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مجموعه عناصر آی اِس بی دی بدون موجودیت منبع منتشر خواهد شد تا نگاشت کاملی از آی اِس بی دی به آردی ای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برنامه کاربردی داده های پیوندی محلی از مجموعه داده ای باز جهانی، واژگان مقادیر، مجموعه عناصر نگاشت ها و پروفایل های کاربردی و غیره استفاده می کند، معمولاً پیوند دادن به شکل پویا یا استفاده از حافظه نهان </w:t>
      </w:r>
      <w:r>
        <w:rPr>
          <w:rStyle w:val="FootnoteAnchor"/>
          <w:rtl w:val="true"/>
        </w:rPr>
        <w:footnoteReference w:id="334"/>
      </w:r>
      <w:r>
        <w:rPr>
          <w:rFonts w:ascii="IRNazanin" w:hAnsi="IRNazanin" w:eastAsia="IRNazanin"/>
          <w:color w:val="111111"/>
          <w:sz w:val="28"/>
          <w:sz w:val="28"/>
          <w:szCs w:val="28"/>
          <w:rtl w:val="true"/>
          <w:lang w:bidi="fa-IR"/>
        </w:rPr>
        <w:t xml:space="preserve">محلی با امکان بازنشانی مکرر نسبت به نسخه تصویر بلادرنگ </w:t>
      </w:r>
      <w:r>
        <w:rPr>
          <w:rStyle w:val="FootnoteAnchor"/>
          <w:rtl w:val="true"/>
        </w:rPr>
        <w:footnoteReference w:id="335"/>
      </w:r>
      <w:r>
        <w:rPr>
          <w:rFonts w:ascii="IRNazanin" w:hAnsi="IRNazanin" w:eastAsia="IRNazanin"/>
          <w:color w:val="111111"/>
          <w:sz w:val="28"/>
          <w:sz w:val="28"/>
          <w:szCs w:val="28"/>
          <w:rtl w:val="true"/>
          <w:lang w:bidi="fa-IR"/>
        </w:rPr>
        <w:t xml:space="preserve">ثابت </w:t>
      </w:r>
      <w:bookmarkStart w:id="189" w:name="pg9659_93901"/>
    </w:p>
    <w:p>
      <w:pPr>
        <w:pStyle w:val="BookText"/>
        <w:rPr/>
      </w:pPr>
      <w:bookmarkEnd w:id="189"/>
      <w:r>
        <w:rPr>
          <w:rFonts w:ascii="IRNazanin" w:hAnsi="IRNazanin" w:eastAsia="IRNazanin"/>
          <w:color w:val="111111"/>
          <w:sz w:val="28"/>
          <w:sz w:val="28"/>
          <w:szCs w:val="28"/>
          <w:rtl w:val="true"/>
          <w:lang w:bidi="fa-IR"/>
        </w:rPr>
        <w:t xml:space="preserve">داده های خارجی بهتر خواهد بود اگر داده ها در مخزن مشترکی نگهداری شوند و از وب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امروزی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نشوند منافع اشتراک داده ها به بهترین نحو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جهانی نوین مستقیماً در دسترس هستند و داده های تکراری غیر ضروری محلی به حداقل می رسد</w:t>
      </w:r>
      <w:r>
        <w:rPr>
          <w:rFonts w:eastAsia="IRNazanin" w:cs="IRNazanin"/>
          <w:color w:val="111111"/>
          <w:sz w:val="28"/>
          <w:szCs w:val="28"/>
          <w:rtl w:val="true"/>
          <w:lang w:bidi="fa-IR"/>
        </w:rPr>
        <w:t>.</w:t>
      </w:r>
    </w:p>
    <w:p>
      <w:pPr>
        <w:pStyle w:val="Heading3"/>
        <w:numPr>
          <w:ilvl w:val="2"/>
          <w:numId w:val="1"/>
        </w:numPr>
        <w:rPr/>
      </w:pPr>
      <w:bookmarkStart w:id="190" w:name="__RefHeading___Toc7825347_2870459653"/>
      <w:bookmarkStart w:id="191" w:name="_Toc68"/>
      <w:bookmarkEnd w:id="190"/>
      <w:r>
        <w:rPr>
          <w:rtl w:val="true"/>
        </w:rPr>
        <w:t>نتیجه گیری</w:t>
      </w:r>
      <w:bookmarkEnd w:id="191"/>
    </w:p>
    <w:p>
      <w:pPr>
        <w:pStyle w:val="BookText"/>
        <w:rPr/>
      </w:pPr>
      <w:r>
        <w:rPr>
          <w:rFonts w:ascii="IRNazanin" w:hAnsi="IRNazanin" w:eastAsia="IRNazanin"/>
          <w:color w:val="111111"/>
          <w:sz w:val="28"/>
          <w:sz w:val="28"/>
          <w:szCs w:val="28"/>
          <w:rtl w:val="true"/>
          <w:lang w:bidi="fa-IR"/>
        </w:rPr>
        <w:t>مقاله حاضر آینده نزدیکی که در آن وب معنایی عادی و نامرئی می شود را به تصویر می کشد، همان گونه که اکنون وب اسناد توسط گوشی های هوشمند، تلویزیون ها، تبلت ها و لپ تاپ ها قابل دسترس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قابل دسترس خواهد شد محتوای رقومی شده، رقومی زاد یا جایگزین ها است و محتواهای مذکور برای پشتیبانی خدمات به منظور ارتقا بازیابی منابع به کنترل هوشمند کتاب شناختی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اصول و چارچوب های کنترل کتاب شناختی پایه ریزی و نوین می شوند، اما برای این که کتاب خانه و جامعه میراث فرهنگی بتوانند از محیط داده های پیوندی استفاده و در گسترش آن مشارکت کنند، لازم است تغییر عمده ای در روش های کنترل کتاب شناختی اعمال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هوشمند کتاب شناختی باید تمام تلاش خود را به کار گیرد تا از آنانی که جهانی می اندیشند و ملی اقدام می کنند،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با ترکیب رویکردهای روش شناختی پایین به بالا و بالا به پایین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کتاب شناختی جهانی از پایین به بالا و چالش ما برای سیاست گذاران و مدیران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شناسگرهای محلی با شناس گرهای جهانی، به عنوان نمونه فهرست مستند مجازی بین المللی یا شناسگر استاندارد بین المللی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داده های محلی و هم چنین فرانماهای محلی مستقیماً در آر دی اِف، به همان صورتی که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انطباق بین عناصر محلی و عناصر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زیر ساخت پالایش و گسترش عناصر جهانی به منظور سازگاری در کاربردهای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زیر ساخت به منظور هم سازی عناصر محلی معمول به عناصر جهانی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جعبه های سیاه چالش های ما برای برنامه نویسان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بسیاری از همکاران در جوامع ایفلا و آر دی اِی در مترجم فرانمای آی اس بی دی به آردی ای شرکت کرده اند که به زودی برای همگان قابل دسترس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فکر می کنیم این چالش مناسبی است و تجربه به ما می گوید که علاوه بر این نوع کاربرد، از نقص های استانداردهای میراث فرهنگی و کتاب شناختی کنونی آگاه خواهیم شد</w:t>
      </w:r>
      <w:r>
        <w:rPr>
          <w:rFonts w:eastAsia="IRNazanin" w:cs="IRNazanin"/>
          <w:color w:val="111111"/>
          <w:sz w:val="28"/>
          <w:szCs w:val="28"/>
          <w:rtl w:val="true"/>
          <w:lang w:bidi="fa-IR"/>
        </w:rPr>
        <w:t xml:space="preserve">. </w:t>
      </w:r>
      <w:bookmarkStart w:id="192" w:name="pg9659_93902"/>
    </w:p>
    <w:p>
      <w:pPr>
        <w:pStyle w:val="BookText"/>
        <w:rPr/>
      </w:pPr>
      <w:bookmarkEnd w:id="192"/>
      <w:r>
        <w:rPr>
          <w:rFonts w:ascii="IRNazanin" w:hAnsi="IRNazanin" w:eastAsia="IRNazanin"/>
          <w:color w:val="111111"/>
          <w:sz w:val="28"/>
          <w:sz w:val="28"/>
          <w:szCs w:val="28"/>
          <w:rtl w:val="true"/>
          <w:lang w:bidi="fa-IR"/>
        </w:rPr>
        <w:t>این موضوع چیز عجیب و غریبی نیست و از سرشت انسانی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ما به یک شی واحد با دیدگاه فرهنگی و فردی متفاوتی می نگریم با مغزهای مشابه انسانی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ما از اشیا باید ترکیبی از مشاهدات باطنی و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داده های پیوندی، معناشناسی محلی در ساختار نحوی جهانی بیان می شود؛ معناشناسی جهانی در دل ساختار نحوی محلی است</w:t>
      </w:r>
      <w:r>
        <w:rPr>
          <w:rFonts w:eastAsia="IRNazanin" w:cs="IRNazanin"/>
          <w:color w:val="111111"/>
          <w:sz w:val="28"/>
          <w:szCs w:val="28"/>
          <w:rtl w:val="true"/>
          <w:lang w:bidi="fa-IR"/>
        </w:rPr>
        <w:t>.</w:t>
      </w:r>
    </w:p>
    <w:p>
      <w:pPr>
        <w:pStyle w:val="Heading3"/>
        <w:numPr>
          <w:ilvl w:val="2"/>
          <w:numId w:val="1"/>
        </w:numPr>
        <w:rPr/>
      </w:pPr>
      <w:bookmarkStart w:id="193" w:name="__RefHeading___Toc7825349_2870459653"/>
      <w:bookmarkStart w:id="194" w:name="_Toc69"/>
      <w:bookmarkEnd w:id="193"/>
      <w:r>
        <w:rPr>
          <w:rtl w:val="true"/>
        </w:rPr>
        <w:t>منابع</w:t>
      </w:r>
      <w:r>
        <w:rPr>
          <w:rtl w:val="true"/>
        </w:rPr>
        <w:t>:</w:t>
      </w:r>
      <w:bookmarkEnd w:id="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Anderson, 1974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Dorothy Anderson, Universal Bibliographic Control: A long term policy -A plan for action, (Pullach/München: Verlag Dokumentation, 1974)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BIBFRAME, 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BIBFRAME vocabulary, http://bibframe.org/ vocab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CERL Thesaurus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HPB, CERL Thesaurus.http://www.cerl.org/ resources/cerl thesaurus/main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Anderson, 1974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Dorothy Anderson, Universal Bibliographic Control: A long term policy -A plan for action, (Pullach/München: Verlag Dokumentation, 1974)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BIBFRAME, 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BIBFRAME vocabulary, http://bibframe.org/ vocab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CERL Thesaurus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HPB, CERL Thesaurus,http://www.cerl.org/ resources/cerl thesaurus/main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Coyle and Baker, 2009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Karen Coyle and Thomas Baker, Guidelines for Dublin CoreApplication Profiles, 2009-05-18, http://dublincore org/documents/profile-guidelines/(DCMI Usage Board, 2012) DCMI Usage Board, DCMI Metadata Terms, 2012-06-14,http://dublincore.org/ documents/demi-terms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Dunsire, 2013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Gordon Dunsire, Resource and Work, Expression Manifestation, Item, Amended 6 October 2013,http://www.ifla.org/files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assets/cataloguing/isbd/OtherDocumentation/resource-wemi.pdf (Dunsire, Hillmann, and Phipps, 2012) Gordon Dunsire, Diane Hillmann, and Jon Phipps,Reconsidering Universal Bibliographic Control in Light of the Semantic Web, Journal of Library Metadata, v. 12, issue 2-3 (2012</w:t>
      </w:r>
    </w:p>
    <w:p>
      <w:pPr>
        <w:pStyle w:val="BookText"/>
        <w:rPr/>
      </w:pPr>
      <w:r>
        <w:rPr>
          <w:rFonts w:eastAsia="Times New Roman" w:cs="Times New Roman" w:ascii="Times New Roman" w:hAnsi="Times New Roman"/>
          <w:color w:val="111111"/>
          <w:sz w:val="28"/>
          <w:szCs w:val="28"/>
          <w:lang w:val="en-US" w:bidi="en-US"/>
        </w:rPr>
        <w:t>http://ecommons.library.cornell.edu/handle/1813/36288 (Dunsire and ISBD Review Group, 2012) Gordon Dunsire and ISBD Review Group, Alignment of the ISBD: International Standard Bibliographic Description element set with RDA: Resource Description &amp; Access element set, Version 1.1, 24 September 2012</w:t>
      </w:r>
    </w:p>
    <w:p>
      <w:pPr>
        <w:pStyle w:val="BookText"/>
        <w:rPr/>
      </w:pPr>
      <w:r>
        <w:rPr>
          <w:rFonts w:eastAsia="Times New Roman" w:cs="Times New Roman" w:ascii="Times New Roman" w:hAnsi="Times New Roman"/>
          <w:color w:val="111111"/>
          <w:sz w:val="28"/>
          <w:szCs w:val="28"/>
          <w:lang w:val="en-US" w:bidi="en-US"/>
        </w:rPr>
        <w:t>http://www.ifla.org/files/assets/cataloguing/isbd/Other Documentation/ ISBD2RDA%20Align ment%20v1_1.pdf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EDM Primer, 2013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Europeana Data Model Primer, 14/07/2013, http://pro.europeana.eu/documents/900548/770bdb58-c60e-4beb- a687-874639312ba5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GARR, 2001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Guidelines for authority records and references, Revised by the Working Group on GARE Revision, 2nd ed., (München: Saur, 2001)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Geddes, 1915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Patrick Geddes, Cities in Evolution, (London: Williams 1915)</w:t>
      </w:r>
    </w:p>
    <w:p>
      <w:pPr>
        <w:pStyle w:val="BookText"/>
        <w:rPr/>
      </w:pPr>
      <w:r>
        <w:rPr>
          <w:rFonts w:eastAsia="Times New Roman" w:cs="Times New Roman" w:ascii="Times New Roman" w:hAnsi="Times New Roman"/>
          <w:color w:val="111111"/>
          <w:sz w:val="28"/>
          <w:szCs w:val="28"/>
          <w:lang w:val="en-US" w:bidi="en-US"/>
        </w:rPr>
        <w:t>https://archive.org/details/citiesinevolutio00gedduoft (Hillmann, Dushay and Phipps, 2004) Diane Hillmann, Naomi Dushay, and Jon Phipps, Improving Metadata Quality: Augmentation Dushay, and Jon Phipps, Improving Metadata Quality: Augmentation and Recombination DC-2004-Shanghai proceedings, http://dcpapers. dublincore.org/pubs/article/view/770/766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IMCE, 1969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International Meeting of Cataloguing Experts, Copenhagen, 1969: Report, IFLA Annual, 1969; also published in: Report of the International Meeting of Cataloguing Experts, Copenhagen, 1969 Libri, 1, 20, 1970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IME ICC, 2009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IME ICC: IFLA Meeting of Experts on an International Cataloguing Code, Frankfurt, 2003-Pretoria 2007. Statement of international cataloguing principles (2009) http://www.ifla.org/files/ cataloguing/icp/icp_2009-en.pdf (ISBD, 2011) ISBD: International Standard Bibliographic Description, Consolidated Edition(Berlin München: De Gruyter Saur, 2011), ISBN 978-3-11-026379-4</w:t>
      </w:r>
    </w:p>
    <w:p>
      <w:pPr>
        <w:pStyle w:val="BookText"/>
        <w:rPr/>
      </w:pPr>
      <w:r>
        <w:rPr>
          <w:rFonts w:eastAsia="Times New Roman" w:cs="Times New Roman" w:ascii="Times New Roman" w:hAnsi="Times New Roman"/>
          <w:color w:val="111111"/>
          <w:sz w:val="28"/>
          <w:szCs w:val="28"/>
          <w:lang w:val="en-US" w:bidi="en-US"/>
        </w:rPr>
        <w:t>http://www.ifla.org/files/assets/cataloguing/isbd/isbd-cons_20110321 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ISBD Elements, 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ISBD elements, http://iflastandards.info/ns /isbd/elements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JSC, 2009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Joint Steering Committee for Development of RDA, RDA Scope and Structure, 1 July 2009, http://www.rda-jsc.org/docs/5rda-scoperev4.pdf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Open Metadata Registry, 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Open Metadata Registry, http:// metadataregistry.org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Paris Principles, 1961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International Conference on Cataloguing Principles, Paris, 9th-18th October, 1961, Report, London: International Federation of Library Associations, 1963. Reprinted in: International Conference on Cataloguing Principles, Paris, 9th-18th October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196Report, (London: Clive Bingley, 1969) (RDA Registry, 2014) RDA Registry, http://www.rdaregistry.info (schema.org, 2014) schema.org, Organization of Schemas, http://schema.org/docs/schemas.html</w:t>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9659_93906"/>
      <w:bookmarkStart w:id="196" w:name="pg9659_93906"/>
      <w:bookmarkEnd w:id="196"/>
    </w:p>
    <w:p>
      <w:pPr>
        <w:pStyle w:val="Heading2"/>
        <w:numPr>
          <w:ilvl w:val="1"/>
          <w:numId w:val="1"/>
        </w:numPr>
        <w:rPr/>
      </w:pPr>
      <w:bookmarkStart w:id="197" w:name="pg9659_93906"/>
      <w:bookmarkStart w:id="198" w:name="__RefHeading___Toc7825351_2870459653"/>
      <w:bookmarkStart w:id="199" w:name="_Toc70"/>
      <w:bookmarkEnd w:id="197"/>
      <w:bookmarkEnd w:id="198"/>
      <w:r>
        <w:rPr>
          <w:rtl w:val="true"/>
        </w:rPr>
        <w:t>چکیده</w:t>
      </w:r>
      <w:bookmarkEnd w:id="199"/>
    </w:p>
    <w:p>
      <w:pPr>
        <w:pStyle w:val="BookText"/>
        <w:rPr/>
      </w:pPr>
      <w:r>
        <w:rPr>
          <w:rFonts w:ascii="IRNazanin" w:hAnsi="IRNazanin" w:eastAsia="IRNazanin"/>
          <w:color w:val="111111"/>
          <w:sz w:val="28"/>
          <w:sz w:val="28"/>
          <w:szCs w:val="28"/>
          <w:rtl w:val="true"/>
          <w:lang w:bidi="fa-IR"/>
        </w:rPr>
        <w:t xml:space="preserve">به نظر می رسد ما به عنوان کتاب دار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میز مرجع </w:t>
      </w:r>
      <w:r>
        <w:rPr>
          <w:rStyle w:val="FootnoteAnchor"/>
          <w:rtl w:val="true"/>
        </w:rPr>
        <w:footnoteReference w:id="336"/>
      </w:r>
      <w:r>
        <w:rPr>
          <w:rFonts w:ascii="IRNazanin" w:hAnsi="IRNazanin" w:eastAsia="IRNazanin"/>
          <w:color w:val="111111"/>
          <w:sz w:val="28"/>
          <w:sz w:val="28"/>
          <w:szCs w:val="28"/>
          <w:rtl w:val="true"/>
          <w:lang w:bidi="fa-IR"/>
        </w:rPr>
        <w:t>در حال اقول و روبه زوال است ولی به عنوان یک شغل و حرفه، مطمئن نیستیم یا هم عقیده نیستیم که چه چیزی باید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ی مقاله ی حاضر این است که کتاب داران خودشان باید به عنوان نقطه ی دسترسی اصلی به خدمات اطلاعاتی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برنامه های مربوط به میز مرجع دائماً در حال افول است ولی آماری که کم تر به آن اشاره شده این است که درخواست های ارائه شده برای آموزش گروهی و مشاوره فردی،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اطلاعاتی، نقش کلیدی را در مدل جدید مرجع ایفا می کند ولی در یک مدل کتاب دار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مرکزیت کتاب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خدمات عمومی می توانند در خدمات مرجع و تحقیقات، ایفای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کلیدی این مدل جدید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رسانی، انعطاف پذیری، ارتباط</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مرجع، خدمات مرجع، سواد اطلاعاتی </w:t>
      </w:r>
      <w:bookmarkStart w:id="200" w:name="pg9659_93907"/>
    </w:p>
    <w:p>
      <w:pPr>
        <w:pStyle w:val="Heading2"/>
        <w:numPr>
          <w:ilvl w:val="1"/>
          <w:numId w:val="1"/>
        </w:numPr>
        <w:rPr/>
      </w:pPr>
      <w:bookmarkStart w:id="201" w:name="__RefHeading___Toc7825353_2870459653"/>
      <w:bookmarkStart w:id="202" w:name="_Toc71"/>
      <w:bookmarkEnd w:id="200"/>
      <w:bookmarkEnd w:id="201"/>
      <w:r>
        <w:rPr>
          <w:rtl w:val="true"/>
        </w:rPr>
        <w:t>پشت میز مرجع</w:t>
      </w:r>
      <w:r>
        <w:rPr>
          <w:rtl w:val="true"/>
        </w:rPr>
        <w:t xml:space="preserve">: </w:t>
      </w:r>
      <w:r>
        <w:rPr>
          <w:rtl w:val="true"/>
        </w:rPr>
        <w:t>خدمت مرجع چشم انداز تغییر اطلاعات</w:t>
      </w:r>
      <w:bookmarkEnd w:id="202"/>
    </w:p>
    <w:p>
      <w:pPr>
        <w:pStyle w:val="Heading3"/>
        <w:numPr>
          <w:ilvl w:val="2"/>
          <w:numId w:val="1"/>
        </w:numPr>
        <w:rPr/>
      </w:pPr>
      <w:bookmarkStart w:id="203" w:name="__RefHeading___Toc7825355_2870459653"/>
      <w:bookmarkStart w:id="204" w:name="_Toc72"/>
      <w:bookmarkEnd w:id="203"/>
      <w:r>
        <w:rPr>
          <w:rtl w:val="true"/>
        </w:rPr>
        <w:t>اشاره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میز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مرجع چشم انداز تغییر اطلاعات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نوشته ایمی پَترسون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مهشید برجیان بروجنی </w:t>
      </w:r>
      <w:r>
        <w:rPr>
          <w:rStyle w:val="FootnoteAnchor"/>
          <w:rtl w:val="true"/>
        </w:rPr>
        <w:footnoteReference w:id="339"/>
      </w:r>
    </w:p>
    <w:p>
      <w:pPr>
        <w:pStyle w:val="Heading3"/>
        <w:numPr>
          <w:ilvl w:val="2"/>
          <w:numId w:val="1"/>
        </w:numPr>
        <w:rPr/>
      </w:pPr>
      <w:bookmarkStart w:id="205" w:name="__RefHeading___Toc7825357_2870459653"/>
      <w:bookmarkStart w:id="206" w:name="_Toc73"/>
      <w:bookmarkEnd w:id="205"/>
      <w:r>
        <w:rPr>
          <w:rtl w:val="true"/>
        </w:rPr>
        <w:t>مقدمه</w:t>
      </w:r>
      <w:bookmarkEnd w:id="2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تأسف برانگیز و معروف این است که تراکنش ها و فعالیت های مرجع استاندارد ما دائماً رو به کاهش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آر بی سی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نمونه قاطع و قدرتمندی برای خدمات اطلاعاتی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و سریع قدرت و ارتباط خود را از دست می دهد و پاسخ و واکنش کتاب داران به این مورد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اِستیونز </w:t>
      </w:r>
      <w:r>
        <w:rPr>
          <w:rStyle w:val="FootnoteAnchor"/>
          <w:rtl w:val="true"/>
        </w:rPr>
        <w:footnoteReference w:id="342"/>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های مختلف برای پایان دادن به میز مرجع 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مناسب خلاصه می کند، ولی برخی کتابداران معتقدند که کاهش و افول میز مرجع به معنی افول خدمات مرجع به عنوان یک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از آن به عنوان یک نهاد یاد می کنند و به آن محکم می چسبند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فیتس پاتریک، مور و لانگ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دیگران با دپارتمان مرجع و میز مرجع منسوخ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های گوناگون و متنوعی وجود دارد من جمله ترکیب کردن میزهای مرجع با خدمات فناوری اطلاعات </w:t>
      </w:r>
    </w:p>
    <w:p>
      <w:pPr>
        <w:pStyle w:val="BookText"/>
        <w:rPr/>
      </w:pPr>
      <w:r>
        <w:rPr>
          <w:rFonts w:ascii="IRNazanin" w:hAnsi="IRNazanin" w:eastAsia="IRNazanin"/>
          <w:color w:val="111111"/>
          <w:sz w:val="28"/>
          <w:sz w:val="28"/>
          <w:szCs w:val="28"/>
          <w:rtl w:val="true"/>
          <w:lang w:bidi="fa-IR"/>
        </w:rPr>
        <w:t xml:space="preserve">به منظور ایجاد یک میز مرجع خدماتی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سامسون و اُلِزا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استخدام متخصصان رشته به جای کتاب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سانتگ و پالسون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کاهش دادن ساعت های میز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اظهار نظر یوئینگ و هاپتمن </w:t>
      </w:r>
      <w:r>
        <w:rPr>
          <w:rStyle w:val="FootnoteAnchor"/>
          <w:rtl w:val="true"/>
        </w:rPr>
        <w:footnoteReference w:id="346"/>
      </w:r>
      <w:r>
        <w:rPr>
          <w:rFonts w:ascii="IRNazanin" w:hAnsi="IRNazanin" w:eastAsia="IRNazanin"/>
          <w:color w:val="111111"/>
          <w:sz w:val="28"/>
          <w:sz w:val="28"/>
          <w:szCs w:val="28"/>
          <w:rtl w:val="true"/>
          <w:lang w:bidi="fa-IR"/>
        </w:rPr>
        <w:t>مبنی بر این که تعاملات مرجع در ماهیت و طبیعت خود به صورت جهت دار و ساده انگارانه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زمان و وقت یک کتاب دار ممکن است در جاهای دیگر بهتر 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سوزان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 </w:t>
      </w:r>
      <w:r>
        <w:rPr>
          <w:rStyle w:val="FootnoteAnchor"/>
          <w:rtl w:val="true"/>
        </w:rPr>
        <w:footnoteReference w:id="347"/>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گورتلی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تراکنش و فعالیت مرجع حاکی از این دارد که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ها می توانند توسط پاسخ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میز مرجع کاملاً نامربوط باشد چه اتفاقی برای کتاب داران مرجع رخ می دهد؟ ترس و هراس از این که سرنوشت کار و حرفه ی ما به میز مرجع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باقی مانده است، حتی در میان کسانی که میز مرجع را یک مکان یا کانالی برای خدمات مرجع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واتستین و بل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اوضاع و شرایط مربوط به افول میز مرجع، کانال های نوپا و نوظهور دیگر برای مرجع و بهترین شیوه های فعلی در تأکید مجدد بر خدمات اطلاعاتی و کتاب خانه را مورد بحث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معتقدم کتاب داران برای این که بتوانند بحران مربوط به کاهش درخواست های مرجع را پشت سر بگذارند باید به عنوان نقطه دسترسی اصلی به خدمات اطلاعاتی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نظام ها، روندها و خدمات سریعاً در حال شکل گیری و گسترش هستند و هیچ علائمی از کاهش و افول در آن ها دیده نمی شود؛ فقط کتاب دار است که به عنوان یک فراهم کننده، مترجم و یک راهنما برای این خدمات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دفاع و حمایت از کسانی که اذعان می کنند سواد اطلاعاتی یک مرجع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سانتگ و پالسون،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امکان فراهم خواهد شد تا آن مفهوم حتی بیشتر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وقت و زمان کتاب دار خدمات عمومی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ما او را تحت عنوان کتاب دار مرجع سابق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بر وظایف پیچیده و یا ضروری تر آزاد می شود، تمام فعالیت های مربوط به مشتری و ارباب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مشاوره های تحقیقاتی، کلاس های آشناسازی، یا توسعه خدمات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جدیدی که خدمت مرجع از آن استفاده کرده است در می آیند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باید در این جا مطرح کنم این است که این مقاله ممکن است مربوط به تمام انواع کتاب خانه ها باشد، تجربه ی اصلی من با کتاب خانه های آموزشگاهی است و در حقیقت موضوع اصلی این مقاله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که من استفاده کرده ام بیشتر منابع کانادایی و آمریکایی بوده اند </w:t>
      </w:r>
      <w:r>
        <w:rPr>
          <w:rFonts w:eastAsia="IRNazanin" w:cs="IRNazanin"/>
          <w:color w:val="111111"/>
          <w:sz w:val="28"/>
          <w:szCs w:val="28"/>
          <w:rtl w:val="true"/>
          <w:lang w:bidi="fa-IR"/>
        </w:rPr>
        <w:t xml:space="preserve">- </w:t>
      </w:r>
      <w:bookmarkStart w:id="207" w:name="pg9659_93909"/>
    </w:p>
    <w:p>
      <w:pPr>
        <w:pStyle w:val="BookText"/>
        <w:rPr/>
      </w:pPr>
      <w:bookmarkEnd w:id="207"/>
      <w:r>
        <w:rPr>
          <w:rFonts w:ascii="IRNazanin" w:hAnsi="IRNazanin" w:eastAsia="IRNazanin"/>
          <w:color w:val="111111"/>
          <w:sz w:val="28"/>
          <w:sz w:val="28"/>
          <w:szCs w:val="28"/>
          <w:rtl w:val="true"/>
          <w:lang w:bidi="fa-IR"/>
        </w:rPr>
        <w:t xml:space="preserve">منابعی هم چون انجمن کتاب خانه های تحقیقاتی کانادا </w:t>
      </w:r>
      <w:r>
        <w:rPr>
          <w:rStyle w:val="FootnoteAnchor"/>
          <w:rtl w:val="true"/>
        </w:rPr>
        <w:footnoteReference w:id="350"/>
      </w:r>
      <w:r>
        <w:rPr>
          <w:rFonts w:ascii="IRNazanin" w:hAnsi="IRNazanin" w:eastAsia="IRNazanin"/>
          <w:color w:val="111111"/>
          <w:sz w:val="28"/>
          <w:sz w:val="28"/>
          <w:szCs w:val="28"/>
          <w:rtl w:val="true"/>
          <w:lang w:bidi="fa-IR"/>
        </w:rPr>
        <w:t xml:space="preserve">و انجمن کتاب خانه آمریکا </w:t>
      </w:r>
      <w:r>
        <w:rPr>
          <w:rStyle w:val="FootnoteAnchor"/>
          <w:rtl w:val="true"/>
        </w:rPr>
        <w:footnoteReference w:id="351"/>
      </w:r>
      <w:r>
        <w:rPr>
          <w:rFonts w:ascii="IRNazanin" w:hAnsi="IRNazanin" w:eastAsia="IRNazanin"/>
          <w:color w:val="111111"/>
          <w:sz w:val="28"/>
          <w:sz w:val="28"/>
          <w:szCs w:val="28"/>
          <w:rtl w:val="true"/>
          <w:lang w:bidi="fa-IR"/>
        </w:rPr>
        <w:t>؛ از این رو، این مقاله، تجربه ی آمریکای شمالی و گرایش همراه آن را نیز منعکس خواهد کرد</w:t>
      </w:r>
      <w:r>
        <w:rPr>
          <w:rFonts w:eastAsia="IRNazanin" w:cs="IRNazanin"/>
          <w:color w:val="111111"/>
          <w:sz w:val="28"/>
          <w:szCs w:val="28"/>
          <w:rtl w:val="true"/>
          <w:lang w:bidi="fa-IR"/>
        </w:rPr>
        <w:t>.</w:t>
      </w:r>
    </w:p>
    <w:p>
      <w:pPr>
        <w:pStyle w:val="Heading3"/>
        <w:numPr>
          <w:ilvl w:val="2"/>
          <w:numId w:val="1"/>
        </w:numPr>
        <w:rPr/>
      </w:pPr>
      <w:bookmarkStart w:id="208" w:name="__RefHeading___Toc7825359_2870459653"/>
      <w:bookmarkStart w:id="209" w:name="_Toc74"/>
      <w:bookmarkEnd w:id="208"/>
      <w:r>
        <w:rPr>
          <w:rtl w:val="true"/>
        </w:rPr>
        <w:t>تا اندازهی زیادی اغراق در زوال و مرگ</w:t>
      </w:r>
      <w:bookmarkEnd w:id="209"/>
    </w:p>
    <w:p>
      <w:pPr>
        <w:pStyle w:val="BookText"/>
        <w:rPr/>
      </w:pPr>
      <w:r>
        <w:rPr>
          <w:rFonts w:ascii="IRNazanin" w:hAnsi="IRNazanin" w:eastAsia="IRNazanin"/>
          <w:color w:val="111111"/>
          <w:sz w:val="28"/>
          <w:sz w:val="28"/>
          <w:szCs w:val="28"/>
          <w:rtl w:val="true"/>
          <w:lang w:bidi="fa-IR"/>
        </w:rPr>
        <w:t>قبل از این که در خصوص میز مرجع صحبت کنیم لازم است تا بگوییم که برخی معتقدند کتاب خانه روبه زوال و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در خصوص کتاب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آمازون </w:t>
      </w:r>
      <w:r>
        <w:rPr>
          <w:rStyle w:val="FootnoteAnchor"/>
          <w:rtl w:val="true"/>
        </w:rPr>
        <w:footnoteReference w:id="35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فروش کتاب های الکترونیکی کیندل </w:t>
      </w:r>
      <w:r>
        <w:rPr>
          <w:rStyle w:val="FootnoteAnchor"/>
          <w:rtl w:val="true"/>
        </w:rPr>
        <w:footnoteReference w:id="353"/>
      </w:r>
      <w:r>
        <w:rPr>
          <w:rFonts w:ascii="IRNazanin" w:hAnsi="IRNazanin" w:eastAsia="IRNazanin"/>
          <w:color w:val="111111"/>
          <w:sz w:val="28"/>
          <w:sz w:val="28"/>
          <w:szCs w:val="28"/>
          <w:rtl w:val="true"/>
          <w:lang w:bidi="fa-IR"/>
        </w:rPr>
        <w:t xml:space="preserve">امروزه از فروش کتاب های چاپی پیشی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و مرگ قریب الوقوع، عواقب گسترده ای در خارج از دنیای کتاب خانه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فروشی های آر آی پی </w:t>
      </w:r>
      <w:r>
        <w:rPr>
          <w:rStyle w:val="FootnoteAnchor"/>
          <w:rtl w:val="true"/>
        </w:rPr>
        <w:footnoteReference w:id="3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چنین به عنوان محور و هسته ی اصلی بسیاری از وبلاگ هایی </w:t>
      </w:r>
      <w:r>
        <w:rPr>
          <w:rStyle w:val="FootnoteAnchor"/>
          <w:rtl w:val="true"/>
        </w:rPr>
        <w:footnoteReference w:id="356"/>
      </w:r>
      <w:r>
        <w:rPr>
          <w:rFonts w:ascii="IRNazanin" w:hAnsi="IRNazanin" w:eastAsia="IRNazanin"/>
          <w:color w:val="111111"/>
          <w:sz w:val="28"/>
          <w:sz w:val="28"/>
          <w:szCs w:val="28"/>
          <w:rtl w:val="true"/>
          <w:lang w:bidi="fa-IR"/>
        </w:rPr>
        <w:t xml:space="preserve">است که پایان عمر کتاب خانه ها را اعلام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سیگلر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بسیاری با این گزارش مخالف هستند که مرگ و زوال کتاب تا اندازه ی زیادی اغراق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زیکا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صدمات و آسیب های متعددی در بررسی و نگاه به کتاب خانه ها از دیدگاه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هنوز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اعلام می کنند مرگ و زوال کتاب، پایانی برای کتاب خانه ها است، به واسطه ی آمارهای مربوط به استفاده از کتاب خانه عمومی، نظرات و ایده های مشتریان، یا روابط میان سواد و وجود کتاب</w:t>
      </w:r>
    </w:p>
    <w:p>
      <w:pPr>
        <w:pStyle w:val="BookText"/>
        <w:rPr/>
      </w:pPr>
      <w:r>
        <w:rPr>
          <w:rFonts w:ascii="IRNazanin" w:hAnsi="IRNazanin" w:eastAsia="IRNazanin"/>
          <w:color w:val="111111"/>
          <w:sz w:val="28"/>
          <w:sz w:val="28"/>
          <w:szCs w:val="28"/>
          <w:rtl w:val="true"/>
          <w:lang w:bidi="fa-IR"/>
        </w:rPr>
        <w:t xml:space="preserve">خانه، ممکن است رد شود به برگ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 انجمن کتاب خانه آمریکا،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و زیان محسوس تری از سوی گروهی از مدافعان و حامیان آتی کتاب خانه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رِبکا شومان </w:t>
      </w:r>
      <w:r>
        <w:rPr>
          <w:rStyle w:val="FootnoteAnchor"/>
          <w:rtl w:val="true"/>
        </w:rPr>
        <w:footnoteReference w:id="361"/>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موسوم به یادگار پرست را به نام خود معرفی کرده است و در آن اظهار تأسف کرده است که البته او از هیچ نوع خدمات اطلاعاتی یا هیچ مرجعی در اظهار تأسفِ کاملاً نادرست خود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سیگلر تصور می کند که کتاب های چاپی روبه زوال هستند و شومان نیز از آن به عنوان یادگار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ولی این دو نفر در </w:t>
      </w:r>
      <w:bookmarkStart w:id="210" w:name="pg9659_93910"/>
    </w:p>
    <w:p>
      <w:pPr>
        <w:pStyle w:val="BookText"/>
        <w:rPr/>
      </w:pPr>
      <w:bookmarkEnd w:id="210"/>
      <w:r>
        <w:rPr>
          <w:rFonts w:ascii="IRNazanin" w:hAnsi="IRNazanin" w:eastAsia="IRNazanin"/>
          <w:color w:val="111111"/>
          <w:sz w:val="28"/>
          <w:sz w:val="28"/>
          <w:szCs w:val="28"/>
          <w:rtl w:val="true"/>
          <w:lang w:bidi="fa-IR"/>
        </w:rPr>
        <w:t xml:space="preserve">یک چیز با هم عقیده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ها کتاب 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 ها هر دو خدمات کتاب خانه ای از هر نوع را به واسطه ی این ویژگی کاهش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به موضوع اصلی ام باز می گردم زیرا اگر میز مرجع، تنها ویژگی یک کتاب خانه نباشد پس چیست؟ خبر زوال و افول کتاب در اخبار عمومی هیاهو به راه انداخته است و من شاهد این هیاهو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ترسی از زوال و افول کتاب نداریم که البته در این خصوص شک و تردیدهایی جزیی وجود دارد ولی بیشتر به این دلیل است که ما می دانیم کتاب بر خلاف افکار عمومی، سرمایه ی ما در تجارت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از زوال و افول کتاب هراس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کاربران گوگل تا حد زیادی چشم انداز اطلاعاتی را برای مسیر خود انتخاب کنند که استفاده از مشاوره در خصوص منابع کتاب خانه ای و دقت انتخاب شده ی ما را نادیده بگیرند آن گاه یک تهدید واقعی پیش رو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طوری که کاهش خوانندگان چاپی ضرورتاً دلالت بر جامعه ی بی سواد ندارد کاهش یا افول میز مرجع نیز حاکی از پایان یافتن خدمت مرجع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عموم مردم و مفسران کتاب خانه بیشتر به مرتبط ساختن کتاب ها با کتاب خانه متمایل هستند تا خدمات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داران باید روشی را پیدا کنند تا این ارتباط فراگیر را قطع کنند، یا حتی آن را</w:t>
      </w:r>
    </w:p>
    <w:p>
      <w:pPr>
        <w:pStyle w:val="BookText"/>
        <w:rPr/>
      </w:pPr>
      <w:r>
        <w:rPr>
          <w:rFonts w:ascii="IRNazanin" w:hAnsi="IRNazanin" w:eastAsia="IRNazanin"/>
          <w:color w:val="111111"/>
          <w:sz w:val="28"/>
          <w:sz w:val="28"/>
          <w:szCs w:val="28"/>
          <w:rtl w:val="true"/>
          <w:lang w:bidi="fa-IR"/>
        </w:rPr>
        <w:t>گسترش دهند</w:t>
      </w:r>
      <w:r>
        <w:rPr>
          <w:rFonts w:eastAsia="IRNazanin" w:cs="IRNazanin"/>
          <w:color w:val="111111"/>
          <w:sz w:val="28"/>
          <w:szCs w:val="28"/>
          <w:rtl w:val="true"/>
          <w:lang w:bidi="fa-IR"/>
        </w:rPr>
        <w:t>.</w:t>
      </w:r>
    </w:p>
    <w:p>
      <w:pPr>
        <w:pStyle w:val="Heading3"/>
        <w:numPr>
          <w:ilvl w:val="2"/>
          <w:numId w:val="1"/>
        </w:numPr>
        <w:rPr/>
      </w:pPr>
      <w:bookmarkStart w:id="211" w:name="__RefHeading___Toc7825361_2870459653"/>
      <w:bookmarkStart w:id="212" w:name="_Toc75"/>
      <w:bookmarkEnd w:id="211"/>
      <w:r>
        <w:rPr>
          <w:rtl w:val="true"/>
        </w:rPr>
        <w:t>سازگاری و تطابق با منابع الکترونیکی</w:t>
      </w:r>
      <w:bookmarkEnd w:id="21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ی مشترک میز مرجع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این که هر دو در حال کاهش و افول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دو به عنوان معیارها و استانداردهای سنتی هستند که با گسترش و انتشار رو به رشد منابع الکترونیکی جایگزین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استفاده کنندگان اولیه ی فناوری مدت هاست با دفاعیه پردازان و ردّیه نویسان </w:t>
      </w:r>
      <w:r>
        <w:rPr>
          <w:rStyle w:val="FootnoteAnchor"/>
          <w:rtl w:val="true"/>
        </w:rPr>
        <w:footnoteReference w:id="363"/>
      </w:r>
      <w:r>
        <w:rPr>
          <w:rFonts w:ascii="IRNazanin" w:hAnsi="IRNazanin" w:eastAsia="IRNazanin"/>
          <w:color w:val="111111"/>
          <w:sz w:val="28"/>
          <w:sz w:val="28"/>
          <w:szCs w:val="28"/>
          <w:rtl w:val="true"/>
          <w:lang w:bidi="fa-IR"/>
        </w:rPr>
        <w:t xml:space="preserve">در حال جنگ و ستیز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شومان،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معتقدم که امکان یک هم زیستی مسالمت آمیز وجود دارد؛ همیشه یک جا و مکانی برای کتاب ها در کتاب خانه ی رقومی در آینده وجود خواهد داشت، هر چند ضرورتاً معتقد نیستم که این مکان در واقع یک مکان اصلی و مرکزی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مورد برای میز تحریر نیز مصداق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کارلسون،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فیتس پاتریک، مور و لانگ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دانشجویان آن ها حتی با وجود برخورداری از یک سیستم یادگیری جدید دارای یک مدل سنتی برای میز مرجع هستند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دانشجویان اذعان دارند که مدل ترجیحی شان برای دسترسی به یک کتاب دار، دسترسی داشتن به میز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مهم است نقطه ی دسترسی </w:t>
      </w:r>
    </w:p>
    <w:p>
      <w:pPr>
        <w:pStyle w:val="BookText"/>
        <w:rPr/>
      </w:pPr>
      <w:r>
        <w:rPr>
          <w:rFonts w:ascii="IRNazanin" w:hAnsi="IRNazanin" w:eastAsia="IRNazanin"/>
          <w:color w:val="111111"/>
          <w:sz w:val="28"/>
          <w:sz w:val="28"/>
          <w:szCs w:val="28"/>
          <w:rtl w:val="true"/>
          <w:lang w:bidi="fa-IR"/>
        </w:rPr>
        <w:t xml:space="preserve">متمرکز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کتاب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کنیم؛ میز مرجع ریشه در سنت های و خدمات چاپی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الکترونیکی این امکان و اجازه را به حامیان و مشتریان می دهد تا از هر مکان و هر زمانی به کتاب خانه دسترسی داشته باشند و از این رو خدمات مرجع نیز باید در دسترس باشند تا این تقاضا و نیاز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دانشجویان و کاربران آن ها برای دسترسی به منابع، دیگر نیازی به رفتن به کتاب خانه نداشته باشند، باید عکس العمل دوگانه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می خواهیم فضای فیزیکی خود را به عنوان یک فضای حیاتی و ضروری حفظ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دیگر، فرصت هایی به ما داده شده است تا خدمات و خدمات را خارج از ساختمان فیزیکی گسترش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فضا، یک سؤال همیشگی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کتاب ها مهم تر است یا برای مطالعه؟ اسكات بنت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هر کسی که کتاب خانه ی آموزشگاهی می سازد به نوعی از اطلاعات بسیار مهم نیاز دارد ولی آیا این منجر به جابه جایی یا تکمیل اتاق های مرجع فعلی می شود؟ گرچه برخی از این هراس دارند که مکان های یادگیری فناوری مدار</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ممکن است به طور کامل خدمات کتاب خانه ای را جایگزین کنند؛ این ترس و هراس ممکن است مبتنی بر برخی واکنش های دانشجویان، غیر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 کِیلِر </w:t>
      </w:r>
      <w:r>
        <w:rPr>
          <w:rStyle w:val="FootnoteAnchor"/>
          <w:rtl w:val="true"/>
        </w:rPr>
        <w:footnoteReference w:id="366"/>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ناراضی کننده و ناخشنود لیکوال </w:t>
      </w:r>
      <w:r>
        <w:rPr>
          <w:rStyle w:val="FootnoteAnchor"/>
          <w:rtl w:val="true"/>
        </w:rPr>
        <w:footnoteReference w:id="367"/>
      </w:r>
      <w:r>
        <w:rPr>
          <w:rFonts w:ascii="IRNazanin" w:hAnsi="IRNazanin" w:eastAsia="IRNazanin"/>
          <w:color w:val="111111"/>
          <w:sz w:val="28"/>
          <w:sz w:val="28"/>
          <w:szCs w:val="28"/>
          <w:rtl w:val="true"/>
          <w:lang w:bidi="fa-IR"/>
        </w:rPr>
        <w:t xml:space="preserve">از دانشگاه نیوبرانزویک اِس تی جان </w:t>
      </w:r>
      <w:r>
        <w:rPr>
          <w:rStyle w:val="FootnoteAnchor"/>
          <w:rtl w:val="true"/>
        </w:rPr>
        <w:footnoteReference w:id="368"/>
      </w:r>
      <w:r>
        <w:rPr>
          <w:rFonts w:ascii="IRNazanin" w:hAnsi="IRNazanin" w:eastAsia="IRNazanin"/>
          <w:color w:val="111111"/>
          <w:sz w:val="28"/>
          <w:sz w:val="28"/>
          <w:szCs w:val="28"/>
          <w:rtl w:val="true"/>
          <w:lang w:bidi="fa-IR"/>
        </w:rPr>
        <w:t>پس از انتقال به یک محیط یادگیری جدید را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مسائل و مشکلات و مسائل دانشگاه نیوبرانزویک اِس تی جان صرفاً در خصوص فضای مطالعه شده باشند لذا تنش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آوردن دانشجویان به ساختمان یا تلاش برای دنبال آن ها گشتن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نقاط دسترسی مرجع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فیزیکی و هم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کانادا، مرجع صحبت دوستانه </w:t>
      </w:r>
      <w:r>
        <w:rPr>
          <w:rStyle w:val="FootnoteAnchor"/>
          <w:rtl w:val="true"/>
        </w:rPr>
        <w:footnoteReference w:id="369"/>
      </w:r>
      <w:r>
        <w:rPr>
          <w:rFonts w:ascii="IRNazanin" w:hAnsi="IRNazanin" w:eastAsia="IRNazanin"/>
          <w:color w:val="111111"/>
          <w:sz w:val="28"/>
          <w:sz w:val="28"/>
          <w:szCs w:val="28"/>
          <w:rtl w:val="true"/>
          <w:lang w:bidi="fa-IR"/>
        </w:rPr>
        <w:t xml:space="preserve">در حقیقت یک حد طبیعی و جدید در کتاب خانه های دانشگاهی و کتاب خانه های عمومی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مجازی </w:t>
      </w:r>
      <w:r>
        <w:rPr>
          <w:rStyle w:val="FootnoteAnchor"/>
          <w:rtl w:val="true"/>
        </w:rPr>
        <w:footnoteReference w:id="370"/>
      </w:r>
      <w:r>
        <w:rPr>
          <w:rFonts w:ascii="IRNazanin" w:hAnsi="IRNazanin" w:eastAsia="IRNazanin"/>
          <w:color w:val="111111"/>
          <w:sz w:val="28"/>
          <w:sz w:val="28"/>
          <w:szCs w:val="28"/>
          <w:rtl w:val="true"/>
          <w:lang w:bidi="fa-IR"/>
        </w:rPr>
        <w:t>دارای مزیّت دوگانه ای است و برای کسانی که می خواهند از فاصله ی دور به کتاب خانه دسترسی پیدا کنند راه نجات فراهم می کند و نیز برای گروه های در حال رشدی که ترجیح می دهند به صورت مجازی صحبت کنند تا به صورت رو در رو،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همین جلسه در کتاب خانه، شما می توانید سؤالاتی را بپرسید و دیگران در اتاق کناری را دعوت به سکوت </w:t>
      </w:r>
      <w:bookmarkStart w:id="213" w:name="pg9659_93912"/>
    </w:p>
    <w:p>
      <w:pPr>
        <w:pStyle w:val="BookText"/>
        <w:rPr/>
      </w:pPr>
      <w:bookmarkEnd w:id="213"/>
      <w:r>
        <w:rPr>
          <w:rFonts w:ascii="IRNazanin" w:hAnsi="IRNazanin" w:eastAsia="IRNazanin"/>
          <w:color w:val="111111"/>
          <w:sz w:val="28"/>
          <w:sz w:val="28"/>
          <w:szCs w:val="28"/>
          <w:rtl w:val="true"/>
          <w:lang w:bidi="fa-IR"/>
        </w:rPr>
        <w:t>کنید و شخص دیگری که در شهر، استان، یا کشور دیگر است تعجب می کند از این که چگونه می شود کتاب ها به صورت بر خط جایگزین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مزیت خدمت گفتگوی که بارها عنوان شده، این است که به صورت ناشناخته و غیر شخصی است ولی فرصت های بسیاری برای تشویق کردن دانشجویان به صحبت کردن با کتاب داران خود را، ارائه می کند و به آن ها اطلاعات مورد نیاز برای برقراری ارتباط تماس برای استفاده در آینده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گمنامی نسبی واسطه ممکن است از گرایش ها و تمایلات بالقوه ی حامی و مشتری که ممکن است قابلیت دسترسی کتاب دار را تحت تأثیر قرار دهد،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بانت و مکالکساندر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مشتریان از صحبت کردن با کتاب داران مبتنی بر هر نوع عوامل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سن، جنسیت، نژاد یا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شوند آن گاه اینترنت طبق معمول می تواند میدان و زمین بازی را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حتی هنگامی که به سؤالات مجازی پرداخته می شود حجم مرجع رو به کاهش و زوال است ولی خدمت گفتگوی </w:t>
      </w:r>
      <w:r>
        <w:rPr>
          <w:rStyle w:val="FootnoteAnchor"/>
          <w:rtl w:val="true"/>
        </w:rPr>
        <w:footnoteReference w:id="372"/>
      </w:r>
      <w:r>
        <w:rPr>
          <w:rFonts w:ascii="IRNazanin" w:hAnsi="IRNazanin" w:eastAsia="IRNazanin"/>
          <w:color w:val="111111"/>
          <w:sz w:val="28"/>
          <w:sz w:val="28"/>
          <w:szCs w:val="28"/>
          <w:rtl w:val="true"/>
          <w:lang w:bidi="fa-IR"/>
        </w:rPr>
        <w:t xml:space="preserve">تثبیت شده، خیلی فراتر از مسیر خدمات کتاب خانه ای و فراتر از محدودیت های ساختمان فیزیکی گام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دانشجویان نمی توانند به کتاب خانه بروند بنابراین ما می توانیم اطلاعات مرجع بر خط را در اختیار آن ها قرار دهیم به طوری که ممکن است آن ها امیدوارانه راه و مسیر خود به سوی ما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از طریق ایمیل، توئیتر و پیام متنی، سؤالات خود را مطرح می کنند؛ رهنمودهایی برای تحقیقات و نقل قول ارائه می شود و حتی یک کانال یوتویوب کتاب خانه ای خارج از وضعیت عادی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 خانه ها با کتاب داری ثابت یا مرجع سیار و ناقل هوشمند آزمایش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 کارلسون </w:t>
      </w:r>
      <w:r>
        <w:rPr>
          <w:rStyle w:val="FootnoteAnchor"/>
          <w:rtl w:val="true"/>
        </w:rPr>
        <w:footnoteReference w:id="373"/>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 کند که مفهوم رفتن به جایی که دانشجویان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صورت مجازی به کاربرده می شود ولی در حوزه ی فیزیکی نیز مصداق دارد که در این خصوص کتاب خانه ی دانشگاه میشیگان </w:t>
      </w:r>
      <w:r>
        <w:rPr>
          <w:rStyle w:val="FootnoteAnchor"/>
          <w:rtl w:val="true"/>
        </w:rPr>
        <w:footnoteReference w:id="374"/>
      </w:r>
      <w:r>
        <w:rPr>
          <w:rFonts w:ascii="IRNazanin" w:hAnsi="IRNazanin" w:eastAsia="IRNazanin"/>
          <w:color w:val="111111"/>
          <w:sz w:val="28"/>
          <w:sz w:val="28"/>
          <w:szCs w:val="28"/>
          <w:rtl w:val="true"/>
          <w:lang w:bidi="fa-IR"/>
        </w:rPr>
        <w:t xml:space="preserve">با استفاده از برنامه ی لاته </w:t>
      </w:r>
      <w:r>
        <w:rPr>
          <w:rStyle w:val="FootnoteAnchor"/>
          <w:rtl w:val="true"/>
        </w:rPr>
        <w:footnoteReference w:id="375"/>
      </w:r>
      <w:r>
        <w:rPr>
          <w:rFonts w:ascii="IRNazanin" w:hAnsi="IRNazanin" w:eastAsia="IRNazanin"/>
          <w:color w:val="111111"/>
          <w:sz w:val="28"/>
          <w:sz w:val="28"/>
          <w:szCs w:val="28"/>
          <w:rtl w:val="true"/>
          <w:lang w:bidi="fa-IR"/>
        </w:rPr>
        <w:t>شرایطی فراهم کرده است که کتاب داران این</w:t>
      </w:r>
    </w:p>
    <w:p>
      <w:pPr>
        <w:pStyle w:val="BookText"/>
        <w:rPr/>
      </w:pPr>
      <w:r>
        <w:rPr>
          <w:rFonts w:ascii="IRNazanin" w:hAnsi="IRNazanin" w:eastAsia="IRNazanin"/>
          <w:color w:val="111111"/>
          <w:sz w:val="28"/>
          <w:sz w:val="28"/>
          <w:szCs w:val="28"/>
          <w:rtl w:val="true"/>
          <w:lang w:bidi="fa-IR"/>
        </w:rPr>
        <w:t>دانشگاه، دانشجویان را به جلسات مشاوره مرجع آزاد در یک کافی شاپ در محوطه ی دانشگاه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بدون میز مرجع، هیچ نقطه دسترسی اصلی و مرکزی برای خدمت مرجع وجود ندارد ولی آیا یک وارث مطلق و مسلم وجود دارد و آیا ما به آن نیاز داریم؟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7825363_2870459653"/>
      <w:bookmarkStart w:id="215" w:name="_Toc76"/>
      <w:bookmarkEnd w:id="214"/>
      <w:r>
        <w:rPr>
          <w:rtl w:val="true"/>
        </w:rPr>
        <w:t>رشد جدید در سواد اطلاعاتی</w:t>
      </w:r>
      <w:bookmarkEnd w:id="215"/>
    </w:p>
    <w:p>
      <w:pPr>
        <w:pStyle w:val="BookText"/>
        <w:rPr/>
      </w:pPr>
      <w:r>
        <w:rPr>
          <w:rFonts w:ascii="IRNazanin" w:hAnsi="IRNazanin" w:eastAsia="IRNazanin"/>
          <w:color w:val="111111"/>
          <w:sz w:val="28"/>
          <w:sz w:val="28"/>
          <w:szCs w:val="28"/>
          <w:rtl w:val="true"/>
          <w:lang w:bidi="fa-IR"/>
        </w:rPr>
        <w:t xml:space="preserve">اگر چه برنامه های میز مرجع همیشه در حال کوتاه شدن هستند ولی آماری که کمتر مطرح شده این است که درخواست های مشاوره فردی و آموزش گروهی در حال افزایش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بیشتر ما، نه همه ی ما با مشاوره و جلسات آشنایی و کتاب خانه آشنا هستیم ولی برخی از کتاب خانه های دانشگاهی هم چون دانشگاه بی شاپ </w:t>
      </w:r>
      <w:r>
        <w:rPr>
          <w:rStyle w:val="FootnoteAnchor"/>
          <w:rtl w:val="true"/>
        </w:rPr>
        <w:footnoteReference w:id="376"/>
      </w:r>
      <w:r>
        <w:rPr>
          <w:rFonts w:ascii="IRNazanin" w:hAnsi="IRNazanin" w:eastAsia="IRNazanin"/>
          <w:color w:val="111111"/>
          <w:sz w:val="28"/>
          <w:sz w:val="28"/>
          <w:szCs w:val="28"/>
          <w:rtl w:val="true"/>
          <w:lang w:bidi="fa-IR"/>
        </w:rPr>
        <w:t xml:space="preserve">و مانت سینت وینسنت یونیورسیتی </w:t>
      </w:r>
      <w:r>
        <w:rPr>
          <w:rStyle w:val="FootnoteAnchor"/>
          <w:rtl w:val="true"/>
        </w:rPr>
        <w:footnoteReference w:id="377"/>
      </w:r>
      <w:r>
        <w:rPr>
          <w:rFonts w:ascii="IRNazanin" w:hAnsi="IRNazanin" w:eastAsia="IRNazanin"/>
          <w:color w:val="111111"/>
          <w:sz w:val="28"/>
          <w:sz w:val="28"/>
          <w:szCs w:val="28"/>
          <w:rtl w:val="true"/>
          <w:lang w:bidi="fa-IR"/>
        </w:rPr>
        <w:t>در کانادا شروع کرده اند به ارائه ی درس ها و دوره های واحدی در زمینه، اطلاعاتی که توسط کتاب داران مرجع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سواد اطلاعاتی واحدی دور از حد مطلوب هستند، ولی برای خدمات اطلاعاتی دانشگاهی راه های هیجان انگیزی را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تجربه ای که در تدریس سواد اطلاعاتی در بی شاپ داشتم، بزرگ ترین مزّیت یک دوره 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نقطه ی مقابل جلسه ی آشنایی و تشخیص قبلی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با دانشجویان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مدلی که در بی شاپ به کار برده شده است، سواد اطلاعاتی در واقع یک دوره ی آزمایشگاهی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ی ترم دانشگاهی را تشکیل می دهد و به همراه دوره های منظم دانشجویان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 سواد اطلاعاتی</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در رشته هایی هم چون کسب و کار، آموزش، جامعه شناسی، اقتصاد و زبان های مدرن مورد نیاز است ولی دروس اختیاری دیگری نیز برای علوم اجتماعی و علوم انسانی ارائه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به طور ایده آل می تواند بسیاری از اصول ارزشیابی و تحقیقاتی معتبری را به دانشجویان منتقل کند، می تواند کتاب دار را به عنوان یک حضور فعال در مؤسسه و نهاد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دانشجویانی که دوره ی سواد اطلاعاتی و تفکر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اِل تی</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را برداشته اند با کتاب دار خود در خصوص مشاوره گفتاری و تحقیقاتی مشورت خواهند کرد که به همان شیوه ای که از یک استاد دانشگاه مشاوره می گیرند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تجویز و پیشنهاد کردن بهترین روش هایی برای دنیای پس از میز مرجع کاملاً دشوار و جسورانه است، یک سری مفاهیم کلیدی را پیشنهاد می دهم که در خدمت مرجع به عنوان یک کل وجود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در حال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مفاهیم باید کمک کردن مستمر به سازگاری و تطابق با شرایط اطلاعاتیِ در حالِ تغییر و در نظر گرفتن کتاب داران شما به عنوان یک شغل و حرفه برای انواع درون گرا، جذاب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شِردین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طوری که قبلاً گفتیم اگر دانشجویان </w:t>
      </w:r>
    </w:p>
    <w:p>
      <w:pPr>
        <w:pStyle w:val="BookText"/>
        <w:rPr/>
      </w:pPr>
      <w:r>
        <w:rPr>
          <w:rFonts w:ascii="IRNazanin" w:hAnsi="IRNazanin" w:eastAsia="IRNazanin"/>
          <w:color w:val="111111"/>
          <w:sz w:val="28"/>
          <w:sz w:val="28"/>
          <w:szCs w:val="28"/>
          <w:rtl w:val="true"/>
          <w:lang w:bidi="fa-IR"/>
        </w:rPr>
        <w:t>برای دسترسی به خدمات، نیازی به مراجعه به میز مرجع نداشته باشند آن گاه این وظیفه ی کتاب داران است که به دیدن آن 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لیزا فارست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را به عنوان یک عامل لازم در هدایت کردن دانشجویان به سوی منابع کتاب خانه ای بیشتر از کتاب های مشخص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تواند شامل ژست های کوچکی باشد مثلاً قرار دادن تصویر خود در قسمت هدایت موضوع</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تا بدین وسیله دانشجویان بتوانند چهره ای برای نام شما بگذارند یا این که می تواند به معنی مشارکت و همکاری بیشتر با بخش های دانشکده 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 که همکاری میان کتاب دار و دانشکده برای حفظ ابتكارات عمل مؤثر سواد اطلاعاتی یک امر بدیهی و لازم است ولی وقتی که دانشکده نسبت به همکاری با کتابداران بی میل و بی توجه است آن گاه اصرار و پافشاری، یک امر ضروری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اذعان می کند که یک بخش سواد اطلاعاتی برای جمله ی به دیدن کاربران رفتن در جایی که آن ها هستند وجود دارد و لازم است تا کتاب داران دیگر این گونه تصور نکنند که دانشکده و دانشجویان می توانند بخش های سواد اطلاعاتی و اصطلاحات اصلی کتاب خانه را حدس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جولین و گیون </w:t>
      </w:r>
      <w:r>
        <w:rPr>
          <w:rStyle w:val="FootnoteAnchor"/>
          <w:rtl w:val="true"/>
        </w:rPr>
        <w:footnoteReference w:id="382"/>
      </w:r>
      <w:r>
        <w:rPr>
          <w:rFonts w:ascii="IRNazanin" w:hAnsi="IRNazanin" w:eastAsia="IRNazanin"/>
          <w:color w:val="111111"/>
          <w:sz w:val="28"/>
          <w:sz w:val="28"/>
          <w:szCs w:val="28"/>
          <w:rtl w:val="true"/>
          <w:lang w:bidi="fa-IR"/>
        </w:rPr>
        <w:t xml:space="preserve">، اِستیونز،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کتاب خانه نزد دانشجویان به معنی جایگزین کردن زبان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های داده،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زبانی است که دانشجویان از قبل آن را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پولجِر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های زیادی برای کمک وجود دارد که هنوز به آن ها اشاره نشده است که این فرصت ها موجب شده تا من به سراغ مفهوم کلیدی دوم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انعطاف پذیری</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سازمان ها به میزان اندازه مختلف دارای فرهنگ خاص خود هستند؛ و آن چه با یک کتاب خانه سازگار است ممکن است با کتاب خانه ی دیگر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سازمان های بزرگ تر ممکن است برای کمک و حمایت از چند فضای رسانه ای اجتماعی از پایگاه مشتری کافی برخوردار باشند؛ این فضاهای رسانه ای شامل فیس بوک، توئیتر، پینترست، فلیکر و 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کوچک تر ممکن است بخواهند تا پایگاه طرفداران خود را فقط در یک فضا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یک دانشگاه کوچکی هستید که دانشجویانش به راحتی سؤالات مرجع را در توئیتر یا به صورت متن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کارلسون،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هیچ نیازی به یک فضای مجزای گفتگو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مبتنی بر فرهنگ سازمانی ممكن است به جای میز مرجع از سیستم پاسخگویی کتاب خانه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همان طوری که در بررسی و مطالعه ی انجام شده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فیتس پاتریک، مور و لانگ </w:t>
      </w:r>
    </w:p>
    <w:p>
      <w:pPr>
        <w:pStyle w:val="BookText"/>
        <w:rPr/>
      </w:pPr>
      <w:r>
        <w:rPr>
          <w:rFonts w:ascii="IRNazanin" w:hAnsi="IRNazanin" w:eastAsia="IRNazanin"/>
          <w:color w:val="111111"/>
          <w:sz w:val="28"/>
          <w:sz w:val="28"/>
          <w:szCs w:val="28"/>
          <w:rtl w:val="true"/>
          <w:lang w:bidi="fa-IR"/>
        </w:rPr>
        <w:t>مشخص است، آن ها ممکن است مدل سنتی تری را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مورد قبول خود به عنوان پایگاهی برای پیش رفتن و ایجاد فرصت های جدید استفاده کنید ولی اصل اساسی انعطاف پذیری این است که روش های خلاف عرف و نامتعارف را رد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مفهومی که می خواهم در مورد آن صحبت کنم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ترکیبی از مفهوم اول و مفهوم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زدایی یا شاید هم تمرکز دوبارهی خدمت مرجع نیازمند توسعه دادن و انتشار دادن شبکه بسیاری از بخش های دیگر سازمان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اوقات حرکت به یک مکان یادگیری یا میزهای مرجع ترکیبی به معنی همکاری نزدیک تر با فناوری اطلاعات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سامسون و اُلِز،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داران جدید انتظار می رود برای رهبری یا همکاری در زمینه خدمات رقومی یا خدماتی مبتنی بر وب از درک و شناخت فناوری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های همکاری با دانشکده، دانشجویان و جامعه بی شمار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فراهم کردن فضای مطالعه و نظارت بر محیط یادگیری گرفته تا مجری بودن در باز بودن دسترسی مجلات و مخازن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با سازمان های دیگر هم چون دفاتر تحقیقات </w:t>
      </w:r>
      <w:r>
        <w:rPr>
          <w:rStyle w:val="FootnoteAnchor"/>
          <w:rtl w:val="true"/>
        </w:rPr>
        <w:footnoteReference w:id="386"/>
      </w:r>
      <w:r>
        <w:rPr>
          <w:rFonts w:ascii="IRNazanin" w:hAnsi="IRNazanin" w:eastAsia="IRNazanin"/>
          <w:color w:val="111111"/>
          <w:sz w:val="28"/>
          <w:sz w:val="28"/>
          <w:szCs w:val="28"/>
          <w:rtl w:val="true"/>
          <w:lang w:bidi="fa-IR"/>
        </w:rPr>
        <w:t xml:space="preserve">، خدمات دانشجویی </w:t>
      </w:r>
      <w:r>
        <w:rPr>
          <w:rStyle w:val="FootnoteAnchor"/>
          <w:rtl w:val="true"/>
        </w:rPr>
        <w:footnoteReference w:id="387"/>
      </w:r>
      <w:r>
        <w:rPr>
          <w:rFonts w:ascii="IRNazanin" w:hAnsi="IRNazanin" w:eastAsia="IRNazanin"/>
          <w:color w:val="111111"/>
          <w:sz w:val="28"/>
          <w:sz w:val="28"/>
          <w:szCs w:val="28"/>
          <w:rtl w:val="true"/>
          <w:lang w:bidi="fa-IR"/>
        </w:rPr>
        <w:t xml:space="preserve">، دفاتر حق مؤلف </w:t>
      </w:r>
      <w:r>
        <w:rPr>
          <w:rStyle w:val="FootnoteAnchor"/>
          <w:rtl w:val="true"/>
        </w:rPr>
        <w:footnoteReference w:id="388"/>
      </w:r>
      <w:r>
        <w:rPr>
          <w:rFonts w:ascii="IRNazanin" w:hAnsi="IRNazanin" w:eastAsia="IRNazanin"/>
          <w:color w:val="111111"/>
          <w:sz w:val="28"/>
          <w:sz w:val="28"/>
          <w:szCs w:val="28"/>
          <w:rtl w:val="true"/>
          <w:lang w:bidi="fa-IR"/>
        </w:rPr>
        <w:t>و بخش های فناوری اطلاعات به برقراری ارتباط و ایجاد موضوعات جدید بسیار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اِستیونز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است، بخش های نوظهور بسیاری در خدمات اطلاعاتی وجود دارد و کارهای زیادی برای انجام دادن وجود دارد ولی توانایی خریدن و همکاری با افراد ذینفع در کتاب خانه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عمل بدون خرید با مشکل مواجه خواهد شد و از زمانی که به کتاب داران اجازه داده شده تا بدترین مدافع خود باشند زمان گذشته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این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انعطاف پذیری،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کنند، یک بخش مرجع انسانی ارگانیک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 می تواند با پیگیری و دنبال کردن کاربران در هر یک از راه های جدیدشان، بیشترین تأثیر را داشته باشد و به احتمال زیاد به عنوان یک منبع اطلاعاتی به نفع و حق او اذعان و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همیشه سؤالاتی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مکالمه از کجا و با چه کسی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عنوان کتاب دار خود را تحت عنوان هدایت گران معتبری از طوفان اطلاعاتی نشان دهیم، خدمت مرجع پس از افول میز مرجع رونق خواهد گرفت</w:t>
      </w:r>
      <w:r>
        <w:rPr>
          <w:rFonts w:eastAsia="IRNazanin" w:cs="IRNazanin"/>
          <w:color w:val="111111"/>
          <w:sz w:val="28"/>
          <w:szCs w:val="28"/>
          <w:rtl w:val="true"/>
          <w:lang w:bidi="fa-IR"/>
        </w:rPr>
        <w:t xml:space="preserve">. </w:t>
      </w:r>
      <w:bookmarkStart w:id="216" w:name="pg9659_93916"/>
    </w:p>
    <w:p>
      <w:pPr>
        <w:pStyle w:val="Heading3"/>
        <w:numPr>
          <w:ilvl w:val="2"/>
          <w:numId w:val="1"/>
        </w:numPr>
        <w:rPr/>
      </w:pPr>
      <w:bookmarkStart w:id="217" w:name="__RefHeading___Toc7825365_2870459653"/>
      <w:bookmarkStart w:id="218" w:name="_Toc77"/>
      <w:bookmarkEnd w:id="216"/>
      <w:bookmarkEnd w:id="217"/>
      <w:r>
        <w:rPr>
          <w:rtl w:val="true"/>
        </w:rPr>
        <w:t>منابع</w:t>
      </w:r>
      <w:bookmarkEnd w:id="218"/>
    </w:p>
    <w:p>
      <w:pPr>
        <w:pStyle w:val="BookText"/>
        <w:rPr/>
      </w:pPr>
      <w:r>
        <w:rPr>
          <w:rFonts w:eastAsia="Times New Roman" w:cs="Times New Roman" w:ascii="Times New Roman" w:hAnsi="Times New Roman"/>
          <w:color w:val="111111"/>
          <w:sz w:val="28"/>
          <w:szCs w:val="28"/>
          <w:lang w:val="en-US" w:bidi="en-US"/>
        </w:rPr>
        <w:t>American Library Association (ALA). (2014). Public library use. Retrieved fromhttp://www.ala.org/tools/libfactsheets/alalibraryfactsheet06 Bennett, S. (2008). The information or the learning commons: Which</w:t>
      </w:r>
    </w:p>
    <w:p>
      <w:pPr>
        <w:pStyle w:val="BookText"/>
        <w:rPr/>
      </w:pPr>
      <w:r>
        <w:rPr>
          <w:rFonts w:eastAsia="Times New Roman" w:cs="Times New Roman" w:ascii="Times New Roman" w:hAnsi="Times New Roman"/>
          <w:color w:val="111111"/>
          <w:sz w:val="28"/>
          <w:szCs w:val="28"/>
          <w:lang w:val="en-US" w:bidi="en-US"/>
        </w:rPr>
        <w:t>will we have? The Journal of Academic Librarianship, (34)3, 183-5. doi: 10.1016/j.acalib.2008.03.001</w:t>
      </w:r>
    </w:p>
    <w:p>
      <w:pPr>
        <w:pStyle w:val="BookText"/>
        <w:rPr/>
      </w:pPr>
      <w:r>
        <w:rPr>
          <w:rFonts w:eastAsia="Times New Roman" w:cs="Times New Roman" w:ascii="Times New Roman" w:hAnsi="Times New Roman"/>
          <w:color w:val="111111"/>
          <w:sz w:val="28"/>
          <w:szCs w:val="28"/>
          <w:lang w:val="en-US" w:bidi="en-US"/>
        </w:rPr>
        <w:t>Berg, J. (2013, October 15). The end of "The end of libraries -Beerbrarian. Retrieved from http://beerbrarian.blogspot.ca/2013/10/the end-of-end-of-libraries.html</w:t>
      </w:r>
    </w:p>
    <w:p>
      <w:pPr>
        <w:pStyle w:val="BookText"/>
        <w:rPr/>
      </w:pPr>
      <w:r>
        <w:rPr>
          <w:rFonts w:eastAsia="Times New Roman" w:cs="Times New Roman" w:ascii="Times New Roman" w:hAnsi="Times New Roman"/>
          <w:color w:val="111111"/>
          <w:sz w:val="28"/>
          <w:szCs w:val="28"/>
          <w:lang w:val="en-US" w:bidi="en-US"/>
        </w:rPr>
        <w:t>Bonnet, J. L. and McAlexander, B. (2013). First impressions and the reference encounter: The influence of affect and clothing on librarian approachability. The Journal of Academic Librarianship, 39(4), 335-46. doi: 10.1016/j.acalib.2012.11.025</w:t>
      </w:r>
    </w:p>
    <w:p>
      <w:pPr>
        <w:pStyle w:val="BookText"/>
        <w:rPr/>
      </w:pPr>
      <w:r>
        <w:rPr>
          <w:rFonts w:eastAsia="Times New Roman" w:cs="Times New Roman" w:ascii="Times New Roman" w:hAnsi="Times New Roman"/>
          <w:color w:val="111111"/>
          <w:sz w:val="28"/>
          <w:szCs w:val="28"/>
          <w:lang w:val="en-US" w:bidi="en-US"/>
        </w:rPr>
        <w:t>CARL-ARBC. (2010). Core competencies for 21st century librarians. Retrieved from http://www.carl-abrc.ca/uploads/pdfs/core_comp_ profile-e.pdf</w:t>
      </w:r>
    </w:p>
    <w:p>
      <w:pPr>
        <w:pStyle w:val="BookText"/>
        <w:rPr/>
      </w:pPr>
      <w:r>
        <w:rPr>
          <w:rFonts w:eastAsia="Times New Roman" w:cs="Times New Roman" w:ascii="Times New Roman" w:hAnsi="Times New Roman"/>
          <w:color w:val="111111"/>
          <w:sz w:val="28"/>
          <w:szCs w:val="28"/>
          <w:lang w:val="en-US" w:bidi="en-US"/>
        </w:rPr>
        <w:t>CARL-ARBC. (2013). 2010-2011 Statistics/Statistiques. Retrieved from http://www.carl-abrc.ca/uploads/stats/carl/2010-11/2011%20 CARL%20Statistics.pdf</w:t>
      </w:r>
    </w:p>
    <w:p>
      <w:pPr>
        <w:pStyle w:val="BookText"/>
        <w:rPr/>
      </w:pPr>
      <w:r>
        <w:rPr>
          <w:rFonts w:eastAsia="Times New Roman" w:cs="Times New Roman" w:ascii="Times New Roman" w:hAnsi="Times New Roman"/>
          <w:color w:val="111111"/>
          <w:sz w:val="28"/>
          <w:szCs w:val="28"/>
          <w:lang w:val="en-US" w:bidi="en-US"/>
        </w:rPr>
        <w:t>CARL-ARBC. (2014). Statistics/measures. Retrieved from http://www carl-abre.ca/statistics.html</w:t>
      </w:r>
    </w:p>
    <w:p>
      <w:pPr>
        <w:pStyle w:val="BookText"/>
        <w:rPr/>
      </w:pPr>
      <w:r>
        <w:rPr>
          <w:rFonts w:eastAsia="Times New Roman" w:cs="Times New Roman" w:ascii="Times New Roman" w:hAnsi="Times New Roman"/>
          <w:color w:val="111111"/>
          <w:sz w:val="28"/>
          <w:szCs w:val="28"/>
          <w:lang w:val="en-US" w:bidi="en-US"/>
        </w:rPr>
        <w:t>Carlson, S. (2007). Are reference desks dying out? Librarians struggle to redefine and in some cases eliminate the venerable institution. The Reference Librarian, 48(2), 25-30. doi:10.1300/J120v48n02-06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Fitzpatrick, E. B., Moore, A. C., &amp; Lang, B. W. (2008). Reference librarians at the reference desk in a learning commons: A mixed methods evaluation. The Journal of Academic Librarianship, 34(3), 231-238. doi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10.1016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j.acalib.2008.03.006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Forrest, L. (2011). Out of bounds: Developing a library outreach program using the "Five practices of exemplary leadership" model. In D. Lowe-Wincentsen and L. Crooks (Eds.), Mid-career library and information professionals: A leadership primer (pp. 151-163). Oxford: Chandos Publishing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Keiller, K. (2014). Cognitive dissonance: LibQual results after a move to the commons. Presented at 7th Annual Canadian Learning Commons Conference, Bishop's University, June 9-11, 2014. Retrieved from http:// countyourblessings.wordpress.com/2014/06/16/cognitive-dissonance-libqual-results-after-a-move-to-a-commons</w:t>
      </w:r>
    </w:p>
    <w:p>
      <w:pPr>
        <w:pStyle w:val="BookText"/>
        <w:rPr/>
      </w:pPr>
      <w:r>
        <w:rPr>
          <w:rFonts w:eastAsia="Times New Roman" w:cs="Times New Roman" w:ascii="Times New Roman" w:hAnsi="Times New Roman"/>
          <w:color w:val="111111"/>
          <w:sz w:val="28"/>
          <w:szCs w:val="28"/>
          <w:lang w:val="en-US" w:bidi="en-US"/>
        </w:rPr>
        <w:t>Malik, S. (2012, August 6). Kindle ebook sales have overtaken. Amazon print sales, says bookseller. The Guardian. Retrieved from http:// www.theguardian.com/books/2012/aug/06/amazon-kindle-ebook-sales-overtake-print</w:t>
      </w:r>
    </w:p>
    <w:p>
      <w:pPr>
        <w:pStyle w:val="BookText"/>
        <w:rPr/>
      </w:pPr>
      <w:r>
        <w:rPr>
          <w:rFonts w:eastAsia="Times New Roman" w:cs="Times New Roman" w:ascii="Times New Roman" w:hAnsi="Times New Roman"/>
          <w:color w:val="111111"/>
          <w:sz w:val="28"/>
          <w:szCs w:val="28"/>
          <w:lang w:val="en-US" w:bidi="en-US"/>
        </w:rPr>
        <w:t>Polger, M. A. (2011). Student preferences in library website vocabulary. Library Philosophy and Practice, 2011. Retrieved from http://www. webpages.uidaho.edu/~mbolin/polger2.htm</w:t>
      </w:r>
    </w:p>
    <w:p>
      <w:pPr>
        <w:pStyle w:val="BookText"/>
        <w:rPr/>
      </w:pPr>
      <w:r>
        <w:rPr>
          <w:rFonts w:eastAsia="Times New Roman" w:cs="Times New Roman" w:ascii="Times New Roman" w:hAnsi="Times New Roman"/>
          <w:color w:val="111111"/>
          <w:sz w:val="28"/>
          <w:szCs w:val="28"/>
          <w:lang w:val="en-US" w:bidi="en-US"/>
        </w:rPr>
        <w:t>Ryan, S. M. (2008). Reference transactions analysis: The cost effectiveness of staffing a traditional reference desk. Journal of Academic Librarianship, 34(5), 389-99. DOI: 10.1016/j.acalib.2008.06.002</w:t>
      </w:r>
    </w:p>
    <w:p>
      <w:pPr>
        <w:pStyle w:val="BookText"/>
        <w:rPr/>
      </w:pPr>
      <w:r>
        <w:rPr>
          <w:rFonts w:eastAsia="Times New Roman" w:cs="Times New Roman" w:ascii="Times New Roman" w:hAnsi="Times New Roman"/>
          <w:color w:val="111111"/>
          <w:sz w:val="28"/>
          <w:szCs w:val="28"/>
          <w:lang w:val="en-US" w:bidi="en-US"/>
        </w:rPr>
        <w:t>Samson, S. and Oelz, E. (2005). The academic library as a full-service .information center. Journal of Academic Librarianship, 31(4), 347-351. doi: 10.1016/j.acalib.2005.04.013</w:t>
      </w:r>
    </w:p>
    <w:p>
      <w:pPr>
        <w:pStyle w:val="BookText"/>
        <w:rPr/>
      </w:pPr>
      <w:r>
        <w:rPr>
          <w:rFonts w:eastAsia="Times New Roman" w:cs="Times New Roman" w:ascii="Times New Roman" w:hAnsi="Times New Roman"/>
          <w:color w:val="111111"/>
          <w:sz w:val="28"/>
          <w:szCs w:val="28"/>
          <w:lang w:val="en-US" w:bidi="en-US"/>
        </w:rPr>
        <w:t>Scherdin, M. J. (2002). How well do we fit? Librarians and faculty in the academic setting. portal: Libraries and the Academy, 2(2), 237-53. doi:10.1353/pla.2002.0042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Schumann, R. (2014, May 12). Save our stacks. Slate. Retrieved from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http://www.slate.com/articles/life/education/2014/05/college_libraries_ should keep their books in the stacks.html</w:t>
      </w:r>
    </w:p>
    <w:p>
      <w:pPr>
        <w:pStyle w:val="BookText"/>
        <w:rPr/>
      </w:pPr>
      <w:r>
        <w:rPr>
          <w:rFonts w:eastAsia="Times New Roman" w:cs="Times New Roman" w:ascii="Times New Roman" w:hAnsi="Times New Roman"/>
          <w:color w:val="111111"/>
          <w:sz w:val="28"/>
          <w:szCs w:val="28"/>
          <w:lang w:val="en-US" w:bidi="en-US"/>
        </w:rPr>
        <w:t>Siegler, M. G. (2013, October 13). The end of the library. TechCrunch. Retrieved from http://techcrunch.com/2013/10/13/the-end-of-the-library/ Sonntag, G. and Palsson, F. (2007). No longer the sacred cow-no</w:t>
      </w:r>
    </w:p>
    <w:p>
      <w:pPr>
        <w:pStyle w:val="BookText"/>
        <w:rPr/>
      </w:pPr>
      <w:r>
        <w:rPr>
          <w:rFonts w:eastAsia="Times New Roman" w:cs="Times New Roman" w:ascii="Times New Roman" w:hAnsi="Times New Roman"/>
          <w:color w:val="111111"/>
          <w:sz w:val="28"/>
          <w:szCs w:val="28"/>
          <w:lang w:val="en-US" w:bidi="en-US"/>
        </w:rPr>
        <w:t>longer a desk: Transforming reference service to meet 21st century user needs. Library Philosophy and Practice, 2007. Retrieved from http:// unllib.unl.edu/LPP/sonntag-palsson.htm</w:t>
      </w:r>
    </w:p>
    <w:p>
      <w:pPr>
        <w:pStyle w:val="BookText"/>
        <w:rPr/>
      </w:pPr>
      <w:r>
        <w:rPr>
          <w:rFonts w:eastAsia="Times New Roman" w:cs="Times New Roman" w:ascii="Times New Roman" w:hAnsi="Times New Roman"/>
          <w:color w:val="111111"/>
          <w:sz w:val="28"/>
          <w:szCs w:val="28"/>
          <w:lang w:val="en-US" w:bidi="en-US"/>
        </w:rPr>
        <w:t>Stevens, C. R. (2007). Beyond preaching to the choir: Information literacy, faculty outreach, and disciplinary journals. The Journal of Academic Librarianship, 33(2), 254-267. doi: 10.1016/j.acalib.2006.08.009</w:t>
      </w:r>
    </w:p>
    <w:p>
      <w:pPr>
        <w:pStyle w:val="BookText"/>
        <w:rPr/>
      </w:pPr>
      <w:r>
        <w:rPr>
          <w:rFonts w:eastAsia="Times New Roman" w:cs="Times New Roman" w:ascii="Times New Roman" w:hAnsi="Times New Roman"/>
          <w:color w:val="111111"/>
          <w:sz w:val="28"/>
          <w:szCs w:val="28"/>
          <w:lang w:val="en-US" w:bidi="en-US"/>
        </w:rPr>
        <w:t>Stevens, C. R. (2013). Reference reviewed and re-envisioned: Revamping librarian and desk-centric services with LibStARs and LibAnswers. Journal of Academic Librarianship, 39(2), 202-214. doi: 10.1016/j.acalib.2012.11.006</w:t>
      </w:r>
    </w:p>
    <w:p>
      <w:pPr>
        <w:pStyle w:val="BookText"/>
        <w:rPr/>
      </w:pPr>
      <w:r>
        <w:rPr>
          <w:rFonts w:eastAsia="Times New Roman" w:cs="Times New Roman" w:ascii="Times New Roman" w:hAnsi="Times New Roman"/>
          <w:color w:val="111111"/>
          <w:sz w:val="28"/>
          <w:szCs w:val="28"/>
          <w:lang w:val="en-US" w:bidi="en-US"/>
        </w:rPr>
        <w:t>Watstein, S. B. and Bell, S. J. (2008). Is there a future for the reference desk? A point-counterpoint discussion. The Reference Librarian, 49(1), 1-20. doi: 10.1080/02763870802103258</w:t>
      </w:r>
    </w:p>
    <w:p>
      <w:pPr>
        <w:pStyle w:val="BookText"/>
        <w:rPr/>
      </w:pPr>
      <w:r>
        <w:rPr>
          <w:rFonts w:eastAsia="Times New Roman" w:cs="Times New Roman" w:ascii="Times New Roman" w:hAnsi="Times New Roman"/>
          <w:color w:val="111111"/>
          <w:sz w:val="28"/>
          <w:szCs w:val="28"/>
          <w:lang w:val="en-US" w:bidi="en-US"/>
        </w:rPr>
        <w:t>Zickuhr, K. (2013, May 28). In the digital age, parents value printed books for their kids. Pew Research Center. Retrieved from http://www</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pewresearch.org/fact-tank/2013/05/28/in-a-digital-age-parents-value-printed-books-for-their-kids</w:t>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9659_93920"/>
      <w:bookmarkStart w:id="220" w:name="pg9659_93920"/>
      <w:bookmarkEnd w:id="220"/>
    </w:p>
    <w:p>
      <w:pPr>
        <w:pStyle w:val="Heading2"/>
        <w:numPr>
          <w:ilvl w:val="1"/>
          <w:numId w:val="1"/>
        </w:numPr>
        <w:rPr/>
      </w:pPr>
      <w:bookmarkStart w:id="221" w:name="pg9659_93920"/>
      <w:bookmarkStart w:id="222" w:name="__RefHeading___Toc7825367_2870459653"/>
      <w:bookmarkStart w:id="223" w:name="_Toc78"/>
      <w:bookmarkEnd w:id="221"/>
      <w:bookmarkEnd w:id="222"/>
      <w:r>
        <w:rPr>
          <w:rtl w:val="true"/>
        </w:rPr>
        <w:t>چکیده</w:t>
      </w:r>
      <w:bookmarkEnd w:id="223"/>
    </w:p>
    <w:p>
      <w:pPr>
        <w:pStyle w:val="BookText"/>
        <w:rPr/>
      </w:pPr>
      <w:r>
        <w:rPr>
          <w:rFonts w:ascii="IRNazanin" w:hAnsi="IRNazanin" w:eastAsia="IRNazanin"/>
          <w:color w:val="111111"/>
          <w:sz w:val="28"/>
          <w:sz w:val="28"/>
          <w:szCs w:val="28"/>
          <w:rtl w:val="true"/>
          <w:lang w:bidi="fa-IR"/>
        </w:rPr>
        <w:t xml:space="preserve">در این مقاله، هدف نشان دادن این بود که چگونه فَگفوربِندِت </w:t>
      </w:r>
      <w:r>
        <w:rPr>
          <w:rStyle w:val="FootnoteAnchor"/>
          <w:rtl w:val="true"/>
        </w:rPr>
        <w:footnoteReference w:id="389"/>
      </w:r>
      <w:r>
        <w:rPr>
          <w:rFonts w:ascii="IRNazanin" w:hAnsi="IRNazanin" w:eastAsia="IRNazanin"/>
          <w:color w:val="111111"/>
          <w:sz w:val="28"/>
          <w:sz w:val="28"/>
          <w:szCs w:val="28"/>
          <w:rtl w:val="true"/>
          <w:lang w:bidi="fa-IR"/>
        </w:rPr>
        <w:t>، اتحادیه ای که من نمایندگی آن را دارم، نه تنها برای دستمزد منصفانه و همه شرایط کاری برای افرادی که در کتاب خانه ها فعالیت می کنند، مبارزه می کند، بلکه برای داشتن بهترین کتاب خانه به عنوان موسسه ای برای افرادی که استفاده کننده آن هستند نیز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جنبه ای کلیتر در مورد این موضوعات را توصیف کنم که درک سنتی از نقش تجاری اتحادیه را دنبال می کند، ما از کتاب خانه مدرسه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کتاب خانه ای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کنیم، نه به خاطر این که ما اعضای کاری اتحادیه را این جا داریم، بلکه به خاطر وجود خود کتاب خانه ها و به عنوان موسسه ای مهم در زندگی روزمره بسیاری از زنان و مردان استمرار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در شکل گیری جامعه ای بهتر و همراه آن، خدمات کتاب خانه ای بهتر مشارکت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فَگفوربِندِت، البته قادر به انجام چنین وظایف سنگینی در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آزمایشگاهی برای این اهداف داریم و از این موضوعات در همکاری با سایر اتحادیه ها سازمان ها و سیاستمداران دیگر شاخه های جامعه مدنی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کلیدی در این فعالیت مفهوم گفتگوی اجتماعی و متقابل، مسئول همکاری با چارچوب های جامعه ای دموکراتیک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اندک حقایقی درباره نروژ آغاز کردم که به شما ایده ای در مورد بافتی که ما فعالیت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نمونه نروژی را بحث می کنم؛ چرا فَگفوربِندِت، به عنوان اتحادیه ای تجاری، باید از کتاب خانه های مدرسه حمایت کند؛ و مسائل آینده و درگیری ها هنوز برای مبارزه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بررسی به این نتیجه 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قوی نیازمند کتاب خانه های مدرسه قوی هستند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کتاب خانه های مدرسه، نروژ اتحادیه ها </w:t>
      </w:r>
      <w:bookmarkStart w:id="224" w:name="pg9659_93921"/>
    </w:p>
    <w:p>
      <w:pPr>
        <w:pStyle w:val="Heading2"/>
        <w:numPr>
          <w:ilvl w:val="1"/>
          <w:numId w:val="1"/>
        </w:numPr>
        <w:rPr/>
      </w:pPr>
      <w:bookmarkStart w:id="225" w:name="__RefHeading___Toc7825369_2870459653"/>
      <w:bookmarkStart w:id="226" w:name="_Toc79"/>
      <w:bookmarkEnd w:id="224"/>
      <w:bookmarkEnd w:id="225"/>
      <w:r>
        <w:rPr>
          <w:rtl w:val="true"/>
        </w:rPr>
        <w:t>چرا اتحادیه ها باید از کتاب خانه های مدارس حمایت کنند؟ نمونه نروژی</w:t>
      </w:r>
      <w:bookmarkEnd w:id="226"/>
    </w:p>
    <w:p>
      <w:pPr>
        <w:pStyle w:val="Heading3"/>
        <w:numPr>
          <w:ilvl w:val="2"/>
          <w:numId w:val="1"/>
        </w:numPr>
        <w:rPr/>
      </w:pPr>
      <w:bookmarkStart w:id="227" w:name="__RefHeading___Toc7825371_2870459653"/>
      <w:bookmarkStart w:id="228" w:name="_Toc80"/>
      <w:bookmarkEnd w:id="227"/>
      <w:r>
        <w:rPr>
          <w:rtl w:val="true"/>
        </w:rPr>
        <w:t>اشاره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اتحادیه ها باید از کتاب خانه های مدارس حمایت کنند؟ نمونه نروژی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نوشته مّت هنریکسِن اوس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زینب پاپی </w:t>
      </w:r>
      <w:r>
        <w:rPr>
          <w:rStyle w:val="FootnoteAnchor"/>
          <w:rtl w:val="true"/>
        </w:rPr>
        <w:footnoteReference w:id="394"/>
      </w:r>
    </w:p>
    <w:p>
      <w:pPr>
        <w:pStyle w:val="Heading3"/>
        <w:numPr>
          <w:ilvl w:val="2"/>
          <w:numId w:val="1"/>
        </w:numPr>
        <w:rPr/>
      </w:pPr>
      <w:bookmarkStart w:id="229" w:name="__RefHeading___Toc7825373_2870459653"/>
      <w:bookmarkStart w:id="230" w:name="_Toc81"/>
      <w:bookmarkEnd w:id="229"/>
      <w:r>
        <w:rPr>
          <w:rtl w:val="true"/>
        </w:rPr>
        <w:t>مقدمه</w:t>
      </w:r>
      <w:bookmarkEnd w:id="2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نروژ اسکاندیناوی، کشوری اروپایی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آن عمدتاً شامل بخش غربی شبه جزیره اسکاندیناوی </w:t>
      </w:r>
      <w:r>
        <w:rPr>
          <w:rStyle w:val="FootnoteAnchor"/>
          <w:rtl w:val="true"/>
        </w:rPr>
        <w:footnoteReference w:id="3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با نوار طولانی، خط ساحلی و در امتداد توسعه آتلانتیک شمالی </w:t>
      </w:r>
      <w:r>
        <w:rPr>
          <w:rStyle w:val="FootnoteAnchor"/>
          <w:rtl w:val="true"/>
        </w:rPr>
        <w:footnoteReference w:id="396"/>
      </w:r>
      <w:r>
        <w:rPr>
          <w:rFonts w:ascii="IRNazanin" w:hAnsi="IRNazanin" w:eastAsia="IRNazanin"/>
          <w:color w:val="111111"/>
          <w:sz w:val="28"/>
          <w:sz w:val="28"/>
          <w:szCs w:val="28"/>
          <w:rtl w:val="true"/>
          <w:lang w:bidi="fa-IR"/>
        </w:rPr>
        <w:t>داخل خلیج تنگ مشهوری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نسبتاً با وسعت کم </w:t>
      </w:r>
      <w:r>
        <w:rPr>
          <w:rFonts w:eastAsia="IRNazanin" w:cs="IRNazanin"/>
          <w:color w:val="111111"/>
          <w:sz w:val="28"/>
          <w:szCs w:val="28"/>
          <w:lang w:bidi="fa-IR"/>
        </w:rPr>
        <w:t>385000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مربع با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شمالی کشور در منطقه قطب شمال، اما آب های گرم گلف استریم </w:t>
      </w:r>
      <w:r>
        <w:rPr>
          <w:rStyle w:val="FootnoteAnchor"/>
          <w:rtl w:val="true"/>
        </w:rPr>
        <w:footnoteReference w:id="397"/>
      </w:r>
      <w:r>
        <w:rPr>
          <w:rFonts w:ascii="IRNazanin" w:hAnsi="IRNazanin" w:eastAsia="IRNazanin"/>
          <w:color w:val="111111"/>
          <w:sz w:val="28"/>
          <w:sz w:val="28"/>
          <w:szCs w:val="28"/>
          <w:rtl w:val="true"/>
          <w:lang w:bidi="fa-IR"/>
        </w:rPr>
        <w:t>ویژگی های سخت زمستان قطب شمال 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غنی از نفت، گاز، الوار، غذای دریایی، آب شیرین و نیروی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Style w:val="FootnoteAnchor"/>
          <w:rtl w:val="true"/>
        </w:rPr>
        <w:footnoteReference w:id="3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نفت حدود یک چهارم از تولید ناخالص داخلی نروژ را تشکیل می دهد </w:t>
      </w:r>
    </w:p>
    <w:p>
      <w:pPr>
        <w:pStyle w:val="BookText"/>
        <w:rPr/>
      </w:pPr>
      <w:r>
        <w:rPr>
          <w:rFonts w:ascii="IRNazanin" w:hAnsi="IRNazanin" w:eastAsia="IRNazanin"/>
          <w:color w:val="111111"/>
          <w:sz w:val="28"/>
          <w:sz w:val="28"/>
          <w:szCs w:val="28"/>
          <w:rtl w:val="true"/>
          <w:lang w:bidi="fa-IR"/>
        </w:rPr>
        <w:t xml:space="preserve">نروژ مجلس مردم سالاری و حکومت آن پادشاهی قانونی و هارولد پنجم </w:t>
      </w:r>
      <w:r>
        <w:rPr>
          <w:rStyle w:val="FootnoteAnchor"/>
          <w:rtl w:val="true"/>
        </w:rPr>
        <w:footnoteReference w:id="399"/>
      </w:r>
      <w:r>
        <w:rPr>
          <w:rFonts w:ascii="IRNazanin" w:hAnsi="IRNazanin" w:eastAsia="IRNazanin"/>
          <w:color w:val="111111"/>
          <w:sz w:val="28"/>
          <w:sz w:val="28"/>
          <w:szCs w:val="28"/>
          <w:rtl w:val="true"/>
          <w:lang w:bidi="fa-IR"/>
        </w:rPr>
        <w:t xml:space="preserve">پادشاه و رئیس دولت و ارنا سالبرگ </w:t>
      </w:r>
      <w:r>
        <w:rPr>
          <w:rStyle w:val="FootnoteAnchor"/>
          <w:rtl w:val="true"/>
        </w:rPr>
        <w:footnoteReference w:id="400"/>
      </w:r>
      <w:r>
        <w:rPr>
          <w:rFonts w:ascii="IRNazanin" w:hAnsi="IRNazanin" w:eastAsia="IRNazanin"/>
          <w:color w:val="111111"/>
          <w:sz w:val="28"/>
          <w:sz w:val="28"/>
          <w:szCs w:val="28"/>
          <w:rtl w:val="true"/>
          <w:lang w:bidi="fa-IR"/>
        </w:rPr>
        <w:t>نخست وزیر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عضویت نروژ در اتحادیه اروپا </w:t>
      </w:r>
      <w:r>
        <w:rPr>
          <w:rStyle w:val="FootnoteAnchor"/>
          <w:rtl w:val="true"/>
        </w:rPr>
        <w:footnoteReference w:id="401"/>
      </w:r>
      <w:r>
        <w:rPr>
          <w:rFonts w:ascii="IRNazanin" w:hAnsi="IRNazanin" w:eastAsia="IRNazanin"/>
          <w:color w:val="111111"/>
          <w:sz w:val="28"/>
          <w:sz w:val="28"/>
          <w:szCs w:val="28"/>
          <w:rtl w:val="true"/>
          <w:lang w:bidi="fa-IR"/>
        </w:rPr>
        <w:t>با دو همه پرسی به شکست انجامیده، اما نروژ روابط نزدیک خود را با اتحادیه اروپا و ایالات متحده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دولتی واحد با دو سطح اداری استان و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نروژ شامل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است، بیشتر آن ها عمدتاً جوامع روستایی با کم 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در نروژ وجود دارد که مردم باید قادر به انتخاب محل زندگی خود باشند و هنوز دسترسی برابر به خدمات عمومی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نروژی، عمومی بوده و توسط دولت تأمین می شود، تنها درصد کمی از کودکان در مدارس خصوصی آموزش می بینند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مدارس خصوصی </w:t>
      </w:r>
      <w:r>
        <w:rPr>
          <w:rStyle w:val="FootnoteAnchor"/>
          <w:rtl w:val="true"/>
        </w:rPr>
        <w:footnoteReference w:id="403"/>
      </w:r>
      <w:r>
        <w:rPr>
          <w:rFonts w:ascii="IRNazanin" w:hAnsi="IRNazanin" w:eastAsia="IRNazanin"/>
          <w:color w:val="111111"/>
          <w:sz w:val="28"/>
          <w:sz w:val="28"/>
          <w:szCs w:val="28"/>
          <w:rtl w:val="true"/>
          <w:lang w:bidi="fa-IR"/>
        </w:rPr>
        <w:t>تقریباً به طور انحصاری بر اساس منحصراً فن ها یا گفتارهای آموزشی جایگزین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کلی در نروژ وجود دارد که مدرسه عمومی در پذیرش فرصت برابر برای هر دانش آموز با هر پیشینه خانوادگی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کتاب خانه های عمومی </w:t>
      </w:r>
      <w:r>
        <w:rPr>
          <w:rStyle w:val="FootnoteAnchor"/>
          <w:rtl w:val="true"/>
        </w:rPr>
        <w:footnoteReference w:id="404"/>
      </w:r>
      <w:r>
        <w:rPr>
          <w:rFonts w:ascii="IRNazanin" w:hAnsi="IRNazanin" w:eastAsia="IRNazanin"/>
          <w:color w:val="111111"/>
          <w:sz w:val="28"/>
          <w:sz w:val="28"/>
          <w:szCs w:val="28"/>
          <w:rtl w:val="true"/>
          <w:lang w:bidi="fa-IR"/>
        </w:rPr>
        <w:t>از همه شهرداری ها درخواست ارائه خدمات کتاب خانه عمومی را دارد که در کل توسط شهرداری اداره و با کتاب داری تعلیم دیده رهبری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استان ها و دولت مالکیت و اداره خدمات کتاب خانه را برای حفظ منفعت ملی و ناحیه ای عهده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آموزش به همه دانش آموزان در آموزش پایه، حق دسترسی به کتاب خانه مدارس را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متمایز دیگر نروژ، تراکم بالای اتحادیه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کارمندان بخش دولتی وارد اتحادیه شده اند، در حالی که بخش خصوصی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گفتن چند حقایق اصلی در مورد کشورم، من اکنون مایلم کلماتی چند در مورد این مفاهیم و مؤسسات ترکیبی که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نروژی</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می نامیم،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نروژی نظام نیمه نهادی از مشارکت اجتماعی و مذاکره است که ثابت نموده برای کشور و زندگی ما در این جا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نروژ کشوری پرهزینه است و رقابت پذیری ما تا حد زیادی به نیروی کار تحصیل کرده و سازگار و توانایی های خلاقانه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نروژی برای مردم سالاری خود شناخته شده است، تقریباً اشتغال کامل و محکم و سیستم رفاه عمومی وجود دارد</w:t>
      </w:r>
      <w:r>
        <w:rPr>
          <w:rFonts w:eastAsia="IRNazanin" w:cs="IRNazanin"/>
          <w:color w:val="111111"/>
          <w:sz w:val="28"/>
          <w:szCs w:val="28"/>
          <w:rtl w:val="true"/>
          <w:lang w:bidi="fa-IR"/>
        </w:rPr>
        <w:t xml:space="preserve">. </w:t>
      </w:r>
      <w:bookmarkStart w:id="231" w:name="pg9659_93923"/>
    </w:p>
    <w:p>
      <w:pPr>
        <w:pStyle w:val="BookText"/>
        <w:rPr/>
      </w:pPr>
      <w:bookmarkEnd w:id="231"/>
      <w:r>
        <w:rPr>
          <w:rFonts w:ascii="IRNazanin" w:hAnsi="IRNazanin" w:eastAsia="IRNazanin"/>
          <w:color w:val="111111"/>
          <w:sz w:val="28"/>
          <w:sz w:val="28"/>
          <w:szCs w:val="28"/>
          <w:rtl w:val="true"/>
          <w:lang w:bidi="fa-IR"/>
        </w:rPr>
        <w:t>نروژی ها مایل اند تصور کنند که نروژ به عنوان جامعه ای تساوی گرا، با تفاوت های کم تر در استانداردهای زندگی در مقایسه با بسیاری دیگر از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مدرسه ما در نظر دارد که از این فلسفه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نروژی ها، این نظر به طور گسترده ای گفته می شود که نظام عمل کردی خوب، آموزش و اجتماعی کردن کودکان و نوجوانان را ارائه می کند تا آن ها را قادر سازد در جامعه شغل، دستمزد و زندگی شایسته و مناسب کسب کنند</w:t>
      </w:r>
      <w:r>
        <w:rPr>
          <w:rFonts w:eastAsia="IRNazanin" w:cs="IRNazanin"/>
          <w:color w:val="111111"/>
          <w:sz w:val="28"/>
          <w:szCs w:val="28"/>
          <w:rtl w:val="true"/>
          <w:lang w:bidi="fa-IR"/>
        </w:rPr>
        <w:t>.</w:t>
      </w:r>
    </w:p>
    <w:p>
      <w:pPr>
        <w:pStyle w:val="Heading3"/>
        <w:numPr>
          <w:ilvl w:val="2"/>
          <w:numId w:val="1"/>
        </w:numPr>
        <w:rPr/>
      </w:pPr>
      <w:bookmarkStart w:id="232" w:name="__RefHeading___Toc7825375_2870459653"/>
      <w:bookmarkStart w:id="233" w:name="_Toc82"/>
      <w:bookmarkEnd w:id="232"/>
      <w:r>
        <w:rPr>
          <w:rtl w:val="true"/>
        </w:rPr>
        <w:t>روابط صنعتی</w:t>
      </w:r>
      <w:bookmarkEnd w:id="233"/>
    </w:p>
    <w:p>
      <w:pPr>
        <w:pStyle w:val="BookText"/>
        <w:rPr/>
      </w:pPr>
      <w:r>
        <w:rPr>
          <w:rFonts w:ascii="IRNazanin" w:hAnsi="IRNazanin" w:eastAsia="IRNazanin"/>
          <w:color w:val="111111"/>
          <w:sz w:val="28"/>
          <w:sz w:val="28"/>
          <w:szCs w:val="28"/>
          <w:rtl w:val="true"/>
          <w:lang w:bidi="fa-IR"/>
        </w:rPr>
        <w:t>روابط صنعتی در نروژ با سازمان های قدرتمند توصیف می شود، نظام رفاه عمومی و سنت مشارکت اجتماعی سه جانبه میان سازمان ها، کارفرمایان و کارگران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صنعتی مثبت اغلب به عنوان پیش شرط اصلی برای موفقیت نسبی اقتصاد نروژ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کلی این است که روابط صنعتی به خوبی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ایمنی و بهداشت حرفه ای بالا، سطح بالایی از مشارکت نیروی کار، نرخ پایین بیکاری، نرخ بهره وری که در میان دنیا بالاترین هستیم را حفظ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نامه های جمعی ملی را پایه و اساس همکاری احزاب صنعتی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 نامه ها وظایف و حقوق رابطه ای برای احزاب و اعضای سازمان دهی شده آن 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معمولاً بر طبق خط صنعتی آن ها سازمان دهی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های تجاری ملی معمولاً شعبه های محلی در محیط کار دارند که آن ها نیز دارای اعضایی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اتحادیه ها با هم در چند کنفدراسیون بزرگ ملی به هم ملحق می شوند، اما موارد استثنائی از غیر کنفدراسیون، اتحادیه های مستقل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ها ممکن است کارگران را در حرفه ای خاص، یا آموزش معین سازمان دهی کنند، یا آن ها ممکن است همه کارگران با شرکتی مشخص یا با خط مشخص از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 یا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فَگفوربِندِت بخشی از کنفدراسیون نروژی اتحادیه های کارگری </w:t>
      </w:r>
      <w:r>
        <w:rPr>
          <w:rStyle w:val="FootnoteAnchor"/>
          <w:rtl w:val="true"/>
        </w:rPr>
        <w:footnoteReference w:id="406"/>
      </w:r>
      <w:r>
        <w:rPr>
          <w:rFonts w:ascii="IRNazanin" w:hAnsi="IRNazanin" w:eastAsia="IRNazanin"/>
          <w:color w:val="111111"/>
          <w:sz w:val="28"/>
          <w:sz w:val="28"/>
          <w:szCs w:val="28"/>
          <w:rtl w:val="true"/>
          <w:lang w:bidi="fa-IR"/>
        </w:rPr>
        <w:t>است و هدف آن سازمان دهی تمام گروه های کارگری در بخش شهری است</w:t>
      </w:r>
      <w:r>
        <w:rPr>
          <w:rFonts w:eastAsia="IRNazanin" w:cs="IRNazanin"/>
          <w:color w:val="111111"/>
          <w:sz w:val="28"/>
          <w:szCs w:val="28"/>
          <w:rtl w:val="true"/>
          <w:lang w:bidi="fa-IR"/>
        </w:rPr>
        <w:t>.</w:t>
      </w:r>
    </w:p>
    <w:p>
      <w:pPr>
        <w:pStyle w:val="Heading3"/>
        <w:numPr>
          <w:ilvl w:val="2"/>
          <w:numId w:val="1"/>
        </w:numPr>
        <w:rPr/>
      </w:pPr>
      <w:bookmarkStart w:id="234" w:name="__RefHeading___Toc7825377_2870459653"/>
      <w:bookmarkStart w:id="235" w:name="_Toc83"/>
      <w:bookmarkEnd w:id="234"/>
      <w:r>
        <w:rPr>
          <w:rtl w:val="true"/>
        </w:rPr>
        <w:t>مشارکت اجتماعی سه جانبه</w:t>
      </w:r>
      <w:r>
        <w:rPr>
          <w:rtl w:val="true"/>
        </w:rPr>
        <w:t>:</w:t>
      </w:r>
      <w:bookmarkEnd w:id="235"/>
    </w:p>
    <w:p>
      <w:pPr>
        <w:pStyle w:val="BookText"/>
        <w:rPr/>
      </w:pPr>
      <w:r>
        <w:rPr>
          <w:rFonts w:ascii="IRNazanin" w:hAnsi="IRNazanin" w:eastAsia="IRNazanin"/>
          <w:color w:val="111111"/>
          <w:sz w:val="28"/>
          <w:sz w:val="28"/>
          <w:szCs w:val="28"/>
          <w:rtl w:val="true"/>
          <w:lang w:bidi="fa-IR"/>
        </w:rPr>
        <w:t>سه حزب که همکاری اجتماعی سه جانبه را تشکیل می دهند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های تجاری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کارفرمایان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سازمان های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همکاری سه جانبه در نروژ در دهه های بعد از جنگ جهانی دوم رسمی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درگیری های</w:t>
      </w:r>
      <w:bookmarkStart w:id="236" w:name="pg9659_93924"/>
    </w:p>
    <w:p>
      <w:pPr>
        <w:pStyle w:val="BookText"/>
        <w:rPr/>
      </w:pPr>
      <w:bookmarkEnd w:id="236"/>
      <w:r>
        <w:rPr>
          <w:rFonts w:ascii="IRNazanin" w:hAnsi="IRNazanin" w:eastAsia="IRNazanin"/>
          <w:color w:val="111111"/>
          <w:sz w:val="28"/>
          <w:sz w:val="28"/>
          <w:szCs w:val="28"/>
          <w:rtl w:val="true"/>
          <w:lang w:bidi="fa-IR"/>
        </w:rPr>
        <w:t xml:space="preserve">تلخ، اعتصابات و بستن کارخانه ها در سال 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احزاب صنعتی مایل به حل و فصل برخی از مسائل اصلی با اجماع، در گفتگوی نزدیک با دولت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سه جانبه بعدها در مذاکره طرح های توسعه بهره وری در دو بخش عمومی و خصوصی به کار رفت که قادر به انتقال نسبتاً کم اصطکاک به روش های تولید با فناوری بالا در صنایع اصلی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فَگفوربِندِت به عنوان نروژی هایی که عادت به مذاکره، همکاری و مشارکت دارند، این سنت گفتگو و همکاری را به کار می برد تا از کتاب خانه های مدرسه بیشتر و بهتر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زمین</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ما قادر به حمایت از خدمات بهبود یافته هستیم، مناطق فاقد بودجه و همکاری را نشان می دهد تا مطمئن شوید که به طور مثال، مدارس جدید ساخته شده است و کاملاً مجهز برای ارائه خدمات کتاب خانه به دانش آموزان و عموم به طور کل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سطوح ملی و محلی، اتحادیه ممکن است برای بودجه عمومی کافی، اطمینان از این که کتاب خانه های مدرسه کارمند آموزش دیده، کتاب ها و رسانه به روز دارند لابی کند، دانستن استانداردهای قانون گذاری در این تضمین کافی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فرایند چانه زنی جمعی سالانه، اتحادیه ها برای دستمزدهای مناسب و شرایط کاری برای اعضای خود، از جمله کتاب داران مدارس مبارزه می کنند که به خوبی آگاهی دارند که دستمزد معقول و شرایط کاری برای حفظ خدمات عمومی با کیفیت بالا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باور داریم که بسیج افکار عمومی، راهبرد و سیاستی دموکراتیک و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بسیجی ممکن است از مالکیت سازمان ما در سطح ملی، منطقه ای و محلی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اتحادیه ممکن است ارتباط خود را در فعالیت سیاسی با سایر سازمان ها، گروه های اجتماعی یا شهروندان خاص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ما، همان گونه که ذکر شد، بسیاری از متخصصان مختلف را سازمان دهی می کنند و این مسئله ما را قادر می سازد که با مردم از تمام جنبه های زندگی ارتباط برقرار کنیم</w:t>
      </w:r>
      <w:r>
        <w:rPr>
          <w:rFonts w:eastAsia="IRNazanin" w:cs="IRNazanin"/>
          <w:color w:val="111111"/>
          <w:sz w:val="28"/>
          <w:szCs w:val="28"/>
          <w:rtl w:val="true"/>
          <w:lang w:bidi="fa-IR"/>
        </w:rPr>
        <w:t>.</w:t>
      </w:r>
    </w:p>
    <w:p>
      <w:pPr>
        <w:pStyle w:val="Heading3"/>
        <w:numPr>
          <w:ilvl w:val="2"/>
          <w:numId w:val="1"/>
        </w:numPr>
        <w:rPr/>
      </w:pPr>
      <w:bookmarkStart w:id="237" w:name="__RefHeading___Toc7825379_2870459653"/>
      <w:bookmarkStart w:id="238" w:name="_Toc84"/>
      <w:bookmarkEnd w:id="237"/>
      <w:r>
        <w:rPr>
          <w:rtl w:val="true"/>
        </w:rPr>
        <w:t>چرا فَگفوربِندِت به عنوان اتحادیه ای تجاری برای کتاب خانه های مدارس مبارزه می کند؟</w:t>
      </w:r>
      <w:bookmarkEnd w:id="238"/>
    </w:p>
    <w:p>
      <w:pPr>
        <w:pStyle w:val="BookText"/>
        <w:rPr/>
      </w:pPr>
      <w:r>
        <w:rPr>
          <w:rFonts w:ascii="IRNazanin" w:hAnsi="IRNazanin" w:eastAsia="IRNazanin"/>
          <w:color w:val="111111"/>
          <w:sz w:val="28"/>
          <w:sz w:val="28"/>
          <w:szCs w:val="28"/>
          <w:rtl w:val="true"/>
          <w:lang w:bidi="fa-IR"/>
        </w:rPr>
        <w:t>دانش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و قدرت، شما واقعاً باید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برای بیشتر ما مشخص باشد، اما همان زمان ما می دانیم که بسیاری از کودکان و بزرگسالان در خواندن مشکل دارند و برخی از آن ها آموزش کافی را از دست می 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شناخته شده به ما می گوید که دسترسی به کتاب ها از سنین پایین تأثیر عمده ای بر توان کودک برای مقابله با نظام آموزشی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والدین شما در قفسه ها قرار دارند، این شانس </w:t>
      </w:r>
      <w:bookmarkStart w:id="239" w:name="pg9659_93925"/>
    </w:p>
    <w:p>
      <w:pPr>
        <w:pStyle w:val="BookText"/>
        <w:rPr/>
      </w:pPr>
      <w:bookmarkEnd w:id="239"/>
      <w:r>
        <w:rPr>
          <w:rFonts w:ascii="IRNazanin" w:hAnsi="IRNazanin" w:eastAsia="IRNazanin"/>
          <w:color w:val="111111"/>
          <w:sz w:val="28"/>
          <w:sz w:val="28"/>
          <w:szCs w:val="28"/>
          <w:rtl w:val="true"/>
          <w:lang w:bidi="fa-IR"/>
        </w:rPr>
        <w:t>شما برای موفقیت در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اعضای اتحادیه من هیچ آموزش رسمی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فَگفوربِندِت موضوعی را با اولویت بالا برای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سواد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از طریق کمک به اعضای ما برای رسیدن به تحصیلات رسمی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مهارت ها و تحصیل کرده خوب، اعتماد به نفس را بالا برده و شما با شجاعت بر ایستادن آن چه که شما باور به حق دارید یا برای مبارزه علیه آن چه که اشتباه است، عرضه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خواندن و مردم سالاری سخت به هم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سالاری به بحث منصفانه و باز مربوط می شود، در شرایط برابر، همه شهروندان و مؤسسات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 کنیم که مهم است هر فردی بتواند به اطلاعات و دانش ضروری دسترسی داشته باشد، نه تنها کسانی که در حال حاضر با ثروت و قدرت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خانه ها در کل و به طور خاص کتاب خانه های مدرسه، نقش مهمی در شکل گیری آینده جوامع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اتحادیه ها باید برای کتاب خانه های مدرسه مبارزه کنند، باید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باور داریم کتاب خانه های مدرسه تضمین می کنند که هر کودکی به دانش پایه مورد نیاز دسترسی یافته و به شخصی مستقل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با دسترسی به کتاب خانه مدرسه جامع همیشه خواهند فهمید که چگونه اطلاعات کافی را یافته و پاسخ سؤالات خود را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کودکان نیاز دارند که برای تفاوت بین حقایق واقعی از جعلی </w:t>
      </w:r>
      <w:r>
        <w:rPr>
          <w:rStyle w:val="FootnoteAnchor"/>
          <w:rtl w:val="true"/>
        </w:rPr>
        <w:footnoteReference w:id="409"/>
      </w:r>
      <w:r>
        <w:rPr>
          <w:rFonts w:ascii="IRNazanin" w:hAnsi="IRNazanin" w:eastAsia="IRNazanin"/>
          <w:color w:val="111111"/>
          <w:sz w:val="28"/>
          <w:sz w:val="28"/>
          <w:szCs w:val="28"/>
          <w:rtl w:val="true"/>
          <w:lang w:bidi="fa-IR"/>
        </w:rPr>
        <w:t>آموزش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مدرسه ممکن است یکی از چندین شیوه ای باشد که ما بتوانیم نابرابری اجتماعی را خنثی کنیم</w:t>
      </w:r>
      <w:r>
        <w:rPr>
          <w:rFonts w:eastAsia="IRNazanin" w:cs="IRNazanin"/>
          <w:color w:val="111111"/>
          <w:sz w:val="28"/>
          <w:szCs w:val="28"/>
          <w:rtl w:val="true"/>
          <w:lang w:bidi="fa-IR"/>
        </w:rPr>
        <w:t>.</w:t>
      </w:r>
    </w:p>
    <w:p>
      <w:pPr>
        <w:pStyle w:val="Heading3"/>
        <w:numPr>
          <w:ilvl w:val="2"/>
          <w:numId w:val="1"/>
        </w:numPr>
        <w:rPr/>
      </w:pPr>
      <w:bookmarkStart w:id="240" w:name="__RefHeading___Toc7825381_2870459653"/>
      <w:bookmarkStart w:id="241" w:name="_Toc85"/>
      <w:bookmarkEnd w:id="240"/>
      <w:r>
        <w:rPr>
          <w:rtl w:val="true"/>
        </w:rPr>
        <w:t xml:space="preserve">مسائل آینده </w:t>
      </w:r>
      <w:r>
        <w:rPr>
          <w:rtl w:val="true"/>
        </w:rPr>
        <w:t xml:space="preserve">/ </w:t>
      </w:r>
      <w:r>
        <w:rPr>
          <w:rtl w:val="true"/>
        </w:rPr>
        <w:t>مبارزه هنوز مبارزه شود</w:t>
      </w:r>
      <w:bookmarkEnd w:id="241"/>
    </w:p>
    <w:p>
      <w:pPr>
        <w:pStyle w:val="BookText"/>
        <w:rPr/>
      </w:pPr>
      <w:r>
        <w:rPr>
          <w:rFonts w:ascii="IRNazanin" w:hAnsi="IRNazanin" w:eastAsia="IRNazanin"/>
          <w:color w:val="111111"/>
          <w:sz w:val="28"/>
          <w:sz w:val="28"/>
          <w:szCs w:val="28"/>
          <w:rtl w:val="true"/>
          <w:lang w:bidi="fa-IR"/>
        </w:rPr>
        <w:t>نمونه نروژی فرصت هایی را از طریق گفتگو و همکاری ارائه می کند؛ اما با این حال بر درگیری های سیاسی و اقتصادی مورد علاقه اصرار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پیروزی تا ابد برنده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مراقب حملات به نظام رفاهی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حتی پس از انتخابات عمومی سال گذشته مهم تر است که توسط احزاب با هدف کوچک کردن و تضعیف دولت رفاه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هایی برای خصوصی کردن بخش های بزرگی از بخش دولتی وجود دارد، </w:t>
      </w:r>
      <w:bookmarkStart w:id="242" w:name="pg9659_93926"/>
    </w:p>
    <w:p>
      <w:pPr>
        <w:pStyle w:val="BookText"/>
        <w:rPr/>
      </w:pPr>
      <w:bookmarkEnd w:id="242"/>
      <w:r>
        <w:rPr>
          <w:rFonts w:ascii="IRNazanin" w:hAnsi="IRNazanin" w:eastAsia="IRNazanin"/>
          <w:color w:val="111111"/>
          <w:sz w:val="28"/>
          <w:sz w:val="28"/>
          <w:szCs w:val="28"/>
          <w:rtl w:val="true"/>
          <w:lang w:bidi="fa-IR"/>
        </w:rPr>
        <w:t>به این ترتیب بودجه عمومی موجود به عنوان منبع درآمد برای خصوصی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کارگری </w:t>
      </w:r>
      <w:r>
        <w:rPr>
          <w:rStyle w:val="FootnoteAnchor"/>
          <w:rtl w:val="true"/>
        </w:rPr>
        <w:footnoteReference w:id="410"/>
      </w:r>
      <w:r>
        <w:rPr>
          <w:rFonts w:ascii="IRNazanin" w:hAnsi="IRNazanin" w:eastAsia="IRNazanin"/>
          <w:color w:val="111111"/>
          <w:sz w:val="28"/>
          <w:sz w:val="28"/>
          <w:szCs w:val="28"/>
          <w:rtl w:val="true"/>
          <w:lang w:bidi="fa-IR"/>
        </w:rPr>
        <w:t>در برابر چنین برنامه های خصوصی سازی مقاومت می کند، با این استدلال که این برنامه ها به هدر دادن پول و ارائه خدمات با کیفیت ضعیف تر منجر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 چنین در طول زمان هایی که متحدان سیاسی ما در موقعیت هستند، ما به مبارزه برای حقوق خود، اعضا و جوامع خود متعهد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نیازهای پولی بیشتر وجود خواهد داشت تا نیازها را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های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نرم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مؤسسات هستند و ممکن است به آسانی طعمه فشار سیاستمداران در نیاز فوری برای تعادل بودجه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آموزشی و فرهنگی ممکن نیست موضوعات فوری زندگی یا مرگ باشند، بلکه تضعیف آن ها به ناچار سنت های دموکراتیک ما را ضعیف خواهد کرد و به طور مؤثری مقابله در برابر افزایش نابرابری اجتماعی و به دنبال آن بحران مالی مشکل بیشتری را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شرکت های خصوصی وجود دارد و هنوز هم هست که تا حدودی به رقابت می پردازند و تا حدی نیز مکمل خدمات عمومی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اصلی اتحادیه این خواهد بود که تضمین کند که خدمات عمومی مطابق با استانداردهای کیفیت بالا و دسترسی برابر توسعه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اتحادیه کارگری، ما به شدت این نظر را رد می کنیم که اجازه به افزایش تفاوت ها در ثروت و درآمد را می دهد که تأثیر روبه رشدی در شکل گیری آینده فرزندان جوان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چالش های اصلی برای رقمی سازی جامعه، تشخیص حقایق واقعی از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طوفانی از انواع اطلاعات مواجه هستیم، از تعداد منابع به ظاهر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آموزش در دانشکده ها به منظور مقابله با اطلاعات تفکیک نشده مشابه و اغلب سؤال برانگیز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فَگفوربِندِت معتقد است که کتاب خانه مدرسه نقطه شروع مناسبی برای آموزش کودکان در تفکر انتقادی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داران مدرسه مهارت های تخصصی برای تدریس به کودکان را کسب می کنند که چگونه منابع مستقل را جستجو کنند</w:t>
      </w:r>
      <w:r>
        <w:rPr>
          <w:rFonts w:eastAsia="IRNazanin" w:cs="IRNazanin"/>
          <w:color w:val="111111"/>
          <w:sz w:val="28"/>
          <w:szCs w:val="28"/>
          <w:rtl w:val="true"/>
          <w:lang w:bidi="fa-IR"/>
        </w:rPr>
        <w:t>.</w:t>
      </w:r>
    </w:p>
    <w:p>
      <w:pPr>
        <w:pStyle w:val="Heading3"/>
        <w:numPr>
          <w:ilvl w:val="2"/>
          <w:numId w:val="1"/>
        </w:numPr>
        <w:rPr/>
      </w:pPr>
      <w:bookmarkStart w:id="243" w:name="__RefHeading___Toc7825383_2870459653"/>
      <w:bookmarkStart w:id="244" w:name="_Toc86"/>
      <w:bookmarkEnd w:id="243"/>
      <w:r>
        <w:rPr>
          <w:rtl w:val="true"/>
        </w:rPr>
        <w:t>جوامع قوی نیازمند کتاب خانه های مدرسه قوی</w:t>
      </w:r>
      <w:bookmarkEnd w:id="24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قوی نیازمند کتاب خانه های مدرسه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فَگفوربِندِت می تواند واقعاً انجام دهد؟ فَگفوربِندِت برای توسعه بخش سازمان دهی به منظور کار مستقیم با موضوعات مربوط به </w:t>
      </w:r>
    </w:p>
    <w:p>
      <w:pPr>
        <w:pStyle w:val="BookText"/>
        <w:rPr/>
      </w:pPr>
      <w:r>
        <w:rPr>
          <w:rFonts w:ascii="IRNazanin" w:hAnsi="IRNazanin" w:eastAsia="IRNazanin"/>
          <w:color w:val="111111"/>
          <w:sz w:val="28"/>
          <w:sz w:val="28"/>
          <w:szCs w:val="28"/>
          <w:rtl w:val="true"/>
          <w:lang w:bidi="fa-IR"/>
        </w:rPr>
        <w:t>مهارت های حرفه ای اعضای آن انتخاب شده است و قادر به حضور مشتاقانه در سیاست حوزه هایی هم چون آموزش، فرهنگ و سیاست مراقبت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بیش از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نماینده فَگفوربِندِت در سراسر کشور عمدتاً بر این جنبه های حرفه ای تمرکز دارند و کمک می کند به حصول اطمینان از این که مسائل مربوط، به عنوان سیاست رسمی پذیرفته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کاری فعلی فَگفوربِندِت بیان می کند که ما باید برای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های عمومی دسترس پذیر و جامع، برای ارائه خدمات برابر در هر بخشی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منبع بالقوه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نیاز محلی، کتاب خانه ها باید به مراکز محلی فرهنگ، اطلاعات و شایستگی توسعه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باید در توسعه منطقه ای نقش داشته باشند و به تطبيق تنوع فرهنگی مجهز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 شهرستان ارائه خدمات کتاب خانه ای برابر را در سراسر کشور تضمین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باید خدمات متنوع ارائه کنند و باید با کارکنان واجد شرایط، از جمله در جایی که خدمات کتاب خانه با اتوبوس یا قایق ارائه شود، آماده فعالیت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باید حق امانت رسانه های رقومی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کاری ما در مورد کتاب خانه های مدرسه خاص نیست، هر چند آن ها فراموش نمی کنند که کتاب خانه های مدرسه تعلق </w:t>
      </w:r>
      <w:r>
        <w:rPr>
          <w:rStyle w:val="FootnoteAnchor"/>
          <w:rtl w:val="true"/>
        </w:rPr>
        <w:footnoteReference w:id="412"/>
      </w:r>
      <w:r>
        <w:rPr>
          <w:rFonts w:ascii="IRNazanin" w:hAnsi="IRNazanin" w:eastAsia="IRNazanin"/>
          <w:color w:val="111111"/>
          <w:sz w:val="28"/>
          <w:sz w:val="28"/>
          <w:szCs w:val="28"/>
          <w:rtl w:val="true"/>
          <w:lang w:bidi="fa-IR"/>
        </w:rPr>
        <w:t xml:space="preserve">به اداره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با قوانین مختلف و تحت قوانین مختلف بودجه ای و نیروی انسانی متفاوت است؛ هم چنین چالش ها و منافع مشترک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ادراک نادرست بین مردم وجود دارد که کتاب خانه های مدرسه از سایر فعالیت های مدرسه اهمیت کم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کتاب خانه ها و کتاب داران مدرسه بین خوب و بهترین تفاوت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 کنیم که کتاب خانه های مدرسه مستعدتر هستند، زمانی که بودجه می آید زیرا تنها دانش آموزان به صورت روزانه از آن ها استفاده می کنند؛ آن ها متعلق به مدیریت مدرسه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قابل فهم تر و قبول تر است که کتاب خانه های مدرسه از کتاب خانه های عمومی تقلیل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خانه عمومی با کاهش تهدید شود، همیشه کسی وجود دارد که واکنش نشان داده و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نوجوانان بلند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فرصتی برای پیگیری برنامه کاری خود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کمبود چنین فرصت هایی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فرصت ها زمان ملاقات با کمیته های مجلسی است، خصوصاً، در طول مذاکرات بودجه در هر پاییز، یا در ارتباط با شنیدن لوایح قانونی جدید که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چنین </w:t>
      </w:r>
      <w:bookmarkStart w:id="245" w:name="pg9659_93928"/>
    </w:p>
    <w:p>
      <w:pPr>
        <w:pStyle w:val="BookText"/>
        <w:rPr/>
      </w:pPr>
      <w:bookmarkEnd w:id="245"/>
      <w:r>
        <w:rPr>
          <w:rFonts w:ascii="IRNazanin" w:hAnsi="IRNazanin" w:eastAsia="IRNazanin"/>
          <w:color w:val="111111"/>
          <w:sz w:val="28"/>
          <w:sz w:val="28"/>
          <w:szCs w:val="28"/>
          <w:rtl w:val="true"/>
          <w:lang w:bidi="fa-IR"/>
        </w:rPr>
        <w:t>روابط کاری بسته را با سیاست گذاران که به عنوان دوستان یا هم پیمانان می شناسیم، حفظ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محلی یا منطقه ای ما قادر به فعالیت در همان شیوه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فَگفوربِندِت نمایندگانی را در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حق مشورت در همه موضوعاتی که تأثیرگذار بر شرایط کاری است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مشاور اتحادیه با تأمین نمایندگان با اطلاعات به عنوان نقطه شروع برای فعالیت آن ها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ما باید بر دانش بنانهاده شود، بر اساس حقایق و آمارها و همراه با ارزش هایی هم چون هم بستگی، انسجام و مراقبت برای همه باشد؛ و حقیقت امر است که ما همیشه قادر به انجام کار بهتری در این موضوع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منتخب ما وظایف متفاوت بسیاری برای مراقبت دارند و بنابراین نیاز آن ها نیاز به اطلاعات واقعی و جاری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اطلاعات سطحی و ثابت سریع، داشتن دانش پایه ضروری تر است و بدانید که شما نمی توانید اطلاعاتی پیدا کنید که با منافع تجاری یا سیاسی دست کاری یا تحریف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گوگل، موتور جستجوی تجاری است، بازدیدها به عنوان نتیجه برخی کنشگران پرداخت پول به رتبه بالاتر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داریم که کتاب خانه ها در کل و مخصوصاً کتاب خانه های مدرسه وظیفه بسیار مهمی در یادگیری افراد جوان برای جستجوی منابع اطلاعاتی باکیفیت بالا و بدون سوء 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 جریان اطلاعات عظیم، ضروری است که قادر به یافتن شیوه ای باشید و مطمئن هستید که می توانید دسترسی به منابع اطلاعاتی معتبرتر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پیر و جوان نیاز به آگاهی دارند که کتاب دار به آن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منظور کمک به خلق یک فرهنگ که با استفاده از کتاب خانه اطلاعات کافی که طبیعت دوم برای همه ماست کسب می شود، کمک می کنیم و این همه در کتاب خانه مدرسه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قادر به نشان دادن این بوده باشم که چگونه فَگفوربِندِت برای بهبود کتاب خانه به عنوان یک نهاد و محل کار تلاش می کند و امیدوارم که در انتقال این امر موفق بوده باشم که این کار نه تنها انگیزه ای برای آرزوی ما جهت سازمان دهی افرادی که در کتاب خانه ها کار می کنند، بلکه یک نگرانی خالصانه برای آینده فرزندان ما، جوامع ما و جامعه بزرگ ما شده است</w:t>
      </w:r>
      <w:r>
        <w:rPr>
          <w:rFonts w:eastAsia="IRNazanin" w:cs="IRNazanin"/>
          <w:color w:val="111111"/>
          <w:sz w:val="28"/>
          <w:szCs w:val="28"/>
          <w:rtl w:val="true"/>
          <w:lang w:bidi="fa-IR"/>
        </w:rPr>
        <w:t>.</w:t>
      </w:r>
    </w:p>
    <w:p>
      <w:pPr>
        <w:pStyle w:val="Heading3"/>
        <w:numPr>
          <w:ilvl w:val="2"/>
          <w:numId w:val="1"/>
        </w:numPr>
        <w:rPr/>
      </w:pPr>
      <w:bookmarkStart w:id="246" w:name="__RefHeading___Toc7825385_2870459653"/>
      <w:bookmarkStart w:id="247" w:name="_Toc87"/>
      <w:bookmarkEnd w:id="246"/>
      <w:r>
        <w:rPr>
          <w:rtl w:val="true"/>
        </w:rPr>
        <w:t>درباره نویسنده</w:t>
      </w:r>
      <w:r>
        <w:rPr>
          <w:rtl w:val="true"/>
        </w:rPr>
        <w:t>:</w:t>
      </w:r>
      <w:bookmarkEnd w:id="24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مت هنریکسن اوس عضو هیئت ملی اجرایی </w:t>
      </w:r>
      <w:r>
        <w:rPr>
          <w:rStyle w:val="FootnoteAnchor"/>
          <w:rtl w:val="true"/>
        </w:rPr>
        <w:footnoteReference w:id="413"/>
      </w:r>
      <w:r>
        <w:rPr>
          <w:rFonts w:ascii="IRNazanin" w:hAnsi="IRNazanin" w:eastAsia="IRNazanin"/>
          <w:color w:val="111111"/>
          <w:sz w:val="28"/>
          <w:sz w:val="28"/>
          <w:szCs w:val="28"/>
          <w:rtl w:val="true"/>
          <w:lang w:bidi="fa-IR"/>
        </w:rPr>
        <w:t xml:space="preserve">فَگفوربِندِت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نروژی کارکنان شهرداری و عمومی</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کتاب دار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کرده و بین سال 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و نوجوانان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کتاب خانه تِنسبرگ </w:t>
      </w:r>
      <w:r>
        <w:rPr>
          <w:rStyle w:val="FootnoteAnchor"/>
          <w:rtl w:val="true"/>
        </w:rPr>
        <w:footnoteReference w:id="415"/>
      </w:r>
      <w:r>
        <w:rPr>
          <w:rFonts w:ascii="IRNazanin" w:hAnsi="IRNazanin" w:eastAsia="IRNazanin"/>
          <w:color w:val="111111"/>
          <w:sz w:val="28"/>
          <w:sz w:val="28"/>
          <w:szCs w:val="28"/>
          <w:rtl w:val="true"/>
          <w:lang w:bidi="fa-IR"/>
        </w:rPr>
        <w:t xml:space="preserve">بود و به عنوان رئیس بخش کودکان، فرهنگ و کلیسا </w:t>
      </w:r>
      <w:r>
        <w:rPr>
          <w:rStyle w:val="FootnoteAnchor"/>
          <w:rtl w:val="true"/>
        </w:rPr>
        <w:footnoteReference w:id="416"/>
      </w:r>
      <w:r>
        <w:rPr>
          <w:rFonts w:ascii="IRNazanin" w:hAnsi="IRNazanin" w:eastAsia="IRNazanin"/>
          <w:color w:val="111111"/>
          <w:sz w:val="28"/>
          <w:sz w:val="28"/>
          <w:szCs w:val="28"/>
          <w:rtl w:val="true"/>
          <w:lang w:bidi="fa-IR"/>
        </w:rPr>
        <w:t xml:space="preserve">در فَگفوربِندِت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کرده است</w:t>
      </w:r>
      <w:r>
        <w:rPr>
          <w:rFonts w:eastAsia="IRNazanin" w:cs="IRNazanin"/>
          <w:color w:val="111111"/>
          <w:sz w:val="28"/>
          <w:szCs w:val="28"/>
          <w:rtl w:val="true"/>
          <w:lang w:bidi="fa-IR"/>
        </w:rPr>
        <w:t xml:space="preserve">. </w:t>
      </w:r>
      <w:bookmarkStart w:id="248" w:name="pg9659_93930"/>
    </w:p>
    <w:p>
      <w:pPr>
        <w:pStyle w:val="Heading2"/>
        <w:numPr>
          <w:ilvl w:val="1"/>
          <w:numId w:val="1"/>
        </w:numPr>
        <w:rPr/>
      </w:pPr>
      <w:bookmarkStart w:id="249" w:name="__RefHeading___Toc7825387_2870459653"/>
      <w:bookmarkStart w:id="250" w:name="_Toc88"/>
      <w:bookmarkEnd w:id="248"/>
      <w:bookmarkEnd w:id="249"/>
      <w:r>
        <w:rPr>
          <w:rtl w:val="true"/>
        </w:rPr>
        <w:t>چکیده</w:t>
      </w:r>
      <w:bookmarkEnd w:id="250"/>
    </w:p>
    <w:p>
      <w:pPr>
        <w:pStyle w:val="BookText"/>
        <w:rPr/>
      </w:pPr>
      <w:r>
        <w:rPr>
          <w:rFonts w:ascii="IRNazanin" w:hAnsi="IRNazanin" w:eastAsia="IRNazanin"/>
          <w:color w:val="111111"/>
          <w:sz w:val="28"/>
          <w:sz w:val="28"/>
          <w:szCs w:val="28"/>
          <w:rtl w:val="true"/>
          <w:lang w:bidi="fa-IR"/>
        </w:rPr>
        <w:t>در این مقاله در رابطه با تأثیرات فعلی و آتی تخطی از قراردادهای قانونی بر رویکردها، روابط و نقش های مطرح در کتاب خانه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قانونی در فعالیت های کتاب خانه ای به شکل یک مجوز و یا قالب قراردادی برای صدور اجازه بهره برداری از محتوا و یا خدمات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به میزان زیادی تحت تأثیر قراردادها و مجوزهای صادر شده است که نه تنها بر کتاب خانه ها و مؤسسات مشابه بلکه بر کاربران کتاب خانه و تک تک افراد جامعه ای که به آن ها خدمت رسانی می شود،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های مطرح شده در این مقاله تنها خاص کتاب خانه نیستند و در بافت اجتماعی گسترده تری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چنین نشان داده می شود که چالش های تخطی از قراردادهای قانونی سبب آشکار شدن وضعیت غیر قابل تحمل بازارهای اطلاعاتی و دور از دسترس بودن تحقق حقوق مورد نظر و هم چنین عدم تعادل در حقوق و وظایف تعریف شده برای بخش ها و طرف های درگیر در یک قرارداد خاص مورد نظر در حوزه کتاب خانه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ها به عنوان مراکز اصلی اطلاع رسانی در یک جامعه به ارائه خدمات می پردازند و این فرصت را دارند که به عنوان برج های دیده بانی و هدایت گران و هم چنین گشایشگران و مراکز اصلی برای ایجاد تغییر و تحول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فرصت ها با پذیرش برخی خطرات در قبال وادار کردن جامعه به ایجاد یک تغییر جهت در رابطه با میانجی گری حقوق اطلاعاتی میان صاحبان حق و کاربران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مفاهیم و مباحث گسترده تری در این بافت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روشن تر شدن مباحث، نمونه هایی از ایالات متحده آمریکا به عنوان شاهد مثال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سناریوهای ارائه شده در این مقاله هم چنین سبب طرح مباحثی در رابطه با همه حوزه های قضائی و سنت های قانونی می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مؤلف، قرارداد، مجوزدهی، پیشرفت های قانونی </w:t>
      </w:r>
      <w:bookmarkStart w:id="251" w:name="pg9659_93931"/>
    </w:p>
    <w:p>
      <w:pPr>
        <w:pStyle w:val="Heading2"/>
        <w:numPr>
          <w:ilvl w:val="1"/>
          <w:numId w:val="1"/>
        </w:numPr>
        <w:rPr/>
      </w:pPr>
      <w:bookmarkStart w:id="252" w:name="__RefHeading___Toc7825389_2870459653"/>
      <w:bookmarkStart w:id="253" w:name="_Toc89"/>
      <w:bookmarkEnd w:id="251"/>
      <w:bookmarkEnd w:id="252"/>
      <w:r>
        <w:rPr>
          <w:rtl w:val="true"/>
        </w:rPr>
        <w:t xml:space="preserve">تخطی از قرارداد قانونی </w:t>
      </w:r>
      <w:r>
        <w:rPr>
          <w:rtl w:val="true"/>
        </w:rPr>
        <w:t>(</w:t>
      </w:r>
      <w:r>
        <w:rPr>
          <w:rtl w:val="true"/>
        </w:rPr>
        <w:t>مجوز</w:t>
      </w:r>
      <w:r>
        <w:rPr>
          <w:rtl w:val="true"/>
        </w:rPr>
        <w:t xml:space="preserve">) </w:t>
      </w:r>
      <w:r>
        <w:rPr>
          <w:rtl w:val="true"/>
        </w:rPr>
        <w:t>در کتاب خانه</w:t>
      </w:r>
      <w:r>
        <w:rPr>
          <w:rtl w:val="true"/>
        </w:rPr>
        <w:t xml:space="preserve">: </w:t>
      </w:r>
      <w:r>
        <w:rPr>
          <w:rtl w:val="true"/>
        </w:rPr>
        <w:t>دغدغه ها، چالش ها، فرصت ها و خطرات</w:t>
      </w:r>
      <w:bookmarkEnd w:id="253"/>
    </w:p>
    <w:p>
      <w:pPr>
        <w:pStyle w:val="Heading3"/>
        <w:numPr>
          <w:ilvl w:val="2"/>
          <w:numId w:val="1"/>
        </w:numPr>
        <w:rPr/>
      </w:pPr>
      <w:bookmarkStart w:id="254" w:name="__RefHeading___Toc7825391_2870459653"/>
      <w:bookmarkStart w:id="255" w:name="_Toc90"/>
      <w:bookmarkEnd w:id="254"/>
      <w:r>
        <w:rPr>
          <w:rtl w:val="true"/>
        </w:rPr>
        <w:t>اشاره</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تخطی از قرارداد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 چالش ها، فرصت ها و خطرات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نوشته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لیپینسکی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فاطمه پازوکی </w:t>
      </w:r>
      <w:r>
        <w:rPr>
          <w:rStyle w:val="FootnoteAnchor"/>
          <w:rtl w:val="true"/>
        </w:rPr>
        <w:footnoteReference w:id="419"/>
      </w:r>
    </w:p>
    <w:p>
      <w:pPr>
        <w:pStyle w:val="Heading3"/>
        <w:numPr>
          <w:ilvl w:val="2"/>
          <w:numId w:val="1"/>
        </w:numPr>
        <w:rPr/>
      </w:pPr>
      <w:bookmarkStart w:id="256" w:name="__RefHeading___Toc7825393_2870459653"/>
      <w:bookmarkStart w:id="257" w:name="_Toc91"/>
      <w:bookmarkEnd w:id="256"/>
      <w:r>
        <w:rPr>
          <w:rtl w:val="true"/>
        </w:rPr>
        <w:t>مقدمه</w:t>
      </w:r>
      <w:bookmarkEnd w:id="257"/>
    </w:p>
    <w:p>
      <w:pPr>
        <w:pStyle w:val="BookText"/>
        <w:rPr/>
      </w:pPr>
      <w:r>
        <w:rPr>
          <w:rFonts w:ascii="IRNazanin" w:hAnsi="IRNazanin" w:eastAsia="IRNazanin"/>
          <w:color w:val="111111"/>
          <w:sz w:val="28"/>
          <w:sz w:val="28"/>
          <w:szCs w:val="28"/>
          <w:rtl w:val="true"/>
          <w:lang w:bidi="fa-IR"/>
        </w:rPr>
        <w:t>در این مقاله در رابطه با تأثیرات فعلی و آتی تخطی از قراردادهای قانونی بر رویکردها، روابط و نقش های مطرح در کتاب خانه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تخطی بر فعالیت های سنتی کتاب خانه هم چون مجموعه سازی، فراهم آوری و اشاعه اطلاعات و نیز روابط آن ها با مراجعین، سایر نقش آفرینان و سازمان های مادر و البته بر نقش های گسترده تر این نهاد در فرهنگ سازی برای جامعه خود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های ارائه شده از ایالات متحده آمریکا سبب طرح مباحثی در رابطه با همه قلمروهای قضائی به ویژه آن هایی که بر سنت های قانونی عام متکی هستند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مجوز صادر شده قالبی برای ارائه اجازه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محتوا و یا خدمات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نیازی نیست تا مجوز حتماً به شکل یک قرارداد باشد اما در پایگاه های اطلاعاتی کتاب خانه ای متداول است که اجازه استفاده در قالب یک قرارداد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مجوز، اجازه دسترسی </w:t>
      </w:r>
      <w:bookmarkStart w:id="258" w:name="pg9659_93932"/>
    </w:p>
    <w:p>
      <w:pPr>
        <w:pStyle w:val="BookText"/>
        <w:rPr/>
      </w:pPr>
      <w:bookmarkEnd w:id="258"/>
      <w:r>
        <w:rPr>
          <w:rFonts w:ascii="IRNazanin" w:hAnsi="IRNazanin" w:eastAsia="IRNazanin"/>
          <w:color w:val="111111"/>
          <w:sz w:val="28"/>
          <w:sz w:val="28"/>
          <w:szCs w:val="28"/>
          <w:rtl w:val="true"/>
          <w:lang w:bidi="fa-IR"/>
        </w:rPr>
        <w:t>به محتوا یا خدمات و هم چنین استفاده از آن ها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مطابق با قانون حق مؤلف و یا برخی نظریه های قانونی، استفاده از محتوا و خدمات اطلاعاتی غیرقانونی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مجوزهای صادر شده برای پایگاه های اطلاعاتی یا خدمات در بافت کتاب خانه ای قابل مذاکره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مجوزهای قابل مذاکره، تحمیل محدودیت های قانونی بسیار دشوار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درک کامل نحوه تأثیرگذاری مجوزها نیاز به شناخت و کسب دانش کافی در رابطه با قانون حق مؤلف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ممکن است بدون داشتن قرارداد از حقوق خود بر اساس حق مؤلف استفاده کند و یا حتی ممکن است هزینه ای را نیز برای حقوقی که طبق حق مؤلف در اختیار دارد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یک مجوز ممکن است خطر پذیری قانونی را از روی دوش فروشنده و یا مجوز دهنده بر روی دوش کتاب خانه و یا حتی کاربر نهائی استفاده کننده از محتوا و یا خدمات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مجوزهای غیر قابل مذاکره صادر شده برای استفاده کنندگان به ویژه در اتحادیه اروپا محدودیت هایی در رابطه با آن چه در یک قرارداد باید مشخص شود، مانند مسئولیت پرداختن به ضمانت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خرابی منابع و حق انتخاب قانون و دادگاه در صورت بروز اختلاف،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قراردادهایی که با مذاکره منعقد می شوند و یا طرف قرارداد به عنوان یک تاجر و سوداگر شناخته می شود، در نظر گرفتن این محدودیت ها کم تر متداول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خانه را با توجه به فراهم آوری محصولات و خدمات اطلاعاتی نباید به صورت یک مصرف کننده محض در نظر گرفت</w:t>
      </w:r>
      <w:r>
        <w:rPr>
          <w:rFonts w:eastAsia="IRNazanin" w:cs="IRNazanin"/>
          <w:color w:val="111111"/>
          <w:sz w:val="28"/>
          <w:szCs w:val="28"/>
          <w:rtl w:val="true"/>
          <w:lang w:bidi="fa-IR"/>
        </w:rPr>
        <w:t>.</w:t>
      </w:r>
    </w:p>
    <w:p>
      <w:pPr>
        <w:pStyle w:val="Heading3"/>
        <w:numPr>
          <w:ilvl w:val="2"/>
          <w:numId w:val="1"/>
        </w:numPr>
        <w:rPr/>
      </w:pPr>
      <w:bookmarkStart w:id="259" w:name="__RefHeading___Toc7825395_2870459653"/>
      <w:bookmarkStart w:id="260" w:name="_Toc92"/>
      <w:bookmarkEnd w:id="259"/>
      <w:r>
        <w:rPr>
          <w:rtl w:val="true"/>
        </w:rPr>
        <w:t>دغدغه ها</w:t>
      </w:r>
      <w:bookmarkEnd w:id="26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تخطی از قراردادهای قانونی در یک کتاب خانه سبب ایجاد سه دغدغه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تشویش یا موضوع با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ها اگر چه در بافت کتاب خانه ای بیشتر مطرح می شوند، با این حال در سطح جامعه نیز مطرح بوده و دارای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قانونی تنظیم شده در قالب یک مجوز، دارای قالبی است که در آن، جزئیات محرمانه در رابطه با حوادث، شرایط، مسئولیت ها، وظایف و سایر موارد مرتبط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قوانینی که دو طرف یک قرارداد باید بدان ها پایبند باشند توسط همین طرف های درگیر در مذاکره تعیین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رابطه با مجوزهای غیر قابل مذاکره این قوانین توسط یک طرف قرارداد تعیین و توسط طرف دیگر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طرف های قانون گذار در یک قرارداد ممکن است حد فاصله ایی کلی برای یک قرارداد قانونی طراحی کنند؛ با این حال، در این حد فاصل ها این امکان برای طرفین وجود خواهد داشت تا شکل قانونی خاصی را برای توافقشان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قانون حق مؤلف که برای همه کاربرد دارد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مؤلف حقی در برابر 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 در مقایسه با این حق تنها بر طرف های درگیر در </w:t>
      </w:r>
    </w:p>
    <w:p>
      <w:pPr>
        <w:pStyle w:val="BookText"/>
        <w:rPr/>
      </w:pPr>
      <w:r>
        <w:rPr>
          <w:rFonts w:ascii="IRNazanin" w:hAnsi="IRNazanin" w:eastAsia="IRNazanin"/>
          <w:color w:val="111111"/>
          <w:sz w:val="28"/>
          <w:sz w:val="28"/>
          <w:szCs w:val="28"/>
          <w:rtl w:val="true"/>
          <w:lang w:bidi="fa-IR"/>
        </w:rPr>
        <w:t>آن قراردادها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بیگانگان ممکن است هر کار دلشان بخواهد انجام دهند، زیر قراردادها حقوق انحصاری </w:t>
      </w:r>
      <w:r>
        <w:rPr>
          <w:rStyle w:val="FootnoteAnchor"/>
          <w:rtl w:val="true"/>
        </w:rPr>
        <w:footnoteReference w:id="420"/>
      </w:r>
      <w:r>
        <w:rPr>
          <w:rFonts w:ascii="IRNazanin" w:hAnsi="IRNazanin" w:eastAsia="IRNazanin"/>
          <w:color w:val="111111"/>
          <w:sz w:val="28"/>
          <w:sz w:val="28"/>
          <w:szCs w:val="28"/>
          <w:rtl w:val="true"/>
          <w:lang w:bidi="fa-IR"/>
        </w:rPr>
        <w:t xml:space="preserve">برای همه ایجاد نمی 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ایجاد شده میان گوگل و اتحادیه ناشران در رابطه با سرویس گوگل بوکس </w:t>
      </w:r>
      <w:r>
        <w:rPr>
          <w:rStyle w:val="FootnoteAnchor"/>
          <w:rtl w:val="true"/>
        </w:rPr>
        <w:footnoteReference w:id="421"/>
      </w:r>
      <w:r>
        <w:rPr>
          <w:rFonts w:ascii="IRNazanin" w:hAnsi="IRNazanin" w:eastAsia="IRNazanin"/>
          <w:color w:val="111111"/>
          <w:sz w:val="28"/>
          <w:sz w:val="28"/>
          <w:szCs w:val="28"/>
          <w:rtl w:val="true"/>
          <w:lang w:bidi="fa-IR"/>
        </w:rPr>
        <w:t>، نمونه مناسبی است که می تواند تفاوت میان قرارداد و حق مؤلف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توافق مطلوب از نظر شرکت گوگل و اتحادیه ناشران توسط قاضی چین </w:t>
      </w:r>
      <w:r>
        <w:rPr>
          <w:rStyle w:val="FootnoteAnchor"/>
          <w:rtl w:val="true"/>
        </w:rPr>
        <w:footnoteReference w:id="422"/>
      </w:r>
      <w:r>
        <w:rPr>
          <w:rFonts w:ascii="IRNazanin" w:hAnsi="IRNazanin" w:eastAsia="IRNazanin"/>
          <w:color w:val="111111"/>
          <w:sz w:val="28"/>
          <w:sz w:val="28"/>
          <w:szCs w:val="28"/>
          <w:rtl w:val="true"/>
          <w:lang w:bidi="fa-IR"/>
        </w:rPr>
        <w:t xml:space="preserve">رد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توافق تأیید شده توسط دادگاه بخش فدرال، </w:t>
      </w:r>
      <w:r>
        <w:rPr>
          <w:rStyle w:val="FootnoteAnchor"/>
          <w:rtl w:val="true"/>
        </w:rPr>
        <w:footnoteReference w:id="423"/>
      </w:r>
      <w:r>
        <w:rPr>
          <w:rFonts w:ascii="IRNazanin" w:hAnsi="IRNazanin" w:eastAsia="IRNazanin"/>
          <w:color w:val="111111"/>
          <w:sz w:val="28"/>
          <w:sz w:val="28"/>
          <w:szCs w:val="28"/>
          <w:rtl w:val="true"/>
          <w:lang w:bidi="fa-IR"/>
        </w:rPr>
        <w:t>تنها شرکت گوگل بود که از ادامه عرضه فایل های تمام متن کتاب ها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تنها یکی از طرفین از این توافق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 توجه به تصمیمات دو دادگاه اخیر برگزار شده می توان استفاده منصفانه ای از نظام های اطلاعاتی تمام متنی هم چون گوگل بوکس داشت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امکان برای کاربران ساکن در ایالات متحده آمریکا فراهم شد که بر اساس قانون استفاده منصفانه طرح هایی را برای رقومی سازی و بازیابی مجموعه داده ها و منابع طراحی و به اجرا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بین الملل نیز توافق نامه های تجاری متعددی این قابلیت را</w:t>
      </w:r>
    </w:p>
    <w:p>
      <w:pPr>
        <w:pStyle w:val="BookText"/>
        <w:rPr/>
      </w:pPr>
      <w:r>
        <w:rPr>
          <w:rFonts w:ascii="IRNazanin" w:hAnsi="IRNazanin" w:eastAsia="IRNazanin"/>
          <w:color w:val="111111"/>
          <w:sz w:val="28"/>
          <w:sz w:val="28"/>
          <w:szCs w:val="28"/>
          <w:rtl w:val="true"/>
          <w:lang w:bidi="fa-IR"/>
        </w:rPr>
        <w:t xml:space="preserve">دارند تا همین تأثیر را داشته باشند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قانونی می تواند قوانین حاکم بر محتوا را برداشته و به هر آن چه به یک جانبه گرایی اطلاعاتی </w:t>
      </w:r>
      <w:r>
        <w:rPr>
          <w:rStyle w:val="FootnoteAnchor"/>
          <w:rtl w:val="true"/>
        </w:rPr>
        <w:footnoteReference w:id="424"/>
      </w:r>
      <w:r>
        <w:rPr>
          <w:rFonts w:ascii="IRNazanin" w:hAnsi="IRNazanin" w:eastAsia="IRNazanin"/>
          <w:color w:val="111111"/>
          <w:sz w:val="28"/>
          <w:sz w:val="28"/>
          <w:szCs w:val="28"/>
          <w:rtl w:val="true"/>
          <w:lang w:bidi="fa-IR"/>
        </w:rPr>
        <w:t>مصطلح است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به اعتماد فزاینده به مجوزها به ویژه در محیط های پیوسته مجازی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ها می توان با یک کلیک موافقت خود را با مجوز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فزاینده منجر به تنزل جایگاه و یا خسارت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نظر پروفسور مارگرت جین رادین </w:t>
      </w:r>
      <w:r>
        <w:rPr>
          <w:rStyle w:val="FootnoteAnchor"/>
          <w:rtl w:val="true"/>
        </w:rPr>
        <w:footnoteReference w:id="425"/>
      </w:r>
      <w:r>
        <w:rPr>
          <w:rFonts w:ascii="IRNazanin" w:hAnsi="IRNazanin" w:eastAsia="IRNazanin"/>
          <w:color w:val="111111"/>
          <w:sz w:val="28"/>
          <w:sz w:val="28"/>
          <w:szCs w:val="28"/>
          <w:rtl w:val="true"/>
          <w:lang w:bidi="fa-IR"/>
        </w:rPr>
        <w:t xml:space="preserve">در مقاله 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مناسب، حقوق از بین رفته و قاعده قانونی </w:t>
      </w:r>
      <w:r>
        <w:rPr>
          <w:rStyle w:val="FootnoteAnchor"/>
          <w:rtl w:val="true"/>
        </w:rPr>
        <w:footnoteReference w:id="426"/>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تنزل جایگاه به دو شکل تنزل جایگاه هنجاری </w:t>
      </w:r>
      <w:r>
        <w:rPr>
          <w:rStyle w:val="FootnoteAnchor"/>
          <w:rtl w:val="true"/>
        </w:rPr>
        <w:footnoteReference w:id="427"/>
      </w:r>
      <w:r>
        <w:rPr>
          <w:rFonts w:ascii="IRNazanin" w:hAnsi="IRNazanin" w:eastAsia="IRNazanin"/>
          <w:color w:val="111111"/>
          <w:sz w:val="28"/>
          <w:sz w:val="28"/>
          <w:szCs w:val="28"/>
          <w:rtl w:val="true"/>
          <w:lang w:bidi="fa-IR"/>
        </w:rPr>
        <w:t xml:space="preserve">و تنزل جایگاه دموکراتيک </w:t>
      </w:r>
      <w:r>
        <w:rPr>
          <w:rStyle w:val="FootnoteAnchor"/>
          <w:rtl w:val="true"/>
        </w:rPr>
        <w:footnoteReference w:id="428"/>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کاربران نهائی به ندرت پیش از کلیک کردن برای اعلام رضایت خود برای مجوزها، شرایط اعلام شده را مطالعه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اغلب افراد از میزان خطر پذیری و چالش های قانونی احتمالی در رابطه با مجوز مدنظر، ارزیابی ضعیفی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چنین برداشت کرد که اغلب کاربران قانون را با نادیده گرفته و یا به شکل تحقیر آمیزی با آن برخورد کرده و به شرایط قانونی بیان شده در مجوزها و توافق های قانونی اعلام شده توجهی ندارند و بدین ترتیب تنزل جایگاه هنجاری رخ</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طرفداران دیدگاه مثبت گرایی به قانون </w:t>
      </w:r>
      <w:r>
        <w:rPr>
          <w:rStyle w:val="FootnoteAnchor"/>
          <w:rtl w:val="true"/>
        </w:rPr>
        <w:footnoteReference w:id="429"/>
      </w:r>
      <w:r>
        <w:rPr>
          <w:rFonts w:ascii="IRNazanin" w:hAnsi="IRNazanin" w:eastAsia="IRNazanin"/>
          <w:color w:val="111111"/>
          <w:sz w:val="28"/>
          <w:sz w:val="28"/>
          <w:szCs w:val="28"/>
          <w:rtl w:val="true"/>
          <w:lang w:bidi="fa-IR"/>
        </w:rPr>
        <w:t xml:space="preserve">اعتقاد دارند که موارد مطرح شده در بخش عبارت ها و شرایط </w:t>
      </w:r>
      <w:r>
        <w:rPr>
          <w:rStyle w:val="FootnoteAnchor"/>
          <w:rtl w:val="true"/>
        </w:rPr>
        <w:footnoteReference w:id="430"/>
      </w:r>
      <w:r>
        <w:rPr>
          <w:rFonts w:ascii="IRNazanin" w:hAnsi="IRNazanin" w:eastAsia="IRNazanin"/>
          <w:color w:val="111111"/>
          <w:sz w:val="28"/>
          <w:sz w:val="28"/>
          <w:szCs w:val="28"/>
          <w:rtl w:val="true"/>
          <w:lang w:bidi="fa-IR"/>
        </w:rPr>
        <w:t>مجوزهای محصولات از قوانین، آیین نامه ها و قواعد قانونی نشأت گرفته و در آن ها تمام شرایط محتمل برای کاربران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به خوشبینی و مثبت گرایی در رابطه با قرارداد مورد نظر 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تنزل جایگاه دموکراتیک زمانی رخ می دهد که از قانون برای از بین بردن حقوق شهروندان در دسترسی به اطلاعات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زمانی رخ می دهد که قانون از طريق مجوزهای قانونی فرایند فراهم آوری، دسترسی و اشاعه اطلاعات را در دست قاضیانی با ماهیت محرمانه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شهروندان از فرایندهای وابسته به عقد قرارداد حذف می شوند مگر این که موضوع مرتبط با شهروند به عنوان بخشی از قرارداد خاص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مجوز، مواردی که در رابطه با خطر پذیری و چالش های احتمالی هستند اغلب در شرایط مرتبط با لغو و یا شرایط اجباری و خاص مرتبط با قرارداد 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شرایط اعلام شده برای مجوز نیچر آکادمیک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می تواند در هر زمان که تشخیص می دهد و یا نقض پیمانی از سوی کتاب خانه می بیند قرارداد را لغو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کتاب خانه تنها زمانی می تواند قرارداد را لغو کند که منابع سفارش داده شده دریافت نشوند و یا مجوزدهنده فعالیت خود را متوقف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شرایط، پس از لغو یا نقض قرارداد نیز هیچ گونه بازپرداختی صورت نمی گیرد و حق هیچ نوع اعتراضی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مجوز پروکوئست </w:t>
      </w:r>
      <w:r>
        <w:rPr>
          <w:rStyle w:val="FootnoteAnchor"/>
          <w:rtl w:val="true"/>
        </w:rPr>
        <w:footnoteReference w:id="431"/>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وضعیت اضطراری و یا ناگوار خاصی رخ بدهد که پروکوئست نتواند خدمات متعهد خود را انجام دهد، کتاب خانه حق هیچ نوع اعتراضی ندارد و فروشنده تا سی روز هیچ گونه مسئولیتی را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کتاب خانه ممکن است برای دوازده ماه دریافت خدمات، پول پرداخته باشد اما بیش از یازده ماه این خدمات را دریافت نکند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گاه وظایفی که برای دو طرف پای قرارداد در نظر گرفته می شود نیز می تواند بسیار نابرابر و ناعادلانه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مجوز پروکوئست مشخص می کند که کتاب خانه باید به هر نحو ممکن و با پذیرش شرایط مجوز، دسترسی دانشجویان و کارمندان را به پایگاه مورد نظر برقرار نماید، اگر چه ممکن است مجوز دهنده دسترسی همه کاربران کتاب خانه را بدون دادن هشدار لازم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صورت خاتمه قرارداد به هر دلیل، کتاب خانه می بایست تمام فایل ها و نرم افزارهای اخذ شده </w:t>
      </w:r>
      <w:bookmarkStart w:id="261" w:name="pg9659_93935"/>
    </w:p>
    <w:p>
      <w:pPr>
        <w:pStyle w:val="BookText"/>
        <w:rPr/>
      </w:pPr>
      <w:bookmarkEnd w:id="261"/>
      <w:r>
        <w:rPr>
          <w:rFonts w:ascii="IRNazanin" w:hAnsi="IRNazanin" w:eastAsia="IRNazanin"/>
          <w:color w:val="111111"/>
          <w:sz w:val="28"/>
          <w:sz w:val="28"/>
          <w:szCs w:val="28"/>
          <w:rtl w:val="true"/>
          <w:lang w:bidi="fa-IR"/>
        </w:rPr>
        <w:t>از فروشنده را که تحت کنترل دارد از بین برده و در این زمینه تضمین های لازم را نیز به مجوز دهنده بدهد که تمام دانشجویان و کارمندانش فایل ها و موارد دریافت شده را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مجدد مجوز پروکوئست می توان دریافت که در عوض وظایف بسیار کمی بر عهده فروشنده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هیچ نوع تعهدی برای مجوز دهنده وجود ندارد که محتوای فراهم شده دارای محتوای مجرمانه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مسئول استفاده از محتوای مجرمانه به هر نحوی است</w:t>
      </w:r>
      <w:r>
        <w:rPr>
          <w:rFonts w:eastAsia="IRNazanin" w:cs="IRNazanin"/>
          <w:color w:val="111111"/>
          <w:sz w:val="28"/>
          <w:szCs w:val="28"/>
          <w:rtl w:val="true"/>
          <w:lang w:bidi="fa-IR"/>
        </w:rPr>
        <w:t>.</w:t>
      </w:r>
    </w:p>
    <w:p>
      <w:pPr>
        <w:pStyle w:val="Heading3"/>
        <w:numPr>
          <w:ilvl w:val="2"/>
          <w:numId w:val="1"/>
        </w:numPr>
        <w:rPr/>
      </w:pPr>
      <w:bookmarkStart w:id="262" w:name="__RefHeading___Toc7825397_2870459653"/>
      <w:bookmarkStart w:id="263" w:name="_Toc93"/>
      <w:bookmarkEnd w:id="262"/>
      <w:r>
        <w:rPr>
          <w:rtl w:val="true"/>
        </w:rPr>
        <w:t>چالش ها</w:t>
      </w:r>
      <w:bookmarkEnd w:id="263"/>
    </w:p>
    <w:p>
      <w:pPr>
        <w:pStyle w:val="BookText"/>
        <w:rPr/>
      </w:pPr>
      <w:r>
        <w:rPr>
          <w:rFonts w:ascii="IRNazanin" w:hAnsi="IRNazanin" w:eastAsia="IRNazanin"/>
          <w:color w:val="111111"/>
          <w:sz w:val="28"/>
          <w:sz w:val="28"/>
          <w:szCs w:val="28"/>
          <w:rtl w:val="true"/>
          <w:lang w:bidi="fa-IR"/>
        </w:rPr>
        <w:t>کتاب خانه ها که بودجه زیادی را صرف اخذ مجوز برای پایگاه ها و منابع خود می کنند، در این مسیر چالش های متعددی در رابطه با نحوه فعالیت و یا میزان اعتبار مجوز دهنده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اغلب برای مقابله با فشارهای بازار به سمت دریافت مجوزدهی برای منابع خود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پیشین نشان می دهد که فراهم کنندگان محتوا همیشه خود را با مدل های شغلی جدید مطابقت نداده آن ها را به کار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فعالان صنعت موسیقی در آغاز پیدایش قابلیت اشتراک فایل های موسیقی، با احتیاط در این زمینه سرمایه گذاری کرده و محتاطانه وارد بازار دانلود موسیقی های رقومی شدند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فایل های موسیقی رقومی سهم عمده ای از بازار را به دست آورد و بیش از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فروش موسیقی را به خود اختصاص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جدیدترین دعوای قضائی مرتبط با رقومی سازی کتاب ها که به منظور داده آمایی و جستجوی تمام متن در آمریکا صورت گرفته، دادگاه استیناف نظریه فروش همراه با زیان بازار که سبب آسیب به ناشران شده است را رد کرد و معتقد بود که این نوع کاربردها از جمله مصادیق استفاده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ناشران معمولاً تمایل دارند به خاطر فراهم کردن خدمات داده آمائی و جستجوی تمام متن به دنبال دریافت سود بیشتری از فرایند مجوزدهی باشند و ممکن است برخی کتاب خانه ها را هم متقاعد کنند که این حق و حقوق را پرداخت نمایند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ارائه این نوع خدمات امتیاز انحصاری برای ناشران پدید نمی آورد زیرا فراهم ساختن قابلیت جستجوی تمام متن نمی تواند به عنوان یک خدمت قابل مقایسه با عرضه کتاب های قابل جستجو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توجه داشت که علی رغم گسترش بازار ارائه این نوع خدمات، به ویژه توسط ناشران آمریکایی امکان استفاده از قانون حق مؤلف برای کنترل این بازارها و محروم کردن دیگران از فعالیت در این حوزه ها و فراهم کردن این نوع از خدمات برای مشتریان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اخیر توسط برخی از ناشران بزرگ و </w:t>
      </w:r>
    </w:p>
    <w:p>
      <w:pPr>
        <w:pStyle w:val="BookText"/>
        <w:rPr/>
      </w:pPr>
      <w:r>
        <w:rPr>
          <w:rFonts w:ascii="IRNazanin" w:hAnsi="IRNazanin" w:eastAsia="IRNazanin"/>
          <w:color w:val="111111"/>
          <w:sz w:val="28"/>
          <w:sz w:val="28"/>
          <w:szCs w:val="28"/>
          <w:rtl w:val="true"/>
          <w:lang w:bidi="fa-IR"/>
        </w:rPr>
        <w:t xml:space="preserve">مؤسساتی هم چون اپل </w:t>
      </w:r>
      <w:r>
        <w:rPr>
          <w:rStyle w:val="FootnoteAnchor"/>
          <w:rtl w:val="true"/>
        </w:rPr>
        <w:footnoteReference w:id="432"/>
      </w:r>
      <w:r>
        <w:rPr>
          <w:rFonts w:ascii="IRNazanin" w:hAnsi="IRNazanin" w:eastAsia="IRNazanin"/>
          <w:color w:val="111111"/>
          <w:sz w:val="28"/>
          <w:sz w:val="28"/>
          <w:szCs w:val="28"/>
          <w:rtl w:val="true"/>
          <w:lang w:bidi="fa-IR"/>
        </w:rPr>
        <w:t xml:space="preserve">برای تعیین قیمت کتاب های الکترونیکی منجر به ارائه شکایت از سوی بخش مبارزه با تخلفات ناشی از عدم صداقت امریکا </w:t>
      </w:r>
      <w:r>
        <w:rPr>
          <w:rStyle w:val="FootnoteAnchor"/>
          <w:rtl w:val="true"/>
        </w:rPr>
        <w:footnoteReference w:id="433"/>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درگیر در این منازعه موفق شدند که در این مورد تسویه حساب کرده و جان سالم به در ببرند اما دعوای قضائی علیه اپل هم 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یک دادگاه ناحیه فدرال در سال گذشته بر اساس شواهدی که در دست داشت اعلام کرد که اپل برای پیشبرد فعالیت هایش توطئه چینی نموده و در تناقض با بخش اول پیمان شرمن </w:t>
      </w:r>
      <w:r>
        <w:rPr>
          <w:rStyle w:val="FootnoteAnchor"/>
          <w:rtl w:val="true"/>
        </w:rPr>
        <w:footnoteReference w:id="434"/>
      </w:r>
      <w:r>
        <w:rPr>
          <w:rFonts w:ascii="IRNazanin" w:hAnsi="IRNazanin" w:eastAsia="IRNazanin"/>
          <w:color w:val="111111"/>
          <w:sz w:val="28"/>
          <w:sz w:val="28"/>
          <w:szCs w:val="28"/>
          <w:rtl w:val="true"/>
          <w:lang w:bidi="fa-IR"/>
        </w:rPr>
        <w:t xml:space="preserve">و سایر قوانین ایالتی مرتبط عمل کرده است؛ بدان گونه که باعث نقض این قوانین شده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برای آینده قابل پیش بینی است آن است که به کارگیری روش های جدید برای دسترسی و اشاعه محتوا هم زمان با پیشرفت ها در زمینه ایجاد قوانین و مقررات مربوطه ادامه پیدا خواهد کرد و چالش هایی را برای فراهم کنندگان و مصرف کنندگان محتوا مثل کتاب خانه ها و دیگر مشتریان به منظور پیدا کردن مدل های شغلی عملیاتی و قابل اتکاء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پیامدهای شاید غیر منتظره مجوزدهی می توان به تأثیر آن بر دیگر حقوق مانند آزادی بیان </w:t>
      </w:r>
      <w:r>
        <w:rPr>
          <w:rStyle w:val="FootnoteAnchor"/>
          <w:rtl w:val="true"/>
        </w:rPr>
        <w:footnoteReference w:id="435"/>
      </w:r>
      <w:r>
        <w:rPr>
          <w:rFonts w:ascii="IRNazanin" w:hAnsi="IRNazanin" w:eastAsia="IRNazanin"/>
          <w:color w:val="111111"/>
          <w:sz w:val="28"/>
          <w:sz w:val="28"/>
          <w:szCs w:val="28"/>
          <w:rtl w:val="true"/>
          <w:lang w:bidi="fa-IR"/>
        </w:rPr>
        <w:t xml:space="preserve">و حق محرمانگی </w:t>
      </w:r>
      <w:r>
        <w:rPr>
          <w:rStyle w:val="FootnoteAnchor"/>
          <w:rtl w:val="true"/>
        </w:rPr>
        <w:footnoteReference w:id="436"/>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راهبردهای متداول بدین گونه است که سازمان یا شخص مجوز گیرنده را از اظهار نظر درباره کارآیی یا خدمات محصول مورد نظر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راهبردها با عنوان شروط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شناخته می شوند که اغلب در رابطه با مجوزدهی در صنعت نرم افزار، به ویژه زمانی که یک نرم افزار در مراحل آزمایش قرار دارد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ماهیت این مجوز کتاب خانه نمی تواند هر نوع فعالیتی را که ممکن است تأثیر آسیب زننده ای بر توانایی مجوز دهنده در کسب منافع مرتبط با فروش و بازاریابی منبع مجوزدار داشته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چنان چه یک کتاب دار با صداقت و ضمن بررسی متوجه شود که یک محصول یا خدمت از کیفیت مناسبی برخوردار نیست و کارآیی لازم را ندارد و در پاسخ کتاب دار دیگری این مسائل را مطرح کند و وی را از استفاده از آن محصول باز دارد، این فعالیت وی به عنوان مداخله و ممانعت از كسب منافع لازم توسط ناشر از محل فروش و بازاریابی منبع مورد نظر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پژوهشگران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استدلال کرده اند که این گونه شرایط شرایطی نادرست و نامعقول و هم چنین غیر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شرایط وضع شده هم ممکن است کتاب خانه را ملزم کند تا به فروشنده در اجرای حق مؤلف کمک نماید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ها ممکن است شامل اقدام های منفعلانه مانند الزام برای </w:t>
      </w:r>
      <w:bookmarkStart w:id="264" w:name="pg9659_93937"/>
    </w:p>
    <w:p>
      <w:pPr>
        <w:pStyle w:val="BookText"/>
        <w:rPr/>
      </w:pPr>
      <w:bookmarkEnd w:id="264"/>
      <w:r>
        <w:rPr>
          <w:rFonts w:ascii="IRNazanin" w:hAnsi="IRNazanin" w:eastAsia="IRNazanin"/>
          <w:color w:val="111111"/>
          <w:sz w:val="28"/>
          <w:sz w:val="28"/>
          <w:szCs w:val="28"/>
          <w:rtl w:val="true"/>
          <w:lang w:bidi="fa-IR"/>
        </w:rPr>
        <w:t xml:space="preserve">آگاه کردن کاربران کتاب خانه از محدودیت های درج شده در مجوز یک منبع، اقدام های اصلاحی به ویژه در زمانی که سوء استفاده ای در هنگام بررسی و گزارش دهی کشف می شود و هم چنین مشارکت فعالانه در بازنگری و گزارش دهی به فروشنده باشد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کتاب خانه ای گزارش تخلف و سوء استفاده ای را به فروشنده ارائه دهد احتمالاً با ارائه پاسخی از سوی فروشنده مواجه می شود که تقاضای اطلاعات بیشتری در رابطه با این تخلف، از جمله شناسایی کاربری که تخلف کرده،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همکاری نکردن مؤسسه فناوری ماساچوست </w:t>
      </w:r>
      <w:r>
        <w:rPr>
          <w:rStyle w:val="FootnoteAnchor"/>
          <w:rtl w:val="true"/>
        </w:rPr>
        <w:footnoteReference w:id="438"/>
      </w:r>
      <w:r>
        <w:rPr>
          <w:rFonts w:ascii="IRNazanin" w:hAnsi="IRNazanin" w:eastAsia="IRNazanin"/>
          <w:color w:val="111111"/>
          <w:sz w:val="28"/>
          <w:sz w:val="28"/>
          <w:szCs w:val="28"/>
          <w:rtl w:val="true"/>
          <w:lang w:bidi="fa-IR"/>
        </w:rPr>
        <w:t xml:space="preserve">با فروشنده در ارتباط با سوء استفاده ای که در ارتباط با دانلود از پایگاه اطلاعات انجام شده بود سبب شد دسترسی این موسسه به خدمات مربوطه برای چندین روز قطع شد و نتایج اسفباری به بار آید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شرایط و عبارت های مندرج در شرایط مندرج در مجوز، چالش اصلی کتاب 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از طریق تعدیل و جایگزینی عبارات و شرایط مندرج در مجوز با شرایط معقول تر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این توقع وجود دارد که فروشنده در متن مجوز تضمین دهد که محتوای تهیه شده برای کتاب خانه و کاربرانشان عاری از جنبه های متخلفانه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قولی تنها زمانی می تواند سودمند باشد که همراه با تعهد برای جبران و هم چنین پرداخت غرامت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نکته شگفت انگیز آن است که برخی از فروشندگان، کتاب خانه طرف مجوز را وادار به پرداخت غرامت می 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شرایط مطرح شده در یک مجوز می تواند کتاب خانه ها و کاربران آن ها را از حقوق مختلفی که برایشان وجود دارد مانند حقوقی که بر طبق قانون حق مؤلف مورد تأیید قرار گرفته و یا حقوقی که برای استفاده از محتوای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امانت کتاب ها،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فروش نخست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قوانین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رابطه با فرسودگی منابع وجود دارد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دیگری مانند امانت بین کتاب خانه ای و داده آمایی نیز تحت پوشش قانون حق مؤلف پشتیبانی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همیشه با این چالش روبه رو هستند که شرایطی را در مجوزها فراهم کنند تا از حق دسترسی برابر و هم چنین برخورداری از حقوق مرتبط دیگر موجود در متن مجوز در هنگام فروش و یا تقاضای دسترسی به محتوا، آن هم در زمانی که محتوا فروخته و یا درخواست می شود پشتیبانی کنند</w:t>
      </w:r>
      <w:r>
        <w:rPr>
          <w:rFonts w:eastAsia="IRNazanin" w:cs="IRNazanin"/>
          <w:color w:val="111111"/>
          <w:sz w:val="28"/>
          <w:szCs w:val="28"/>
          <w:rtl w:val="true"/>
          <w:lang w:bidi="fa-IR"/>
        </w:rPr>
        <w:t>.</w:t>
      </w:r>
    </w:p>
    <w:p>
      <w:pPr>
        <w:pStyle w:val="Heading3"/>
        <w:numPr>
          <w:ilvl w:val="2"/>
          <w:numId w:val="1"/>
        </w:numPr>
        <w:rPr/>
      </w:pPr>
      <w:bookmarkStart w:id="265" w:name="__RefHeading___Toc7825399_2870459653"/>
      <w:bookmarkStart w:id="266" w:name="_Toc94"/>
      <w:bookmarkEnd w:id="265"/>
      <w:r>
        <w:rPr>
          <w:rtl w:val="true"/>
        </w:rPr>
        <w:t>فرصت ها</w:t>
      </w:r>
      <w:bookmarkEnd w:id="26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اعطای مجوز دسترسی و استفاده از اطلاعات در صورت پیش بینی و فراهم کردن شرایط </w:t>
      </w:r>
    </w:p>
    <w:p>
      <w:pPr>
        <w:pStyle w:val="BookText"/>
        <w:rPr/>
      </w:pPr>
      <w:r>
        <w:rPr>
          <w:rFonts w:ascii="IRNazanin" w:hAnsi="IRNazanin" w:eastAsia="IRNazanin"/>
          <w:color w:val="111111"/>
          <w:sz w:val="28"/>
          <w:sz w:val="28"/>
          <w:szCs w:val="28"/>
          <w:rtl w:val="true"/>
          <w:lang w:bidi="fa-IR"/>
        </w:rPr>
        <w:t>مساعد، فرصت های متعددی را برای توسعه و پیشرفت کتاب خانه ها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نخست از طریق فعالیت کتاب داران ماهر مجوز گیرنده رخ می دهد که در مجوزها بتوانند حقوق کاربری بیشتری را برای کتاب خانه و کاربرانش، بیش از آن چیزی که طبق قانون حق مؤلف وجود دارد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مجوز می تواند قواعد موجود در یک قرارداد را که مبتنی بر قانون است به مزیت های مد نظر یک کتاب خانه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 اساس قانون قراردادهای آمریکا </w:t>
      </w:r>
      <w:r>
        <w:rPr>
          <w:rStyle w:val="FootnoteAnchor"/>
          <w:rtl w:val="true"/>
        </w:rPr>
        <w:footnoteReference w:id="440"/>
      </w:r>
      <w:r>
        <w:rPr>
          <w:rFonts w:ascii="IRNazanin" w:hAnsi="IRNazanin" w:eastAsia="IRNazanin"/>
          <w:color w:val="111111"/>
          <w:sz w:val="28"/>
          <w:sz w:val="28"/>
          <w:szCs w:val="28"/>
          <w:rtl w:val="true"/>
          <w:lang w:bidi="fa-IR"/>
        </w:rPr>
        <w:t xml:space="preserve">، هشدارها و اخطارها باید طبق قاعده موسوم قانون صندوق پستی </w:t>
      </w:r>
      <w:r>
        <w:rPr>
          <w:rStyle w:val="FootnoteAnchor"/>
          <w:rtl w:val="true"/>
        </w:rPr>
        <w:footnoteReference w:id="441"/>
      </w:r>
      <w:r>
        <w:rPr>
          <w:rFonts w:ascii="IRNazanin" w:hAnsi="IRNazanin" w:eastAsia="IRNazanin"/>
          <w:color w:val="111111"/>
          <w:sz w:val="28"/>
          <w:sz w:val="28"/>
          <w:szCs w:val="28"/>
          <w:rtl w:val="true"/>
          <w:lang w:bidi="fa-IR"/>
        </w:rPr>
        <w:t xml:space="preserve">سریعاً ارسال شوند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یک کتاب خانه ترجیح می دهد هشدارها را به شرط اعلام وصول دریافت کند؛ به ویژه زمانی که خاتمه یا لغو مجوز به ارسال هشدار از سوی طرفی که قرارداد را نقض نکرده به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لغو قرارداد پس از سی روز از ارسال هشدار و رسیدگی نکردن به آن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از رسیدن هشدار و اعلام وصول آن اطمینان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فرصتی که مجوزهای مربوط به دسترسی و استفاده از اطلاعات برای کتاب خانه ها فراهم می کنند، حق دفاع </w:t>
      </w:r>
      <w:r>
        <w:rPr>
          <w:rStyle w:val="FootnoteAnchor"/>
          <w:rtl w:val="true"/>
        </w:rPr>
        <w:footnoteReference w:id="442"/>
      </w:r>
      <w:r>
        <w:rPr>
          <w:rFonts w:ascii="IRNazanin" w:hAnsi="IRNazanin" w:eastAsia="IRNazanin"/>
          <w:color w:val="111111"/>
          <w:sz w:val="28"/>
          <w:sz w:val="28"/>
          <w:szCs w:val="28"/>
          <w:rtl w:val="true"/>
          <w:lang w:bidi="fa-IR"/>
        </w:rPr>
        <w:t>و ارائه آموزش 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ها، چالش ها و مباحثه های اخیر در رابطه با فرایند اخذ مجوز، فرصت مناسبی را برای طراحی دوره های آموزشی در علوم کتاب داری و اطلاع رسانی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دوره ها امکان آماده سازی کتاب داران برای تعامل با مسائل پیچیده مرتبط با حق مؤلف و فرایند مجوزدهی فراهم می آورد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نه تنها کتاب داران تازه کار بلکه کتاب دارانی که در حال ارائه فعالیت و خدمات هستند نیز به این نوع آموزش ها نیاز دارند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ها می تواند به دموکراتیزه کردن هر چه بیشتر قراردادها کمک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گسترده تر به سیاست در سطح جامعه می تواند بر زیرساخت قانونی و افزون بر آن سلسله مراتب سیاسی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قانونی می تواند در رابطه با عبارت ها و شرایط مشکوک و در رابطه با کاربرد قراردادها و توافق نامه های تحمیلی </w:t>
      </w:r>
      <w:r>
        <w:rPr>
          <w:rStyle w:val="FootnoteAnchor"/>
          <w:rtl w:val="true"/>
        </w:rPr>
        <w:footnoteReference w:id="443"/>
      </w:r>
      <w:r>
        <w:rPr>
          <w:rFonts w:ascii="IRNazanin" w:hAnsi="IRNazanin" w:eastAsia="IRNazanin"/>
          <w:color w:val="111111"/>
          <w:sz w:val="28"/>
          <w:sz w:val="28"/>
          <w:szCs w:val="28"/>
          <w:rtl w:val="true"/>
          <w:lang w:bidi="fa-IR"/>
        </w:rPr>
        <w:t xml:space="preserve">انجام شود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اروپا </w:t>
      </w:r>
      <w:r>
        <w:rPr>
          <w:rStyle w:val="FootnoteAnchor"/>
          <w:rtl w:val="true"/>
        </w:rPr>
        <w:footnoteReference w:id="444"/>
      </w:r>
      <w:r>
        <w:rPr>
          <w:rFonts w:ascii="IRNazanin" w:hAnsi="IRNazanin" w:eastAsia="IRNazanin"/>
          <w:color w:val="111111"/>
          <w:sz w:val="28"/>
          <w:sz w:val="28"/>
          <w:szCs w:val="28"/>
          <w:rtl w:val="true"/>
          <w:lang w:bidi="fa-IR"/>
        </w:rPr>
        <w:t xml:space="preserve">در این زمینه بسیار فعال بوده اما این قبیل مفاهیم نوعاً برای مجوزهای مرتبط به بازارهای عمده </w:t>
      </w:r>
      <w:r>
        <w:rPr>
          <w:rStyle w:val="FootnoteAnchor"/>
          <w:rtl w:val="true"/>
        </w:rPr>
        <w:footnoteReference w:id="445"/>
      </w:r>
      <w:r>
        <w:rPr>
          <w:rFonts w:ascii="IRNazanin" w:hAnsi="IRNazanin" w:eastAsia="IRNazanin"/>
          <w:color w:val="111111"/>
          <w:sz w:val="28"/>
          <w:sz w:val="28"/>
          <w:szCs w:val="28"/>
          <w:rtl w:val="true"/>
          <w:lang w:bidi="fa-IR"/>
        </w:rPr>
        <w:t xml:space="preserve">یا مجوزهای مشتری به تنهایی به کار می روند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مجوزهای کتاب خانه ای از جمله مصادیق توافق نامه های تحمیلی هستند که برخی از شرایط آن ها غیر قابل اجرا بوده و از عبارت های نامعقولی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قراردادها اغلب امکان چانه زنی وجود ندارد و تنها سناریوی مطرح برای آن ها توافق بدون تغییر </w:t>
      </w:r>
      <w:bookmarkStart w:id="267" w:name="pg9659_93939"/>
    </w:p>
    <w:p>
      <w:pPr>
        <w:pStyle w:val="BookText"/>
        <w:rPr/>
      </w:pPr>
      <w:bookmarkEnd w:id="267"/>
      <w:r>
        <w:rPr>
          <w:rFonts w:ascii="IRNazanin" w:hAnsi="IRNazanin" w:eastAsia="IRNazanin"/>
          <w:color w:val="111111"/>
          <w:sz w:val="28"/>
          <w:sz w:val="28"/>
          <w:szCs w:val="28"/>
          <w:rtl w:val="true"/>
          <w:lang w:bidi="fa-IR"/>
        </w:rPr>
        <w:t xml:space="preserve">در شرایط و اصلاح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قراردادها اغلب از عبارت های تند و خشنی استفاده شده و یا یک طرف قرارداد شرایط نامعقولی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آمریکا برای بهبود وضعیت این نوع از قراردادها تلاش دارند تا از طریق قانون گذاری، اقدامات مثبتی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 </w:t>
      </w:r>
      <w:r>
        <w:rPr>
          <w:rStyle w:val="FootnoteAnchor"/>
          <w:rtl w:val="true"/>
        </w:rPr>
        <w:footnoteReference w:id="446"/>
      </w:r>
      <w:r>
        <w:rPr>
          <w:rFonts w:ascii="IRNazanin" w:hAnsi="IRNazanin" w:eastAsia="IRNazanin"/>
          <w:color w:val="111111"/>
          <w:sz w:val="28"/>
          <w:sz w:val="28"/>
          <w:szCs w:val="28"/>
          <w:rtl w:val="true"/>
          <w:lang w:bidi="fa-IR"/>
        </w:rPr>
        <w:t xml:space="preserve">و دود </w:t>
      </w:r>
      <w:r>
        <w:rPr>
          <w:rStyle w:val="FootnoteAnchor"/>
          <w:rtl w:val="true"/>
        </w:rPr>
        <w:footnoteReference w:id="447"/>
      </w:r>
      <w:r>
        <w:rPr>
          <w:rFonts w:ascii="IRNazanin" w:hAnsi="IRNazanin" w:eastAsia="IRNazanin"/>
          <w:color w:val="111111"/>
          <w:sz w:val="28"/>
          <w:sz w:val="28"/>
          <w:szCs w:val="28"/>
          <w:rtl w:val="true"/>
          <w:lang w:bidi="fa-IR"/>
        </w:rPr>
        <w:t>نیز پیش بینی کرده اند که فرضیه های قضائی بیشتری در رابطه با این نوع از مجوزها پدید بیاید؛ همانند این فرضیه که اطلاع رسانی و حقوق مرتبط به آن زمینه سوددهی را به اندازه کافی فراهم نمی کنند و تا ایجاد تعادل در این زمینه فاصله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این دادگاه ها ممکن است به برخی از عوامل غیر قابل اجرا که ممکن است با واژگان غیر معقول در مجوز درج شده باشند و امکان اجرای آن ها دشوار باشد وزن بیشتری داده و درصدد بهبود وضعیت آن ها هستند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ها هم چنین ممکن است برخی شرایط قراردادهای خاص که قابل اجرا نبوده و مغایر با خط مشی عام </w:t>
      </w:r>
      <w:r>
        <w:rPr>
          <w:rStyle w:val="FootnoteAnchor"/>
          <w:rtl w:val="true"/>
        </w:rPr>
        <w:footnoteReference w:id="448"/>
      </w:r>
      <w:r>
        <w:rPr>
          <w:rFonts w:ascii="IRNazanin" w:hAnsi="IRNazanin" w:eastAsia="IRNazanin"/>
          <w:color w:val="111111"/>
          <w:sz w:val="28"/>
          <w:sz w:val="28"/>
          <w:szCs w:val="28"/>
          <w:rtl w:val="true"/>
          <w:lang w:bidi="fa-IR"/>
        </w:rPr>
        <w:t xml:space="preserve">باشند را در نظر بگیرند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مجوزدهنده در بخش عبارت ها و شرایط تلاش دارد تا استفاده از محتوا را بدون توجه به حق مؤلف کنترل کند و با توجه به این که مجوز دهنده تنها منبع ارائه داده ها می تواند باشد، موقعیت برای ارائه واخواهی های مرتبط با نقض حق مؤلف پدید می آید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یک مجوز برای کنترل منابع انحصاری تولید محتواهای عمومی که در زیر پوشش حق مؤلف نیستند نمونه ای اولیه برای پدید آمدن موقعیت های واخواهی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سوء استفاده از حق مؤلف ممکن است شرایطی را شامل شود که در آن حق معنوی معتبر شناخته شده باشد ولی با این حال، دارنده حق تلاش می کند تا از این حق خود برای کسب سایر منافع غیر مرتبط با این حق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همانند مفهوم بی وجدانی ریشه در جنبه های منصفانه خطی مشی عمومی قضائی </w:t>
      </w:r>
      <w:r>
        <w:rPr>
          <w:rStyle w:val="FootnoteAnchor"/>
          <w:rtl w:val="true"/>
        </w:rPr>
        <w:footnoteReference w:id="449"/>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آگاهی عمومی فزاینده از رویه های ناراحت کننده و بی پروایانه موجود در رابطه با مجوزدهی ممکن است قانون گذاران را متقاعد کند که در این زمینه بررسی های</w:t>
      </w:r>
    </w:p>
    <w:p>
      <w:pPr>
        <w:pStyle w:val="BookText"/>
        <w:rPr/>
      </w:pPr>
      <w:r>
        <w:rPr>
          <w:rFonts w:ascii="IRNazanin" w:hAnsi="IRNazanin" w:eastAsia="IRNazanin"/>
          <w:color w:val="111111"/>
          <w:sz w:val="28"/>
          <w:sz w:val="28"/>
          <w:szCs w:val="28"/>
          <w:rtl w:val="true"/>
          <w:lang w:bidi="fa-IR"/>
        </w:rPr>
        <w:t>بیشتری انجام داده و پاسخگو باشند</w:t>
      </w:r>
      <w:r>
        <w:rPr>
          <w:rFonts w:eastAsia="IRNazanin" w:cs="IRNazanin"/>
          <w:color w:val="111111"/>
          <w:sz w:val="28"/>
          <w:szCs w:val="28"/>
          <w:rtl w:val="true"/>
          <w:lang w:bidi="fa-IR"/>
        </w:rPr>
        <w:t>.</w:t>
      </w:r>
    </w:p>
    <w:p>
      <w:pPr>
        <w:pStyle w:val="Heading3"/>
        <w:numPr>
          <w:ilvl w:val="2"/>
          <w:numId w:val="1"/>
        </w:numPr>
        <w:rPr/>
      </w:pPr>
      <w:bookmarkStart w:id="268" w:name="__RefHeading___Toc7825401_2870459653"/>
      <w:bookmarkStart w:id="269" w:name="_Toc95"/>
      <w:bookmarkEnd w:id="268"/>
      <w:r>
        <w:rPr>
          <w:rtl w:val="true"/>
        </w:rPr>
        <w:t>مخاطره ها</w:t>
      </w:r>
      <w:bookmarkEnd w:id="2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تخطی از قرارداد مجوز ممکن است مخاطره های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احتمال بروز اتفاق ناخوشایند و یا بد برای دو طرف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خانه مانند مشتریانش در فضائی وجود دارد که تحمیل </w:t>
      </w:r>
    </w:p>
    <w:p>
      <w:pPr>
        <w:pStyle w:val="BookText"/>
        <w:rPr/>
      </w:pPr>
      <w:r>
        <w:rPr>
          <w:rFonts w:ascii="IRNazanin" w:hAnsi="IRNazanin" w:eastAsia="IRNazanin"/>
          <w:color w:val="111111"/>
          <w:sz w:val="28"/>
          <w:sz w:val="28"/>
          <w:szCs w:val="28"/>
          <w:rtl w:val="true"/>
          <w:lang w:bidi="fa-IR"/>
        </w:rPr>
        <w:t xml:space="preserve">اطلاعاتی </w:t>
      </w:r>
      <w:r>
        <w:rPr>
          <w:rStyle w:val="FootnoteAnchor"/>
          <w:rtl w:val="true"/>
        </w:rPr>
        <w:footnoteReference w:id="450"/>
      </w:r>
      <w:r>
        <w:rPr>
          <w:rFonts w:ascii="IRNazanin" w:hAnsi="IRNazanin" w:eastAsia="IRNazanin"/>
          <w:color w:val="111111"/>
          <w:sz w:val="28"/>
          <w:sz w:val="28"/>
          <w:szCs w:val="28"/>
          <w:rtl w:val="true"/>
          <w:lang w:bidi="fa-IR"/>
        </w:rPr>
        <w:t>در آن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تحمیل اطلاعاتی در رابطه با توافقنامه ها به تمایل بازیگران عمده برای به کارگیری نیروهای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پس از آن نیروهای اقتصادی و فنی به منظور جلوگیری از تمایل درونی و طبیعی موجود برای دسترسی و اشاعه اطلاعات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اطلاعاتی یکی از تأثیرات عملی و فوری تخطی در فرایند مجوزدهی در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تغییری اساسی در ماهیت تبادل دسترسی و اشاعه اطلاعات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حق مؤلف مفاهیمی که اجازه انتقال ثانویه محتوا و یا حق مالکیت یک اثر پشتیبانی شده را از طریق اجاره یا کرایه دادن فراهم کنند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آمریکا تحت مفهوم فروش نخست و در سایر کشورها تحت مفهوم فرسودگی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معنی هسته شکل دهنده رویکردهای مختلف کتابداری نزدیک شده و از امانت محتوای منابع اطلاعاتی به مشتریان کتاب خانه و هم چنین کاربران سایر کتاب خانه ها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پرسشی که پدید می آید آن است که آیا دورنمای آینده در این زمینه شامل فراهم آوری کتاب های با جلدهای چروک </w:t>
      </w:r>
      <w:r>
        <w:rPr>
          <w:rStyle w:val="FootnoteAnchor"/>
          <w:rtl w:val="true"/>
        </w:rPr>
        <w:footnoteReference w:id="451"/>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بازارهای فروش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باز فروش موسیقی های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تیونز </w:t>
      </w:r>
      <w:r>
        <w:rPr>
          <w:rStyle w:val="FootnoteAnchor"/>
          <w:rtl w:val="true"/>
        </w:rPr>
        <w:footnoteReference w:id="452"/>
      </w:r>
      <w:r>
        <w:rPr>
          <w:rFonts w:ascii="IRNazanin" w:hAnsi="IRNazanin" w:eastAsia="IRNazanin"/>
          <w:color w:val="111111"/>
          <w:sz w:val="28"/>
          <w:sz w:val="28"/>
          <w:szCs w:val="28"/>
          <w:rtl w:val="true"/>
          <w:lang w:bidi="fa-IR"/>
        </w:rPr>
        <w:t xml:space="preserve">نیز می شدند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محلی فدرال </w:t>
      </w:r>
      <w:r>
        <w:rPr>
          <w:rStyle w:val="FootnoteAnchor"/>
          <w:rtl w:val="true"/>
        </w:rPr>
        <w:footnoteReference w:id="453"/>
      </w:r>
      <w:r>
        <w:rPr>
          <w:rFonts w:ascii="IRNazanin" w:hAnsi="IRNazanin" w:eastAsia="IRNazanin"/>
          <w:color w:val="111111"/>
          <w:sz w:val="28"/>
          <w:sz w:val="28"/>
          <w:szCs w:val="28"/>
          <w:rtl w:val="true"/>
          <w:lang w:bidi="fa-IR"/>
        </w:rPr>
        <w:t xml:space="preserve">چنین نتیجه گیری می کند که مفهوم فروش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اوّل</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نمی تواند در این رابطه به کار رود و به اشخاص حق مرتب سازی و استفاده مجدد از فایل های موسیقی دریافت شده از خدمات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تیونز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در این زمینه مطرح می شود آن است که آیا مالک فایل های موسیقی که به صورت قانونی ساخته و خریداری شده اند می تواند فایل های خود را دوباره به شکل رقومی و مطابق با مفهوم فروش نخست به فروش برساند؟ دادگاه بر این عقیده بود که این امکان وجود ندارد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قانون حق مؤلف برای امکان پذیر کردن امکان فروش نخست و یا استفاده از حقوق مرتبط با فرسودگی تغییر کرده است و یا دادگاه ها مفهوم را به صورت گسترده تری در نظر می گیرند، اما موافقت نامه های تنظیم شده در قالب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این خدمات را به گونهای اداره می کنند که هنوز نیاز به تبادل و اصلاحات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زبان به کار رفته رفته در مجوز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تیونز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کیندل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می شود که این مجوزها استفاده از </w:t>
      </w:r>
      <w:bookmarkStart w:id="270" w:name="pg9659_93941"/>
    </w:p>
    <w:p>
      <w:pPr>
        <w:pStyle w:val="BookText"/>
        <w:rPr/>
      </w:pPr>
      <w:bookmarkEnd w:id="270"/>
      <w:r>
        <w:rPr>
          <w:rFonts w:ascii="IRNazanin" w:hAnsi="IRNazanin" w:eastAsia="IRNazanin"/>
          <w:color w:val="111111"/>
          <w:sz w:val="28"/>
          <w:sz w:val="28"/>
          <w:szCs w:val="28"/>
          <w:rtl w:val="true"/>
          <w:lang w:bidi="fa-IR"/>
        </w:rPr>
        <w:t>محتوای شخصی و کاربردهای صرفاً غیر تجاری را محدود نموده و هم چنین امکان استفاده تجاری و اشتراک گذاری عمومی را نیز ممنوع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کارت برنده برای صاحبان حق و فراهم کنندگان اطلاعات دارای مجوز رقومی، توزیع اطلاعات مجوز با استفاده از فناوری های مدیریت حقوق رقومی </w:t>
      </w:r>
      <w:r>
        <w:rPr>
          <w:rStyle w:val="FootnoteAnchor"/>
          <w:rtl w:val="true"/>
        </w:rPr>
        <w:footnoteReference w:id="45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مدیریت حقوق رقومی توسط معاهده های بین المللی پشتیبانی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قوانین در ایالات متحده آمریکا برای نمونه سبب شده تا پیشی گرفتن سنجه های پشتیبانی فنی </w:t>
      </w:r>
      <w:r>
        <w:rPr>
          <w:rStyle w:val="FootnoteAnchor"/>
          <w:rtl w:val="true"/>
        </w:rPr>
        <w:footnoteReference w:id="458"/>
      </w:r>
      <w:r>
        <w:rPr>
          <w:rFonts w:ascii="IRNazanin" w:hAnsi="IRNazanin" w:eastAsia="IRNazanin"/>
          <w:color w:val="111111"/>
          <w:sz w:val="28"/>
          <w:sz w:val="28"/>
          <w:szCs w:val="28"/>
          <w:rtl w:val="true"/>
          <w:lang w:bidi="fa-IR"/>
        </w:rPr>
        <w:t xml:space="preserve">یا حذف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مدیریت حق مؤلف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یک اثر، صاحبان حق، ویژگی های اثر و موارد دیگر غیرقانونی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ایالات متحده مفهوم اطلاعات مدیریت حق مؤلف به حدّی گسترده است که شامل عبارت ها و شرایط استفاده نیز می شود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عبارت ها و شرایط مورد استفاده در مجوز دهی که از لحاظ قانونی قابلیت حذف از محتوا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فراداده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کنترل های فنی که تا زمانی که مفاد و شرایط مرتبط با دارندگان حقوق یا فراهم کنندگان محتوا تکمیل نشده باشد از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می کنند، منجر به انعقاد یک قرارداد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فرایندهای به</w:t>
      </w:r>
    </w:p>
    <w:p>
      <w:pPr>
        <w:pStyle w:val="BookText"/>
        <w:rPr/>
      </w:pPr>
      <w:r>
        <w:rPr>
          <w:rFonts w:ascii="IRNazanin" w:hAnsi="IRNazanin" w:eastAsia="IRNazanin"/>
          <w:color w:val="111111"/>
          <w:sz w:val="28"/>
          <w:sz w:val="28"/>
          <w:szCs w:val="28"/>
          <w:rtl w:val="true"/>
          <w:lang w:bidi="fa-IR"/>
        </w:rPr>
        <w:t>کارگیری سنجه های پشتیبانی فنی همراه با تعیین این قبیل شرایط به مجوز دهنده اجازه می دهد تا رضایت نسبتاً خوبی از مفاد و شرایط مجوز به دست آورد</w:t>
      </w:r>
      <w:r>
        <w:rPr>
          <w:rFonts w:eastAsia="IRNazanin" w:cs="IRNazanin"/>
          <w:color w:val="111111"/>
          <w:sz w:val="28"/>
          <w:szCs w:val="28"/>
          <w:rtl w:val="true"/>
          <w:lang w:bidi="fa-IR"/>
        </w:rPr>
        <w:t>.</w:t>
      </w:r>
    </w:p>
    <w:p>
      <w:pPr>
        <w:pStyle w:val="Heading3"/>
        <w:numPr>
          <w:ilvl w:val="2"/>
          <w:numId w:val="1"/>
        </w:numPr>
        <w:rPr/>
      </w:pPr>
      <w:bookmarkStart w:id="271" w:name="__RefHeading___Toc7825403_2870459653"/>
      <w:bookmarkStart w:id="272" w:name="_Toc96"/>
      <w:bookmarkEnd w:id="271"/>
      <w:r>
        <w:rPr>
          <w:rtl w:val="true"/>
        </w:rPr>
        <w:t>حرکت به سوی آینده</w:t>
      </w:r>
      <w:bookmarkEnd w:id="2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تغییرات اساسی پس از حصول آگاهی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نیز در نتیجه بازنگری پیشرفت ها در سطح ملّی و بین المللی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آینده کاملاً وجود دارد تا به کتابداران آگاهی و آموزش های لازم در رابطه با حق مؤلف و نحوه انعقاد قراردادهای مختلف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آموزشی علم اطلاعات و دانش شناسی باید زمینه ارائه آموزشهای لازم در رابطه با این حوزه های موضوعی را به دانشجویان و فارغ التحصیلان آینده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آموزشگران و نمایندگان سازمان های کتاب خانه ای از طریق شرکت در این قبیل همایش ها در این رابطه به دانش اندوزی می پردازند اما هر فردی از جامعه حرفه ای باید برای افزایش مهارت هایش در این حوزه ها تعهد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 این نکته تأکید می شود که باید در رابطه با تزریق روحیه دفاع از حقوق، نه تنها در میان حرفه مندان بلکه مشتریان خود نیز بیش از پیش تلاش نمود</w:t>
      </w:r>
      <w:r>
        <w:rPr>
          <w:rFonts w:eastAsia="IRNazanin" w:cs="IRNazanin"/>
          <w:color w:val="111111"/>
          <w:sz w:val="28"/>
          <w:szCs w:val="28"/>
          <w:rtl w:val="true"/>
          <w:lang w:bidi="fa-IR"/>
        </w:rPr>
        <w:t xml:space="preserve">. </w:t>
      </w:r>
      <w:bookmarkStart w:id="273" w:name="pg9659_93942"/>
    </w:p>
    <w:p>
      <w:pPr>
        <w:pStyle w:val="Heading3"/>
        <w:numPr>
          <w:ilvl w:val="2"/>
          <w:numId w:val="1"/>
        </w:numPr>
        <w:rPr/>
      </w:pPr>
      <w:bookmarkStart w:id="274" w:name="__RefHeading___Toc7825405_2870459653"/>
      <w:bookmarkStart w:id="275" w:name="_Toc97"/>
      <w:bookmarkEnd w:id="273"/>
      <w:bookmarkEnd w:id="274"/>
      <w:r>
        <w:rPr>
          <w:rtl w:val="true"/>
        </w:rPr>
        <w:t>منابع</w:t>
      </w:r>
      <w:bookmarkEnd w:id="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Webster's Dictionary can be used to define "concern" "challenges" "opportunities" and "risks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eBay, Inc. v. Bidder's Edge, Inc. 100 F. Supp. 2d 1058 (N.D. Cal. 2000) (trespass to real property Compared to trespass to chattels or conversion discussed); Register.com v. Verio, Inc. 126 F. Supp. 2d 238 (S.D.N. Y. 2000) (likelihood of harm demonstrated if other users allowed to replicate Verio's actions of using robot to extract data, system operability would suffer); and Ticketmaster, Corp. v. Tickets.com, 2000 WL 1887522 (C.D. Calif.) (tacit acceptance of digital trespass, but no evidence of harm demonstrated) 2003 wl 21406289 (C.D. Calif.) ("Pending appellate guidance, this court comes down on the side of requiring some tangible interference with the use or operation of the computer being invaded by the spider.&lt;&lt; Id. at *3)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library may fall outside the definition of "consumer": "consumer' means any natural person who, in contracts covered by this Directive, is acting for purposes which are outside his trade, business or profession EU Council Directive 93/13/EEC of 5 April 1993 on unfair terms in consumer contracts, Art. 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ProCD v. Zeidenberg, 86 F.3d 1447, 1454 (7th Cir. 1996). Authors Guild v. Google, Inc. 770 F. Supp. 2d (S.D.N.Y. 2011). Authors Guild V. Google, Inc. 954 F. Supp. 2d 282 (S.D.N.Y. 2013); and Authors Guild, Inc.V. HathiTrust, 2014 WL 2576342 (2d Cir)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Ellen Broad, What is the Trans-Atlantic Trade Investment Partnership (TTIP) and why it could it affect the information sphere, Joint IFLA CLM &amp; EBLIDA, August 14, 2004, Strasbourg, France; and Trish Hepworth, The Trans-Pacific Partnership - what does free trade mean have to do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with library services? Joint IFLA CLM &amp; EBLIDA, August 14, 2004, Strasbourg, France (2013) .Available at http://www.nature.com/libraries/site licenses/license-agreements.html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Available at http://www.proquest.com/about/terms-and-conditions 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A&amp;M Records, Inc. v. Napster, Inc., 239 F.3d 1004 (9th Cir. 2001) Authors Guild, Inc. v. HathiTrust, 2014 WL 257 6342, *10 (2d Cir.) (June 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 v. Apple, Inc. et al. 12 CV 2826 (S.D.N.Y. April 11, 2012). U.S. v. Apple, Inc. 952 F.Supp.2d 638, 709 (S.D.N.Y. 2013)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Anthony G. Read. Notes: Dewitt Clauses: Can we Protect Purchasers Without Hurting Microsoft? 25 REVIEW OF LITIGATION 387, 420-421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Genelle I. Belmas and Brian N. Larson, Clicking Away Your Speech Rights: The Enforceability of Gagwrap Licenses, 12 COMUNICATIONS LAW AND POLICY 37, 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Use reasonable efforts to ensure that Authorized Users are made aware of and undertake to abide by the terms and conditions... and immediately on becoming aware of any unauthorized user or other breach, inform BioOne and take reasonable steps, including appropriate disciplinary action, both to ensure that such activity cease and to prevent any recurrence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Licensee[] shall notify JSTOR of any [] unpermitted uses and shall cooperate with JSTOR in resolving problems or unpermitted use</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 v. Swartz, Criminal Complaint, at 23 - 24, No. 1:11-cr-10260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NMG (Dist. Mass., 7/711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Subscriber agrees to indemnify OVID from OVID from and defend at its own expense...against any and all claims ... arising out of or related to Authorized Users use of the Products or any materials provided hereunder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principle that an acceptance becomes effective and binds the offeror once it has been properly mailed." BLACK'S AW DICTIONARY 502 (9th ed. 2009) (no pagination in Westlaw)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Copyright Librarian: A Study of Hiring Trends for the Period 2006-2013, Dick Kawooya, Amber Rodriguez and Tomas A. Lipinski(2004)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current study of copyright queries on the American Library Association Copyright Advisory Network indicated that from 2004-2011, "analysis of 1 000 real-life copyright questions asked and answered via the online copyright reference service... indicate that or 34% reflected the need for training in Fair Use principles and guidance on performing a four factors analysis." Gail Clement, Project Coordinator (2014), http://www.districtdispatch. org/2014/01/fair-use-necessary-exception-librarieseducators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BLACK'S LAW DICTIONARY (9th ed. 2009) defines an adhesion contract as: "A standard-form contract prepared by one party, to be signed by another party in a weaker position, usually a consumer, who adheres to the contract with little choice about the terms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EU Council Directive 93/13/EEC of 5 April 1993 on unfair terms in consumer contracts. Art. 2. B: "consumer' means any natural person who in contracts covered by this Directive, is acting for purposes which are outside his trade, business or profession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Zerjal v. Daech &amp; Bauer Const., Inc. , 939 N.E.2d 1067. 1073 (Ill. App. 5 Dist., 2010) ("The term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unconscionable' encompasses the absence of meaningful choice by one party, as well as contract terms that are unreasonably favorable to the other party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RAYMOND T. NIMMER AND JEFF C. DODD, MODERN LICENSING LAW 12:5 (database updated in Westlaw September, 2013). Restatement (Second) of Contracts 178(2)(a)-(c) and (3)(a)-(d)(1981) (When A Term Is Unenforceable On Grounds Of Public Policy)</w:t>
      </w:r>
    </w:p>
    <w:p>
      <w:pPr>
        <w:pStyle w:val="BookText"/>
        <w:rPr/>
      </w:pPr>
      <w:r>
        <w:rPr>
          <w:rFonts w:eastAsia="Times New Roman" w:cs="Times New Roman" w:ascii="Times New Roman" w:hAnsi="Times New Roman"/>
          <w:color w:val="111111"/>
          <w:sz w:val="28"/>
          <w:szCs w:val="28"/>
          <w:lang w:val="en-US" w:bidi="en-US"/>
        </w:rPr>
        <w:t>Lasercomb America, Inc. v. Reynolds, 911 F.2d 970, 978 (4th Cir. 1990) (99 year non-complete provision longer than duration of copyright)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Victoria Smith Ekstrand, Protecting the Public Policy Rationale of Copyright: Reconsidering Copyright Misuse, 11 COMMUNICATION LAW AND POLICY 565</w:t>
      </w:r>
    </w:p>
    <w:p>
      <w:pPr>
        <w:pStyle w:val="BookText"/>
        <w:rPr/>
      </w:pPr>
      <w:r>
        <w:rPr>
          <w:rFonts w:eastAsia="Times New Roman" w:cs="Times New Roman" w:ascii="Times New Roman" w:hAnsi="Times New Roman"/>
          <w:color w:val="111111"/>
          <w:sz w:val="28"/>
          <w:szCs w:val="28"/>
          <w:lang w:val="en-US" w:bidi="en-US"/>
        </w:rPr>
        <w:t>Assessment Technologies of WI, LLC. v. Wire data, Inc., 350 F.3d 640, 645 and 646-647 (7th Cir. 2003)</w:t>
      </w:r>
    </w:p>
    <w:p>
      <w:pPr>
        <w:pStyle w:val="BookText"/>
        <w:rPr/>
      </w:pPr>
      <w:r>
        <w:rPr>
          <w:rFonts w:eastAsia="Times New Roman" w:cs="Times New Roman" w:ascii="Times New Roman" w:hAnsi="Times New Roman"/>
          <w:color w:val="111111"/>
          <w:sz w:val="28"/>
          <w:szCs w:val="28"/>
          <w:lang w:val="en-US" w:bidi="en-US"/>
        </w:rPr>
        <w:t>The rule that the purchaser of a physical copy of a copyrighted work, such as a book or CD, may give or sell that copy to someone else without infringing the copyright owner's exclusive distribution rights... the copyright owner's distribution right is said to be exhausted." BLACK'S LAW DICTIONARY (9th ed. 2009) (no pagination in Westlaw). 17 U.S.C"109(a)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BLACK'S LAW DICTIONARY (9th ed. 2009) (no pagination in Westlaw), defines "exhaustion" as the "principle that once the owner of an intellectual-property right has placed a product covered by that right into the marketplace, the right to control how the product is resold within that internal market is lost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See also, L. J. KUTTEN, 2 COMPUTER SOFTWARE PROTECTION-LIABILITY-LAW-FORMS 9:72 (database updated April 2014 in Westlaw) ("Why wouldn't the following no software transactions also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 valid contractual restrictions... A book publisher put a shrink-wrap</w:t>
      </w:r>
    </w:p>
    <w:p>
      <w:pPr>
        <w:pStyle w:val="BookText"/>
        <w:rPr/>
      </w:pPr>
      <w:r>
        <w:rPr>
          <w:rFonts w:eastAsia="Times New Roman" w:cs="Times New Roman" w:ascii="Times New Roman" w:hAnsi="Times New Roman"/>
          <w:color w:val="111111"/>
          <w:sz w:val="28"/>
          <w:szCs w:val="28"/>
          <w:lang w:val="en-US" w:bidi="en-US"/>
        </w:rPr>
        <w:t>agreement on its back covers prohibiting the loaning of its books by a public library. A music manufacturer put a EULA on the back of its CDs prohibiting the resale of the CDs."). See also, Marcelo Halpern, Yury ,(Kapgan, Kathy Yu, Vernor v. Autodesk [621 F.3d 1102 (9th Cir. 2010 cert. denied 132 S. Ct. 105 (2011)]: Software and the First Sale Doctrine &amp; Under Copyright Law, 23 No. 3 INTELLECTUAL PROPERTY TECHNOLOGY LAW JOURNAL 7 (March, 2011) (the "decision also could affect conduct in the secondary markets for all copyrighted works... [with] software-style licensing terms being attached to other kinds of works...and weaken markets for sale of secondhand copies of all types of copyrighted works, particularly those distributed electronically, whether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software, music, movies, or books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Capital Records, LLC v. ReDIGI Inc., 934 F.Supp. 2d 640, 648 (S.D.N. Y. 2013</w:t>
      </w:r>
    </w:p>
    <w:p>
      <w:pPr>
        <w:pStyle w:val="BookText"/>
        <w:rPr/>
      </w:pPr>
      <w:r>
        <w:rPr>
          <w:rFonts w:eastAsia="Times New Roman" w:cs="Times New Roman" w:ascii="Times New Roman" w:hAnsi="Times New Roman"/>
          <w:color w:val="111111"/>
          <w:sz w:val="28"/>
          <w:szCs w:val="28"/>
          <w:lang w:val="en-US" w:bidi="en-US"/>
        </w:rPr>
        <w:t>iTunes: "USAGE RULES. (i) You shall be authorized to use iTunes ".Products only for personal, noncommercial use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Kindle: “display such Digital Content ... solely on the Kindle... solely for your personal, non-commercial use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WIPO (World Intellectual Property Organization) Copyright Treaty of 1996 (December 20, 1996) (available at http://www.wipo.int/treaties/en/ text.jsp?file_id=295166 17 U.S.C. 1202(c)(6)</w:t>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9659_93948"/>
      <w:bookmarkStart w:id="277" w:name="pg9659_93948"/>
      <w:bookmarkEnd w:id="277"/>
    </w:p>
    <w:p>
      <w:pPr>
        <w:pStyle w:val="Heading2"/>
        <w:numPr>
          <w:ilvl w:val="1"/>
          <w:numId w:val="1"/>
        </w:numPr>
        <w:rPr/>
      </w:pPr>
      <w:bookmarkStart w:id="278" w:name="pg9659_93948"/>
      <w:bookmarkStart w:id="279" w:name="__RefHeading___Toc7825407_2870459653"/>
      <w:bookmarkStart w:id="280" w:name="_Toc98"/>
      <w:bookmarkEnd w:id="278"/>
      <w:bookmarkEnd w:id="279"/>
      <w:r>
        <w:rPr>
          <w:rtl w:val="true"/>
        </w:rPr>
        <w:t>چکیده</w:t>
      </w:r>
      <w:bookmarkEnd w:id="280"/>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های پیوندی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 نظریه گراف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دهنده ارتباط میان رئوس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پیوندهایی تاکید دارد که یک موجودیت دارای ارزش را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موجودیت های توصیف کننده مجموعه کتاب خانه، از برگه دان های مستند سنتی تنظیم شده توسط انجمن های محلی و جهانی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اهمیت ساخت پیوندهایی در میان اجسام و اشیاء جهان واقعی تأکید می کنند؛ در حالی که برگه دان های مستند کتاب خانه ها، شکل مستند یک نام یا عنوان را به عنوان مدخل ورودی به یک نظام برگه آرایی یا نمایه ماشین خوان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برای ایجاد موجودیت یک فرد در اینترنت، موجودیتی نیاز است که حاوی داده های کامل در خصوص آن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سمت موجودیت ها به عنوان روشی برای بایگانی داده ها و مدیریت کیفیت آن ها در نظام مدیریت فراداده های کتاب خانه ای، منافعی را برای انجام بهتر امور کتاب خانه مانند بازیابی اثر، فهرست نویسی و نمایش در اینترنت،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منافع شامل بازیابی اثر، فهرست نویسی کارآمد و نمایش اثربخش و بهتر مجموعه های کتاب خانه در اینترنت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دستیابی به این منافع، کتاب خانه ها و سازمان های تابعه باید به سرمایه گذاری در برگه دان های مستند بین المللی و محلی و گردآوری داده های مستند مانند ویاف </w:t>
      </w:r>
      <w:r>
        <w:rPr>
          <w:rStyle w:val="FootnoteAnchor"/>
          <w:rtl w:val="true"/>
        </w:rPr>
        <w:footnoteReference w:id="462"/>
      </w:r>
      <w:r>
        <w:rPr>
          <w:rFonts w:ascii="IRNazanin" w:hAnsi="IRNazanin" w:eastAsia="IRNazanin"/>
          <w:color w:val="111111"/>
          <w:sz w:val="28"/>
          <w:sz w:val="28"/>
          <w:szCs w:val="28"/>
          <w:rtl w:val="true"/>
          <w:lang w:bidi="fa-IR"/>
        </w:rPr>
        <w:t>و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آی</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ادامه دهند و از علامت گذاری اِسکیما </w:t>
      </w:r>
      <w:r>
        <w:rPr>
          <w:rStyle w:val="FootnoteAnchor"/>
          <w:rtl w:val="true"/>
        </w:rPr>
        <w:footnoteReference w:id="464"/>
      </w:r>
      <w:r>
        <w:rPr>
          <w:rFonts w:ascii="IRNazanin" w:hAnsi="IRNazanin" w:eastAsia="IRNazanin"/>
          <w:color w:val="111111"/>
          <w:sz w:val="28"/>
          <w:sz w:val="28"/>
          <w:szCs w:val="28"/>
          <w:rtl w:val="true"/>
          <w:lang w:bidi="fa-IR"/>
        </w:rPr>
        <w:t>برای انتشار کارآمد در اینترنت استفاده کنند و در نهایت، تغییر شکل فراداده های کتاب خانه ای از قالب های ثبت سنتی به موجودیت ها را در دستور کار خود قرار دهند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کارت های اطلاعاتی، فراداده ها، بازیابی، فهرست نویسی </w:t>
      </w:r>
      <w:bookmarkStart w:id="281" w:name="pg9659_93949"/>
    </w:p>
    <w:p>
      <w:pPr>
        <w:pStyle w:val="Heading2"/>
        <w:numPr>
          <w:ilvl w:val="1"/>
          <w:numId w:val="1"/>
        </w:numPr>
        <w:rPr/>
      </w:pPr>
      <w:bookmarkStart w:id="282" w:name="__RefHeading___Toc7825409_2870459653"/>
      <w:bookmarkStart w:id="283" w:name="_Toc99"/>
      <w:bookmarkEnd w:id="281"/>
      <w:bookmarkEnd w:id="282"/>
      <w:r>
        <w:rPr>
          <w:rtl w:val="true"/>
        </w:rPr>
        <w:t>مستندات، موجودیت ها و انجمن ها</w:t>
      </w:r>
      <w:bookmarkEnd w:id="283"/>
    </w:p>
    <w:p>
      <w:pPr>
        <w:pStyle w:val="Heading3"/>
        <w:numPr>
          <w:ilvl w:val="2"/>
          <w:numId w:val="1"/>
        </w:numPr>
        <w:rPr/>
      </w:pPr>
      <w:bookmarkStart w:id="284" w:name="__RefHeading___Toc7825411_2870459653"/>
      <w:bookmarkStart w:id="285" w:name="_Toc100"/>
      <w:bookmarkEnd w:id="284"/>
      <w:r>
        <w:rPr>
          <w:rtl w:val="true"/>
        </w:rPr>
        <w:t>اشاره</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مستندات، موجودیت ها و انجمن ها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نوشته تئودور فونس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صدیقه پیرهادی </w:t>
      </w:r>
      <w:r>
        <w:rPr>
          <w:rStyle w:val="FootnoteAnchor"/>
          <w:rtl w:val="true"/>
        </w:rPr>
        <w:footnoteReference w:id="467"/>
      </w:r>
    </w:p>
    <w:p>
      <w:pPr>
        <w:pStyle w:val="Heading3"/>
        <w:numPr>
          <w:ilvl w:val="2"/>
          <w:numId w:val="1"/>
        </w:numPr>
        <w:rPr/>
      </w:pPr>
      <w:bookmarkStart w:id="286" w:name="__RefHeading___Toc7825413_2870459653"/>
      <w:bookmarkStart w:id="287" w:name="_Toc101"/>
      <w:bookmarkEnd w:id="286"/>
      <w:r>
        <w:rPr>
          <w:rtl w:val="true"/>
        </w:rPr>
        <w:t>مقدمه</w:t>
      </w:r>
      <w:bookmarkEnd w:id="287"/>
    </w:p>
    <w:p>
      <w:pPr>
        <w:pStyle w:val="BookText"/>
        <w:rPr/>
      </w:pPr>
      <w:r>
        <w:rPr>
          <w:rFonts w:ascii="IRNazanin" w:hAnsi="IRNazanin" w:eastAsia="IRNazanin"/>
          <w:color w:val="111111"/>
          <w:sz w:val="28"/>
          <w:sz w:val="28"/>
          <w:szCs w:val="28"/>
          <w:rtl w:val="true"/>
          <w:lang w:bidi="fa-IR"/>
        </w:rPr>
        <w:t>مطالعه نظریه گراف و یا ساختارهای استفاده شده در مدل سازی ارتباطات دو به دو میان رئوس، سابقه دیرینه ای در ریاضیات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زمینه های مطالعاتی، از جمله علم رایانه، از نظریه گراف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پیوندی، حوزه مطالعاتی و عملی مرتبط به مباحث ذکر شده است که نویدبخش منافعی برای مدیریت فراداده های مجموعه های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نظریه گراف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پیوندهایی تأکید دارد که یک موجودیت دارای ارزش را توصیف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مدیریت داده ها که بر کیفیت هر پیشینه فراداده مطابق با قوانین فهرست نویسی و قالب های مستند مانند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یا یونی مارک </w:t>
      </w:r>
      <w:r>
        <w:rPr>
          <w:rStyle w:val="FootnoteAnchor"/>
          <w:rtl w:val="true"/>
        </w:rPr>
        <w:footnoteReference w:id="469"/>
      </w:r>
      <w:r>
        <w:rPr>
          <w:rFonts w:ascii="IRNazanin" w:hAnsi="IRNazanin" w:eastAsia="IRNazanin"/>
          <w:color w:val="111111"/>
          <w:sz w:val="28"/>
          <w:sz w:val="28"/>
          <w:szCs w:val="28"/>
          <w:rtl w:val="true"/>
          <w:lang w:bidi="fa-IR"/>
        </w:rPr>
        <w:t>تأکید دارد، با برگرداندن داده ها به موجودیت،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از شیوه های مستندسازی سنتی به سمت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داده ها به خوبی جمع آوری شوند و بررسی های اخیر بر روی عینی نمودن داده های کتاب خانه ای موفق عمل کنند، </w:t>
      </w:r>
      <w:bookmarkStart w:id="288" w:name="pg9659_93950"/>
    </w:p>
    <w:p>
      <w:pPr>
        <w:pStyle w:val="BookText"/>
        <w:rPr/>
      </w:pPr>
      <w:bookmarkEnd w:id="288"/>
      <w:r>
        <w:rPr>
          <w:rFonts w:ascii="IRNazanin" w:hAnsi="IRNazanin" w:eastAsia="IRNazanin"/>
          <w:color w:val="111111"/>
          <w:sz w:val="28"/>
          <w:sz w:val="28"/>
          <w:szCs w:val="28"/>
          <w:rtl w:val="true"/>
          <w:lang w:bidi="fa-IR"/>
        </w:rPr>
        <w:t>منافعی را برای امور کتاب خانه ای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می تواند نمایش اثر بخش داده های کتاب خانه در موتورهای جستجوی اینترنت، تجربه خوشایند کاربر در نظام های بازیابی کتاب خانه و مدیریت کار آمد فراداده ها باشد</w:t>
      </w:r>
      <w:r>
        <w:rPr>
          <w:rFonts w:eastAsia="IRNazanin" w:cs="IRNazanin"/>
          <w:color w:val="111111"/>
          <w:sz w:val="28"/>
          <w:szCs w:val="28"/>
          <w:rtl w:val="true"/>
          <w:lang w:bidi="fa-IR"/>
        </w:rPr>
        <w:t>.</w:t>
      </w:r>
    </w:p>
    <w:p>
      <w:pPr>
        <w:pStyle w:val="Heading3"/>
        <w:numPr>
          <w:ilvl w:val="2"/>
          <w:numId w:val="1"/>
        </w:numPr>
        <w:rPr/>
      </w:pPr>
      <w:bookmarkStart w:id="289" w:name="__RefHeading___Toc7825415_2870459653"/>
      <w:bookmarkStart w:id="290" w:name="_Toc102"/>
      <w:bookmarkEnd w:id="289"/>
      <w:r>
        <w:rPr>
          <w:rtl w:val="true"/>
        </w:rPr>
        <w:t>موجودیت ها و برگه دان های مستند سنتی</w:t>
      </w:r>
      <w:bookmarkEnd w:id="290"/>
    </w:p>
    <w:p>
      <w:pPr>
        <w:pStyle w:val="BookText"/>
        <w:rPr/>
      </w:pPr>
      <w:r>
        <w:rPr>
          <w:rFonts w:ascii="IRNazanin" w:hAnsi="IRNazanin" w:eastAsia="IRNazanin"/>
          <w:color w:val="111111"/>
          <w:sz w:val="28"/>
          <w:sz w:val="28"/>
          <w:szCs w:val="28"/>
          <w:rtl w:val="true"/>
          <w:lang w:bidi="fa-IR"/>
        </w:rPr>
        <w:t>برگه دان های مستند سنتی کتاب خانه ها، برای موجودیت های اثر و شخص، منابع اطلاعاتی ارزشمندی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های مختلفی در فرانسه، هلند، کشورهای آلمانی زبان و کشورهای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مانند آمریکا، بریتانیا، کانادا، استرالیا، نیوزلند و آفریقای جنوبی در حال انجام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شبکه های سازمان یافته ای را توسعه دادند که در خصوص اشخاص، موضوعات و اشکال یک دست عناوین کتاب شناختی آثار، فراداده هایی با بالاترین کیفیت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تمرکز این انجمن ها، بر فراهم آوردن اشکال مستند اسامی نویسندگانی است که تک نگاشت های خود را به صورت تجاری منتشر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انجمن های ذکر شده در بالا، شیوه های شناخته شده مستندسازی داده ها را توسعه داده اند؛ و بعضی از آن ها نظام های مشترکی </w:t>
      </w:r>
      <w:r>
        <w:rPr>
          <w:rStyle w:val="FootnoteAnchor"/>
          <w:rtl w:val="true"/>
        </w:rPr>
        <w:footnoteReference w:id="470"/>
      </w:r>
      <w:r>
        <w:rPr>
          <w:rFonts w:ascii="IRNazanin" w:hAnsi="IRNazanin" w:eastAsia="IRNazanin"/>
          <w:color w:val="111111"/>
          <w:sz w:val="28"/>
          <w:sz w:val="28"/>
          <w:szCs w:val="28"/>
          <w:rtl w:val="true"/>
          <w:lang w:bidi="fa-IR"/>
        </w:rPr>
        <w:t>را برای مدیریت و انتشار برگه دان های مستند توسعه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پیروی از سنت های نوشتاری انجمن ها و برنامه های دگر نویسی </w:t>
      </w:r>
      <w:r>
        <w:rPr>
          <w:rStyle w:val="FootnoteAnchor"/>
          <w:rtl w:val="true"/>
        </w:rPr>
        <w:footnoteReference w:id="471"/>
      </w:r>
      <w:r>
        <w:rPr>
          <w:rFonts w:ascii="IRNazanin" w:hAnsi="IRNazanin" w:eastAsia="IRNazanin"/>
          <w:color w:val="111111"/>
          <w:sz w:val="28"/>
          <w:sz w:val="28"/>
          <w:szCs w:val="28"/>
          <w:rtl w:val="true"/>
          <w:lang w:bidi="fa-IR"/>
        </w:rPr>
        <w:t>معمول، ایجاد مدخل های یک دست برای هویت های مشابه در نمایه های فهرست کتاب خانه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ساختارهای پیوسته </w:t>
      </w:r>
      <w:r>
        <w:rPr>
          <w:rStyle w:val="FootnoteAnchor"/>
          <w:rtl w:val="true"/>
        </w:rPr>
        <w:footnoteReference w:id="472"/>
      </w:r>
      <w:r>
        <w:rPr>
          <w:rFonts w:ascii="IRNazanin" w:hAnsi="IRNazanin" w:eastAsia="IRNazanin"/>
          <w:color w:val="111111"/>
          <w:sz w:val="28"/>
          <w:sz w:val="28"/>
          <w:szCs w:val="28"/>
          <w:rtl w:val="true"/>
          <w:lang w:bidi="fa-IR"/>
        </w:rPr>
        <w:t>، کمک به ابهام زدایی از اسامی و</w:t>
      </w:r>
    </w:p>
    <w:p>
      <w:pPr>
        <w:pStyle w:val="BookText"/>
        <w:rPr/>
      </w:pPr>
      <w:r>
        <w:rPr>
          <w:rFonts w:ascii="IRNazanin" w:hAnsi="IRNazanin" w:eastAsia="IRNazanin"/>
          <w:color w:val="111111"/>
          <w:sz w:val="28"/>
          <w:sz w:val="28"/>
          <w:szCs w:val="28"/>
          <w:rtl w:val="true"/>
          <w:lang w:bidi="fa-IR"/>
        </w:rPr>
        <w:t>ارتقا شناسگرها برای به اشتراک گذاری و تطابق داده ها 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خروجی ها، در ایجاد موجودیت هایی که مجموعه کتاب خانه را توصیف می کند، ورودی های ارزشمندی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تضاد قابل توجه میان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مستندسازی سنتی کتاب 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اهمیت ایجاد پیوندهایی میان رئوس دنیای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شخص، یک اثر، یک محل، یک سازمان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 که در واقع، پیوندهای مذکور، میان اجزاء دنیای واقعی و تعاریف آن ها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برگه دان های مستند کتاب خانه، بر تعیین فرم رسمی یک نام یا عنوان جهت ورود به نظام برگه آرایی یا نمایه ماشین خوان،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مستند اسامی پیوندهای مفیدی درباره یک شخص ایجاد می کند اما برای ایجاد یک موجودیت با ارزش در اینترنت مدخلی نیاز است که برای شخص داده های کاملی فراهم کند</w:t>
      </w:r>
      <w:r>
        <w:rPr>
          <w:rFonts w:eastAsia="IRNazanin" w:cs="IRNazanin"/>
          <w:color w:val="111111"/>
          <w:sz w:val="28"/>
          <w:szCs w:val="28"/>
          <w:rtl w:val="true"/>
          <w:lang w:bidi="fa-IR"/>
        </w:rPr>
        <w:t xml:space="preserve">. </w:t>
      </w:r>
      <w:bookmarkStart w:id="291" w:name="pg9659_93951"/>
    </w:p>
    <w:p>
      <w:pPr>
        <w:pStyle w:val="Heading3"/>
        <w:numPr>
          <w:ilvl w:val="2"/>
          <w:numId w:val="1"/>
        </w:numPr>
        <w:rPr/>
      </w:pPr>
      <w:bookmarkStart w:id="292" w:name="__RefHeading___Toc7825417_2870459653"/>
      <w:bookmarkStart w:id="293" w:name="_Toc103"/>
      <w:bookmarkEnd w:id="291"/>
      <w:bookmarkEnd w:id="292"/>
      <w:r>
        <w:rPr>
          <w:rtl w:val="true"/>
        </w:rPr>
        <w:t>منافعی برای امور کتاب خانه ای</w:t>
      </w:r>
      <w:bookmarkEnd w:id="293"/>
    </w:p>
    <w:p>
      <w:pPr>
        <w:pStyle w:val="BookText"/>
        <w:rPr/>
      </w:pPr>
      <w:r>
        <w:rPr>
          <w:rFonts w:ascii="IRNazanin" w:hAnsi="IRNazanin" w:eastAsia="IRNazanin"/>
          <w:color w:val="111111"/>
          <w:sz w:val="28"/>
          <w:sz w:val="28"/>
          <w:szCs w:val="28"/>
          <w:rtl w:val="true"/>
          <w:lang w:bidi="fa-IR"/>
        </w:rPr>
        <w:t>در نظام مدیریت فراداده های کتاب خانه ای، حرکت به سمت موجودیت ها به عنوان روشی برای بایگانی داده ها و مدیریت کیفی آن ها، منافعی را برای انجام بهتر امور کتاب خانه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موتورهای جستجو و وب سایت های تجارت الکترونیک، در فهرست نویسی داده ها از بازیابی و نمایش موجودیت بنیان استفاده می کنند، وجود این نوع بازیابی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جستجوی کتاب خانه ای برای کاربران به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موتورهای جستجو، در نتایج بازیابی هایشان ویژگی هایی نظیر کارت های اطلاعاتی موجودیت بنیان </w:t>
      </w:r>
      <w:r>
        <w:rPr>
          <w:rStyle w:val="FootnoteAnchor"/>
          <w:rtl w:val="true"/>
        </w:rPr>
        <w:footnoteReference w:id="473"/>
      </w:r>
      <w:r>
        <w:rPr>
          <w:rFonts w:ascii="IRNazanin" w:hAnsi="IRNazanin" w:eastAsia="IRNazanin"/>
          <w:color w:val="111111"/>
          <w:sz w:val="28"/>
          <w:sz w:val="28"/>
          <w:szCs w:val="28"/>
          <w:rtl w:val="true"/>
          <w:lang w:bidi="fa-IR"/>
        </w:rPr>
        <w:t>را معرفی می کنند تا مطابق نتایج جستجو، برای موجودیت ها، خلاصه های متنی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مدیریت کتاب خانه ای موجودیت بنیان این امکان را فراهم می آورند تا بازیابی های کتاب خانه ای، از یک نظام بازیابی و نمایش پیشینه بنیان </w:t>
      </w:r>
      <w:r>
        <w:rPr>
          <w:rStyle w:val="FootnoteAnchor"/>
          <w:rtl w:val="true"/>
        </w:rPr>
        <w:footnoteReference w:id="474"/>
      </w:r>
      <w:r>
        <w:rPr>
          <w:rFonts w:ascii="IRNazanin" w:hAnsi="IRNazanin" w:eastAsia="IRNazanin"/>
          <w:color w:val="111111"/>
          <w:sz w:val="28"/>
          <w:sz w:val="28"/>
          <w:szCs w:val="28"/>
          <w:rtl w:val="true"/>
          <w:lang w:bidi="fa-IR"/>
        </w:rPr>
        <w:t>به یک نظام بازیابی و نمایش موجودیت بنیان و معرفی کارت های اطلاعاتی برای این بازیابی ها، تغییر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نظامی، هم چنین می تواند تجربه ملموس تری برای کاربران فراهم آورده و زمانی که کاربران از پیوندها پیروی کرده و به سمت گره ها در گراف رهنمون می شوند، امکان کشف و بازیابی های ناگهانی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موجودیت بنیان برای فهرست نویسان این مزیت را فراهم می آورد تا در کیفیت موجودیت ها و بنابراین کیفیت بازیابی کاربران، بهبودهایی حاصل کند، از جمله ارتقا میزان سودمندی و اعتبار کارت های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که ارتقا به یک سطحی از گراف موجودیت بتواند با سطوح دیگر به اشتراک گذاشته شود و برای قالب های ثبت نظام های موروثی کتاب خانه، مفهوم سازی به گونه ای عینی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پله ارتقا در عمل موجودیت سازی، می تواند برای بسیاری از مفهوم سازی های عینی موجودیت ها ارتقا کیفی فراهم آورد؛ این موضوع می تواند در پیشینه های سنتی ایجاد شده در نظام های مدیریت موروثی کتاب خانه، تجلی پیدا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در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کتاب خانه ها به اصول اولیه الگوسازی ها در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اشخاص، نمودها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کنند و داده ها را به صورتی که برای اینترنت آشنا هست در معرض نمایش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نشانه گذاری اِسکیما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امکان بهبود وضعیت نمایش آثار و مجموعه های منحصر به فرد در موتورهای جستجوی اینترنت وجود خواهد داشت</w:t>
      </w:r>
      <w:r>
        <w:rPr>
          <w:rFonts w:eastAsia="IRNazanin" w:cs="IRNazanin"/>
          <w:color w:val="111111"/>
          <w:sz w:val="28"/>
          <w:szCs w:val="28"/>
          <w:rtl w:val="true"/>
          <w:lang w:bidi="fa-IR"/>
        </w:rPr>
        <w:t xml:space="preserve">. </w:t>
      </w:r>
      <w:bookmarkStart w:id="294" w:name="pg9659_93952"/>
    </w:p>
    <w:p>
      <w:pPr>
        <w:pStyle w:val="Heading3"/>
        <w:numPr>
          <w:ilvl w:val="2"/>
          <w:numId w:val="1"/>
        </w:numPr>
        <w:rPr/>
      </w:pPr>
      <w:bookmarkStart w:id="295" w:name="__RefHeading___Toc7825419_2870459653"/>
      <w:bookmarkStart w:id="296" w:name="_Toc104"/>
      <w:bookmarkEnd w:id="294"/>
      <w:bookmarkEnd w:id="295"/>
      <w:r>
        <w:rPr>
          <w:rtl w:val="true"/>
        </w:rPr>
        <w:t>آینده</w:t>
      </w:r>
      <w:bookmarkEnd w:id="296"/>
    </w:p>
    <w:p>
      <w:pPr>
        <w:pStyle w:val="BookText"/>
        <w:rPr/>
      </w:pPr>
      <w:r>
        <w:rPr>
          <w:rFonts w:ascii="IRNazanin" w:hAnsi="IRNazanin" w:eastAsia="IRNazanin"/>
          <w:color w:val="111111"/>
          <w:sz w:val="28"/>
          <w:sz w:val="28"/>
          <w:szCs w:val="28"/>
          <w:rtl w:val="true"/>
          <w:lang w:bidi="fa-IR"/>
        </w:rPr>
        <w:t>کتاب خانه ها، به منظور دستیابی به مزایای الگوسازی داده های موجودیت بنیان، باید برنامه تغییر شکل از مدل های پیشینه بنیان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سرمایه گذاری، تجربه و هم کاری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گزینه های کلیدی این برنامه عبارت اند از</w:t>
      </w:r>
      <w:r>
        <w:rPr>
          <w:rFonts w:eastAsia="IRNazanin" w:cs="IRNazanin"/>
          <w:color w:val="111111"/>
          <w:sz w:val="28"/>
          <w:szCs w:val="28"/>
          <w:rtl w:val="true"/>
          <w:lang w:bidi="fa-IR"/>
        </w:rPr>
        <w:t>:</w:t>
      </w:r>
    </w:p>
    <w:p>
      <w:pPr>
        <w:pStyle w:val="Heading3"/>
        <w:numPr>
          <w:ilvl w:val="2"/>
          <w:numId w:val="1"/>
        </w:numPr>
        <w:rPr/>
      </w:pPr>
      <w:bookmarkStart w:id="297" w:name="__RefHeading___Toc7825421_2870459653"/>
      <w:bookmarkStart w:id="298" w:name="_Toc105"/>
      <w:bookmarkEnd w:id="297"/>
      <w:r>
        <w:rPr>
          <w:rtl w:val="true"/>
        </w:rPr>
        <w:t>سرمایه گذاری مستمر و مدیریت مشارکتی برگه دان های مستند محلی و بین المللی</w:t>
      </w:r>
      <w:r>
        <w:rPr>
          <w:rtl w:val="true"/>
        </w:rPr>
        <w:t>.</w:t>
      </w:r>
      <w:bookmarkEnd w:id="298"/>
    </w:p>
    <w:p>
      <w:pPr>
        <w:pStyle w:val="BookText"/>
        <w:rPr/>
      </w:pPr>
      <w:r>
        <w:rPr>
          <w:rFonts w:ascii="IRNazanin" w:hAnsi="IRNazanin" w:eastAsia="IRNazanin"/>
          <w:color w:val="111111"/>
          <w:sz w:val="28"/>
          <w:sz w:val="28"/>
          <w:szCs w:val="28"/>
          <w:rtl w:val="true"/>
          <w:lang w:bidi="fa-IR"/>
        </w:rPr>
        <w:t>موفقیت مدیریت مشارکتی کتاب خانه های ملی و انجمن های دارای زبان مشترک، در خصوص برگه دان های مستند، بسیار واضح است و کتاب خانه ها باید به سرمایه گذاری در این فعالیت های مشارکتی مبادرت ورزند</w:t>
      </w:r>
      <w:r>
        <w:rPr>
          <w:rFonts w:eastAsia="IRNazanin" w:cs="IRNazanin"/>
          <w:color w:val="111111"/>
          <w:sz w:val="28"/>
          <w:szCs w:val="28"/>
          <w:rtl w:val="true"/>
          <w:lang w:bidi="fa-IR"/>
        </w:rPr>
        <w:t>.</w:t>
      </w:r>
    </w:p>
    <w:p>
      <w:pPr>
        <w:pStyle w:val="Heading3"/>
        <w:numPr>
          <w:ilvl w:val="2"/>
          <w:numId w:val="1"/>
        </w:numPr>
        <w:rPr/>
      </w:pPr>
      <w:bookmarkStart w:id="299" w:name="__RefHeading___Toc7825423_2870459653"/>
      <w:bookmarkStart w:id="300" w:name="_Toc106"/>
      <w:bookmarkEnd w:id="299"/>
      <w:r>
        <w:rPr>
          <w:rtl w:val="true"/>
        </w:rPr>
        <w:t>سرمایه گذاری مستمر در جمع آوری داده های مستند مانند ویاف و آی</w:t>
      </w:r>
      <w:r>
        <w:rPr>
          <w:rtl w:val="true"/>
        </w:rPr>
        <w:t xml:space="preserve">. </w:t>
      </w:r>
      <w:r>
        <w:rPr>
          <w:rtl w:val="true"/>
        </w:rPr>
        <w:t>اس</w:t>
      </w:r>
      <w:r>
        <w:rPr>
          <w:rtl w:val="true"/>
        </w:rPr>
        <w:t xml:space="preserve">. </w:t>
      </w:r>
      <w:r>
        <w:rPr>
          <w:rtl w:val="true"/>
        </w:rPr>
        <w:t>ان</w:t>
      </w:r>
      <w:r>
        <w:rPr>
          <w:rtl w:val="true"/>
        </w:rPr>
        <w:t xml:space="preserve">. </w:t>
      </w:r>
      <w:r>
        <w:rPr>
          <w:rtl w:val="true"/>
        </w:rPr>
        <w:t>آی</w:t>
      </w:r>
      <w:r>
        <w:rPr>
          <w:rtl w:val="true"/>
        </w:rPr>
        <w:t xml:space="preserve">. </w:t>
      </w:r>
      <w:r>
        <w:rPr>
          <w:rtl w:val="true"/>
        </w:rPr>
        <w:t>به منظور افزودن ارزش داده های مستند</w:t>
      </w:r>
      <w:r>
        <w:rPr>
          <w:rtl w:val="true"/>
        </w:rPr>
        <w:t xml:space="preserve">. </w:t>
      </w:r>
      <w:r>
        <w:rPr>
          <w:rtl w:val="true"/>
        </w:rPr>
        <w:t>این چنین جمع آوری هایی در محیط اینترنت، موجب ارتقا شیوه فهرست نویسی و انتشار هر چه بیشتر شناسگرهای استاندارد می گردد</w:t>
      </w:r>
      <w:r>
        <w:rPr>
          <w:rtl w:val="true"/>
        </w:rPr>
        <w:t>.</w:t>
      </w:r>
      <w:bookmarkEnd w:id="300"/>
    </w:p>
    <w:p>
      <w:pPr>
        <w:pStyle w:val="BookText"/>
        <w:rPr/>
      </w:pPr>
      <w:r>
        <w:rPr>
          <w:rFonts w:ascii="IRNazanin" w:hAnsi="IRNazanin" w:eastAsia="IRNazanin"/>
          <w:color w:val="111111"/>
          <w:sz w:val="28"/>
          <w:sz w:val="28"/>
          <w:szCs w:val="28"/>
          <w:rtl w:val="true"/>
          <w:lang w:bidi="fa-IR"/>
        </w:rPr>
        <w:t>ارتقا روش های نمایش داده که در حال حاضر در اینترنت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نشانه گذاری اِسکیما به عنوان روشی که در موتورهای جستجوی تجاری ترجیح داده شده است؛ و کتاب خانه ها باید به منظور فراهم آوردن جزئیات و نکات ظریف داده های کتاب خانه ای در اینترنت، اِسکیما را ارتقا و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بر روی موجودیت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کتاب خانه ها مدل موجودیت بنیان را مورد آزمایش قرار می دهند، کیفیت داده ها نیز ارتقا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نمایش اثر بخش مجموعه فراداده های کتاب خانه ای روش های جدیدی پیدا خواهیم کرد؛ و در فعالیت های مختلف کتاب خانه ای، مانند ابزارهای فهرست نویسی و فنون داده کاوی، نوآوری را لازم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تغییرات رو به رشدی، با در نظر گیری یادگیری ها و پالایش های طول مسیر، راهی به سمت آینده ای روشن برای کتاب خانه ها در فضای مجازی را نوید می دهد</w:t>
      </w:r>
      <w:r>
        <w:rPr>
          <w:rFonts w:eastAsia="IRNazanin" w:cs="IRNazanin"/>
          <w:color w:val="111111"/>
          <w:sz w:val="28"/>
          <w:szCs w:val="28"/>
          <w:rtl w:val="true"/>
          <w:lang w:bidi="fa-IR"/>
        </w:rPr>
        <w:t>.</w:t>
      </w:r>
    </w:p>
    <w:p>
      <w:pPr>
        <w:pStyle w:val="Heading3"/>
        <w:numPr>
          <w:ilvl w:val="2"/>
          <w:numId w:val="1"/>
        </w:numPr>
        <w:rPr/>
      </w:pPr>
      <w:bookmarkStart w:id="301" w:name="__RefHeading___Toc7825425_2870459653"/>
      <w:bookmarkStart w:id="302" w:name="_Toc107"/>
      <w:bookmarkEnd w:id="301"/>
      <w:r>
        <w:rPr>
          <w:rtl w:val="true"/>
        </w:rPr>
        <w:t>منابع</w:t>
      </w:r>
      <w:bookmarkEnd w:id="3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Google: Official Blog. "Introducing the Knowledge Graph: Things, Not Strings" http://googleblog.blogspot.com/2012/05/introducing-knowl- edge-graph-things-not.html 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Hickey, Thom B. and Toves, Jenny A. "Managing Ambiguity in VIAF.” D-Lib Magazine 20 (2014). http://www.dlib.org/dlib/july14/hick- ey/07hickey.html</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Svensson, Lars G. "Are Current Bibliographic Models Suitable for In - tegration with the Web." Information Standards Quarterly 25 (2013): 7-12. Wikimedia.(n.d.) "Graph Theory." http://en.wikipedia.org/wiki/Graph _ theory</w:t>
      </w:r>
      <w:r>
        <w:rPr>
          <w:rFonts w:eastAsia="Times New Roman" w:cs="Times New Roman" w:ascii="Times New Roman" w:hAnsi="Times New Roman"/>
          <w:color w:val="111111"/>
          <w:sz w:val="28"/>
          <w:szCs w:val="28"/>
          <w:rtl w:val="true"/>
          <w:lang w:val="en-US" w:bidi="en-US"/>
        </w:rPr>
        <w:t xml:space="preserve"> </w:t>
      </w:r>
      <w:bookmarkStart w:id="303" w:name="pg9659_93954"/>
    </w:p>
    <w:p>
      <w:pPr>
        <w:pStyle w:val="Heading2"/>
        <w:numPr>
          <w:ilvl w:val="1"/>
          <w:numId w:val="1"/>
        </w:numPr>
        <w:rPr/>
      </w:pPr>
      <w:bookmarkStart w:id="304" w:name="__RefHeading___Toc7825427_2870459653"/>
      <w:bookmarkStart w:id="305" w:name="_Toc108"/>
      <w:bookmarkEnd w:id="303"/>
      <w:bookmarkEnd w:id="304"/>
      <w:r>
        <w:rPr>
          <w:rtl w:val="true"/>
        </w:rPr>
        <w:t>چکیده</w:t>
      </w:r>
      <w:bookmarkEnd w:id="305"/>
    </w:p>
    <w:p>
      <w:pPr>
        <w:pStyle w:val="BookText"/>
        <w:rPr/>
      </w:pPr>
      <w:r>
        <w:rPr>
          <w:rFonts w:ascii="IRNazanin" w:hAnsi="IRNazanin" w:eastAsia="IRNazanin"/>
          <w:color w:val="111111"/>
          <w:sz w:val="28"/>
          <w:sz w:val="28"/>
          <w:szCs w:val="28"/>
          <w:rtl w:val="true"/>
          <w:lang w:bidi="fa-IR"/>
        </w:rPr>
        <w:t xml:space="preserve">مقاله حاضر، به بحث درباره استفاده از منابع اطلاعاتی دست اول و دست دوم موجود در سازمان 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و مدیران اجرایی </w:t>
      </w:r>
      <w:r>
        <w:rPr>
          <w:rStyle w:val="FootnoteAnchor"/>
          <w:rtl w:val="true"/>
        </w:rPr>
        <w:footnoteReference w:id="477"/>
      </w:r>
      <w:r>
        <w:rPr>
          <w:rFonts w:ascii="IRNazanin" w:hAnsi="IRNazanin" w:eastAsia="IRNazanin"/>
          <w:color w:val="111111"/>
          <w:sz w:val="28"/>
          <w:sz w:val="28"/>
          <w:szCs w:val="28"/>
          <w:rtl w:val="true"/>
          <w:lang w:bidi="fa-IR"/>
        </w:rPr>
        <w:t>آن ها، از دیدگاه یک استاد پژوهشگر دانشگاهی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هنگامی که یک دوره آموزش در سازمان های بین المللی را شروع کردم، بر سه موضوع متمرکز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گیری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فرآیندهای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سازمان 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وجود آمده و چگونه تکامل پیدا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مشاغل مدیران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پژوهش در سه کتاب با عنوان های زیر 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تصمیم گیری در سازمان بین المللی </w:t>
      </w:r>
      <w:r>
        <w:rPr>
          <w:rStyle w:val="FootnoteAnchor"/>
          <w:rtl w:val="true"/>
        </w:rPr>
        <w:footnoteReference w:id="478"/>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ویرایش برت ژان و ربیک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سازمان های بین المللی روتلج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زندگینامه دبیران کل سازمان های بین المللی و یا طرح آیوبایو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مقاله حاضر، دانش شخصی من را درباره در دسترس بودن اسناد رسمی، آموزش دانشجویان در استفاده از منابع دست اول موجود در سازمان های بین المللی، نوشتن تاریخ جامع سازمان های بین المللی به عنوان یک ابزار، گسترش استفاده از اطلاعات داده های مجموعه های بین المللی، و جست و جو برای اطلاعات در مورد مشاغل مدیران اجرایی در سازمان های بین المللی، به ویژه دبیران کل را نشان می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سازمان های بین المللی، اطلاعات بین المللی، بیوگرافی، دبیران کل سازمان های بین المللی</w:t>
      </w:r>
      <w:r>
        <w:rPr>
          <w:rFonts w:eastAsia="IRNazanin" w:cs="IRNazanin"/>
          <w:color w:val="111111"/>
          <w:sz w:val="28"/>
          <w:szCs w:val="28"/>
          <w:rtl w:val="true"/>
          <w:lang w:bidi="fa-IR"/>
        </w:rPr>
        <w:t xml:space="preserve">. </w:t>
      </w:r>
      <w:bookmarkStart w:id="306" w:name="pg9659_93955"/>
    </w:p>
    <w:p>
      <w:pPr>
        <w:pStyle w:val="Heading2"/>
        <w:numPr>
          <w:ilvl w:val="1"/>
          <w:numId w:val="1"/>
        </w:numPr>
        <w:rPr/>
      </w:pPr>
      <w:bookmarkStart w:id="307" w:name="__RefHeading___Toc7825429_2870459653"/>
      <w:bookmarkStart w:id="308" w:name="_Toc109"/>
      <w:bookmarkEnd w:id="306"/>
      <w:bookmarkEnd w:id="307"/>
      <w:r>
        <w:rPr>
          <w:rtl w:val="true"/>
        </w:rPr>
        <w:t>دبیران کل سازمان های بین المللی</w:t>
      </w:r>
      <w:r>
        <w:rPr>
          <w:rtl w:val="true"/>
        </w:rPr>
        <w:t xml:space="preserve">: </w:t>
      </w:r>
      <w:r>
        <w:rPr>
          <w:rtl w:val="true"/>
        </w:rPr>
        <w:t>منابع اطلاعاتی در کتاب خانه ها و آرشیوها</w:t>
      </w:r>
      <w:bookmarkEnd w:id="308"/>
    </w:p>
    <w:p>
      <w:pPr>
        <w:pStyle w:val="Heading3"/>
        <w:numPr>
          <w:ilvl w:val="2"/>
          <w:numId w:val="1"/>
        </w:numPr>
        <w:rPr/>
      </w:pPr>
      <w:bookmarkStart w:id="309" w:name="__RefHeading___Toc7825431_2870459653"/>
      <w:bookmarkStart w:id="310" w:name="_Toc110"/>
      <w:bookmarkEnd w:id="309"/>
      <w:r>
        <w:rPr>
          <w:rtl w:val="true"/>
        </w:rPr>
        <w:t>اشاره</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دبیران کل سازمان 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اطلاعاتی در کتاب خانه ها و آرشیوها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نوشته باب رینالدا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آرزو تجلی </w:t>
      </w:r>
      <w:r>
        <w:rPr>
          <w:rStyle w:val="FootnoteAnchor"/>
          <w:rtl w:val="true"/>
        </w:rPr>
        <w:footnoteReference w:id="484"/>
      </w:r>
    </w:p>
    <w:p>
      <w:pPr>
        <w:pStyle w:val="Heading3"/>
        <w:numPr>
          <w:ilvl w:val="2"/>
          <w:numId w:val="1"/>
        </w:numPr>
        <w:rPr/>
      </w:pPr>
      <w:bookmarkStart w:id="311" w:name="__RefHeading___Toc7825433_2870459653"/>
      <w:bookmarkStart w:id="312" w:name="_Toc111"/>
      <w:bookmarkEnd w:id="311"/>
      <w:r>
        <w:rPr>
          <w:rtl w:val="true"/>
        </w:rPr>
        <w:t>مقدمه</w:t>
      </w:r>
      <w:bookmarkEnd w:id="312"/>
    </w:p>
    <w:p>
      <w:pPr>
        <w:pStyle w:val="BookText"/>
        <w:rPr/>
      </w:pPr>
      <w:r>
        <w:rPr>
          <w:rFonts w:ascii="IRNazanin" w:hAnsi="IRNazanin" w:eastAsia="IRNazanin"/>
          <w:color w:val="111111"/>
          <w:sz w:val="28"/>
          <w:sz w:val="28"/>
          <w:szCs w:val="28"/>
          <w:rtl w:val="true"/>
          <w:lang w:bidi="fa-IR"/>
        </w:rPr>
        <w:t xml:space="preserve">برای درک بهتر طرح پژوهشی آیوبایو در دبیران کل سازمان های بین الدّولی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های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زمانی می برم که به عنوان دانشجو استاد، و یک پژوهشگر با اسناد رسمیِ دولتی کار می کردم</w:t>
      </w:r>
      <w:r>
        <w:rPr>
          <w:rFonts w:eastAsia="IRNazanin" w:cs="IRNazanin"/>
          <w:color w:val="111111"/>
          <w:sz w:val="28"/>
          <w:szCs w:val="28"/>
          <w:rtl w:val="true"/>
          <w:lang w:bidi="fa-IR"/>
        </w:rPr>
        <w:t>.</w:t>
      </w:r>
    </w:p>
    <w:p>
      <w:pPr>
        <w:pStyle w:val="Heading3"/>
        <w:numPr>
          <w:ilvl w:val="2"/>
          <w:numId w:val="1"/>
        </w:numPr>
        <w:rPr/>
      </w:pPr>
      <w:bookmarkStart w:id="313" w:name="__RefHeading___Toc7825435_2870459653"/>
      <w:bookmarkStart w:id="314" w:name="_Toc112"/>
      <w:bookmarkEnd w:id="313"/>
      <w:r>
        <w:rPr>
          <w:rtl w:val="true"/>
        </w:rPr>
        <w:t>چگونه به استفاده از اسناد رسمی علاقه مند شدم؟</w:t>
      </w:r>
      <w:bookmarkEnd w:id="3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دانش آموخته علوم سیاسی و تاریخ اجتماعی، همواره به کاربرد گسترده انواع منابع دست اول و دوم، و به خصوص اسناد دولتی علاقه 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مطالعاتم را در رشته علوم سیاسی و اجتماعی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آمستردام شروع کردم، رسانه ها </w:t>
      </w:r>
      <w:r>
        <w:rPr>
          <w:rStyle w:val="FootnoteAnchor"/>
          <w:rtl w:val="true"/>
        </w:rPr>
        <w:footnoteReference w:id="485"/>
      </w:r>
      <w:r>
        <w:rPr>
          <w:rFonts w:ascii="IRNazanin" w:hAnsi="IRNazanin" w:eastAsia="IRNazanin"/>
          <w:color w:val="111111"/>
          <w:sz w:val="28"/>
          <w:sz w:val="28"/>
          <w:szCs w:val="28"/>
          <w:rtl w:val="true"/>
          <w:lang w:bidi="fa-IR"/>
        </w:rPr>
        <w:t xml:space="preserve">بسیار مورد توجه بودند و من هم بخت و فرصت مطالعه روزنامه آلمانی فرانکفورتر آلگمینی </w:t>
      </w:r>
      <w:r>
        <w:rPr>
          <w:rStyle w:val="FootnoteAnchor"/>
          <w:rtl w:val="true"/>
        </w:rPr>
        <w:footnoteReference w:id="486"/>
      </w:r>
      <w:r>
        <w:rPr>
          <w:rFonts w:ascii="IRNazanin" w:hAnsi="IRNazanin" w:eastAsia="IRNazanin"/>
          <w:color w:val="111111"/>
          <w:sz w:val="28"/>
          <w:sz w:val="28"/>
          <w:szCs w:val="28"/>
          <w:rtl w:val="true"/>
          <w:lang w:bidi="fa-IR"/>
        </w:rPr>
        <w:t xml:space="preserve">را، در قالب جلسات هفتگی مبادله اطلاعات و </w:t>
      </w:r>
      <w:bookmarkStart w:id="315" w:name="pg9659_93956"/>
    </w:p>
    <w:p>
      <w:pPr>
        <w:pStyle w:val="BookText"/>
        <w:rPr/>
      </w:pPr>
      <w:bookmarkEnd w:id="315"/>
      <w:r>
        <w:rPr>
          <w:rFonts w:ascii="IRNazanin" w:hAnsi="IRNazanin" w:eastAsia="IRNazanin"/>
          <w:color w:val="111111"/>
          <w:sz w:val="28"/>
          <w:sz w:val="28"/>
          <w:szCs w:val="28"/>
          <w:rtl w:val="true"/>
          <w:lang w:bidi="fa-IR"/>
        </w:rPr>
        <w:t>مباحثه با دانشجویانی که روزنامه های دیگر را بررسی می کردند، در طول نیم سال تحصیلی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خواننده ای دائمی و یک عضو بیرونیِ گروه کارکنان و دانشجویان موسوم به دانشگاه انتقادی </w:t>
      </w:r>
      <w:r>
        <w:rPr>
          <w:rStyle w:val="FootnoteAnchor"/>
          <w:rtl w:val="true"/>
        </w:rPr>
        <w:footnoteReference w:id="487"/>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گروه روزنامه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در زمان برگزاری جلسات دادگاه 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w:t>
      </w:r>
      <w:r>
        <w:rPr>
          <w:rStyle w:val="FootnoteAnchor"/>
          <w:rtl w:val="true"/>
        </w:rPr>
        <w:footnoteReference w:id="488"/>
      </w:r>
      <w:r>
        <w:rPr>
          <w:rFonts w:ascii="IRNazanin" w:hAnsi="IRNazanin" w:eastAsia="IRNazanin"/>
          <w:color w:val="111111"/>
          <w:sz w:val="28"/>
          <w:sz w:val="28"/>
          <w:szCs w:val="28"/>
          <w:rtl w:val="true"/>
          <w:lang w:bidi="fa-IR"/>
        </w:rPr>
        <w:t xml:space="preserve">، برای بررسی میزان اطلاعاتی که هر روزنامه طی سال های </w:t>
      </w:r>
      <w:r>
        <w:rPr>
          <w:rFonts w:eastAsia="IRNazanin" w:cs="IRNazanin"/>
          <w:color w:val="111111"/>
          <w:sz w:val="28"/>
          <w:szCs w:val="28"/>
          <w:lang w:bidi="fa-IR"/>
        </w:rPr>
        <w:t>1966</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درگیری های ارتش آمریکا در ویتنام به چاپ رسانده بود، از ساختمان روزنامه داچ </w:t>
      </w:r>
      <w:r>
        <w:rPr>
          <w:rStyle w:val="FootnoteAnchor"/>
          <w:rtl w:val="true"/>
        </w:rPr>
        <w:footnoteReference w:id="489"/>
      </w:r>
      <w:r>
        <w:rPr>
          <w:rFonts w:ascii="IRNazanin" w:hAnsi="IRNazanin" w:eastAsia="IRNazanin"/>
          <w:color w:val="111111"/>
          <w:sz w:val="28"/>
          <w:sz w:val="28"/>
          <w:szCs w:val="28"/>
          <w:rtl w:val="true"/>
          <w:lang w:bidi="fa-IR"/>
        </w:rPr>
        <w:t>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اطلاعات زیادی درباره دادگاه و محاکمه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درس آمار آموخته بودم که اطلاعاتم را در قالب جدول و ارقام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کار بسیار ساده و جالب می شد؛ اما مشکل اصلی کار با هفته نامه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استونز </w:t>
      </w:r>
      <w:r>
        <w:rPr>
          <w:rStyle w:val="FootnoteAnchor"/>
          <w:rtl w:val="true"/>
        </w:rPr>
        <w:footnoteReference w:id="490"/>
      </w:r>
      <w:r>
        <w:rPr>
          <w:rFonts w:ascii="IRNazanin" w:hAnsi="IRNazanin" w:eastAsia="IRNazanin"/>
          <w:color w:val="111111"/>
          <w:sz w:val="28"/>
          <w:sz w:val="28"/>
          <w:szCs w:val="28"/>
          <w:rtl w:val="true"/>
          <w:lang w:bidi="fa-IR"/>
        </w:rPr>
        <w:t>و استفاده از اسناد رسمیِ موضوع مورد بررسی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موجود بودند، ولی به تحلیل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شرح مذاکرات مجلس </w:t>
      </w:r>
      <w:r>
        <w:rPr>
          <w:rStyle w:val="FootnoteAnchor"/>
          <w:rtl w:val="true"/>
        </w:rPr>
        <w:footnoteReference w:id="491"/>
      </w:r>
      <w:r>
        <w:rPr>
          <w:rFonts w:ascii="IRNazanin" w:hAnsi="IRNazanin" w:eastAsia="IRNazanin"/>
          <w:color w:val="111111"/>
          <w:sz w:val="28"/>
          <w:sz w:val="28"/>
          <w:szCs w:val="28"/>
          <w:rtl w:val="true"/>
          <w:lang w:bidi="fa-IR"/>
        </w:rPr>
        <w:t xml:space="preserve">نیز، روش مطالعه انتقادی من درباره هفته نامه استوتر </w:t>
      </w:r>
      <w:r>
        <w:rPr>
          <w:rStyle w:val="FootnoteAnchor"/>
          <w:rtl w:val="true"/>
        </w:rPr>
        <w:footnoteReference w:id="492"/>
      </w:r>
      <w:r>
        <w:rPr>
          <w:rFonts w:ascii="IRNazanin" w:hAnsi="IRNazanin" w:eastAsia="IRNazanin"/>
          <w:color w:val="111111"/>
          <w:sz w:val="28"/>
          <w:sz w:val="28"/>
          <w:szCs w:val="28"/>
          <w:rtl w:val="true"/>
          <w:lang w:bidi="fa-IR"/>
        </w:rPr>
        <w:t>به من آموخت که شرح مذاکرات مجلس و اسناد مربوط در کتاب خانه دانشگاه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اکنون به شکل رقومی در دسترس اند و بسیار جالب است که در عرض چند ثانیه می توان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موضوع های خاصی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البته، کار شکل دیگری داشت؛ اما اشتیاق و انگیزه من برای دنبال کردن اسناد مهم ترین عامل یادگیری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دریافته بودم هرگز از منابع و متونی که ناشناخته اند استفاده نمی شود</w:t>
      </w:r>
      <w:r>
        <w:rPr>
          <w:rFonts w:eastAsia="IRNazanin" w:cs="IRNazanin"/>
          <w:color w:val="111111"/>
          <w:sz w:val="28"/>
          <w:szCs w:val="28"/>
          <w:rtl w:val="true"/>
          <w:lang w:bidi="fa-IR"/>
        </w:rPr>
        <w:t>.</w:t>
      </w:r>
    </w:p>
    <w:p>
      <w:pPr>
        <w:pStyle w:val="Heading3"/>
        <w:numPr>
          <w:ilvl w:val="2"/>
          <w:numId w:val="1"/>
        </w:numPr>
        <w:rPr/>
      </w:pPr>
      <w:bookmarkStart w:id="316" w:name="__RefHeading___Toc7825437_2870459653"/>
      <w:bookmarkStart w:id="317" w:name="_Toc113"/>
      <w:bookmarkEnd w:id="316"/>
      <w:r>
        <w:rPr>
          <w:rtl w:val="true"/>
        </w:rPr>
        <w:t>چگونه دانشجویان را برای کار با اسناد رسمی آیو تعلیم دهیم؟</w:t>
      </w:r>
      <w:bookmarkEnd w:id="3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قرار شد درسی در زمینه آیو را برای دانشجویان سال سوم دوره کارشناسی تدریس کنم، از آن ها خواستم با اسناد رسمی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آمادگیِ خودم، بازدیدهای هفتگی منظم از کتاب خانه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اسناد سازمان ملل به شکلی منظم و قابل استفاده برای کاربران در زیر زمین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کتاب خانه حقوق بین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معاهدات بین المللی و اتحادیه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مشترک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سیستم خودشان پردازش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مجبور بودم به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 پالاس</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بروم یا این که با کتاب خانه های خارجی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نیز در حال حاضر تغییر کرده است، اما من چگونه می توانستم دانشجویان را از وجود منابع دست اول در </w:t>
      </w:r>
    </w:p>
    <w:p>
      <w:pPr>
        <w:pStyle w:val="BookText"/>
        <w:rPr/>
      </w:pPr>
      <w:r>
        <w:rPr>
          <w:rFonts w:ascii="IRNazanin" w:hAnsi="IRNazanin" w:eastAsia="IRNazanin"/>
          <w:color w:val="111111"/>
          <w:sz w:val="28"/>
          <w:sz w:val="28"/>
          <w:szCs w:val="28"/>
          <w:rtl w:val="true"/>
          <w:lang w:bidi="fa-IR"/>
        </w:rPr>
        <w:t xml:space="preserve">سازمان های بین المللی مطلع کنم؟ بعد از چند تجربه کوچک، از دانشجویان خواستم هر کدامشان یک سازمان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تعداد زیاد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معاهده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سازمان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آموزش های اولیه را به دانشجویان داده بودم، آن ها ملزم بودند هم مؤسسه و هم معاهده را بر مبنای اسناد دست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سازمان های بین المللی در مرحله قبل تر همین درس بررسی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یک معاهده بین المللیِ مرتبط با همان سازمان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دست اول موجود، آموزش های لازم برای تحلیل و کار با معاهده و مؤسسه به آن ها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خیلی زود دریافتند که این روش به سادگی مورد انتظار آن ها نیست، چه هنگام مراجعه به کتاب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آیین نامه های مربوط به استفاده از یک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جست وجو در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معاهدات راحت تر از نسخه خاصی از یک معاهده به دست می آمد و حتی رویّه های مورد جست و جو نیز به راحتی به دست نمی آمد؛ در عین حال، خواندن یک معاهده و حتی راهنماها و دستورالعمل آن به خودی خود کار جالبی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 و جو در وب گاه پیچیده یک سازمان بین المللی یا یک مؤسسه علمی خاص نیز از آن چه من و دانشجويانم تصور می کردیم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این موضوع را تجربه کردیم، و نتیجه این بود که اطلاعات قابل دسترس بیشتر از آنی بود که در جست و جو های اولیه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پرسش که آیا این روش دانشجویان را خشنود می سازد یا نه صرف نظر کردم، ولی فراوانی بالای نمره های الف و ب هنگام کارآموزی آن ها در آیو یا نگارش پایان نامه سودمندی آن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کمی هم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این روش، تنوع آیوها و اسناد آن ها قابل در 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دانشجویانی که کار آموزی خود را در آیو گذرانده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توصیه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دسترسی آسان، به دانشجویانی که موضوع پایان نامه شان مشخص شده بود، توصیه می کردم که اسناد مرتبط را گردآوری کنند و از آن ها کپی بگیرند تا کیفیت اطلاعات پایان نامه شان ارتقا یابد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جایگزینی اتاق مطالعه سنتی در هر بخش یا دانشکده، با میز تحریر در یک کتاب خانه ناراضی بودم؛ به خصوص در مورد طرحم که در سازمان های بین المللی و اتحادیه اروپا، به جای قفسه کتاب فقط اتاق مطالعه یا میز در دسترس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حال حاضر قابلیت اتصال به برق، امکانات چاپ و اینترنت بی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دانستم که این مسئله در دانشگاه یا کشور من امری عادی است یا اقدام تازه ای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 تر فقط در گرنوبل و فرانسه تدریس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دانشجویان در وضعیت جدید نمی توانستند کتاب ها را در دست بگیرند و تورق کنند و به کمک فهرست مطالب یا نمایه ها موضوعی را پیدا و بررسی نمایند؛ آن ها، با این کار، علاوه بر دنبال کردن تجربی اطلاعات، با دیدگاه علمی یا نظری نویسنده نیز آشنا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bookmarkStart w:id="318" w:name="pg9659_93958"/>
    </w:p>
    <w:p>
      <w:pPr>
        <w:pStyle w:val="BookText"/>
        <w:rPr/>
      </w:pPr>
      <w:bookmarkEnd w:id="318"/>
      <w:r>
        <w:rPr>
          <w:rFonts w:ascii="IRNazanin" w:hAnsi="IRNazanin" w:eastAsia="IRNazanin"/>
          <w:color w:val="111111"/>
          <w:sz w:val="28"/>
          <w:sz w:val="28"/>
          <w:szCs w:val="28"/>
          <w:rtl w:val="true"/>
          <w:lang w:bidi="fa-IR"/>
        </w:rPr>
        <w:t>جست و جوی متن های زیادی فراهم می کند، اما مشاهده چند صفحه روی صفحه رایانه هرگز جای ارتباط مستقیم با متن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تجربه و تئوری در مخازن کتاب به راحتی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مرکزی ما هنوز هم تعدادی راهنما عمومی دارد که به طور مستقیم در دسترس است، ولی لازمه استفاده از آن ها رفتن به آن جاست</w:t>
      </w:r>
      <w:r>
        <w:rPr>
          <w:rFonts w:eastAsia="IRNazanin" w:cs="IRNazanin"/>
          <w:color w:val="111111"/>
          <w:sz w:val="28"/>
          <w:szCs w:val="28"/>
          <w:rtl w:val="true"/>
          <w:lang w:bidi="fa-IR"/>
        </w:rPr>
        <w:t>.</w:t>
      </w:r>
    </w:p>
    <w:p>
      <w:pPr>
        <w:pStyle w:val="Heading3"/>
        <w:numPr>
          <w:ilvl w:val="2"/>
          <w:numId w:val="1"/>
        </w:numPr>
        <w:rPr/>
      </w:pPr>
      <w:bookmarkStart w:id="319" w:name="__RefHeading___Toc7825439_2870459653"/>
      <w:bookmarkStart w:id="320" w:name="_Toc114"/>
      <w:bookmarkEnd w:id="319"/>
      <w:r>
        <w:rPr>
          <w:rtl w:val="true"/>
        </w:rPr>
        <w:t>تاریخچه سازمان های بین المللی به عنوان یک ابزار</w:t>
      </w:r>
      <w:bookmarkEnd w:id="320"/>
    </w:p>
    <w:p>
      <w:pPr>
        <w:pStyle w:val="BookText"/>
        <w:rPr/>
      </w:pPr>
      <w:r>
        <w:rPr>
          <w:rFonts w:ascii="IRNazanin" w:hAnsi="IRNazanin" w:eastAsia="IRNazanin"/>
          <w:color w:val="111111"/>
          <w:sz w:val="28"/>
          <w:sz w:val="28"/>
          <w:szCs w:val="28"/>
          <w:rtl w:val="true"/>
          <w:lang w:bidi="fa-IR"/>
        </w:rPr>
        <w:t>یکی از ابزارهای دانشجویان من تاریخچه سازمان های بین المللی بود، که به بافت بندی سازمان ها و معاهدات مورد بررسی آن ها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پارادایم نظری غالب در گروه من واقع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این معنا که سازمان های بین المللی باید به عنوان موضوعی با اهمیت نسبی و بدون تغییر مورد بحث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مروری کلی در یک دوره زمانی طولانیتر مورد انتظار من بود که با توجه به شرایط و تغییرات، درک دانشجویان را درباره اهمیت واقعی سازمان های بین المللی در شرایط خاص و انگیزه آن ها را برای ارزیابی فعالیت های سازمان از زوایای مختلف، از جمله نهادگرایی جدید سازه، و نظریه انتقادی افزایش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سازمان های بین المللی تاریخچه ای وجود نداشت؛ در نتيجه، من انگیزه ای برای نوشتن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مدل ساده آغاز کردم و هر سال با عمیق تر کردن بخش هایی از متن و اضافه کردن مباحث جدید آن را گسترش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من تهیه یک تاریخچه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به امروز؛ همراه با حوزه های اصلی روابط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اقتصاد، و حوزه های بشر دوستانه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های جهانی، قاره ای، و منطقه ای؛ و هم چنین سازمان های غیر دولتی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های غیر</w:t>
      </w:r>
    </w:p>
    <w:p>
      <w:pPr>
        <w:pStyle w:val="BookText"/>
        <w:rPr/>
      </w:pP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انتشارات روتلج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به ترتیب زمانی جلو می رفت؛ در عین حال، نوعی انسجام موضوعی و جغرافیایی داشت، به طوری که درباره تحولات مرتبط با هم بحث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جداول دقیق، نمودار، و جعبه اطلاعات </w:t>
      </w:r>
      <w:r>
        <w:rPr>
          <w:rStyle w:val="FootnoteAnchor"/>
          <w:rtl w:val="true"/>
        </w:rPr>
        <w:footnoteReference w:id="495"/>
      </w:r>
      <w:r>
        <w:rPr>
          <w:rFonts w:ascii="IRNazanin" w:hAnsi="IRNazanin" w:eastAsia="IRNazanin"/>
          <w:color w:val="111111"/>
          <w:sz w:val="28"/>
          <w:sz w:val="28"/>
          <w:szCs w:val="28"/>
          <w:rtl w:val="true"/>
          <w:lang w:bidi="fa-IR"/>
        </w:rPr>
        <w:t>درباره گاهنگاری ها، ساختار، و روابط سازمان های بین المللی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برمبنای منابع و استاد دست اول مربوط به نهادهایی بود که در طول سال به آن ها مراجعه کرده بودم و نخستین تلاش برای ارائه این نوع تاریخچه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تهیه تاریخچه سازمان های بین المللی از چه زمانی شروع شد؟ در واقع، من برای کنگره وین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شدم؛ نه به این دلیل که دولت پس از آن نخستین سازمان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مرکزی ناوبری راین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را تأسیس کرد، بلکه بیشتر به این دلیل که شرایط با قبل متفاوت بود و </w:t>
      </w:r>
    </w:p>
    <w:p>
      <w:pPr>
        <w:pStyle w:val="BookText"/>
        <w:rPr/>
      </w:pPr>
      <w:r>
        <w:rPr>
          <w:rFonts w:ascii="IRNazanin" w:hAnsi="IRNazanin" w:eastAsia="IRNazanin"/>
          <w:color w:val="111111"/>
          <w:sz w:val="28"/>
          <w:sz w:val="28"/>
          <w:szCs w:val="28"/>
          <w:rtl w:val="true"/>
          <w:lang w:bidi="fa-IR"/>
        </w:rPr>
        <w:t xml:space="preserve">تصمیمات دولت نیز مجموعه ای از نوآوری های مرتبط، اختراعات، و فرآیندهای یادگیری را برای شکل دادن به هسته چیزی که در حال حاضر سازمان بین المللی می نامیم فراهم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نگاه کنید رینالدا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کنفرانس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تنظیم روابط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روند همکاری را فعال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تجربه های نهادین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راه های عملی و قابل قبول درباره وارد کردن نهادها به کار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ارتقاء حقوق عمومی بین المللی، کنفرانس های چند جانبه به عنوان یک فعالیت سیاسی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به گزارش جست وجو برای راه حل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سازمان های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طرفداری خود 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سازوکار برگزاری یک کنفرانس همراه با یک کنفرانس پیگیری، منجر به این شد که اعضا، در کنفرانس اصلی به توافق برسند؛ و در کنفرانس پیگیری میزان تعهد و اجرا و عملیاتی سازی تصمیم ها و سیاست ها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بیشتر مواقع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کنفرانس، به مذاکرات و تصمیمات جدید و تصمیم گیری در مورد کنفرانس ها پیگیریِ بیشتر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دوران قبل از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اتخاذ سازوکارهای تازه منجر به برگزاری زنجیره ای از کنفرانس ها برای بررسی مسائل مشابه و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تداوم تولیدِ مسیر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هنوز هم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راه حل های مشترک و تلاش های بسیار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 این تحولات، با فرآیند نهادینه سازی دنبال شد که در آن ترتیبات دائمی مبتنی بر اقتدار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جایگزین فرآیند موقتی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سازمان های بین المللی، گرهمایی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برگزاری موقت کنفرانس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دبیرخانه های دائمی با کارگزاران مسئول اداره عمل کردهای روزمره سازمان، مانند ارائه اطلاعات به کشورهای عضو و آماده سازی دستور کار و گزارش برای کنفرانس های دوره ای راه اندازی کردند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حافظه سازمانی مربوط به این نقش ها، جایگاه دبیرخانه و آگاهی از مسیر وابستگی را در آن چه انجام شده ارتقا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دبیرخانه ها در آغاز کوچک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وزیر که مأموران اداری به او کمک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افزایش فعالیت ها، دبیرخانه رشد کرد و انتظارات خاصی را در مورد صلاحیت کارکنان، به عنوان بخشی از فرآیندهای بوروکراتیزه و حرفه ای خود، مطرح کرد و الزامات رهبری وزیر آن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ها، در تمام طول سال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گسترده در مورد اتحادیه دبیرخانه سازمان ملل، در ورسای،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دبیرخانه و دبیرکل را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ایجاد یک دبیرخانه براساس مقامات ملی که به کشورهای عضو وفادار بوده و حقوقشان را نیز از آن ها دریافت می کردند، بر اساس تجربیات سازمان های بین المللی قرن نوزدهم رد شد، و به جای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که اعضای آن ملزم بودند تا حد ممکن خود را از روابط ملی دور نگه داشته و خود را وقف </w:t>
      </w:r>
      <w:bookmarkStart w:id="321" w:name="pg9659_93960"/>
    </w:p>
    <w:p>
      <w:pPr>
        <w:pStyle w:val="BookText"/>
        <w:rPr/>
      </w:pPr>
      <w:bookmarkEnd w:id="321"/>
      <w:r>
        <w:rPr>
          <w:rFonts w:ascii="IRNazanin" w:hAnsi="IRNazanin" w:eastAsia="IRNazanin"/>
          <w:color w:val="111111"/>
          <w:sz w:val="28"/>
          <w:sz w:val="28"/>
          <w:szCs w:val="28"/>
          <w:rtl w:val="true"/>
          <w:lang w:bidi="fa-IR"/>
        </w:rPr>
        <w:t xml:space="preserve">اهداف سازمان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دوبین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دبیر کل نماینده سازمان و وجهه اصلی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به مسیر با این واقعیت ترویج شد که با ظهور استاد مکتوب، دوره کنفرانس های چند جانبه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همه توافق های مکتوب را در یک سند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می کردند، این سند شامل خلاصه ای از کارهای انجام شده بود و اسناد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دولت مردان و در رأس آن ها وزرای امور خارجه و پس از او مسئول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ضمیمه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خیلی زود نشان داد که در معاهدات در موضوعات مشابه در تاریخ های بعدی می توان از موارد قدیمی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ایالاتی که عضو یک معاهده چند جانبه نبودند، اغلب تمایل خود را برای به رسمیت شناختن هنجارها و رویه ها یا پیوستن به معاهده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بین ایالتی سنتی،؛ به یک معاهده چند جانبه تبدیل شد و در کمیته ها و کنفرانس های بسیاری از ایالات، طرح ریزی شد و در موردش رأی گیری شد و به عنوان یک مصوبه قانونی به تصویب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کلود، جونیور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معاهدات و کنوانسیون های منتج از کنفرانس های چند جانبه، توسعه قوانین بین المللی بیشتری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معاهدات، هم چنین، مورد علاقه دانشمندان علوم سیاسی نیز بودند، زیرا مصالحه بین فعالان اجتماعی و سیاسی،</w:t>
      </w:r>
    </w:p>
    <w:p>
      <w:pPr>
        <w:pStyle w:val="BookText"/>
        <w:rPr/>
      </w:pPr>
      <w:r>
        <w:rPr>
          <w:rFonts w:ascii="IRNazanin" w:hAnsi="IRNazanin" w:eastAsia="IRNazanin"/>
          <w:color w:val="111111"/>
          <w:sz w:val="28"/>
          <w:sz w:val="28"/>
          <w:szCs w:val="28"/>
          <w:rtl w:val="true"/>
          <w:lang w:bidi="fa-IR"/>
        </w:rPr>
        <w:t>روابط قدرت و توسعه اندیشه ها و اصول مورد بحث و توافق بین المللی را ارتقا و انعکاس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من در به رسمیت شناختن این روابط و اندیشه های قدرت به عنوان عناصر فرآیندهای طولانی مدت آموزش دیده بودند</w:t>
      </w:r>
      <w:r>
        <w:rPr>
          <w:rFonts w:eastAsia="IRNazanin" w:cs="IRNazanin"/>
          <w:color w:val="111111"/>
          <w:sz w:val="28"/>
          <w:szCs w:val="28"/>
          <w:rtl w:val="true"/>
          <w:lang w:bidi="fa-IR"/>
        </w:rPr>
        <w:t>.</w:t>
      </w:r>
    </w:p>
    <w:p>
      <w:pPr>
        <w:pStyle w:val="Heading3"/>
        <w:numPr>
          <w:ilvl w:val="2"/>
          <w:numId w:val="1"/>
        </w:numPr>
        <w:rPr/>
      </w:pPr>
      <w:bookmarkStart w:id="322" w:name="__RefHeading___Toc7825441_2870459653"/>
      <w:bookmarkStart w:id="323" w:name="_Toc115"/>
      <w:bookmarkEnd w:id="322"/>
      <w:r>
        <w:rPr>
          <w:rtl w:val="true"/>
        </w:rPr>
        <w:t>تسهیل استفاده از اطلاعات و پایگاه داده های بین المللی</w:t>
      </w:r>
      <w:bookmarkEnd w:id="3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استفاده از اسناد، انتشارات، و اطلاعات الکترونیکی آیو </w:t>
      </w:r>
      <w:r>
        <w:rPr>
          <w:rStyle w:val="FootnoteAnchor"/>
          <w:rtl w:val="true"/>
        </w:rPr>
        <w:footnoteReference w:id="498"/>
      </w:r>
      <w:r>
        <w:rPr>
          <w:rFonts w:ascii="IRNazanin" w:hAnsi="IRNazanin" w:eastAsia="IRNazanin"/>
          <w:color w:val="111111"/>
          <w:sz w:val="28"/>
          <w:sz w:val="28"/>
          <w:szCs w:val="28"/>
          <w:rtl w:val="true"/>
          <w:lang w:bidi="fa-IR"/>
        </w:rPr>
        <w:t xml:space="preserve">کتاب اطلاعات بین المللی </w:t>
      </w:r>
      <w:r>
        <w:rPr>
          <w:rStyle w:val="FootnoteAnchor"/>
          <w:rtl w:val="true"/>
        </w:rPr>
        <w:footnoteReference w:id="499"/>
      </w:r>
      <w:r>
        <w:rPr>
          <w:rFonts w:ascii="IRNazanin" w:hAnsi="IRNazanin" w:eastAsia="IRNazanin"/>
          <w:color w:val="111111"/>
          <w:sz w:val="28"/>
          <w:sz w:val="28"/>
          <w:szCs w:val="28"/>
          <w:rtl w:val="true"/>
          <w:lang w:bidi="fa-IR"/>
        </w:rPr>
        <w:t xml:space="preserve">ویرایش پیتر هینال </w:t>
      </w:r>
      <w:r>
        <w:rPr>
          <w:rStyle w:val="FootnoteAnchor"/>
          <w:rtl w:val="true"/>
        </w:rPr>
        <w:footnoteReference w:id="500"/>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اثر هَینال، در حوزه اسناد و مدارک بین المللی،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تکامل مناسب، روابط متقابل، و مستندات آن از کتاب اخیرش در جی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باشگاه های کشور، از جمله جی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برای جمع آوری و انتشار خروجی سند خود دبیرخانه ای نداشتند، بررسی سیستماتیک و تجزیه و تحلیل هَینال درباره مشکل پژوهش آرشیوی مربوط به این باشگاه، بسیار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هَینال،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اطلاعات بین المللی برای دانشجویان کارشناسی ارشد مناسب تر از دانشجویان کارشناسی است؛ زیرا آن ها در یک زمینه خاص تخصص دارند، در حالی که دانشجویان کارشناسی هم چنان در حال جست و جوی اطلاعات سازمان های بین 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درباره کتاب </w:t>
      </w:r>
    </w:p>
    <w:p>
      <w:pPr>
        <w:pStyle w:val="BookText"/>
        <w:rPr/>
      </w:pPr>
      <w:r>
        <w:rPr>
          <w:rFonts w:ascii="IRNazanin" w:hAnsi="IRNazanin" w:eastAsia="IRNazanin"/>
          <w:color w:val="111111"/>
          <w:sz w:val="28"/>
          <w:sz w:val="28"/>
          <w:szCs w:val="28"/>
          <w:rtl w:val="true"/>
          <w:lang w:bidi="fa-IR"/>
        </w:rPr>
        <w:t xml:space="preserve">سالنامه سازمان های بین المللی </w:t>
      </w:r>
      <w:r>
        <w:rPr>
          <w:rStyle w:val="FootnoteAnchor"/>
          <w:rtl w:val="true"/>
        </w:rPr>
        <w:footnoteReference w:id="501"/>
      </w:r>
      <w:r>
        <w:rPr>
          <w:rFonts w:ascii="IRNazanin" w:hAnsi="IRNazanin" w:eastAsia="IRNazanin"/>
          <w:color w:val="111111"/>
          <w:sz w:val="28"/>
          <w:sz w:val="28"/>
          <w:szCs w:val="28"/>
          <w:rtl w:val="true"/>
          <w:lang w:bidi="fa-IR"/>
        </w:rPr>
        <w:t>نیز صدق می کند؛ زیرا جزئیات این اثر برای سازمان های خاص و پژوهش ها کمی مناسب است، ولی با توجه به وسعت و غنای جزئیات ارائه شده، استفاده از آن تجربه عمیقی را می طلبد تا استفاده کاملی از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سری کتاب دیگر، یکی سری واژه نامه های تاریخی سازمان های بین المللی </w:t>
      </w:r>
      <w:r>
        <w:rPr>
          <w:rStyle w:val="FootnoteAnchor"/>
          <w:rtl w:val="true"/>
        </w:rPr>
        <w:footnoteReference w:id="502"/>
      </w:r>
      <w:r>
        <w:rPr>
          <w:rFonts w:ascii="IRNazanin" w:hAnsi="IRNazanin" w:eastAsia="IRNazanin"/>
          <w:color w:val="111111"/>
          <w:sz w:val="28"/>
          <w:sz w:val="28"/>
          <w:szCs w:val="28"/>
          <w:rtl w:val="true"/>
          <w:lang w:bidi="fa-IR"/>
        </w:rPr>
        <w:t xml:space="preserve">، ویرایش جان و روناف </w:t>
      </w:r>
      <w:r>
        <w:rPr>
          <w:rStyle w:val="FootnoteAnchor"/>
          <w:rtl w:val="true"/>
        </w:rPr>
        <w:footnoteReference w:id="503"/>
      </w:r>
      <w:r>
        <w:rPr>
          <w:rFonts w:ascii="IRNazanin" w:hAnsi="IRNazanin" w:eastAsia="IRNazanin"/>
          <w:color w:val="111111"/>
          <w:sz w:val="28"/>
          <w:sz w:val="28"/>
          <w:szCs w:val="28"/>
          <w:rtl w:val="true"/>
          <w:lang w:bidi="fa-IR"/>
        </w:rPr>
        <w:t xml:space="preserve">، چاپ انتشارات اسکر کرو </w:t>
      </w:r>
      <w:r>
        <w:rPr>
          <w:rStyle w:val="FootnoteAnchor"/>
          <w:rtl w:val="true"/>
        </w:rPr>
        <w:footnoteReference w:id="504"/>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و دیگری سری موسسات جهانی </w:t>
      </w:r>
      <w:r>
        <w:rPr>
          <w:rStyle w:val="FootnoteAnchor"/>
          <w:rtl w:val="true"/>
        </w:rPr>
        <w:footnoteReference w:id="505"/>
      </w:r>
      <w:r>
        <w:rPr>
          <w:rFonts w:ascii="IRNazanin" w:hAnsi="IRNazanin" w:eastAsia="IRNazanin"/>
          <w:color w:val="111111"/>
          <w:sz w:val="28"/>
          <w:sz w:val="28"/>
          <w:szCs w:val="28"/>
          <w:rtl w:val="true"/>
          <w:lang w:bidi="fa-IR"/>
        </w:rPr>
        <w:t xml:space="preserve">، ویرایش توماس وایس </w:t>
      </w:r>
      <w:r>
        <w:rPr>
          <w:rStyle w:val="FootnoteAnchor"/>
          <w:rtl w:val="true"/>
        </w:rPr>
        <w:footnoteReference w:id="506"/>
      </w:r>
      <w:r>
        <w:rPr>
          <w:rFonts w:ascii="IRNazanin" w:hAnsi="IRNazanin" w:eastAsia="IRNazanin"/>
          <w:color w:val="111111"/>
          <w:sz w:val="28"/>
          <w:sz w:val="28"/>
          <w:szCs w:val="28"/>
          <w:rtl w:val="true"/>
          <w:lang w:bidi="fa-IR"/>
        </w:rPr>
        <w:t xml:space="preserve">و روردن ویلکینسون </w:t>
      </w:r>
      <w:r>
        <w:rPr>
          <w:rStyle w:val="FootnoteAnchor"/>
          <w:rtl w:val="true"/>
        </w:rPr>
        <w:footnoteReference w:id="507"/>
      </w:r>
      <w:r>
        <w:rPr>
          <w:rFonts w:ascii="IRNazanin" w:hAnsi="IRNazanin" w:eastAsia="IRNazanin"/>
          <w:color w:val="111111"/>
          <w:sz w:val="28"/>
          <w:sz w:val="28"/>
          <w:szCs w:val="28"/>
          <w:rtl w:val="true"/>
          <w:lang w:bidi="fa-IR"/>
        </w:rPr>
        <w:t xml:space="preserve">، چاپ انتشارات روتلج، از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منابع منوط به خریده شدن آن ها از سوی کتاب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منبع باعث شد به نویسندگان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هنر</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که باید با استفاده از منابع سازمان های بین المللی مرتبط و پایگاه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کمک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سه گروه غیر دولتی شامل سازمان های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جی اُ</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 سازمان های بین المللی، و شرکت های چند ملیتی را پوشش می دهد؛ و کتاب دیگرم با عنوان راهنمای سازمان بین المللى روتلج </w:t>
      </w:r>
      <w:r>
        <w:rPr>
          <w:rStyle w:val="FootnoteAnchor"/>
          <w:rtl w:val="true"/>
        </w:rPr>
        <w:footnoteReference w:id="511"/>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فرآیند به نهادهای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عنوان یک نهاد به سازمان های بین المللی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اثر، به منابع معتبری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الیزابت بلاد گود </w:t>
      </w:r>
      <w:r>
        <w:rPr>
          <w:rStyle w:val="FootnoteAnchor"/>
          <w:rtl w:val="true"/>
        </w:rPr>
        <w:footnoteReference w:id="512"/>
      </w:r>
      <w:r>
        <w:rPr>
          <w:rFonts w:ascii="IRNazanin" w:hAnsi="IRNazanin" w:eastAsia="IRNazanin"/>
          <w:color w:val="111111"/>
          <w:sz w:val="28"/>
          <w:sz w:val="28"/>
          <w:szCs w:val="28"/>
          <w:rtl w:val="true"/>
          <w:lang w:bidi="fa-IR"/>
        </w:rPr>
        <w:t xml:space="preserve">، درباره سالنامه سازمان های بین المللی </w:t>
      </w:r>
      <w:r>
        <w:rPr>
          <w:rStyle w:val="FootnoteAnchor"/>
          <w:rtl w:val="true"/>
        </w:rPr>
        <w:footnoteReference w:id="513"/>
      </w:r>
      <w:r>
        <w:rPr>
          <w:rFonts w:ascii="IRNazanin" w:hAnsi="IRNazanin" w:eastAsia="IRNazanin"/>
          <w:color w:val="111111"/>
          <w:sz w:val="28"/>
          <w:sz w:val="28"/>
          <w:szCs w:val="28"/>
          <w:rtl w:val="true"/>
          <w:lang w:bidi="fa-IR"/>
        </w:rPr>
        <w:t xml:space="preserve">؛ توماس دیویس </w:t>
      </w:r>
      <w:r>
        <w:rPr>
          <w:rStyle w:val="FootnoteAnchor"/>
          <w:rtl w:val="true"/>
        </w:rPr>
        <w:footnoteReference w:id="514"/>
      </w:r>
      <w:r>
        <w:rPr>
          <w:rFonts w:ascii="IRNazanin" w:hAnsi="IRNazanin" w:eastAsia="IRNazanin"/>
          <w:color w:val="111111"/>
          <w:sz w:val="28"/>
          <w:sz w:val="28"/>
          <w:szCs w:val="28"/>
          <w:rtl w:val="true"/>
          <w:lang w:bidi="fa-IR"/>
        </w:rPr>
        <w:t xml:space="preserve">، درباره روش های پژوهش در زمینه تاریخ فراملیتی؛ و فرانسیس بیرت </w:t>
      </w:r>
      <w:r>
        <w:rPr>
          <w:rStyle w:val="FootnoteAnchor"/>
          <w:rtl w:val="true"/>
        </w:rPr>
        <w:footnoteReference w:id="515"/>
      </w:r>
      <w:r>
        <w:rPr>
          <w:rFonts w:ascii="IRNazanin" w:hAnsi="IRNazanin" w:eastAsia="IRNazanin"/>
          <w:color w:val="111111"/>
          <w:sz w:val="28"/>
          <w:sz w:val="28"/>
          <w:szCs w:val="28"/>
          <w:rtl w:val="true"/>
          <w:lang w:bidi="fa-IR"/>
        </w:rPr>
        <w:t xml:space="preserve">، درباره نقش ایده در طرح تاریخ فکری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آی اف</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بحث می کند که منجر به تولید پانزده کتاب شده و بر اهمیت تاریخ شفاهی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چرچ </w:t>
      </w:r>
      <w:r>
        <w:rPr>
          <w:rStyle w:val="FootnoteAnchor"/>
          <w:rtl w:val="true"/>
        </w:rPr>
        <w:footnoteReference w:id="517"/>
      </w:r>
      <w:r>
        <w:rPr>
          <w:rFonts w:ascii="IRNazanin" w:hAnsi="IRNazanin" w:eastAsia="IRNazanin"/>
          <w:color w:val="111111"/>
          <w:sz w:val="28"/>
          <w:sz w:val="28"/>
          <w:szCs w:val="28"/>
          <w:rtl w:val="true"/>
          <w:lang w:bidi="fa-IR"/>
        </w:rPr>
        <w:t xml:space="preserve">و مایکل مکافری </w:t>
      </w:r>
      <w:r>
        <w:rPr>
          <w:rStyle w:val="FootnoteAnchor"/>
          <w:rtl w:val="true"/>
        </w:rPr>
        <w:footnoteReference w:id="518"/>
      </w:r>
      <w:r>
        <w:rPr>
          <w:rFonts w:ascii="IRNazanin" w:hAnsi="IRNazanin" w:eastAsia="IRNazanin"/>
          <w:color w:val="111111"/>
          <w:sz w:val="28"/>
          <w:sz w:val="28"/>
          <w:szCs w:val="28"/>
          <w:rtl w:val="true"/>
          <w:lang w:bidi="fa-IR"/>
        </w:rPr>
        <w:t xml:space="preserve">به بحث در مورد اطلاعات موجود و اسناد و مدارک </w:t>
      </w:r>
      <w:bookmarkStart w:id="324" w:name="pg9659_93962"/>
    </w:p>
    <w:p>
      <w:pPr>
        <w:pStyle w:val="BookText"/>
        <w:rPr/>
      </w:pPr>
      <w:bookmarkEnd w:id="324"/>
      <w:r>
        <w:rPr>
          <w:rFonts w:ascii="IRNazanin" w:hAnsi="IRNazanin" w:eastAsia="IRNazanin"/>
          <w:color w:val="111111"/>
          <w:sz w:val="28"/>
          <w:sz w:val="28"/>
          <w:szCs w:val="28"/>
          <w:rtl w:val="true"/>
          <w:lang w:bidi="fa-IR"/>
        </w:rPr>
        <w:t xml:space="preserve">سازمان های بین المللی در دستنامه رو تلج </w:t>
      </w:r>
      <w:r>
        <w:rPr>
          <w:rStyle w:val="FootnoteAnchor"/>
          <w:rtl w:val="true"/>
        </w:rPr>
        <w:footnoteReference w:id="519"/>
      </w:r>
      <w:r>
        <w:rPr>
          <w:rFonts w:ascii="IRNazanin" w:hAnsi="IRNazanin" w:eastAsia="IRNazanin"/>
          <w:color w:val="111111"/>
          <w:sz w:val="28"/>
          <w:sz w:val="28"/>
          <w:szCs w:val="28"/>
          <w:rtl w:val="true"/>
          <w:lang w:bidi="fa-IR"/>
        </w:rPr>
        <w:t xml:space="preserve">می پردازند؛ اریک گارتزک </w:t>
      </w:r>
      <w:r>
        <w:rPr>
          <w:rStyle w:val="FootnoteAnchor"/>
          <w:rtl w:val="true"/>
        </w:rPr>
        <w:footnoteReference w:id="520"/>
      </w:r>
      <w:r>
        <w:rPr>
          <w:rFonts w:ascii="IRNazanin" w:hAnsi="IRNazanin" w:eastAsia="IRNazanin"/>
          <w:color w:val="111111"/>
          <w:sz w:val="28"/>
          <w:sz w:val="28"/>
          <w:szCs w:val="28"/>
          <w:rtl w:val="true"/>
          <w:lang w:bidi="fa-IR"/>
        </w:rPr>
        <w:t xml:space="preserve">و کریستینا اشنایدر </w:t>
      </w:r>
      <w:r>
        <w:rPr>
          <w:rStyle w:val="FootnoteAnchor"/>
          <w:rtl w:val="true"/>
        </w:rPr>
        <w:footnoteReference w:id="521"/>
      </w:r>
      <w:r>
        <w:rPr>
          <w:rFonts w:ascii="IRNazanin" w:hAnsi="IRNazanin" w:eastAsia="IRNazanin"/>
          <w:color w:val="111111"/>
          <w:sz w:val="28"/>
          <w:sz w:val="28"/>
          <w:szCs w:val="28"/>
          <w:rtl w:val="true"/>
          <w:lang w:bidi="fa-IR"/>
        </w:rPr>
        <w:t xml:space="preserve">نیز مجموعه داده ها و پژوهش های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داده های اولیه و مجموعه ای از ارتباط طرح ها و داده ها در سازمان های بین المللی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وویتن </w:t>
      </w:r>
      <w:r>
        <w:rPr>
          <w:rStyle w:val="FootnoteAnchor"/>
          <w:rtl w:val="true"/>
        </w:rPr>
        <w:footnoteReference w:id="522"/>
      </w:r>
      <w:r>
        <w:rPr>
          <w:rFonts w:ascii="IRNazanin" w:hAnsi="IRNazanin" w:eastAsia="IRNazanin"/>
          <w:color w:val="111111"/>
          <w:sz w:val="28"/>
          <w:sz w:val="28"/>
          <w:szCs w:val="28"/>
          <w:rtl w:val="true"/>
          <w:lang w:bidi="fa-IR"/>
        </w:rPr>
        <w:t xml:space="preserve">، به بحث در مورد داده ها و تجزیه و تحلیل رأی گیری در مجمع عمومی سازمان ملل می پردازند؛ الیزابت بلاد گود و هانس پیتر اشمیتس </w:t>
      </w:r>
      <w:r>
        <w:rPr>
          <w:rStyle w:val="FootnoteAnchor"/>
          <w:rtl w:val="true"/>
        </w:rPr>
        <w:footnoteReference w:id="523"/>
      </w:r>
      <w:r>
        <w:rPr>
          <w:rFonts w:ascii="IRNazanin" w:hAnsi="IRNazanin" w:eastAsia="IRNazanin"/>
          <w:color w:val="111111"/>
          <w:sz w:val="28"/>
          <w:sz w:val="28"/>
          <w:szCs w:val="28"/>
          <w:rtl w:val="true"/>
          <w:lang w:bidi="fa-IR"/>
        </w:rPr>
        <w:t>، یک نمای کلی از مجموعه داده های سازمان های غیر دولتی بین المللی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داده های افکار عمومی بین المللی، که به ندرت خلاصه شده است، مارتا لاگوس </w:t>
      </w:r>
      <w:r>
        <w:rPr>
          <w:rStyle w:val="FootnoteAnchor"/>
          <w:rtl w:val="true"/>
        </w:rPr>
        <w:footnoteReference w:id="524"/>
      </w:r>
      <w:r>
        <w:rPr>
          <w:rFonts w:ascii="IRNazanin" w:hAnsi="IRNazanin" w:eastAsia="IRNazanin"/>
          <w:color w:val="111111"/>
          <w:sz w:val="28"/>
          <w:sz w:val="28"/>
          <w:szCs w:val="28"/>
          <w:rtl w:val="true"/>
          <w:lang w:bidi="fa-IR"/>
        </w:rPr>
        <w:t xml:space="preserve">و 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چو </w:t>
      </w:r>
      <w:r>
        <w:rPr>
          <w:rStyle w:val="FootnoteAnchor"/>
          <w:rtl w:val="true"/>
        </w:rPr>
        <w:footnoteReference w:id="525"/>
      </w:r>
      <w:r>
        <w:rPr>
          <w:rFonts w:ascii="IRNazanin" w:hAnsi="IRNazanin" w:eastAsia="IRNazanin"/>
          <w:color w:val="111111"/>
          <w:sz w:val="28"/>
          <w:sz w:val="28"/>
          <w:szCs w:val="28"/>
          <w:rtl w:val="true"/>
          <w:lang w:bidi="fa-IR"/>
        </w:rPr>
        <w:t>، به بررسی مقایسه ای بین المللی و فشار سنج های منطقه ای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داویده رودونو </w:t>
      </w:r>
      <w:r>
        <w:rPr>
          <w:rStyle w:val="FootnoteAnchor"/>
          <w:rtl w:val="true"/>
        </w:rPr>
        <w:footnoteReference w:id="526"/>
      </w:r>
      <w:r>
        <w:rPr>
          <w:rFonts w:ascii="IRNazanin" w:hAnsi="IRNazanin" w:eastAsia="IRNazanin"/>
          <w:color w:val="111111"/>
          <w:sz w:val="28"/>
          <w:sz w:val="28"/>
          <w:szCs w:val="28"/>
          <w:rtl w:val="true"/>
          <w:lang w:bidi="fa-IR"/>
        </w:rPr>
        <w:t>و همکارانش، بحث و گفت وگو درباره تاریخ فراملیتی را بر مبنای دو ابزار علمی مفید برای مطالعه تاریخ سازمان های بین المللی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فرهنگ تاریخ فراملیتی پالگریو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ایریه و سونیه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موتور جست و جوی اتحادیه اروپا، معروف به لونسا </w:t>
      </w:r>
      <w:r>
        <w:rPr>
          <w:rStyle w:val="FootnoteAnchor"/>
          <w:rtl w:val="true"/>
        </w:rPr>
        <w:footnoteReference w:id="529"/>
      </w:r>
      <w:r>
        <w:rPr>
          <w:rFonts w:ascii="IRNazanin" w:hAnsi="IRNazanin" w:eastAsia="IRNazanin"/>
          <w:color w:val="111111"/>
          <w:sz w:val="28"/>
          <w:sz w:val="28"/>
          <w:szCs w:val="28"/>
          <w:rtl w:val="true"/>
          <w:lang w:bidi="fa-IR"/>
        </w:rPr>
        <w:t xml:space="preserve">، نوعی ابزار رقومی است که موجب تشویق تحقیق و تفحص درباره تاریخ جهانی می شود </w:t>
      </w:r>
      <w:r>
        <w:rPr>
          <w:rStyle w:val="FootnoteAnchor"/>
          <w:rtl w:val="true"/>
        </w:rPr>
        <w:footnoteReference w:id="530"/>
      </w:r>
      <w:r>
        <w:rPr>
          <w:rFonts w:ascii="IRNazanin" w:hAnsi="IRNazanin" w:eastAsia="IRNazanin"/>
          <w:color w:val="111111"/>
          <w:sz w:val="28"/>
          <w:sz w:val="28"/>
          <w:szCs w:val="28"/>
          <w:rtl w:val="true"/>
          <w:lang w:bidi="fa-IR"/>
        </w:rPr>
        <w:t xml:space="preserve">، بررسی بازخوردها نشان می دهد که استادان از این فصول در اطلاعات بین المللی قدردانی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چنین بوده باشد</w:t>
      </w:r>
      <w:r>
        <w:rPr>
          <w:rFonts w:eastAsia="IRNazanin" w:cs="IRNazanin"/>
          <w:color w:val="111111"/>
          <w:sz w:val="28"/>
          <w:szCs w:val="28"/>
          <w:rtl w:val="true"/>
          <w:lang w:bidi="fa-IR"/>
        </w:rPr>
        <w:t>).</w:t>
      </w:r>
    </w:p>
    <w:p>
      <w:pPr>
        <w:pStyle w:val="Heading3"/>
        <w:numPr>
          <w:ilvl w:val="2"/>
          <w:numId w:val="1"/>
        </w:numPr>
        <w:rPr/>
      </w:pPr>
      <w:bookmarkStart w:id="325" w:name="__RefHeading___Toc7825443_2870459653"/>
      <w:bookmarkStart w:id="326" w:name="_Toc116"/>
      <w:bookmarkEnd w:id="325"/>
      <w:r>
        <w:rPr>
          <w:rtl w:val="true"/>
        </w:rPr>
        <w:t xml:space="preserve">نوشتن شرح حال کوتاه دبیران </w:t>
      </w:r>
      <w:r>
        <w:rPr>
          <w:rtl w:val="true"/>
        </w:rPr>
        <w:t xml:space="preserve">- </w:t>
      </w:r>
      <w:r>
        <w:rPr>
          <w:rtl w:val="true"/>
        </w:rPr>
        <w:t>عمومی</w:t>
      </w:r>
      <w:r>
        <w:rPr>
          <w:rtl w:val="true"/>
        </w:rPr>
        <w:t xml:space="preserve">: </w:t>
      </w:r>
      <w:r>
        <w:rPr>
          <w:rtl w:val="true"/>
        </w:rPr>
        <w:t>طرح زندگی نامه های آیو</w:t>
      </w:r>
      <w:bookmarkEnd w:id="32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جامع سازمان های بین المللی چندان به نقش افراد پرداخته نمی شود، ولی برخی افراد، در میان مدیران اجرایی در سازمان های بین المللی نقش رهبری را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زندگی نامه دبیران کل سازمان های بین المللی سازمان ها یا همان طرح زندگی نامه های آیو </w:t>
      </w:r>
      <w:r>
        <w:rPr>
          <w:rStyle w:val="FootnoteAnchor"/>
          <w:rtl w:val="true"/>
        </w:rPr>
        <w:footnoteReference w:id="531"/>
      </w:r>
      <w:r>
        <w:rPr>
          <w:rFonts w:ascii="IRNazanin" w:hAnsi="IRNazanin" w:eastAsia="IRNazanin"/>
          <w:color w:val="111111"/>
          <w:sz w:val="28"/>
          <w:sz w:val="28"/>
          <w:szCs w:val="28"/>
          <w:rtl w:val="true"/>
          <w:lang w:bidi="fa-IR"/>
        </w:rPr>
        <w:t xml:space="preserve">، به کسب اطلاعات بیشتر در مورد مشاغل دبیران کل کمک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رینالدا و وربیک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زندگی نامه های آیو مجموعه ای شامل سی شرح حال را در وبگاه خود قرار داد که به طور مداوم توسط </w:t>
      </w:r>
    </w:p>
    <w:p>
      <w:pPr>
        <w:pStyle w:val="BookText"/>
        <w:rPr/>
      </w:pPr>
      <w:r>
        <w:rPr>
          <w:rFonts w:ascii="IRNazanin" w:hAnsi="IRNazanin" w:eastAsia="IRNazanin"/>
          <w:color w:val="111111"/>
          <w:sz w:val="28"/>
          <w:sz w:val="28"/>
          <w:szCs w:val="28"/>
          <w:rtl w:val="true"/>
          <w:lang w:bidi="fa-IR"/>
        </w:rPr>
        <w:t>کارشناسان بر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سبک نگارش فرهنگ زندگی نامه، که با شرح حال کوتاه افرادی با عمل کرد کمک به حوزه عمومی همراه است، به قرن نوزدهم باز می گردد، اگرچه نمونه های قدیمی تر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جذابیت در زندگی نامه افراد معروف یک هنر است، ولی ارائه توضیحات علمی مهم تر است و با تولید بیوگرافی مدرن انطباق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پیچیده، با این روش در ارتباط با حوادث دوران خود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جیمز والتر </w:t>
      </w:r>
      <w:r>
        <w:rPr>
          <w:rStyle w:val="FootnoteAnchor"/>
          <w:rtl w:val="true"/>
        </w:rPr>
        <w:footnoteReference w:id="533"/>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بیوگرافی را یکی از مطالعات پیشرو می نامد که بینشی است که باید جدی گرفته شود، به ویژه در بخش پرس و جوهای سیاسی مانند اثر رهبر، دستاوردها، و اختلال عمل کرد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یا دیگر دبیران اجرایی با عناوین مختلف، مدیران اجرایی هستند و بوروکراسی بین المللی را در اندازه و ساختار متفاوت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زندگی نامه ای، درباره آن ها محدود است و در یک تصویر ناقص از افرادی است که این موقعیت و تعاملات بین آن ها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های آیو با این هدف طراحی شده است که شرح حالی کوتاه، اما آموزنده درباره دبیران کل و هم چنین توصیف و تجزیه و تحلیل ارتباطات اجتماعی و حرفه 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کمبودها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اطلاعاتی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های این نوع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مدخل برحسب اهمیت آن در سه سطح تعیین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توضیحات دقیق و منسجمی درباره کل زندگی و کار هر یک از دبیرکل به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آیو بایو به امور خصوصی تر مدیران اجرایی نیز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کاران آن ها چیست و چگونه آن ها زندگی خصوصی و عمومی و مسائل دفتر را هماهنگ می کنند؟ پیدا کردن این اطلاعات ممکن است مشکل باشد،</w:t>
      </w:r>
    </w:p>
    <w:p>
      <w:pPr>
        <w:pStyle w:val="BookText"/>
        <w:rPr/>
      </w:pPr>
      <w:r>
        <w:rPr>
          <w:rFonts w:ascii="IRNazanin" w:hAnsi="IRNazanin" w:eastAsia="IRNazanin"/>
          <w:color w:val="111111"/>
          <w:sz w:val="28"/>
          <w:sz w:val="28"/>
          <w:szCs w:val="28"/>
          <w:rtl w:val="true"/>
          <w:lang w:bidi="fa-IR"/>
        </w:rPr>
        <w:t>هم چنین به زمینه های فرهنگی دبیرکل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ترکیبی است بر اساس منابع دست اول و دوم، از جمله اطلاعات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ارائه فهرست انواع جزئیات زندگی نامه و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هوز هو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مدخل های مربوط به افراد براساس معیارهای علمی و اطلاعات زندگی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متناسبی درباره زندگی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انتشارات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مدخل ها، سهم دبیران کل در حرفه شان، سازمان مربوط، و روابط به عنوان یک کل را برجسته می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رهبری فردی، و به طور خاص توانایی رهبری مهم است، حتی اگر همه مدیران سازمان های بین المللی وجهه رهبری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هم به بوروکراسی بزرگی که هدایت آن را بر عهده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داخلی به عنوان یک کیفیت به خودی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به نمایندگی های سازمان های بین المللی آن ها در دولت ها و دیگر بازیگران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bookmarkStart w:id="327" w:name="pg9659_93964"/>
    </w:p>
    <w:p>
      <w:pPr>
        <w:pStyle w:val="BookText"/>
        <w:rPr/>
      </w:pPr>
      <w:bookmarkEnd w:id="327"/>
      <w:r>
        <w:rPr>
          <w:rFonts w:ascii="IRNazanin" w:hAnsi="IRNazanin" w:eastAsia="IRNazanin"/>
          <w:color w:val="111111"/>
          <w:sz w:val="28"/>
          <w:sz w:val="28"/>
          <w:szCs w:val="28"/>
          <w:rtl w:val="true"/>
          <w:lang w:bidi="fa-IR"/>
        </w:rPr>
        <w:t>ترکیبی از ویژگی های رهبری داخلی و خارجی تا حد زیادی می تواند رهبری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های منتشر شده تاکنون نشان می دهد که شرح زندگی به درک عمومی از مساعی دبیران کل و تعمیق درک ما از سازمان های بین المللی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بوروکراسی را برای اهداف و مقاصد سازمان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موفقیت، باید رهبری داخلی و خارجی را در هم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 توانیم بین نسل ها و گروه های دبیران کل وجوه تمایزی پیدا کنیم؛ مانند پیشگامان، کسانی که به عنوان نخستین دبیران کل سازمان بین المللی شروع به کار کردند، که حوزه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این ایده که مهاجران آمریکایی فقط آمده بود تا در آن چه آن ها قلمرو بلامعارض در نظر گرفته بودند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و طراحی نموده و سازوکار اجرایی آن را براساس قانون مصوبِ ایالات مؤسس و اصلاح طلبان، و با توجه به شرایط یا خواسته های کشورهای عضو، ایجاد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 و رینالدا،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Heading3"/>
        <w:numPr>
          <w:ilvl w:val="2"/>
          <w:numId w:val="1"/>
        </w:numPr>
        <w:rPr/>
      </w:pPr>
      <w:bookmarkStart w:id="328" w:name="__RefHeading___Toc7825445_2870459653"/>
      <w:bookmarkStart w:id="329" w:name="_Toc117"/>
      <w:bookmarkEnd w:id="328"/>
      <w:r>
        <w:rPr>
          <w:rtl w:val="true"/>
        </w:rPr>
        <w:t>جست وجوی اطلاعات مربوط به دبیران کل در سراسر جهان</w:t>
      </w:r>
      <w:bookmarkEnd w:id="329"/>
    </w:p>
    <w:p>
      <w:pPr>
        <w:pStyle w:val="BookText"/>
        <w:rPr/>
      </w:pPr>
      <w:r>
        <w:rPr>
          <w:rFonts w:ascii="IRNazanin" w:hAnsi="IRNazanin" w:eastAsia="IRNazanin"/>
          <w:color w:val="111111"/>
          <w:sz w:val="28"/>
          <w:sz w:val="28"/>
          <w:szCs w:val="28"/>
          <w:rtl w:val="true"/>
          <w:lang w:bidi="fa-IR"/>
        </w:rPr>
        <w:t>مشکلات اصلی در استفاده از اطلاعات دبیران کل، دسترسی محدود به اطلاعات و عدم شفافیت سازمان های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زندگی نامه و شرح حال، و مقاله کوتاه به مناسبت های خاص وجود دارد؛ اما به طور کلی اطلاعات زیادی در مورد مشاغل یا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 در وب گاه سازمان های بین المللی، یا مواد چاپی آن ها ممکن است به پیدا کردن متن کوتاهی منتهی شود، اما در بیشتر موارد اطلاعات در حد یک یا چند عکس است، یا کمی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اغلب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تاریخ یا سالِ دفتر و شاید جوایز مهمی که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موجود در سازمان 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تر به آن توجه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دبیرکل در زمان تصدی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اقداماتی انجام داده است یا تلاش کرده انجام دهد، و تا چه حد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چنین استدلال می کنند که ویکی پدیا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اعتبار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منابع اینترنتی، ضعف منابع سازمان های بین المللی را جبران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ما به دنبال نتایج دقیقی از جست وجوی اینترنتی درباره همه دبیران کل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کل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اینترنت نمی تواند اطلاعات کاملی در اختیار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هم دفاتر دربار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سیاستمداران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ناقصی دارند، و در مقابل اینترنت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بین المللی درباره اتفاقات و روندهای داخلیشان اطلاعاتی نمی دهند که به دیپلماسی آن ها مربوط می شود و هم چنین باید دانست که سیاست با سازمان مرتبط است نه افراد و اولویت با حفظ مباحثات داخلی و عدم اعلام عمومی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بازنشستگان هنوز به حفظ مباحث داخلی سازمان خود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شفافیت، یک هنجار مورد تأیید سازمان های بین المللی است </w:t>
      </w:r>
      <w:bookmarkStart w:id="330" w:name="pg9659_93965"/>
    </w:p>
    <w:p>
      <w:pPr>
        <w:pStyle w:val="BookText"/>
        <w:rPr/>
      </w:pPr>
      <w:bookmarkEnd w:id="330"/>
      <w:r>
        <w:rPr>
          <w:rFonts w:ascii="IRNazanin" w:hAnsi="IRNazanin" w:eastAsia="IRNazanin"/>
          <w:color w:val="111111"/>
          <w:sz w:val="28"/>
          <w:sz w:val="28"/>
          <w:szCs w:val="28"/>
          <w:rtl w:val="true"/>
          <w:lang w:bidi="fa-IR"/>
        </w:rPr>
        <w:t>و نوعى الزام برای برخورداری از حمایت مردم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طرح زندگی نامه های آیو نیز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نوشتن یک بیوگرافی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دبیر کل، وجود افراد متخصصِ آگاه به مسائل سازمان و فرآیندهای داخلی و فعالان مربوط، و نیز بیان آزاد و صادقانه تلاش های دبیرکل و دستاوردهای او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زندگی نامه نویس، به اسناد مربوط، منابع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توصیفات مربوط به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رهگیری از طریق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پایگاه هایی مانند لونسا، یا سوابق شغلی و طرح سوابق شغلی سازمان ملل متحد در آکسفورد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تمام سازمان های بین المللی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یا حتی از لحاظ دسترسی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 با منابعی نظیر زندگی نامه ها و کتاب مرجع هوز هوز </w:t>
      </w:r>
      <w:r>
        <w:rPr>
          <w:rStyle w:val="FootnoteAnchor"/>
          <w:rtl w:val="true"/>
        </w:rPr>
        <w:footnoteReference w:id="535"/>
      </w:r>
      <w:r>
        <w:rPr>
          <w:rFonts w:ascii="IRNazanin" w:hAnsi="IRNazanin" w:eastAsia="IRNazanin"/>
          <w:color w:val="111111"/>
          <w:sz w:val="28"/>
          <w:sz w:val="28"/>
          <w:szCs w:val="28"/>
          <w:rtl w:val="true"/>
          <w:lang w:bidi="fa-IR"/>
        </w:rPr>
        <w:t xml:space="preserve">کمک ارزنده ای در این زمینه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زندگی نامه آیو هم به صورت برخط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منابع نیز در هر کتاب خانه، برحسب محتوا و نوع ذخیره سازی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 بزرگ غربی معمولاً مجهزند، هر چند کم تر به جهان در حال توسعه توجه می کنند؛ و کتاب خانه های مناطق در حال توسعه مجموعه های کوچک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طرح زندگی نامه آیُو نشان می دهد که کتابداران و آرشیویست های سازمان های بین المللی در رسیدن به مرحله رقومی حذف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بپرسید که کجا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برقراری ارتباط با نهادهای دولتی و بین دولتی مشکل ایجاد شده است، زیرا نشانی های ایمیل از بین می رود و به جای آن مجموعه سوالات متداول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رقومی سازی آرشیو امیدوار کننده به نظر می رسد، اما هم پرهزینه است و هم وقت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استفاده از دوربین های رقومی و اسکن اسناد آرشیو و کتاب خانه گامی رو به جلوست که کتاب خانه ها آن را به دقت و سریع اجرا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قبل، هنگام نوشتن پایان نامه ام، با محدودیت های زیادی در تکثیر و کپی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یک تعداد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طول نقل قول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تعداد کلمات در 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محدودیت هایی هنوز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های فرهنگی موانعی در ارائه اطلاعات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مقبولیت زندگی نامه دارند که به تبع آن ها اجازه دسترسی به آرشیو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چیز به این بستگی دارد که ملاقات چگونه باشد</w:t>
      </w:r>
      <w:r>
        <w:rPr>
          <w:rFonts w:eastAsia="IRNazanin" w:cs="IRNazanin"/>
          <w:color w:val="111111"/>
          <w:sz w:val="28"/>
          <w:szCs w:val="28"/>
          <w:rtl w:val="true"/>
          <w:lang w:bidi="fa-IR"/>
        </w:rPr>
        <w:t>.</w:t>
      </w:r>
    </w:p>
    <w:p>
      <w:pPr>
        <w:pStyle w:val="Heading3"/>
        <w:numPr>
          <w:ilvl w:val="2"/>
          <w:numId w:val="1"/>
        </w:numPr>
        <w:rPr/>
      </w:pPr>
      <w:bookmarkStart w:id="331" w:name="__RefHeading___Toc7825447_2870459653"/>
      <w:bookmarkStart w:id="332" w:name="_Toc118"/>
      <w:bookmarkEnd w:id="331"/>
      <w:r>
        <w:rPr>
          <w:rtl w:val="true"/>
        </w:rPr>
        <w:t>نتیجه گیری</w:t>
      </w:r>
      <w:bookmarkEnd w:id="332"/>
    </w:p>
    <w:p>
      <w:pPr>
        <w:pStyle w:val="Heading3"/>
        <w:numPr>
          <w:ilvl w:val="2"/>
          <w:numId w:val="1"/>
        </w:numPr>
        <w:rPr/>
      </w:pPr>
      <w:bookmarkStart w:id="333" w:name="__RefHeading___Toc7825449_2870459653"/>
      <w:bookmarkStart w:id="334" w:name="_Toc119"/>
      <w:bookmarkEnd w:id="333"/>
      <w:r>
        <w:rPr>
          <w:rtl w:val="true"/>
        </w:rPr>
        <w:t>اشاره</w:t>
      </w:r>
      <w:bookmarkEnd w:id="33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حاصل کار من با منابع دست اول و دست دوم موجود در آیوها، از منظر یک محقق و مدرس علوم سیاسی دانشگاهی است، که سعی دارد از طریق تبیین تاریخچه سازمان های بین المللی، </w:t>
      </w:r>
      <w:bookmarkStart w:id="335" w:name="pg9659_93966"/>
    </w:p>
    <w:p>
      <w:pPr>
        <w:pStyle w:val="BookText"/>
        <w:rPr/>
      </w:pPr>
      <w:bookmarkEnd w:id="335"/>
      <w:r>
        <w:rPr>
          <w:rFonts w:ascii="IRNazanin" w:hAnsi="IRNazanin" w:eastAsia="IRNazanin"/>
          <w:color w:val="111111"/>
          <w:sz w:val="28"/>
          <w:sz w:val="28"/>
          <w:szCs w:val="28"/>
          <w:rtl w:val="true"/>
          <w:lang w:bidi="fa-IR"/>
        </w:rPr>
        <w:t xml:space="preserve">تحلیل معاهدات بین المللی به عنوان منعکس کننده روابط قدرت و توسعه مطلوبیت ها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تفاوت آن با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متن هایی در استفاده از داده ها و پایگاه های بین المللی توجه دانشجویان را به اسناد رسمی دولتی در درس آیو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نهایی پژوهش من با جمع کردن و پیدا کردن تکه های پازل از طریق نوشتن زندگی نامه های کوتاه و توصیف شغل دبیر کل های آیوها، به عنوان بخشی از طرح آیو بایو انجام شد</w:t>
      </w:r>
      <w:r>
        <w:rPr>
          <w:rFonts w:eastAsia="IRNazanin" w:cs="IRNazanin"/>
          <w:color w:val="111111"/>
          <w:sz w:val="28"/>
          <w:szCs w:val="28"/>
          <w:rtl w:val="true"/>
          <w:lang w:bidi="fa-IR"/>
        </w:rPr>
        <w:t>.</w:t>
      </w:r>
    </w:p>
    <w:p>
      <w:pPr>
        <w:pStyle w:val="Heading3"/>
        <w:numPr>
          <w:ilvl w:val="2"/>
          <w:numId w:val="1"/>
        </w:numPr>
        <w:rPr/>
      </w:pPr>
      <w:bookmarkStart w:id="336" w:name="__RefHeading___Toc7825451_2870459653"/>
      <w:bookmarkStart w:id="337" w:name="_Toc120"/>
      <w:bookmarkEnd w:id="336"/>
      <w:r>
        <w:rPr>
          <w:rtl w:val="true"/>
        </w:rPr>
        <w:t>منابع</w:t>
      </w:r>
      <w:bookmarkEnd w:id="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Claude, Jr., I.L. (1966) Swords into Plowshares. The Problems and Progress of International Organization, London: University of London Press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Dubin, M.D. (1983) Transgovernmental Processes in the League of Nations', International Organization, 37(3): 469-493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Hajnal, P.I. (Ed.) (1997) International Information. Documents Publications, and Electronic Information of International Governmental Organizations. Second Edition, Englewood, CO: Libraries Unlimited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Hajnal, P.I. (2014) The G20: Evolution, Interrelationships, Documentation, Farnham: Ashgate</w:t>
      </w:r>
    </w:p>
    <w:p>
      <w:pPr>
        <w:pStyle w:val="BookText"/>
        <w:rPr/>
      </w:pPr>
      <w:r>
        <w:rPr>
          <w:rFonts w:eastAsia="Times New Roman" w:cs="Times New Roman" w:ascii="Times New Roman" w:hAnsi="Times New Roman"/>
          <w:color w:val="111111"/>
          <w:sz w:val="28"/>
          <w:szCs w:val="28"/>
          <w:lang w:val="en-US" w:bidi="en-US"/>
        </w:rPr>
        <w:t>Biographical Dictionary of Secretaries-General of International (2014)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آیوبایو</w:t>
      </w:r>
    </w:p>
    <w:p>
      <w:pPr>
        <w:pStyle w:val="BookText"/>
        <w:rPr/>
      </w:pPr>
      <w:r>
        <w:rPr>
          <w:rFonts w:eastAsia="Times New Roman" w:cs="Times New Roman" w:ascii="Times New Roman" w:hAnsi="Times New Roman"/>
          <w:color w:val="111111"/>
          <w:sz w:val="28"/>
          <w:szCs w:val="28"/>
          <w:lang w:val="en-US" w:bidi="en-US"/>
        </w:rPr>
        <w:t>Organizations (together with Kent Kille and Jaci Eisenberg), www. ru.nl/fm/iobio and iobio@fm.ru.nl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Iriye, A. and Saunier, P.-Y. (Eds) (2009) The Palgrave Dictionary of Transnational History, Houndmills: Palgrave Macmillan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Kille, K.J. (2013) 'Secretaries-General of international organizations: leadership capacity and qualities' in B. Reinalda (Ed.), Routledge Handbook of International Organization, London and New York: Routledge, 218-230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Kille, K.J. and Reinalda, B. (2013) Secretary-General Leadership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Global Governance: Perspectives from the Project. Paper presented at the Annual Meeting of the Academic Council on the United Nations System, Lund University, Sweden, available at www.ru.nl/fm/iobio</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Reinalda, B. (2009) Routledge History of International Organizations: From 1815 to the Present Day, London and New York: Routledge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Reinalda, B. (2010) 'The Evolution of International Organization as Institutional Forms and Historical Processes to 1945' in R.A. Denmark (Ed.), The International Studies Encyclopedia. Volume III, Chicester: Wiley-Blackwell, 1903-1921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Reinalda, B. (Ed.) (2011) The Ashgate Research Companion to Non-State Actors, Abingdon: Ashgate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Reinalda, B. (Ed.) (2013) Routledge Handbook of International Organization, London and New York: Routledge</w:t>
      </w:r>
    </w:p>
    <w:p>
      <w:pPr>
        <w:pStyle w:val="BookText"/>
        <w:rPr/>
      </w:pPr>
      <w:r>
        <w:rPr>
          <w:rFonts w:eastAsia="Times New Roman" w:cs="Times New Roman" w:ascii="Times New Roman" w:hAnsi="Times New Roman"/>
          <w:color w:val="111111"/>
          <w:sz w:val="28"/>
          <w:szCs w:val="28"/>
          <w:lang w:val="en-US" w:bidi="en-US"/>
        </w:rPr>
        <w:t>Reinalda, B. and Verbeek, B. (Eds.) (2004) Decision Making Within International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Organizations. With a Foreword by Robert W. Cox, London and New York.Routledge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Reinalda, B. and Verbeek, B. (2014) 'Leadership of International Organizations' in R.A.W</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Rhodes and Paul 't Hart (Eds), The Oxford Handbook of Political Leadership</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Oxford: Oxford University Press, 595-609 Walter, J. (2014) 'Biographical Analysis', in R. A. W. Rhodes and Paul 't Hart (Eds), The Oxford Handbook of Political Leadership, Oxford: Oxford University Press, 2014, chapter 21</w:t>
      </w:r>
      <w:r>
        <w:rPr>
          <w:rFonts w:eastAsia="Times New Roman" w:cs="Times New Roman" w:ascii="Times New Roman" w:hAnsi="Times New Roman"/>
          <w:color w:val="111111"/>
          <w:sz w:val="28"/>
          <w:szCs w:val="28"/>
          <w:rtl w:val="true"/>
          <w:lang w:val="en-US" w:bidi="en-US"/>
        </w:rPr>
        <w:t xml:space="preserve"> </w:t>
      </w:r>
      <w:bookmarkStart w:id="338" w:name="pg9659_93968"/>
    </w:p>
    <w:p>
      <w:pPr>
        <w:pStyle w:val="Heading2"/>
        <w:numPr>
          <w:ilvl w:val="1"/>
          <w:numId w:val="1"/>
        </w:numPr>
        <w:rPr/>
      </w:pPr>
      <w:bookmarkStart w:id="339" w:name="__RefHeading___Toc7825453_2870459653"/>
      <w:bookmarkStart w:id="340" w:name="_Toc121"/>
      <w:bookmarkEnd w:id="338"/>
      <w:bookmarkEnd w:id="339"/>
      <w:r>
        <w:rPr>
          <w:rtl w:val="true"/>
        </w:rPr>
        <w:t>چکیده</w:t>
      </w:r>
      <w:bookmarkEnd w:id="340"/>
    </w:p>
    <w:p>
      <w:pPr>
        <w:pStyle w:val="BookText"/>
        <w:rPr/>
      </w:pPr>
      <w:r>
        <w:rPr>
          <w:rFonts w:ascii="IRNazanin" w:hAnsi="IRNazanin" w:eastAsia="IRNazanin"/>
          <w:color w:val="111111"/>
          <w:sz w:val="28"/>
          <w:sz w:val="28"/>
          <w:szCs w:val="28"/>
          <w:rtl w:val="true"/>
          <w:lang w:bidi="fa-IR"/>
        </w:rPr>
        <w:t xml:space="preserve">اصطلاحات پیمان کاری </w:t>
      </w:r>
      <w:r>
        <w:rPr>
          <w:rStyle w:val="FootnoteAnchor"/>
          <w:rtl w:val="true"/>
        </w:rPr>
        <w:footnoteReference w:id="536"/>
      </w:r>
      <w:r>
        <w:rPr>
          <w:rFonts w:ascii="IRNazanin" w:hAnsi="IRNazanin" w:eastAsia="IRNazanin"/>
          <w:color w:val="111111"/>
          <w:sz w:val="28"/>
          <w:sz w:val="28"/>
          <w:szCs w:val="28"/>
          <w:rtl w:val="true"/>
          <w:lang w:bidi="fa-IR"/>
        </w:rPr>
        <w:t xml:space="preserve">، برون سپاری </w:t>
      </w:r>
      <w:r>
        <w:rPr>
          <w:rStyle w:val="FootnoteAnchor"/>
          <w:rtl w:val="true"/>
        </w:rPr>
        <w:footnoteReference w:id="537"/>
      </w:r>
      <w:r>
        <w:rPr>
          <w:rFonts w:ascii="IRNazanin" w:hAnsi="IRNazanin" w:eastAsia="IRNazanin"/>
          <w:color w:val="111111"/>
          <w:sz w:val="28"/>
          <w:sz w:val="28"/>
          <w:szCs w:val="28"/>
          <w:rtl w:val="true"/>
          <w:lang w:bidi="fa-IR"/>
        </w:rPr>
        <w:t xml:space="preserve">و واگذاری به بیرون </w:t>
      </w:r>
      <w:r>
        <w:rPr>
          <w:rStyle w:val="FootnoteAnchor"/>
          <w:rtl w:val="true"/>
        </w:rPr>
        <w:footnoteReference w:id="538"/>
      </w:r>
      <w:r>
        <w:rPr>
          <w:rFonts w:ascii="IRNazanin" w:hAnsi="IRNazanin" w:eastAsia="IRNazanin"/>
          <w:color w:val="111111"/>
          <w:sz w:val="28"/>
          <w:sz w:val="28"/>
          <w:szCs w:val="28"/>
          <w:rtl w:val="true"/>
          <w:lang w:bidi="fa-IR"/>
        </w:rPr>
        <w:t xml:space="preserve">، مدت زمان کوتاهی است که برای نمونه های جایگزین مدیریت خدمات اطلاع رسانی در بخش حقوقی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طی دهه گذشته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کاهش هزینه ها، کاهش سرشماری، توجیه عمل کردهای غیر ضروری و تغییر بیشتر منابع اطلاعاتی حقوقی به قومی، گرایش به پیدایش و رشد گروه مهمی از فراهم آورندگان و فروشندگان خدمات تخصصی را ممکن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با برداشت از پژوهش اخیر در این حوزه، توسعه برون سپاری خدمات اطلاع رسانی را در انگلستان، به ویژه با اقتباس خاص از بخش حقوقی و دیگر سازمان های خدمات حرفه ای در کتاب خانه های دولتی مورد توجه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ترکیب عقاید دست اول برخی بازیگران کلیدی این حوزه کاری – یعنی مشتریان و فراهم آورندگان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موفقیت ها یا به گونه ای دیگر، خدمات اطلاع رسانی برون سپاری شده حوزه حقوقی را و این که چطور چالش های برون سپاری مورد توجه حرفه قرار می گیرد، منعکس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فراهم آورندگان اطلاعات رقومی، محصولات آماده بیشتری را برای رایانه رومیزی فراهم می کنند، این سؤال مطرح می شود که چه تمایلاتی در آینده در مورد خدمات برون سپاری دیده خواهد شد و چه اشاراتی در فراهم آوری خدمات و حرفه اطلاع رسانی به دنبال خواهد داشت؟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 حقوق، کتاب خانه های دولتی، برون سپاری، واگذاری به بیرون، پیمان کاری</w:t>
      </w:r>
      <w:r>
        <w:rPr>
          <w:rFonts w:eastAsia="IRNazanin" w:cs="IRNazanin"/>
          <w:color w:val="111111"/>
          <w:sz w:val="28"/>
          <w:szCs w:val="28"/>
          <w:rtl w:val="true"/>
          <w:lang w:bidi="fa-IR"/>
        </w:rPr>
        <w:t xml:space="preserve">. </w:t>
      </w:r>
      <w:bookmarkStart w:id="341" w:name="pg9659_93969"/>
    </w:p>
    <w:p>
      <w:pPr>
        <w:pStyle w:val="Heading2"/>
        <w:numPr>
          <w:ilvl w:val="1"/>
          <w:numId w:val="1"/>
        </w:numPr>
        <w:rPr/>
      </w:pPr>
      <w:bookmarkStart w:id="342" w:name="__RefHeading___Toc7825455_2870459653"/>
      <w:bookmarkStart w:id="343" w:name="_Toc122"/>
      <w:bookmarkEnd w:id="341"/>
      <w:bookmarkEnd w:id="342"/>
      <w:r>
        <w:rPr>
          <w:rtl w:val="true"/>
        </w:rPr>
        <w:t xml:space="preserve">برون سپاری در کتاب خانه های تخصصی شرکت های حقوقی انگلستان </w:t>
      </w:r>
      <w:r>
        <w:rPr>
          <w:rtl w:val="true"/>
        </w:rPr>
        <w:t xml:space="preserve">- </w:t>
      </w:r>
      <w:r>
        <w:rPr>
          <w:rtl w:val="true"/>
        </w:rPr>
        <w:t>فرصت یا تهدید؟ نمونه های جدید مدیریتی و چالش های آینده خدمات اطلاع رسانی حقوقی</w:t>
      </w:r>
      <w:bookmarkEnd w:id="343"/>
    </w:p>
    <w:p>
      <w:pPr>
        <w:pStyle w:val="Heading3"/>
        <w:numPr>
          <w:ilvl w:val="2"/>
          <w:numId w:val="1"/>
        </w:numPr>
        <w:rPr/>
      </w:pPr>
      <w:bookmarkStart w:id="344" w:name="__RefHeading___Toc7825457_2870459653"/>
      <w:bookmarkStart w:id="345" w:name="_Toc123"/>
      <w:bookmarkEnd w:id="344"/>
      <w:r>
        <w:rPr>
          <w:rtl w:val="true"/>
        </w:rPr>
        <w:t>اشاره</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 سپاری در کتاب خانه های تخصصی شرکت های حقوقی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یا تهدید؟ نمونه های جدید مدیریتی و چالش های آینده خدمات اطلاع رسانی حقوقی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نوشته دونالد لیکلی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زهرا تهوری </w:t>
      </w:r>
      <w:r>
        <w:rPr>
          <w:rStyle w:val="FootnoteAnchor"/>
          <w:rtl w:val="true"/>
        </w:rPr>
        <w:footnoteReference w:id="541"/>
      </w:r>
    </w:p>
    <w:p>
      <w:pPr>
        <w:pStyle w:val="Heading3"/>
        <w:numPr>
          <w:ilvl w:val="2"/>
          <w:numId w:val="1"/>
        </w:numPr>
        <w:rPr/>
      </w:pPr>
      <w:bookmarkStart w:id="346" w:name="__RefHeading___Toc7825459_2870459653"/>
      <w:bookmarkStart w:id="347" w:name="_Toc124"/>
      <w:bookmarkEnd w:id="346"/>
      <w:r>
        <w:rPr>
          <w:rtl w:val="true"/>
        </w:rPr>
        <w:t>مقدمه</w:t>
      </w:r>
      <w:bookmarkEnd w:id="34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تعدادی شرکت های بزرگ و مهم حقوقی انگلستان امور داخلی کتاب خانه هایشان را به طور کامل به فراهم آورندگان خدمات تجاری برون سپاری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قانون خدمات حقوقی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به غیر وکیلان اجازه داده است تا در شرکت های حقوقی سرمایه گذاری کنند و خدمات حقوقی با ساختارهای تجاری برابر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را به روی نمونه های تجربی و اقتصادی تحویل خدمات حقوقی گشوده است، بنابراین فشار رقابتی فزاینده روی شرکت های حقوقی ثبت شده، روش های جدید و کم هزینه تحویل مدرک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 نقش اصلی را در این روش های جدید تحویل مدرک بازی کرده است</w:t>
      </w:r>
      <w:r>
        <w:rPr>
          <w:rFonts w:eastAsia="IRNazanin" w:cs="IRNazanin"/>
          <w:color w:val="111111"/>
          <w:sz w:val="28"/>
          <w:szCs w:val="28"/>
          <w:rtl w:val="true"/>
          <w:lang w:bidi="fa-IR"/>
        </w:rPr>
        <w:t xml:space="preserve">. </w:t>
      </w:r>
      <w:bookmarkStart w:id="348" w:name="pg9659_93970"/>
    </w:p>
    <w:p>
      <w:pPr>
        <w:pStyle w:val="BookText"/>
        <w:rPr/>
      </w:pPr>
      <w:bookmarkEnd w:id="348"/>
      <w:r>
        <w:rPr>
          <w:rFonts w:ascii="IRNazanin" w:hAnsi="IRNazanin" w:eastAsia="IRNazanin"/>
          <w:color w:val="111111"/>
          <w:sz w:val="28"/>
          <w:sz w:val="28"/>
          <w:szCs w:val="28"/>
          <w:rtl w:val="true"/>
          <w:lang w:bidi="fa-IR"/>
        </w:rPr>
        <w:t xml:space="preserve">این مقاله تأثیر برون سپاری در بخش اطلاع رسانی انگلستان را مورد بحث قرار می دهد؛ در بخش اول، نتایج یک مطالعه پژوهشی اخیر که توسط فیونا براون </w:t>
      </w:r>
      <w:r>
        <w:rPr>
          <w:rStyle w:val="FootnoteAnchor"/>
          <w:rtl w:val="true"/>
        </w:rPr>
        <w:footnoteReference w:id="543"/>
      </w:r>
      <w:r>
        <w:rPr>
          <w:rFonts w:ascii="IRNazanin" w:hAnsi="IRNazanin" w:eastAsia="IRNazanin"/>
          <w:color w:val="111111"/>
          <w:sz w:val="28"/>
          <w:sz w:val="28"/>
          <w:szCs w:val="28"/>
          <w:rtl w:val="true"/>
          <w:lang w:bidi="fa-IR"/>
        </w:rPr>
        <w:t xml:space="preserve">از دانشگاه موناش </w:t>
      </w:r>
      <w:r>
        <w:rPr>
          <w:rStyle w:val="FootnoteAnchor"/>
          <w:rtl w:val="true"/>
        </w:rPr>
        <w:footnoteReference w:id="544"/>
      </w:r>
      <w:r>
        <w:rPr>
          <w:rFonts w:ascii="IRNazanin" w:hAnsi="IRNazanin" w:eastAsia="IRNazanin"/>
          <w:color w:val="111111"/>
          <w:sz w:val="28"/>
          <w:sz w:val="28"/>
          <w:szCs w:val="28"/>
          <w:rtl w:val="true"/>
          <w:lang w:bidi="fa-IR"/>
        </w:rPr>
        <w:t>انجام شده است،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با تأثیر کار پیشین پیمان کاری خدمات کتاب خانه در دولت مرکزی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سوزان برگ </w:t>
      </w:r>
      <w:r>
        <w:rPr>
          <w:rStyle w:val="FootnoteAnchor"/>
          <w:rtl w:val="true"/>
        </w:rPr>
        <w:footnoteReference w:id="545"/>
      </w:r>
      <w:r>
        <w:rPr>
          <w:rFonts w:ascii="IRNazanin" w:hAnsi="IRNazanin" w:eastAsia="IRNazanin"/>
          <w:color w:val="111111"/>
          <w:sz w:val="28"/>
          <w:sz w:val="28"/>
          <w:szCs w:val="28"/>
          <w:rtl w:val="true"/>
          <w:lang w:bidi="fa-IR"/>
        </w:rPr>
        <w:t xml:space="preserve">در مقاله ای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ها با دیدگاه های چهره های ارشد در بخش اطلاع رسانی حقوقی انگلستان و نیز با نتایج گزارش اخیر انجمن کتاب خانه های تخصصی </w:t>
      </w:r>
      <w:r>
        <w:rPr>
          <w:rStyle w:val="FootnoteAnchor"/>
          <w:rtl w:val="true"/>
        </w:rPr>
        <w:footnoteReference w:id="546"/>
      </w:r>
      <w:r>
        <w:rPr>
          <w:rFonts w:ascii="IRNazanin" w:hAnsi="IRNazanin" w:eastAsia="IRNazanin"/>
          <w:color w:val="111111"/>
          <w:sz w:val="28"/>
          <w:sz w:val="28"/>
          <w:szCs w:val="28"/>
          <w:rtl w:val="true"/>
          <w:lang w:bidi="fa-IR"/>
        </w:rPr>
        <w:t>در مورد توسعه ارزش مدیریت اطلاعات و نقش حرفه اطلاع رسانی مدرن مقایسه می شود</w:t>
      </w:r>
      <w:r>
        <w:rPr>
          <w:rFonts w:eastAsia="IRNazanin" w:cs="IRNazanin"/>
          <w:color w:val="111111"/>
          <w:sz w:val="28"/>
          <w:szCs w:val="28"/>
          <w:rtl w:val="true"/>
          <w:lang w:bidi="fa-IR"/>
        </w:rPr>
        <w:t>.</w:t>
      </w:r>
    </w:p>
    <w:p>
      <w:pPr>
        <w:pStyle w:val="Heading3"/>
        <w:numPr>
          <w:ilvl w:val="2"/>
          <w:numId w:val="1"/>
        </w:numPr>
        <w:rPr/>
      </w:pPr>
      <w:bookmarkStart w:id="349" w:name="__RefHeading___Toc7825461_2870459653"/>
      <w:bookmarkStart w:id="350" w:name="_Toc125"/>
      <w:bookmarkEnd w:id="349"/>
      <w:r>
        <w:rPr>
          <w:rtl w:val="true"/>
        </w:rPr>
        <w:t>پژوهش اخیر درباره برون سپاری</w:t>
      </w:r>
      <w:bookmarkEnd w:id="350"/>
    </w:p>
    <w:p>
      <w:pPr>
        <w:pStyle w:val="BookText"/>
        <w:rPr/>
      </w:pPr>
      <w:r>
        <w:rPr>
          <w:rFonts w:ascii="IRNazanin" w:hAnsi="IRNazanin" w:eastAsia="IRNazanin"/>
          <w:color w:val="111111"/>
          <w:sz w:val="28"/>
          <w:sz w:val="28"/>
          <w:szCs w:val="28"/>
          <w:rtl w:val="true"/>
          <w:lang w:bidi="fa-IR"/>
        </w:rPr>
        <w:t>مطالعه پژوهشی اخیر فیونا براون در مورد کتاب خانه های برون سپاری شده شرکت های حقوقی انگلستان چهار جنبه پدیده برون سپاری را ترسیم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برون سپاری،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ارائه شده توسط شرکت های حقوقی برای انتخاب این نمونه،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متفاوت مدل خدماتی ارائه شده توسط شرکت های برون سپاری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 و فواید ادعا شده هر دو گروه فراهم آورندگان خدمات و مشتریانشان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بر اساس داده های گردآوری شده در جولای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طیفی از بازیگران مهم در بخش حقوقی انگلستان است که شامل فراهم آورندگان خدمات برون سپاری شده، چند شرکت حقوقی که کتاب خانه هایشان را در آن زمان برون سپاری کرده اند و نمایندگان ارشد بخش کتاب داری شرکت های حقوقی انگلستان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اصلی براون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هایی که برون سپاری را انتخاب کردند به نظر می رسید برای خدمات کتاب خانه ارزش قائل بودند و بهترین ارزش پولی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برون سپاری کردند که نه تنها نسخه ای ارزان تر از خدمات موجود را به دست آورند، بلکه خدمات بیشتری با بودجه موجودشان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اداره یک کتاب خانه درون سازمانی این گونه نیست که امتیاز رقابتی ای برخلاف دیگر شرکت ها حقوقی فراهم کند و یا لزوماً به عنوان کتاب خانه ای درون سازمانی با اهمیت راهبردی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برون سپاری آن ها را قادر می سازد در خدمات یک کتاب خانه مشارکتی و تجاری مناسب نیازهایشان، مشارکت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فراهم آورنده خدمات برون سپاری کتاب خانه حقوقی در انگلستان وجود دارد</w:t>
      </w:r>
      <w:r>
        <w:rPr>
          <w:rFonts w:eastAsia="IRNazanin" w:cs="IRNazanin"/>
          <w:color w:val="111111"/>
          <w:sz w:val="28"/>
          <w:szCs w:val="28"/>
          <w:rtl w:val="true"/>
          <w:lang w:bidi="fa-IR"/>
        </w:rPr>
        <w:t xml:space="preserve">: </w:t>
      </w:r>
      <w:bookmarkStart w:id="351" w:name="pg9659_93971"/>
    </w:p>
    <w:p>
      <w:pPr>
        <w:pStyle w:val="BookText"/>
        <w:rPr/>
      </w:pPr>
      <w:bookmarkEnd w:id="351"/>
      <w:r>
        <w:rPr>
          <w:rFonts w:ascii="IRNazanin" w:hAnsi="IRNazanin" w:eastAsia="IRNazanin"/>
          <w:color w:val="111111"/>
          <w:sz w:val="28"/>
          <w:sz w:val="28"/>
          <w:szCs w:val="28"/>
          <w:rtl w:val="true"/>
          <w:lang w:bidi="fa-IR"/>
        </w:rPr>
        <w:t xml:space="preserve">اینتگرین </w:t>
      </w:r>
      <w:r>
        <w:rPr>
          <w:rStyle w:val="FootnoteAnchor"/>
          <w:rtl w:val="true"/>
        </w:rPr>
        <w:footnoteReference w:id="547"/>
      </w:r>
      <w:r>
        <w:rPr>
          <w:rFonts w:ascii="Amiri" w:hAnsi="Amiri" w:eastAsia="Amiri" w:cs="Amiri"/>
          <w:color w:val="111111"/>
          <w:sz w:val="28"/>
          <w:sz w:val="28"/>
          <w:szCs w:val="28"/>
          <w:rtl w:val="true"/>
          <w:lang w:bidi="ar-SA"/>
        </w:rPr>
        <w:t xml:space="preserve">و اِوّلیوسرو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خدماتی برای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حقوقی بزرگ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برآورد می کند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کتاب خانه حقوقی تحت تأثیر اقدامات برون سپاری قرار گرفته اند، اما همان گونه که وی بیان می کند، آماری از تعداد کارکنان کتاب خانه های حقوقی انگلستان وجود ندارد؛ بنابراین، نمی توان قضاوت کرد چه سهمی از این ها برون سپاری شده اند، یا کیفیت تأثیر برون سپاری بر حرفه یا بخش در کل، یا آن چه سهم بازار واقعاً از شرکت های برون سپاری ارائه می کند را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بایستی کسی به اندازه گیری تأثیر نمونه برون سپاری به این شیوه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واقعی آن شاید این بوده که به حرفه نشان دهد فرض بر عاقلانه بودن این است که خدمات کتاب داری اطلاع رسانی پیمان کاری شود به بیرون به یک فراهم آورنده بیرونی، همان گونه که مثلاً خدمات ساختمانی، مدیریت تسهیلات، یا تهیه غذا برای چند سال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کتاب داری می توانند اندازه گیری شوند، تجاری شوند و موضوعی باشد برای نیروهای بازار مانند هر فعالیت غیر درآمدزای دیگر در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در حرفه، این تغییر بسیار کوچکی در فکر کردن به خدمات کتاب داری است</w:t>
      </w:r>
      <w:r>
        <w:rPr>
          <w:rFonts w:eastAsia="IRNazanin" w:cs="IRNazanin"/>
          <w:color w:val="111111"/>
          <w:sz w:val="28"/>
          <w:szCs w:val="28"/>
          <w:rtl w:val="true"/>
          <w:lang w:bidi="fa-IR"/>
        </w:rPr>
        <w:t>.</w:t>
      </w:r>
    </w:p>
    <w:p>
      <w:pPr>
        <w:pStyle w:val="Heading3"/>
        <w:numPr>
          <w:ilvl w:val="2"/>
          <w:numId w:val="1"/>
        </w:numPr>
        <w:rPr/>
      </w:pPr>
      <w:bookmarkStart w:id="352" w:name="__RefHeading___Toc7825463_2870459653"/>
      <w:bookmarkStart w:id="353" w:name="_Toc126"/>
      <w:bookmarkEnd w:id="352"/>
      <w:r>
        <w:rPr>
          <w:rtl w:val="true"/>
        </w:rPr>
        <w:t>پاسخ انگلستان به برون سپاری</w:t>
      </w:r>
      <w:r>
        <w:rPr>
          <w:rtl w:val="true"/>
        </w:rPr>
        <w:t xml:space="preserve">: </w:t>
      </w:r>
      <w:r>
        <w:rPr>
          <w:rtl w:val="true"/>
        </w:rPr>
        <w:t>موافق یا مخالف</w:t>
      </w:r>
      <w:bookmarkEnd w:id="353"/>
    </w:p>
    <w:p>
      <w:pPr>
        <w:pStyle w:val="BookText"/>
        <w:rPr/>
      </w:pPr>
      <w:r>
        <w:rPr>
          <w:rFonts w:ascii="IRNazanin" w:hAnsi="IRNazanin" w:eastAsia="IRNazanin"/>
          <w:color w:val="111111"/>
          <w:sz w:val="28"/>
          <w:sz w:val="28"/>
          <w:szCs w:val="28"/>
          <w:rtl w:val="true"/>
          <w:lang w:bidi="fa-IR"/>
        </w:rPr>
        <w:t>فحوای کلام این است که طی سال ها، کتاب دارانی که در شرکت های حقوقی بزرگ تر انگلستان کار می کنند کمابیش از پاداش فراوان و فرصت های توسعه کار بهره برده اند؛ با فواید کم محسوس تر اما جذاب تری از کار برای یک سازمان خبرساز متصل به حرفه معتبر همراه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این که حیطه های مالی و راهبردی کار کسی به نوع ناآشنای دیگری از سازمان تغییر مسیر بده، بدون ضمانت این که هر یک از آن فواید، ملموس یا ناملموس، ممکن است حفظ بشود، ضربه ای به اعتماد به نفس شخصی و حرفه ای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بررسی متون براون اشاره بر این دارد که پاسخ اولیه حرفه به برون سپاری به نحو قابل فهمی، احساسی و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جاری نمونه برون سپاری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یک خدمت خارجی برای فراهم آوردن یک خدمت بهتر در نبود کارکنان داخلی بادانش فردی کار شرکت قابل تردید است؛ خدمات داخلی به طور ساده ای قربانی منفعت مالی شده است و مزدبگیران و شرکا ارزش ذاتی یک خدمت داخلی را نمی فهمند؛ فرض بر این است که صلاحیت ها و آموزش کارکنان فراهم آورنده خدمات برون سپاری به خصوص نامرغوب تر از درون سازمانی ها است، اما نه منحصراً زمانی که مراکز ارائه خدمات به بیرون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دگیر می شوند؛ توانایی برون سپاران در صرف </w:t>
      </w:r>
    </w:p>
    <w:p>
      <w:pPr>
        <w:pStyle w:val="BookText"/>
        <w:rPr/>
      </w:pPr>
      <w:r>
        <w:rPr>
          <w:rFonts w:ascii="IRNazanin" w:hAnsi="IRNazanin" w:eastAsia="IRNazanin"/>
          <w:color w:val="111111"/>
          <w:sz w:val="28"/>
          <w:sz w:val="28"/>
          <w:szCs w:val="28"/>
          <w:rtl w:val="true"/>
          <w:lang w:bidi="fa-IR"/>
        </w:rPr>
        <w:t>هزینه برای منابع اطلاعاتی دو برابر است؛ گمان می رود برون سپاری نیز شبکه های حرفه ای را خراب و بیکاری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اون خاطرنشان می کند که گواه این ادعای نهایی، غیر واقعی و بی اساس است و به نظر می آید که از یک مثال منفرد و منحصر از حیث جغرافیایی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ادعاها به شکل های مختلف توسط شرکت کنندگان سرتاسر بخش حقوقی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فواید برون سپاری برای شرکت های حقوقی در مطالعه بر اون توسط شرکت ها خلاصه شده بود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خدمت برون 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به موقع بودن تحویل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بخش بود و واگذاری به بیرون یا تأمین از راه دور به عنوان یک مشکل دیده نشده است؛ توانایی دسترسی خدمات پژوهشی اضافی از جمله هوش تجاری به عنوان یک امتیاز مورد توجه واقع شد؛ در واقع صرفه جویی ها در هزینه گزارش شدند، اگر چه این ها در قالب حقوق تطبیقی کارکنان ثبت شده اند، با این حال هزینه های پنهان جاری مدیریت و آموزش مورد اظهار نظر قرار نگرفت و فقط یک مصاحبه کننده شرکت حقوقی به هزینه های خرید منابع چاپی یا رقومی اشاره کرد؛ با این حال اظهار نظر شده که زمان اولیه لازم برای مدیریت انتقال اولیه خدمات کتاب داری به برون سپاری مورد توجه است مدیریت جاری قرارداد زمان کم تری نسبت به خدمات داخل سازمانی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براون اشاره می کند سخت است که تأثیر برون سپاری بر حرفه اندازه 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به عنوان مأمور استخدام با تماس های حرفه ای در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حقوقی و برون سپارها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نیز روشن نیست و باید در دورنمای اقتصادی وسیع تر و در متن کار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برون سپاری شرکت حقوقی انگلستان در مقابل دورنمای رکود اقتصادی سال های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همراه با خسارات گسترده شغلی تمامی بخش های صنعتی و خدماتی و افزایش بیکاری در عموم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آژانس حرفه ای استخدام، با مردم زیادی صحبت کردیم، خواه زمان تهدید یا مستقیماً زمانی که تجربه کارگر مازاد بر احتیاج یا انتقال شرایط استخدامی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سال پس از رخدادهای اصلی توصیف شده توسط براون، شرایط اقتصادی مجدداً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اشاره می کند که بدون صحبت با کارکنانی که اکنون برای برون سپارها کار می کنند، ممکن نیست دیدی کامل از موفقیت یا به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اضافه می کنم از آن جا که فقط دو شرکت برون سپاری در انگلستان وجود دارد که خدمات اطلاع رسانی حقوقی فراهم می کند، هر پژوهشی فقط می تواند به عنوان مطالعه موردی یک شرکت</w:t>
      </w:r>
    </w:p>
    <w:p>
      <w:pPr>
        <w:pStyle w:val="BookText"/>
        <w:rPr/>
      </w:pPr>
      <w:r>
        <w:rPr>
          <w:rFonts w:ascii="IRNazanin" w:hAnsi="IRNazanin" w:eastAsia="IRNazanin"/>
          <w:color w:val="111111"/>
          <w:sz w:val="28"/>
          <w:sz w:val="28"/>
          <w:szCs w:val="28"/>
          <w:rtl w:val="true"/>
          <w:lang w:bidi="fa-IR"/>
        </w:rPr>
        <w:t>خاص مد نظر قرار گیرد و نمی تواند جهت گیری ها یا گرایش ها صنعت وسیع تری را نشان 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نخست باید مورد توجه قرار گیرد بافت تاریخی اخیر برون سپاری و متعاقب آن، این که متخصصان اطلاع رسانی حقوقی با اقدامات اولیه برون سپاری در حرفه شان در این چند سال چه تغییراتی ایجاد کرده اند</w:t>
      </w:r>
      <w:r>
        <w:rPr>
          <w:rFonts w:eastAsia="IRNazanin" w:cs="IRNazanin"/>
          <w:color w:val="111111"/>
          <w:sz w:val="28"/>
          <w:szCs w:val="28"/>
          <w:rtl w:val="true"/>
          <w:lang w:bidi="fa-IR"/>
        </w:rPr>
        <w:t xml:space="preserve">. </w:t>
      </w:r>
      <w:bookmarkStart w:id="354" w:name="pg9659_93973"/>
    </w:p>
    <w:p>
      <w:pPr>
        <w:pStyle w:val="Heading3"/>
        <w:numPr>
          <w:ilvl w:val="2"/>
          <w:numId w:val="1"/>
        </w:numPr>
        <w:rPr/>
      </w:pPr>
      <w:bookmarkStart w:id="355" w:name="__RefHeading___Toc7825465_2870459653"/>
      <w:bookmarkStart w:id="356" w:name="_Toc127"/>
      <w:bookmarkEnd w:id="354"/>
      <w:bookmarkEnd w:id="355"/>
      <w:r>
        <w:rPr>
          <w:rtl w:val="true"/>
        </w:rPr>
        <w:t>برون سپاری انگلستان</w:t>
      </w:r>
      <w:r>
        <w:rPr>
          <w:rtl w:val="true"/>
        </w:rPr>
        <w:t xml:space="preserve">: </w:t>
      </w:r>
      <w:r>
        <w:rPr>
          <w:rtl w:val="true"/>
        </w:rPr>
        <w:t>بافت تاریخی</w:t>
      </w:r>
      <w:bookmarkEnd w:id="356"/>
    </w:p>
    <w:p>
      <w:pPr>
        <w:pStyle w:val="BookText"/>
        <w:rPr/>
      </w:pPr>
      <w:r>
        <w:rPr>
          <w:rFonts w:ascii="IRNazanin" w:hAnsi="IRNazanin" w:eastAsia="IRNazanin"/>
          <w:color w:val="111111"/>
          <w:sz w:val="28"/>
          <w:sz w:val="28"/>
          <w:szCs w:val="28"/>
          <w:rtl w:val="true"/>
          <w:lang w:bidi="fa-IR"/>
        </w:rPr>
        <w:t>کتاب خانه های شرکت حقوقی انگلستان نسبتاً دیر وارد بازی برون سپاری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برون سپاری نیمه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فعالیت های بیکر و مکنزی </w:t>
      </w:r>
      <w:r>
        <w:rPr>
          <w:rStyle w:val="FootnoteAnchor"/>
          <w:rtl w:val="true"/>
        </w:rPr>
        <w:footnoteReference w:id="549"/>
      </w:r>
      <w:r>
        <w:rPr>
          <w:rFonts w:ascii="IRNazanin" w:hAnsi="IRNazanin" w:eastAsia="IRNazanin"/>
          <w:color w:val="111111"/>
          <w:sz w:val="28"/>
          <w:sz w:val="28"/>
          <w:szCs w:val="28"/>
          <w:rtl w:val="true"/>
          <w:lang w:bidi="fa-IR"/>
        </w:rPr>
        <w:t xml:space="preserve">و پیلزبری، مدیسن و سوترو </w:t>
      </w:r>
      <w:r>
        <w:rPr>
          <w:rStyle w:val="FootnoteAnchor"/>
          <w:rtl w:val="true"/>
        </w:rPr>
        <w:footnoteReference w:id="550"/>
      </w:r>
      <w:r>
        <w:rPr>
          <w:rFonts w:ascii="IRNazanin" w:hAnsi="IRNazanin" w:eastAsia="IRNazanin"/>
          <w:color w:val="111111"/>
          <w:sz w:val="28"/>
          <w:sz w:val="28"/>
          <w:szCs w:val="28"/>
          <w:rtl w:val="true"/>
          <w:lang w:bidi="fa-IR"/>
        </w:rPr>
        <w:t>مورد توجه حرفه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برون سپاری در تبدیل ها </w:t>
      </w:r>
      <w:r>
        <w:rPr>
          <w:rStyle w:val="FootnoteAnchor"/>
          <w:rtl w:val="true"/>
        </w:rPr>
        <w:footnoteReference w:id="551"/>
      </w:r>
      <w:r>
        <w:rPr>
          <w:rFonts w:ascii="IRNazanin" w:hAnsi="IRNazanin" w:eastAsia="IRNazanin"/>
          <w:color w:val="111111"/>
          <w:sz w:val="28"/>
          <w:sz w:val="28"/>
          <w:szCs w:val="28"/>
          <w:rtl w:val="true"/>
          <w:lang w:bidi="fa-IR"/>
        </w:rPr>
        <w:t>بخشی از چشم انداز رسمی حرفه ای ایالات متحده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اشاره می کند در حالی که برون سپاری گسترده کل خدمات کتاب داری و اطلاع رسانی را در ایالات متحده در برگرفته است، دو نظر سنجی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خاطرنشان می کند که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محلی ایالات متحده پژوهش طولانی برون سپاری حقوقی و خدمات پیش نویس عرضه کرده 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 حقوقی کارایی فعالیت های کتاب خانه را با متمرکز کردن و برون سپاری فعالیت های مدیریتی از جمله تهیه محتوای رقومی، فهرست نویسی، نظام های کتاب خانه ای و فراهم آوری منابع چاپی بالا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خدمات مالی انگلستان، بخش های خدمات اطلاع رسانی و پژوهشی داخلیشان را از نیمه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سابقه برون سپاری انگلستان یا پیمان کاری به نظر می رسد از بخش خصوصی نیامده، بلکه از بخش دولتی به خصوص از دولت مرکزی است</w:t>
      </w:r>
      <w:r>
        <w:rPr>
          <w:rFonts w:eastAsia="IRNazanin" w:cs="IRNazanin"/>
          <w:color w:val="111111"/>
          <w:sz w:val="28"/>
          <w:szCs w:val="28"/>
          <w:rtl w:val="true"/>
          <w:lang w:bidi="fa-IR"/>
        </w:rPr>
        <w:t>.</w:t>
      </w:r>
    </w:p>
    <w:p>
      <w:pPr>
        <w:pStyle w:val="Heading3"/>
        <w:numPr>
          <w:ilvl w:val="2"/>
          <w:numId w:val="1"/>
        </w:numPr>
        <w:rPr/>
      </w:pPr>
      <w:bookmarkStart w:id="357" w:name="__RefHeading___Toc7825467_2870459653"/>
      <w:bookmarkStart w:id="358" w:name="_Toc128"/>
      <w:bookmarkEnd w:id="357"/>
      <w:r>
        <w:rPr>
          <w:rtl w:val="true"/>
        </w:rPr>
        <w:t xml:space="preserve">دولت انگلستان و آزمون </w:t>
      </w:r>
      <w:r>
        <w:rPr>
          <w:rtl w:val="true"/>
        </w:rPr>
        <w:t xml:space="preserve">/ </w:t>
      </w:r>
      <w:r>
        <w:rPr>
          <w:rtl w:val="true"/>
        </w:rPr>
        <w:t>سنجش بازار</w:t>
      </w:r>
      <w:bookmarkEnd w:id="3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تعدادی از کتاب خانه های دولتی انگلستان فرایندی را به تصویب رساندند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بازار</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ممکن است به عنوان مرحله ای تجربی از آن چه در بخش حقوقی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به عنوان برون سپاری بوده است،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ابتکار آزمون بازار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سوزان برگ در مقاله 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بیشتر، سود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سازی و کتاب خانه های دولتی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آزمون بازار اواخر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آزمون بازار آن سال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برای کیفیت</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دولت، نخست نشان داد که این آزمون فرایندی مدیریتی است که از آن طریق مدیران با بررسی نظام مند رقبای تجاری شان و با اطمینان از این که خدمات در بهترین ارزش پولی </w:t>
      </w:r>
      <w:r>
        <w:rPr>
          <w:rStyle w:val="FootnoteAnchor"/>
          <w:rtl w:val="true"/>
        </w:rPr>
        <w:footnoteReference w:id="554"/>
      </w:r>
      <w:r>
        <w:rPr>
          <w:rFonts w:ascii="IRNazanin" w:hAnsi="IRNazanin" w:eastAsia="IRNazanin"/>
          <w:color w:val="111111"/>
          <w:sz w:val="28"/>
          <w:sz w:val="28"/>
          <w:szCs w:val="28"/>
          <w:rtl w:val="true"/>
          <w:lang w:bidi="fa-IR"/>
        </w:rPr>
        <w:t>ارائه می شود، در جستجوی رسیدن به اهدافشان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ثابت کند آیا پیمان کاران بخش خصوصی قادر هستند و می خواهند سطحی برابر یا بهبودیافته از خدمت را فراهم کنند تا </w:t>
      </w:r>
      <w:bookmarkStart w:id="359" w:name="pg9659_93974"/>
    </w:p>
    <w:p>
      <w:pPr>
        <w:pStyle w:val="BookText"/>
        <w:rPr/>
      </w:pPr>
      <w:bookmarkEnd w:id="359"/>
      <w:r>
        <w:rPr>
          <w:rFonts w:ascii="IRNazanin" w:hAnsi="IRNazanin" w:eastAsia="IRNazanin"/>
          <w:color w:val="111111"/>
          <w:sz w:val="28"/>
          <w:sz w:val="28"/>
          <w:szCs w:val="28"/>
          <w:rtl w:val="true"/>
          <w:lang w:bidi="fa-IR"/>
        </w:rPr>
        <w:t xml:space="preserve">هزینه سودمندتر از آن باشد که در درون سازمان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ارزش پولی بهبودیافته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چهار کتاب خانه سازمانی در طول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بازاری بودند، از جمله کتاب خانه دفتر خزانه و کابینه </w:t>
      </w:r>
      <w:r>
        <w:rPr>
          <w:rStyle w:val="FootnoteAnchor"/>
          <w:rtl w:val="true"/>
        </w:rPr>
        <w:footnoteReference w:id="555"/>
      </w:r>
      <w:r>
        <w:rPr>
          <w:rFonts w:ascii="IRNazanin" w:hAnsi="IRNazanin" w:eastAsia="IRNazanin"/>
          <w:color w:val="111111"/>
          <w:sz w:val="28"/>
          <w:sz w:val="28"/>
          <w:szCs w:val="28"/>
          <w:rtl w:val="true"/>
          <w:lang w:bidi="fa-IR"/>
        </w:rPr>
        <w:t xml:space="preserve">، خدمت کتاب خانه ای که من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دستیار کتاب دار در نخستین پست حرفه ای ام به آن ملحق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دستورالعمل مرکزی آزمون بازار، خدمات کتاب داری در سازمان هایی که این مسیر را طی کردند، طیفی از تجربه های متفاوت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خانه دفتر خزانه و کابینه، کارکنان کتاب خانه خودشان در قرار دادن اسنادی که کار را برای مسئول شکل می داد،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مسئول را به دردسر انداخت و اگرچه پنج شرکت بیرونی ثبت نام کردند، فقط یکی به علاوه گروه داخلی در مزایده شرکت کرد</w:t>
      </w:r>
      <w:r>
        <w:rPr>
          <w:rFonts w:eastAsia="IRNazanin" w:cs="IRNazanin"/>
          <w:color w:val="111111"/>
          <w:sz w:val="28"/>
          <w:szCs w:val="28"/>
          <w:rtl w:val="true"/>
          <w:lang w:bidi="fa-IR"/>
        </w:rPr>
        <w:t>.</w:t>
      </w:r>
    </w:p>
    <w:p>
      <w:pPr>
        <w:pStyle w:val="Heading3"/>
        <w:numPr>
          <w:ilvl w:val="2"/>
          <w:numId w:val="1"/>
        </w:numPr>
        <w:rPr/>
      </w:pPr>
      <w:bookmarkStart w:id="360" w:name="__RefHeading___Toc7825469_2870459653"/>
      <w:bookmarkStart w:id="361" w:name="_Toc129"/>
      <w:bookmarkEnd w:id="360"/>
      <w:r>
        <w:rPr>
          <w:rtl w:val="true"/>
        </w:rPr>
        <w:t>پیامدهای آزمون بازار</w:t>
      </w:r>
      <w:bookmarkEnd w:id="361"/>
    </w:p>
    <w:p>
      <w:pPr>
        <w:pStyle w:val="BookText"/>
        <w:rPr/>
      </w:pPr>
      <w:r>
        <w:rPr>
          <w:rFonts w:ascii="IRNazanin" w:hAnsi="IRNazanin" w:eastAsia="IRNazanin"/>
          <w:color w:val="111111"/>
          <w:sz w:val="28"/>
          <w:sz w:val="28"/>
          <w:szCs w:val="28"/>
          <w:rtl w:val="true"/>
          <w:lang w:bidi="fa-IR"/>
        </w:rPr>
        <w:t>پیامدهای آزمون بازار ناهمگن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پیش از ارائه خدمات اینترنتی به جماعت وسیع تر، هیچ فراهم آورنده خدمت در بازار وجود نداشت که بتواند به طور واقع بینانه مسئولیت یک بخش کامل کتاب داری و اطلاع رسانی را به عهده بگیرد و از نظر اقتصادی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 خانه ها و مراکز اطلاع رسانی در بخش های دولتی تعداد کارکنان نسبتاً کمی داشتند و دارند و هزینه مالی اصلی بعد از هزینه های کارکنان، هزینه مجموعه سازی و اشتراک های چندگانه نسخه های چاپی است که تا آن زمان تعدادشان کاهش نیافته و با جانشین های برخط جایگزین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شد گروه درون سازمانی در کتاب خانه دفتر خزانه و کابینه قرارداد ببندد و یکی از پیامدهای اصلی که سود برای همه گروه ها داشت این بود که ما متناوباً بر اساس اصطلاحات مزایده در یک سطح مفصل خدمت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روشن داشتن و شاخص های عمل کرد تقریباً در هر حوزه ای از کارمان ما را قادر ساخت در مسیری متمرکز عمل کنیم تا به نیازهای مشتری به شکلی راهبردی تر، چابک تر و منعطف تر از آن که ما قبلاً داشتیم،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پیامدها در کتاب خانه دفتر خزانه و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دیگر سازمان های دولتی بازتاب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کاری فزاینده برخی عمل کردهای مدیریتی به تأمین کنندگان بیرونی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مدیریت حق اشتراک و توزیع نشریات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برحسب اهداف اصلی خط مشی سازان، به زودی آشکار شد که اوایل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پیمان کاران بخش خصوصی قادر نبودند سطحی برابر یا بهبود یافته از خدمات هزینه سودمندتر برای </w:t>
      </w:r>
    </w:p>
    <w:p>
      <w:pPr>
        <w:pStyle w:val="BookText"/>
        <w:rPr/>
      </w:pPr>
      <w:r>
        <w:rPr>
          <w:rFonts w:ascii="IRNazanin" w:hAnsi="IRNazanin" w:eastAsia="IRNazanin"/>
          <w:color w:val="111111"/>
          <w:sz w:val="28"/>
          <w:sz w:val="28"/>
          <w:szCs w:val="28"/>
          <w:rtl w:val="true"/>
          <w:lang w:bidi="fa-IR"/>
        </w:rPr>
        <w:t>کتاب خانه های درون سازمانی در بخش های دولتی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ارزش بهبود یافته پولی می توانست با ابزارهای دیگر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نظر سنجی مقاله برگ نیز نشان داد بین سال های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های کتاب داران دولتی به سوی توسعه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دور از انتظار نبود آزمون بازار تأثیر قوی و برانگیزنده ای روی پاسخ های فراهم آمده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پژوهش برگ در مورد بازده های انسانی آزمون بازار تجربه من و همکارانم را با اطمینان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فراگیر نظر سنجی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بدین معنی است که ترس از این که معیشت تهدید می شود، رفتار مثبتی در ذهن نمی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 ای نخستین مصدوم بود، بخشی منبعث از طبیعت فرایند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آغاز تا پایان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به طبیعت ناهمگون و بی اختیار ارتباط پنهان کاری بین مدیریت ارشد و کارمند زیر دست در مورد تأثیر مهم کار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مورخ غیر رسمی خدمات شهری انگلستان، پرفسور پیتر هنیسی </w:t>
      </w:r>
      <w:r>
        <w:rPr>
          <w:rStyle w:val="FootnoteAnchor"/>
          <w:rtl w:val="true"/>
        </w:rPr>
        <w:footnoteReference w:id="556"/>
      </w:r>
      <w:r>
        <w:rPr>
          <w:rFonts w:ascii="IRNazanin" w:hAnsi="IRNazanin" w:eastAsia="IRNazanin"/>
          <w:color w:val="111111"/>
          <w:sz w:val="28"/>
          <w:sz w:val="28"/>
          <w:szCs w:val="28"/>
          <w:rtl w:val="true"/>
          <w:lang w:bidi="fa-IR"/>
        </w:rPr>
        <w:t>اغلب خاطرنشان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مهم، امری محرمانه در برنامه خط مشی سازان حکومت بریتانیا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به عامل مهم تر دیگری در موازنه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ادعاهای بزرگ برای آزمون بازار و خصوصی سازی بر حسب بازدهی هزینه ها ایجاد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تصویری در کتاب خانه ها گرایش به این دارد که برای چیزهایی که به حساب نیامدند، قابل توجه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نفر ساعت و تلاش برای آماده سازی پیشنهاد قیمت، نفر ساعت صرف شده در حل مشکلات برآمده از مدیریت قراردادها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تجربه شخصی اضافه می کنم سهم مهمی از زمان مدیریت نیز برای کنترل و گزارش عمل کرد و تحویل خدمت لازم است، فعالیتی که من فکر می کنم اغلب در موازنه، زمان تصمیم گیری برای قرارداد بستن یا برون سپاری مورد توجه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مدرک چشم گیری از فواید تجربه آزمون بازار وجود نداشت، مثبت ترین نتایج برگ در مطالعه اش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نظری، آسیب پذیرترین کتاب خانه ها در آزمون بازار باید آن هایی می بودند که کم تر از همه در سازمان های مادرشان ادغام شدند، چرا که همین سازمان ها کم ترین دلیل را برای ارزش نهادن به ارزش افزوده خاص در مشارکت در خدمات درون سازمانی داشتند، اما این لزوماً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آزمون بازار به طور چشم گیری نمایش داد چقدر مهم بود که سازمان در تمامی سطوح، ارزش ارزیابی ای که در میان متخصصان اطلاع رسانی اش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آینده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w:t>
      </w:r>
      <w:r>
        <w:rPr>
          <w:rFonts w:eastAsia="IRNazanin" w:cs="IRNazanin"/>
          <w:color w:val="111111"/>
          <w:sz w:val="28"/>
          <w:szCs w:val="28"/>
          <w:rtl w:val="true"/>
          <w:lang w:bidi="fa-IR"/>
        </w:rPr>
        <w:t xml:space="preserve">. </w:t>
      </w:r>
      <w:bookmarkStart w:id="362" w:name="pg9659_93976"/>
    </w:p>
    <w:p>
      <w:pPr>
        <w:pStyle w:val="Heading3"/>
        <w:numPr>
          <w:ilvl w:val="2"/>
          <w:numId w:val="1"/>
        </w:numPr>
        <w:rPr/>
      </w:pPr>
      <w:bookmarkStart w:id="363" w:name="__RefHeading___Toc7825471_2870459653"/>
      <w:bookmarkStart w:id="364" w:name="_Toc130"/>
      <w:bookmarkEnd w:id="362"/>
      <w:bookmarkEnd w:id="363"/>
      <w:r>
        <w:rPr>
          <w:rtl w:val="true"/>
        </w:rPr>
        <w:t>برون سپاری انگلستان</w:t>
      </w:r>
      <w:r>
        <w:rPr>
          <w:rtl w:val="true"/>
        </w:rPr>
        <w:t xml:space="preserve">: </w:t>
      </w:r>
      <w:r>
        <w:rPr>
          <w:rtl w:val="true"/>
        </w:rPr>
        <w:t>پاسخ های اخیر</w:t>
      </w:r>
      <w:bookmarkEnd w:id="364"/>
    </w:p>
    <w:p>
      <w:pPr>
        <w:pStyle w:val="BookText"/>
        <w:rPr/>
      </w:pPr>
      <w:r>
        <w:rPr>
          <w:rFonts w:ascii="IRNazanin" w:hAnsi="IRNazanin" w:eastAsia="IRNazanin"/>
          <w:color w:val="111111"/>
          <w:sz w:val="28"/>
          <w:sz w:val="28"/>
          <w:szCs w:val="28"/>
          <w:rtl w:val="true"/>
          <w:lang w:bidi="fa-IR"/>
        </w:rPr>
        <w:t>برای اطلاع از این که حرفه چقدر چالش های آینده برون سپاری را مورد توجه قرار می دهد، با تعدادی از چهره های ارشد بخش اطلاع رسانی حقوقی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مکالمات کاملاً دوستانه و مطمئن، درصدد این نیست که پژوهش جدی فیونا براون را نسخه برداری کند یا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از این مکالمات مدرکی ترسیم کرده ام ممکن است تا حدی خیالی فرض شود، کسانی که با آن ها صحبت کردم بر موضوعاتی عمومی تأکید کردند</w:t>
      </w:r>
      <w:r>
        <w:rPr>
          <w:rFonts w:eastAsia="IRNazanin" w:cs="IRNazanin"/>
          <w:color w:val="111111"/>
          <w:sz w:val="28"/>
          <w:szCs w:val="28"/>
          <w:rtl w:val="true"/>
          <w:lang w:bidi="fa-IR"/>
        </w:rPr>
        <w:t>.</w:t>
      </w:r>
    </w:p>
    <w:p>
      <w:pPr>
        <w:pStyle w:val="Heading3"/>
        <w:numPr>
          <w:ilvl w:val="2"/>
          <w:numId w:val="1"/>
        </w:numPr>
        <w:rPr/>
      </w:pPr>
      <w:bookmarkStart w:id="365" w:name="__RefHeading___Toc7825473_2870459653"/>
      <w:bookmarkStart w:id="366" w:name="_Toc131"/>
      <w:bookmarkEnd w:id="365"/>
      <w:r>
        <w:rPr>
          <w:rtl w:val="true"/>
        </w:rPr>
        <w:t>ثابت کردن ارزش</w:t>
      </w:r>
      <w:bookmarkEnd w:id="366"/>
    </w:p>
    <w:p>
      <w:pPr>
        <w:pStyle w:val="BookText"/>
        <w:rPr/>
      </w:pPr>
      <w:r>
        <w:rPr>
          <w:rFonts w:ascii="IRNazanin" w:hAnsi="IRNazanin" w:eastAsia="IRNazanin"/>
          <w:color w:val="111111"/>
          <w:sz w:val="28"/>
          <w:sz w:val="28"/>
          <w:szCs w:val="28"/>
          <w:rtl w:val="true"/>
          <w:lang w:bidi="fa-IR"/>
        </w:rPr>
        <w:t>مدیران اطلاع رسانی اظهار نظر کرده اند که از فعالیت های اندازه گیری به سوی نمایش ارزش مهارت ها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درخواست پنهان با بودجه و منابع موجود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کسی ارزش کاری را بدون ایجاد درخواست موقت بالا می برد؟ در برخی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می تواند مشکل باشد و به طور بالقوه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کیفیت کار صدمه می بیند،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شهرت سازمانی آسیب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نگرشی مداوم به ارتقای ارزش داشتن، باید حامیان درون سازمانی را شناسایی کرد – بهترین نگرش عملی در روش شناسی مدیریت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افرادی که به عنوان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شده اند نیاز است توسط همتایان اگر اثربخش باشند، مورد احترام و حمایت واقع شوند</w:t>
      </w:r>
      <w:r>
        <w:rPr>
          <w:rFonts w:eastAsia="IRNazanin" w:cs="IRNazanin"/>
          <w:color w:val="111111"/>
          <w:sz w:val="28"/>
          <w:szCs w:val="28"/>
          <w:rtl w:val="true"/>
          <w:lang w:bidi="fa-IR"/>
        </w:rPr>
        <w:t>.</w:t>
      </w:r>
    </w:p>
    <w:p>
      <w:pPr>
        <w:pStyle w:val="Heading3"/>
        <w:numPr>
          <w:ilvl w:val="2"/>
          <w:numId w:val="1"/>
        </w:numPr>
        <w:rPr/>
      </w:pPr>
      <w:bookmarkStart w:id="367" w:name="__RefHeading___Toc7825475_2870459653"/>
      <w:bookmarkStart w:id="368" w:name="_Toc132"/>
      <w:bookmarkEnd w:id="367"/>
      <w:r>
        <w:rPr>
          <w:rtl w:val="true"/>
        </w:rPr>
        <w:t>بانیان کار</w:t>
      </w:r>
      <w:bookmarkEnd w:id="368"/>
    </w:p>
    <w:p>
      <w:pPr>
        <w:pStyle w:val="BookText"/>
        <w:rPr/>
      </w:pPr>
      <w:r>
        <w:rPr>
          <w:rFonts w:ascii="IRNazanin" w:hAnsi="IRNazanin" w:eastAsia="IRNazanin"/>
          <w:color w:val="111111"/>
          <w:sz w:val="28"/>
          <w:sz w:val="28"/>
          <w:szCs w:val="28"/>
          <w:rtl w:val="true"/>
          <w:lang w:bidi="fa-IR"/>
        </w:rPr>
        <w:t>در بخش حقوقی، مثل هر جای دیگر، مشتریان شرکت های حقوقی کار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متخصصان اطلاع رسانی مهم است رابطه بین دستاورد نهایی شان و مشتری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ملزومات در حال شکل گیری مشتریان حتی برای تمام گروه ها مهم تر شده است و فشار بیشتری روی حفظ مشتریان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مدیریت اطلاعات و مدیریت داده فعالیت های مهم تخصصی شده است که مشتریان را قادر می سازد در جریان فعالیت های بخش های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شرکت ها، خدمات اطلاع رسانی اکنون به طور مستقیم، گاه و بی گاه به شکل مشاوره ای یا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کردن رابطه</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با مشتریان درگیر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پاسخ دهندگان درباره برون 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مفهوم واقعاً خیلی جدید یا چالش برانگیز </w:t>
      </w:r>
      <w:bookmarkStart w:id="369" w:name="pg9659_93977"/>
    </w:p>
    <w:p>
      <w:pPr>
        <w:pStyle w:val="BookText"/>
        <w:rPr/>
      </w:pPr>
      <w:bookmarkEnd w:id="369"/>
      <w:r>
        <w:rPr>
          <w:rFonts w:ascii="IRNazanin" w:hAnsi="IRNazanin" w:eastAsia="IRNazanin"/>
          <w:color w:val="111111"/>
          <w:sz w:val="28"/>
          <w:sz w:val="28"/>
          <w:szCs w:val="28"/>
          <w:rtl w:val="true"/>
          <w:lang w:bidi="fa-IR"/>
        </w:rPr>
        <w:t xml:space="preserve">نباشد، همان گونه که قبلاً سال ها در شرکت هایی متنوع خارج از خدمات اطلاع رسانی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بیشترین فعالیت های مدیریت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فلسفه یا راهبرد، و رای این که عمل کردهای تخصصی برون سپاری شوند، شرکت های حقوقی اساساً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شرکت حقوقی هستیم، اجازه دهید روی قانون تمرکز کنیم و کس دیگری مراقب دیگر عمل کردها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تجزیه دقیق عمل کردهای کم اهمیت تر انجام شود تا فرایند رخ بدهد</w:t>
      </w:r>
      <w:r>
        <w:rPr>
          <w:rFonts w:eastAsia="IRNazanin" w:cs="IRNazanin"/>
          <w:color w:val="111111"/>
          <w:sz w:val="28"/>
          <w:szCs w:val="28"/>
          <w:rtl w:val="true"/>
          <w:lang w:bidi="fa-IR"/>
        </w:rPr>
        <w:t>.</w:t>
      </w:r>
    </w:p>
    <w:p>
      <w:pPr>
        <w:pStyle w:val="Heading3"/>
        <w:numPr>
          <w:ilvl w:val="2"/>
          <w:numId w:val="1"/>
        </w:numPr>
        <w:rPr/>
      </w:pPr>
      <w:bookmarkStart w:id="370" w:name="__RefHeading___Toc7825477_2870459653"/>
      <w:bookmarkStart w:id="371" w:name="_Toc133"/>
      <w:bookmarkEnd w:id="370"/>
      <w:r>
        <w:rPr>
          <w:rtl w:val="true"/>
        </w:rPr>
        <w:t>فعالیت های جدید و مجموعه مهارت های جدید</w:t>
      </w:r>
      <w:bookmarkEnd w:id="371"/>
    </w:p>
    <w:p>
      <w:pPr>
        <w:pStyle w:val="BookText"/>
        <w:rPr/>
      </w:pPr>
      <w:r>
        <w:rPr>
          <w:rFonts w:ascii="IRNazanin" w:hAnsi="IRNazanin" w:eastAsia="IRNazanin"/>
          <w:color w:val="111111"/>
          <w:sz w:val="28"/>
          <w:sz w:val="28"/>
          <w:szCs w:val="28"/>
          <w:rtl w:val="true"/>
          <w:lang w:bidi="fa-IR"/>
        </w:rPr>
        <w:t>یکی دیگر از پاسخ دهندگان اظهار نظر کرد نکته خوب در مورد برون سپاری این است که تحرکی ایجاد کرده و باعث رشد هسته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نیاز تأکید شده که بفهمیم آن چه ما ارزشمند می دانیم، یا خدمات ارزش افزوده، به عنوان مثال خدمات آگاهی رسانی برای آنان که این خدمات را ایجاد می کنند، ارزشمند است زیرا برای آن ها رضایت شغلی شخصی ایجاد می کند، اما ممکن است برای مشتریان ارزشمند نباشد و یا مورد استفاده آن ها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مدیریت اطلاعات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های پژوهش حقوقی بیش از یک دهه است که بهبود یافته است و فرض بر این است که کاربران نهایی دسترسی بیشتری نسبت به متخصصان اطلاعات که دروازه بانان منابع اطلاعاتی هستند،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سنتی کتاب داری حیاتی 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فهرست نویسی و رده بندی، بازیابی اطلاعات اساسی و پژوهش حقوقی، آموزش مهارت های اطلاعاتی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و نیازهای مهارتی دیگر در توسعه خدمات روی می دهد، به عنوان مثال تجزیه مالی و هوش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تغییر به سوی فراهم آوری اطلاعات تجاری بیش از پژوهش حقوقی است، اطلاعات تجاری است که زیربنای تصمیم گیری راهبردی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حمایت و اتصال به گروه های توسعه و بازاریابی تجاری </w:t>
      </w:r>
      <w:r>
        <w:rPr>
          <w:rStyle w:val="FootnoteAnchor"/>
          <w:rtl w:val="true"/>
        </w:rPr>
        <w:footnoteReference w:id="558"/>
      </w:r>
      <w:r>
        <w:rPr>
          <w:rFonts w:ascii="IRNazanin" w:hAnsi="IRNazanin" w:eastAsia="IRNazanin"/>
          <w:color w:val="111111"/>
          <w:sz w:val="28"/>
          <w:sz w:val="28"/>
          <w:szCs w:val="28"/>
          <w:rtl w:val="true"/>
          <w:lang w:bidi="fa-IR"/>
        </w:rPr>
        <w:t xml:space="preserve">، بیش از پیش هدف این می شود که مشتریان جدید به دست آورد و مشتریان موجود را حفظ کرد؛ بنابراین، در ک روابط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بخش های مشتریان و خود مشتریان هرچه بیشتر حیاتی تر می شود</w:t>
      </w:r>
      <w:r>
        <w:rPr>
          <w:rFonts w:eastAsia="IRNazanin" w:cs="IRNazanin"/>
          <w:color w:val="111111"/>
          <w:sz w:val="28"/>
          <w:szCs w:val="28"/>
          <w:rtl w:val="true"/>
          <w:lang w:bidi="fa-IR"/>
        </w:rPr>
        <w:t>.</w:t>
      </w:r>
    </w:p>
    <w:p>
      <w:pPr>
        <w:pStyle w:val="Heading3"/>
        <w:numPr>
          <w:ilvl w:val="2"/>
          <w:numId w:val="1"/>
        </w:numPr>
        <w:rPr/>
      </w:pPr>
      <w:bookmarkStart w:id="372" w:name="__RefHeading___Toc7825479_2870459653"/>
      <w:bookmarkStart w:id="373" w:name="_Toc134"/>
      <w:bookmarkEnd w:id="372"/>
      <w:r>
        <w:rPr>
          <w:rtl w:val="true"/>
        </w:rPr>
        <w:t>چالش های واگذاری به بیرون</w:t>
      </w:r>
      <w:bookmarkEnd w:id="3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افرادی صحبت کردم که تجربه مستقیم هر دو برون سپاری عمده و برون سپاری انتخابی، به خصوص </w:t>
      </w:r>
      <w:bookmarkStart w:id="374" w:name="pg9659_93978"/>
    </w:p>
    <w:p>
      <w:pPr>
        <w:pStyle w:val="BookText"/>
        <w:rPr/>
      </w:pPr>
      <w:bookmarkEnd w:id="374"/>
      <w:r>
        <w:rPr>
          <w:rFonts w:ascii="IRNazanin" w:hAnsi="IRNazanin" w:eastAsia="IRNazanin"/>
          <w:color w:val="111111"/>
          <w:sz w:val="28"/>
          <w:sz w:val="28"/>
          <w:szCs w:val="28"/>
          <w:rtl w:val="true"/>
          <w:lang w:bidi="fa-IR"/>
        </w:rPr>
        <w:t xml:space="preserve">واگذاری </w:t>
      </w:r>
      <w:r>
        <w:rPr>
          <w:rStyle w:val="FootnoteAnchor"/>
          <w:rtl w:val="true"/>
        </w:rPr>
        <w:footnoteReference w:id="559"/>
      </w:r>
      <w:r>
        <w:rPr>
          <w:rFonts w:ascii="IRNazanin" w:hAnsi="IRNazanin" w:eastAsia="IRNazanin"/>
          <w:color w:val="111111"/>
          <w:sz w:val="28"/>
          <w:sz w:val="28"/>
          <w:szCs w:val="28"/>
          <w:rtl w:val="true"/>
          <w:lang w:bidi="fa-IR"/>
        </w:rPr>
        <w:t>عمل کردهای اساسی پژوهش به بیرون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برون سپاری به عنوان یک انتخاب جدی مورد توجه هست، باید فرهنگ سازمانی و انتظارات را در یک ردیف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شرکت ها فرهنگ عملی و مانای بالایی دارند، بنابراین مشکل خواهد بود به راه حل رضایت بخشی در این نوع محیط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شما بتوانید فرایندی را مستند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کیفی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شما ممکن است قادر باشید آن را برون سپاری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خدمات ارزش افزوده دشوارتری انجام می شود از جمله پژوهش حقوقی عمیق، خدمات آگاهی رسانی حساب شده، آموزش سفارشی، یا هر چیزی شامل اختراع یا فرصت های تجاری جدید می شود، بنابراین شرایط دشوارتر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تصمیم به واگذاری کاری به بیرون گرفته شد، ضروری است برای پیدا کردن افراد مناسب و آموزش آن ها در سطوح خدماتی قابل پذیرش باید زمان لازم را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مختلف با برخی مشکلات فرهنگی با گروه های برون سپاری شده مواجه شده اند از جمله زبان های متنوع و تخصص های محلی که البته به زمان مدیریتی لازم برای سفر در مسافت های طولاتی برای پرداختن به مسائل استخدامی و آموزشی اشاره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پاسخگویان خاطرنشان کرد که واگذاری به بیرون ممکن است راه حلی رضایت بخش تر برای خدمات اطلاع رسانی مالی باشد، به خصوص جایی که اطلاعات متمرکز بر این است که پاسخی کاملاً قابل اندازه گیری مرتبط با داده های عددی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اطلاعات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پژوهش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تر است و کیفیت دریافتی ممکن است از این عمل کرد در سازمان مرکزی تحت تأثیر قرار بگیرد</w:t>
      </w:r>
      <w:r>
        <w:rPr>
          <w:rFonts w:eastAsia="IRNazanin" w:cs="IRNazanin"/>
          <w:color w:val="111111"/>
          <w:sz w:val="28"/>
          <w:szCs w:val="28"/>
          <w:rtl w:val="true"/>
          <w:lang w:bidi="fa-IR"/>
        </w:rPr>
        <w:t>.</w:t>
      </w:r>
    </w:p>
    <w:p>
      <w:pPr>
        <w:pStyle w:val="Heading3"/>
        <w:numPr>
          <w:ilvl w:val="2"/>
          <w:numId w:val="1"/>
        </w:numPr>
        <w:rPr/>
      </w:pPr>
      <w:bookmarkStart w:id="375" w:name="__RefHeading___Toc7825481_2870459653"/>
      <w:bookmarkStart w:id="376" w:name="_Toc135"/>
      <w:bookmarkEnd w:id="375"/>
      <w:r>
        <w:rPr>
          <w:rtl w:val="true"/>
        </w:rPr>
        <w:t>چالش های موجود</w:t>
      </w:r>
      <w:r>
        <w:rPr>
          <w:rtl w:val="true"/>
        </w:rPr>
        <w:t xml:space="preserve">: </w:t>
      </w:r>
      <w:r>
        <w:rPr>
          <w:rtl w:val="true"/>
        </w:rPr>
        <w:t>گزارش انجمن کتاب خانه های تخصصی</w:t>
      </w:r>
      <w:bookmarkEnd w:id="376"/>
    </w:p>
    <w:p>
      <w:pPr>
        <w:pStyle w:val="BookText"/>
        <w:rPr/>
      </w:pPr>
      <w:r>
        <w:rPr>
          <w:rFonts w:ascii="IRNazanin" w:hAnsi="IRNazanin" w:eastAsia="IRNazanin"/>
          <w:color w:val="111111"/>
          <w:sz w:val="28"/>
          <w:sz w:val="28"/>
          <w:szCs w:val="28"/>
          <w:rtl w:val="true"/>
          <w:lang w:bidi="fa-IR"/>
        </w:rPr>
        <w:t xml:space="preserve">این موضوعات، هسته گزارشی را تشکیل می دهد که سال گذشته نیز توسط انجمن کتاب خانه های تخصصی </w:t>
      </w:r>
      <w:r>
        <w:rPr>
          <w:rStyle w:val="FootnoteAnchor"/>
          <w:rtl w:val="true"/>
        </w:rPr>
        <w:footnoteReference w:id="560"/>
      </w:r>
      <w:r>
        <w:rPr>
          <w:rFonts w:ascii="IRNazanin" w:hAnsi="IRNazanin" w:eastAsia="IRNazanin"/>
          <w:color w:val="111111"/>
          <w:sz w:val="28"/>
          <w:sz w:val="28"/>
          <w:szCs w:val="28"/>
          <w:rtl w:val="true"/>
          <w:lang w:bidi="fa-IR"/>
        </w:rPr>
        <w:t xml:space="preserve">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مدیریت اطلاعات و پنج خصیصه اصلی متخصص مدرن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اِل ای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بر اساس پژوهشی است که پاسخ های متخصصان اطلاع رسانی و مدیران ارشد در سازمان هایی را مقایسه می کرد که به سازمان های اطلاع رسانی اختصاص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نظر سنجی شدند،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آنان متخصصان اطلاع رسانی بودند که در حیطه وسیعی از </w:t>
      </w:r>
      <w:bookmarkStart w:id="377" w:name="pg9659_93979"/>
    </w:p>
    <w:p>
      <w:pPr>
        <w:pStyle w:val="BookText"/>
        <w:rPr/>
      </w:pPr>
      <w:bookmarkEnd w:id="377"/>
      <w:r>
        <w:rPr>
          <w:rFonts w:ascii="IRNazanin" w:hAnsi="IRNazanin" w:eastAsia="IRNazanin"/>
          <w:color w:val="111111"/>
          <w:sz w:val="28"/>
          <w:sz w:val="28"/>
          <w:szCs w:val="28"/>
          <w:rtl w:val="true"/>
          <w:lang w:bidi="fa-IR"/>
        </w:rPr>
        <w:t>بخش ها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مباحثات گزارش حول و حوش مسائلی بحث می کند که در ادامه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متخصصان اطلاع رسانی معتقدند که تعداد زیادی از همکاران یا مشتریان آن ها را نادیده می گیرند و به اطلاعاتی که نیاز دارند به طور مستقیم دسترسی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استفاده از 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متخصصان اطلاع رسانی را تضعیف می کند، بلکه خطر مهم سازمانی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اطلاع رسانی باید با وجود پیش زمینه بودجه در حال کاهش، به طور فعال به نمایش ارزششان در تجارت، سرمایه گذاری در فناوری اطلاعات و شمارش افراد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اطلاعات از آن چه عموماً به عنوان اضافه بار اطلاعاتی شناخته می شود،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فقدان اطلاعات روز آمد، مرتبط و آماده تصمیمی که برای استفاده تحویل آن ها شده است را متوجه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بیشتر متخصصان اطلاع رسانی که نظر سنجی شدند، سطح ارزش آن چه فراهم می کنند را زیاد تخمین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متخصصان اطلاع رسانی معتقدند ارزش زیاد </w:t>
      </w:r>
      <w:r>
        <w:rPr>
          <w:rStyle w:val="FootnoteAnchor"/>
          <w:rtl w:val="true"/>
        </w:rPr>
        <w:footnoteReference w:id="562"/>
      </w:r>
      <w:r>
        <w:rPr>
          <w:rFonts w:ascii="IRNazanin" w:hAnsi="IRNazanin" w:eastAsia="IRNazanin"/>
          <w:color w:val="111111"/>
          <w:sz w:val="28"/>
          <w:sz w:val="28"/>
          <w:szCs w:val="28"/>
          <w:rtl w:val="true"/>
          <w:lang w:bidi="fa-IR"/>
        </w:rPr>
        <w:t xml:space="preserve">اضافه می کنند، فقط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مدیران اجرایی تمایل دارند عدد دقیق را با نمایش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اختلاف عمل کرد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حقوقی این تفاوت حتی مشهودتر بود،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متخصصان اطلاع رسانی معتقدند ارزش اضافه می کنند در مقابل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مدیران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اختلاف عمل کردی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کاربران اطلاعات به نظر می رسد آماده اند تا به طور فعال متخصصان اطلاع رسانی را به خدمت بگیرند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انتظار دارند این سطح تعامل و به کارگیری را در سه سال آینده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ورای این موضوعات، گزارش انجمن کتاب خانه های تخصصی، پنج خصیصه اصلی متخصص مدرن اطلاع رسانی را ارائه می کند</w:t>
      </w:r>
      <w:r>
        <w:rPr>
          <w:rFonts w:eastAsia="IRNazanin" w:cs="IRNazanin"/>
          <w:color w:val="111111"/>
          <w:sz w:val="28"/>
          <w:szCs w:val="28"/>
          <w:rtl w:val="true"/>
          <w:lang w:bidi="fa-IR"/>
        </w:rPr>
        <w:t>:</w:t>
      </w:r>
    </w:p>
    <w:p>
      <w:pPr>
        <w:pStyle w:val="Heading3"/>
        <w:numPr>
          <w:ilvl w:val="2"/>
          <w:numId w:val="1"/>
        </w:numPr>
        <w:rPr/>
      </w:pPr>
      <w:bookmarkStart w:id="378" w:name="__RefHeading___Toc7825483_2870459653"/>
      <w:bookmarkStart w:id="379" w:name="_Toc136"/>
      <w:bookmarkEnd w:id="378"/>
      <w:r>
        <w:rPr/>
        <w:t>1</w:t>
      </w:r>
      <w:r>
        <w:rPr>
          <w:rtl w:val="true"/>
        </w:rPr>
        <w:t xml:space="preserve">. </w:t>
      </w:r>
      <w:r>
        <w:rPr>
          <w:rtl w:val="true"/>
        </w:rPr>
        <w:t>ارزشتان را بیان کنید</w:t>
      </w:r>
      <w:r>
        <w:rPr>
          <w:rtl w:val="true"/>
        </w:rPr>
        <w:t>.</w:t>
      </w:r>
      <w:bookmarkEnd w:id="379"/>
    </w:p>
    <w:p>
      <w:pPr>
        <w:pStyle w:val="BookText"/>
        <w:rPr/>
      </w:pPr>
      <w:r>
        <w:rPr>
          <w:rFonts w:ascii="IRNazanin" w:hAnsi="IRNazanin" w:eastAsia="IRNazanin"/>
          <w:color w:val="111111"/>
          <w:sz w:val="28"/>
          <w:sz w:val="28"/>
          <w:szCs w:val="28"/>
          <w:rtl w:val="true"/>
          <w:lang w:bidi="fa-IR"/>
        </w:rPr>
        <w:t>شبکه سازی کار آمد، کلیدی است که ارزش شما را برای سهامداران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دهید چطور مهارت هایتان ارزش افزوده ایجاد می کند و با پاداش ها و نمایش بازگشت سرمایه </w:t>
      </w:r>
      <w:r>
        <w:rPr>
          <w:rStyle w:val="FootnoteAnchor"/>
          <w:rtl w:val="true"/>
        </w:rPr>
        <w:footnoteReference w:id="563"/>
      </w:r>
      <w:r>
        <w:rPr>
          <w:rFonts w:ascii="IRNazanin" w:hAnsi="IRNazanin" w:eastAsia="IRNazanin"/>
          <w:color w:val="111111"/>
          <w:sz w:val="28"/>
          <w:sz w:val="28"/>
          <w:szCs w:val="28"/>
          <w:rtl w:val="true"/>
          <w:lang w:bidi="fa-IR"/>
        </w:rPr>
        <w:t>آن را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با ایده ها مبتکرانه عمل کنید</w:t>
      </w:r>
      <w:r>
        <w:rPr>
          <w:rFonts w:eastAsia="IRNazanin" w:cs="IRNazanin"/>
          <w:color w:val="111111"/>
          <w:sz w:val="28"/>
          <w:szCs w:val="28"/>
          <w:rtl w:val="true"/>
          <w:lang w:bidi="fa-IR"/>
        </w:rPr>
        <w:t>.</w:t>
      </w:r>
    </w:p>
    <w:p>
      <w:pPr>
        <w:pStyle w:val="Heading3"/>
        <w:numPr>
          <w:ilvl w:val="2"/>
          <w:numId w:val="1"/>
        </w:numPr>
        <w:rPr/>
      </w:pPr>
      <w:bookmarkStart w:id="380" w:name="__RefHeading___Toc7825485_2870459653"/>
      <w:bookmarkStart w:id="381" w:name="_Toc137"/>
      <w:bookmarkEnd w:id="380"/>
      <w:r>
        <w:rPr/>
        <w:t>2</w:t>
      </w:r>
      <w:r>
        <w:rPr>
          <w:rtl w:val="true"/>
        </w:rPr>
        <w:t xml:space="preserve">. </w:t>
      </w:r>
      <w:r>
        <w:rPr>
          <w:rtl w:val="true"/>
        </w:rPr>
        <w:t>بانیان کارتان را بشناسید</w:t>
      </w:r>
      <w:r>
        <w:rPr>
          <w:rtl w:val="true"/>
        </w:rPr>
        <w:t>.</w:t>
      </w:r>
      <w:bookmarkEnd w:id="38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افتخار کنید که مشتریانتان و نیازهای اطلاعاتی شان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بگذارید تا راهبرد کلی سازمانتان را بشناسید و این که چطور گروه شما می تواند در آن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مأموریت </w:t>
      </w:r>
      <w:bookmarkStart w:id="382" w:name="pg9659_93980"/>
    </w:p>
    <w:p>
      <w:pPr>
        <w:pStyle w:val="BookText"/>
        <w:rPr/>
      </w:pPr>
      <w:bookmarkEnd w:id="382"/>
      <w:r>
        <w:rPr>
          <w:rFonts w:ascii="IRNazanin" w:hAnsi="IRNazanin" w:eastAsia="IRNazanin"/>
          <w:color w:val="111111"/>
          <w:sz w:val="28"/>
          <w:sz w:val="28"/>
          <w:szCs w:val="28"/>
          <w:rtl w:val="true"/>
          <w:lang w:bidi="fa-IR"/>
        </w:rPr>
        <w:t>اطلاعاتی، اهداف و این که چرا اطلاعات مورد نیاز است 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های کاربران را شناسایی و جذب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آن ها می شناسند و می پسندند و این که ترجیح می دهند اطلاعات چطور به دستشان برسد</w:t>
      </w:r>
      <w:r>
        <w:rPr>
          <w:rFonts w:eastAsia="IRNazanin" w:cs="IRNazanin"/>
          <w:color w:val="111111"/>
          <w:sz w:val="28"/>
          <w:szCs w:val="28"/>
          <w:rtl w:val="true"/>
          <w:lang w:bidi="fa-IR"/>
        </w:rPr>
        <w:t>.</w:t>
      </w:r>
    </w:p>
    <w:p>
      <w:pPr>
        <w:pStyle w:val="Heading3"/>
        <w:numPr>
          <w:ilvl w:val="2"/>
          <w:numId w:val="1"/>
        </w:numPr>
        <w:rPr/>
      </w:pPr>
      <w:bookmarkStart w:id="383" w:name="__RefHeading___Toc7825487_2870459653"/>
      <w:bookmarkStart w:id="384" w:name="_Toc138"/>
      <w:bookmarkEnd w:id="383"/>
      <w:r>
        <w:rPr/>
        <w:t>3</w:t>
      </w:r>
      <w:r>
        <w:rPr>
          <w:rtl w:val="true"/>
        </w:rPr>
        <w:t xml:space="preserve">. </w:t>
      </w:r>
      <w:r>
        <w:rPr>
          <w:rtl w:val="true"/>
        </w:rPr>
        <w:t>فرایند را مدیریت کنید</w:t>
      </w:r>
      <w:r>
        <w:rPr>
          <w:rtl w:val="true"/>
        </w:rPr>
        <w:t>.</w:t>
      </w:r>
      <w:bookmarkEnd w:id="384"/>
    </w:p>
    <w:p>
      <w:pPr>
        <w:pStyle w:val="BookText"/>
        <w:rPr/>
      </w:pPr>
      <w:r>
        <w:rPr>
          <w:rFonts w:ascii="IRNazanin" w:hAnsi="IRNazanin" w:eastAsia="IRNazanin"/>
          <w:color w:val="111111"/>
          <w:sz w:val="28"/>
          <w:sz w:val="28"/>
          <w:szCs w:val="28"/>
          <w:rtl w:val="true"/>
          <w:lang w:bidi="fa-IR"/>
        </w:rPr>
        <w:t>مهارت های مدیریت طرح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مدیریت طرح شرکت کنید و ابزارها و فنون را استفاده کنید تا کار خود و نیز انتظارات مشتریانتان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را استفاده کنید تا فرایندها را سرعت بخشید، به خصوص ابزارهایی هم چون تبلت و موبایل و خدمات خودگردان </w:t>
      </w:r>
      <w:r>
        <w:rPr>
          <w:rStyle w:val="FootnoteAnchor"/>
          <w:rtl w:val="true"/>
        </w:rPr>
        <w:footnoteReference w:id="564"/>
      </w:r>
      <w:r>
        <w:rPr>
          <w:rFonts w:ascii="IRNazanin" w:hAnsi="IRNazanin" w:eastAsia="IRNazanin"/>
          <w:color w:val="111111"/>
          <w:sz w:val="28"/>
          <w:sz w:val="28"/>
          <w:szCs w:val="28"/>
          <w:rtl w:val="true"/>
          <w:lang w:bidi="fa-IR"/>
        </w:rPr>
        <w:t>را تشویق کنید</w:t>
      </w:r>
      <w:r>
        <w:rPr>
          <w:rFonts w:eastAsia="IRNazanin" w:cs="IRNazanin"/>
          <w:color w:val="111111"/>
          <w:sz w:val="28"/>
          <w:szCs w:val="28"/>
          <w:rtl w:val="true"/>
          <w:lang w:bidi="fa-IR"/>
        </w:rPr>
        <w:t>.</w:t>
      </w:r>
    </w:p>
    <w:p>
      <w:pPr>
        <w:pStyle w:val="Heading3"/>
        <w:numPr>
          <w:ilvl w:val="2"/>
          <w:numId w:val="1"/>
        </w:numPr>
        <w:rPr/>
      </w:pPr>
      <w:bookmarkStart w:id="385" w:name="__RefHeading___Toc7825489_2870459653"/>
      <w:bookmarkStart w:id="386" w:name="_Toc139"/>
      <w:bookmarkEnd w:id="385"/>
      <w:r>
        <w:rPr/>
        <w:t>4</w:t>
      </w:r>
      <w:r>
        <w:rPr>
          <w:rtl w:val="true"/>
        </w:rPr>
        <w:t xml:space="preserve">. </w:t>
      </w:r>
      <w:r>
        <w:rPr>
          <w:rtl w:val="true"/>
        </w:rPr>
        <w:t>مهارت های فنی را حفظ کنید</w:t>
      </w:r>
      <w:r>
        <w:rPr>
          <w:rtl w:val="true"/>
        </w:rPr>
        <w:t>.</w:t>
      </w:r>
      <w:bookmarkEnd w:id="386"/>
    </w:p>
    <w:p>
      <w:pPr>
        <w:pStyle w:val="BookText"/>
        <w:rPr/>
      </w:pPr>
      <w:r>
        <w:rPr>
          <w:rFonts w:ascii="IRNazanin" w:hAnsi="IRNazanin" w:eastAsia="IRNazanin"/>
          <w:color w:val="111111"/>
          <w:sz w:val="28"/>
          <w:sz w:val="28"/>
          <w:szCs w:val="28"/>
          <w:rtl w:val="true"/>
          <w:lang w:bidi="fa-IR"/>
        </w:rPr>
        <w:t>آخرین منابع را حفظ کنید و اجازه ندهید مشتریانتان از شما جلو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را با اطلاعاتی که فراهم می آورید، ادغام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داخلی را روز آمد کنید، استفاده از فناوری موبایل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همه، کیفیت بالا و توان اطلاعاتی را حفظ کنید و اطمینان داشته باشید که اطلاعات به موقع تحویل داده شود</w:t>
      </w:r>
      <w:r>
        <w:rPr>
          <w:rFonts w:eastAsia="IRNazanin" w:cs="IRNazanin"/>
          <w:color w:val="111111"/>
          <w:sz w:val="28"/>
          <w:szCs w:val="28"/>
          <w:rtl w:val="true"/>
          <w:lang w:bidi="fa-IR"/>
        </w:rPr>
        <w:t>.</w:t>
      </w:r>
    </w:p>
    <w:p>
      <w:pPr>
        <w:pStyle w:val="Heading3"/>
        <w:numPr>
          <w:ilvl w:val="2"/>
          <w:numId w:val="1"/>
        </w:numPr>
        <w:rPr/>
      </w:pPr>
      <w:bookmarkStart w:id="387" w:name="__RefHeading___Toc7825491_2870459653"/>
      <w:bookmarkStart w:id="388" w:name="_Toc140"/>
      <w:bookmarkEnd w:id="387"/>
      <w:r>
        <w:rPr/>
        <w:t>5</w:t>
      </w:r>
      <w:r>
        <w:rPr>
          <w:rtl w:val="true"/>
        </w:rPr>
        <w:t xml:space="preserve">. </w:t>
      </w:r>
      <w:r>
        <w:rPr>
          <w:rtl w:val="true"/>
        </w:rPr>
        <w:t>اطلاعات آماده تصمیم گیری فراهم کنید</w:t>
      </w:r>
      <w:r>
        <w:rPr>
          <w:rtl w:val="true"/>
        </w:rPr>
        <w:t>.</w:t>
      </w:r>
      <w:bookmarkEnd w:id="388"/>
    </w:p>
    <w:p>
      <w:pPr>
        <w:pStyle w:val="BookText"/>
        <w:rPr/>
      </w:pPr>
      <w:r>
        <w:rPr>
          <w:rFonts w:ascii="IRNazanin" w:hAnsi="IRNazanin" w:eastAsia="IRNazanin"/>
          <w:color w:val="111111"/>
          <w:sz w:val="28"/>
          <w:sz w:val="28"/>
          <w:szCs w:val="28"/>
          <w:rtl w:val="true"/>
          <w:lang w:bidi="fa-IR"/>
        </w:rPr>
        <w:t>راهبردهایی وجود دارد که شما را کمک می کند به این هدف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فراهم آوری اطلاعات را تکرار کنید و اطلاعات را به اهداف سازمانی پیوند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 به طور منطقی با استفاده از استانداردهای شناخته شده هم چون اصل هرمی </w:t>
      </w:r>
      <w:r>
        <w:rPr>
          <w:rStyle w:val="FootnoteAnchor"/>
          <w:rtl w:val="true"/>
        </w:rPr>
        <w:footnoteReference w:id="565"/>
      </w:r>
      <w:r>
        <w:rPr>
          <w:rFonts w:ascii="IRNazanin" w:hAnsi="IRNazanin" w:eastAsia="IRNazanin"/>
          <w:color w:val="111111"/>
          <w:sz w:val="28"/>
          <w:sz w:val="28"/>
          <w:szCs w:val="28"/>
          <w:rtl w:val="true"/>
          <w:lang w:bidi="fa-IR"/>
        </w:rPr>
        <w:t xml:space="preserve">یا اجزای یک پارچه متنافر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میسی</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برای ایجاد نظم در فکر و ایده در حل مسائل کسب و کار باید به صورت جامع نگر عمل کرد و از هم پوشانی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فن یا منطق میسی استفاده می شود که جزو اساسی فرایند حل مسأله در مک کنزی است و به وسیله آن، مسأله به اجزای مختلف شکافته می شود و در شاخه های آن به دنبال راه حل می گردند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را هدف قرار دهید به جای توده داده ها و ابزارهای دیداری هم چون اینفوگراف ها و ابرهای واژه ای را استفاده کنید تا اطلاعات را به راحتی جذاب تر کنید</w:t>
      </w:r>
      <w:r>
        <w:rPr>
          <w:rFonts w:eastAsia="IRNazanin" w:cs="IRNazanin"/>
          <w:color w:val="111111"/>
          <w:sz w:val="28"/>
          <w:szCs w:val="28"/>
          <w:rtl w:val="true"/>
          <w:lang w:bidi="fa-IR"/>
        </w:rPr>
        <w:t>.</w:t>
      </w:r>
      <w:bookmarkStart w:id="389" w:name="pg9659_93981"/>
    </w:p>
    <w:p>
      <w:pPr>
        <w:pStyle w:val="Heading3"/>
        <w:numPr>
          <w:ilvl w:val="2"/>
          <w:numId w:val="1"/>
        </w:numPr>
        <w:rPr/>
      </w:pPr>
      <w:bookmarkStart w:id="390" w:name="__RefHeading___Toc7825493_2870459653"/>
      <w:bookmarkStart w:id="391" w:name="_Toc141"/>
      <w:bookmarkEnd w:id="389"/>
      <w:bookmarkEnd w:id="390"/>
      <w:r>
        <w:rPr>
          <w:rtl w:val="true"/>
        </w:rPr>
        <w:t>نتیجه گیری</w:t>
      </w:r>
      <w:bookmarkEnd w:id="391"/>
    </w:p>
    <w:p>
      <w:pPr>
        <w:pStyle w:val="Heading3"/>
        <w:numPr>
          <w:ilvl w:val="2"/>
          <w:numId w:val="1"/>
        </w:numPr>
        <w:rPr/>
      </w:pPr>
      <w:bookmarkStart w:id="392" w:name="__RefHeading___Toc7825495_2870459653"/>
      <w:bookmarkStart w:id="393" w:name="_Toc142"/>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آیا پیام های عمومی بیشتری برای متخصصان اطلاع رسانی که بیرون از بخش تجاری حقوقی کار می کنند، وجود دارد؟ نکته قابل توجه این است که خدمات کتاب داری و اطلاع رسانی، دیگر از نیروهای بازار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شرکت هایی وجود دارند که قادرند و تمایل دارند جایگزین های با تجربه فراهم کنند تا خدمات درون سازمانی را پایه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نیز مثل هر جای دیگر می بینیم که کتاب خانه های عمومی با بیرون، خارج از کنترل مسئولان محلی، قرارداد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کارفرمایان در دیگر بخش ها این رویه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مقاله اطلاعاتی را برای متخصصان اطلاع رسانی فراهم کند که چطور در یک بخش با چالش های جایگاه کنونی بازار مواجه شوند</w:t>
      </w:r>
      <w:r>
        <w:rPr>
          <w:rFonts w:eastAsia="IRNazanin" w:cs="IRNazanin"/>
          <w:color w:val="111111"/>
          <w:sz w:val="28"/>
          <w:szCs w:val="28"/>
          <w:rtl w:val="true"/>
          <w:lang w:bidi="fa-IR"/>
        </w:rPr>
        <w:t>.</w:t>
      </w:r>
    </w:p>
    <w:p>
      <w:pPr>
        <w:pStyle w:val="Heading3"/>
        <w:numPr>
          <w:ilvl w:val="2"/>
          <w:numId w:val="1"/>
        </w:numPr>
        <w:rPr/>
      </w:pPr>
      <w:bookmarkStart w:id="394" w:name="__RefHeading___Toc7825497_2870459653"/>
      <w:bookmarkStart w:id="395" w:name="_Toc143"/>
      <w:bookmarkEnd w:id="394"/>
      <w:r>
        <w:rPr>
          <w:rtl w:val="true"/>
        </w:rPr>
        <w:t>منابع</w:t>
      </w:r>
      <w:bookmarkEnd w:id="395"/>
    </w:p>
    <w:p>
      <w:pPr>
        <w:pStyle w:val="BookText"/>
        <w:rPr/>
      </w:pPr>
      <w:r>
        <w:rPr>
          <w:rFonts w:eastAsia="Times New Roman" w:cs="Times New Roman" w:ascii="Times New Roman" w:hAnsi="Times New Roman"/>
          <w:color w:val="111111"/>
          <w:sz w:val="28"/>
          <w:szCs w:val="28"/>
          <w:lang w:val="en-US" w:bidi="en-US"/>
        </w:rPr>
        <w:t>Brown, Fiona, “Law firm library outsourcing: the UK experience." Australian Law Librarian vol.22 no.1 2014, p.21 - 34</w:t>
      </w:r>
    </w:p>
    <w:p>
      <w:pPr>
        <w:pStyle w:val="BookText"/>
        <w:rPr/>
      </w:pPr>
      <w:r>
        <w:rPr>
          <w:rFonts w:eastAsia="Times New Roman" w:cs="Times New Roman" w:ascii="Times New Roman" w:hAnsi="Times New Roman"/>
          <w:color w:val="111111"/>
          <w:sz w:val="28"/>
          <w:szCs w:val="28"/>
          <w:lang w:val="en-US" w:bidi="en-US"/>
        </w:rPr>
        <w:t>Brown, Fiona, Outsourcing the law firm library: the UK experience. Thesis submitted for the degree of Master of Information Management and Systems (Research), Monash University 2013. http://ccnr.infotech.monash. edu/assets/docs/brown-masters-outsourcing.pdf accessed 21/07/2014</w:t>
      </w:r>
    </w:p>
    <w:p>
      <w:pPr>
        <w:pStyle w:val="BookText"/>
        <w:rPr/>
      </w:pPr>
      <w:r>
        <w:rPr>
          <w:rFonts w:eastAsia="Times New Roman" w:cs="Times New Roman" w:ascii="Times New Roman" w:hAnsi="Times New Roman"/>
          <w:color w:val="111111"/>
          <w:sz w:val="28"/>
          <w:szCs w:val="28"/>
          <w:lang w:val="en-US" w:bidi="en-US"/>
        </w:rPr>
        <w:t>Burge, Suzanne, Much pain, little gain: privatization and UK Government libraries.' INSPEL 33 (1999) 1, pp. 10-19</w:t>
      </w:r>
    </w:p>
    <w:p>
      <w:pPr>
        <w:pStyle w:val="BookText"/>
        <w:rPr/>
      </w:pPr>
      <w:r>
        <w:rPr>
          <w:rFonts w:eastAsia="Times New Roman" w:cs="Times New Roman" w:ascii="Times New Roman" w:hAnsi="Times New Roman"/>
          <w:color w:val="111111"/>
          <w:sz w:val="28"/>
          <w:szCs w:val="28"/>
          <w:lang w:val="en-US" w:bidi="en-US"/>
        </w:rPr>
        <w:t>http://forge.fh-potsdam.de/~IFLAINSPEL/99-1burs.pdf accessed 21/07/0214</w:t>
      </w:r>
    </w:p>
    <w:p>
      <w:pPr>
        <w:pStyle w:val="BookText"/>
        <w:rPr/>
      </w:pPr>
      <w:r>
        <w:rPr>
          <w:rFonts w:eastAsia="Times New Roman" w:cs="Times New Roman" w:ascii="Times New Roman" w:hAnsi="Times New Roman"/>
          <w:color w:val="111111"/>
          <w:sz w:val="28"/>
          <w:szCs w:val="28"/>
          <w:lang w:val="en-US" w:bidi="en-US"/>
        </w:rPr>
        <w:t>The evolving value of information management, and the five essential attributes of the modern information professional. Financial Times Corporate in conjunction with SLA, 2013</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http://ftcorporate.ft.com/sla/ accessed 21/07/2014</w:t>
      </w:r>
      <w:r>
        <w:rPr>
          <w:rFonts w:eastAsia="Times New Roman" w:cs="Times New Roman" w:ascii="Times New Roman" w:hAnsi="Times New Roman"/>
          <w:color w:val="111111"/>
          <w:sz w:val="28"/>
          <w:szCs w:val="28"/>
          <w:rtl w:val="true"/>
          <w:lang w:val="en-US" w:bidi="en-US"/>
        </w:rPr>
        <w:t xml:space="preserve"> </w:t>
      </w:r>
      <w:bookmarkStart w:id="396" w:name="pg9659_93982"/>
    </w:p>
    <w:p>
      <w:pPr>
        <w:pStyle w:val="Heading2"/>
        <w:numPr>
          <w:ilvl w:val="1"/>
          <w:numId w:val="1"/>
        </w:numPr>
        <w:rPr/>
      </w:pPr>
      <w:bookmarkStart w:id="397" w:name="__RefHeading___Toc7825499_2870459653"/>
      <w:bookmarkStart w:id="398" w:name="_Toc144"/>
      <w:bookmarkEnd w:id="396"/>
      <w:bookmarkEnd w:id="397"/>
      <w:r>
        <w:rPr>
          <w:rtl w:val="true"/>
        </w:rPr>
        <w:t>چکیده</w:t>
      </w:r>
      <w:bookmarkEnd w:id="398"/>
    </w:p>
    <w:p>
      <w:pPr>
        <w:pStyle w:val="BookText"/>
        <w:rPr/>
      </w:pPr>
      <w:r>
        <w:rPr>
          <w:rFonts w:ascii="IRNazanin" w:hAnsi="IRNazanin" w:eastAsia="IRNazanin"/>
          <w:color w:val="111111"/>
          <w:sz w:val="28"/>
          <w:sz w:val="28"/>
          <w:szCs w:val="28"/>
          <w:rtl w:val="true"/>
          <w:lang w:bidi="fa-IR"/>
        </w:rPr>
        <w:t>در این مقاله پایگاه داده بین المللی سانسور فانوس دریایی برای آزادی بیان</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به عنوان منبعی که ترکیبی از کتاب داری مرجع و فعالیت است را مورد بحث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داده مبتنی بر اینترنت، هم به عنوان یک محصول و هم به عنوان یک ابزار برای کتاب داری مرجع از طریق بررسی نمونه هایی از محتوای پایگاه داده و هم کاری های بین المللی بین کتاب داری و فعالیت ها را موردبررسی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پایگاه داده مستند ساختن سانسور تاریخی و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انداز جهانی، ارائه منبع یادگیری مشارکتی و تسهیل گفتگو درباره سانسور و آزادی بیان است؛ بنابراین، استدلال من این است که با ادامه هم کاری های بین المللی و ارتقاء پایگاه داده، عامل بالقوه ای برای کمک به مردم برای انجام، ساختن و تغییر چیزی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داری مرجع نشان دهنده یکی از راه هایی که کتاب خانه دسترسی به اطلاعات را ارائه می دهد است، در صورتی که خدمات مرجع شامل اشکال مختلف مدیریت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بی طرفانه نیست بلکه به طور مستقیم و غیر مستقیم توسط کارکنان کتاب خانه میانجی گری می شود و در نتیجه فرصتی برای دفاع از ارزش های صریح و ضمنی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خدمات مرجع، نه تنها برای جریان دانش و اطلاعات، بلکه برای انتقال ارزش ها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مرجع به طور خاص برای حفاظت و دادن دسترسی به اطلاعات از یک ماهیت سیاسی برای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جهت دفاع از ارزش های سیاسی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زمانی که ارزش های والا منعکس کننده اصول اساسی نقش کتاب خانه در زیر ساخت های اجتماعی که مردم را توانمند و ارزش های دموکراتیک را تقویت می کند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دریایی برای آزادی بیان مثالی از ابزار مرجع است که بر روی اصول حمایت و فعالیت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فرهنگ لغت انگلیسی آکسفورد، فعالیت سیاست مشارکت فعال و یا تعامل در حوزه های خاصی از فعالیت است؛ به طور خاص استفاده از مبارزات پرشور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سیاسی یا اجتماعی را به ارمغان می آورد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در اواسط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انجمن نروژی آزادی بیان پایگاه داده ای به عنوان یک اثر تاریخی برای سانسور رسانه ها در سراسر جهان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این بود که با هم کاری با کتاب خانه های ملی و دانشگاهی و سازمان آزادی مطبوعات داده ها را درباره سانسور در یک چشم انداز جهانی حفاظت کند و در نتیجه در طول تاریخ و در سراسر جهان نشان دهد که سانسور تهدید کننده آزادی بیان و دسترسی به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داده ترکیبی از داده های مرجع و اطلاعات جمع آوری شده توسط شبکه های بین المللی طرفدار آزادی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ابزار مرجعی است که منعکس کننده روند سانسور است و هم چنین آزادی بیان و دسترسی به اطلاعات را برجسته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انتقال دانش ارزش های اساسی کتاب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جنبه های ضمنی دسترسی به اطلاعات و اهداف اصلی فانوس دریایی برای آزادی 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داده مثال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هم کاری بین کتاب داری و فعالیت می تواند ایجاد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ارتقاء از این ابزار منحصربه فرد مرجع متکی بر به اشتراک گذاری اطلاعات در مورد سانسور فعلی و تاریخی است و در نتیجه نشان می دهد که چگونه کتاب داری مرجع می تواند با فعالیت ها هم زیستی موفقیت آمیز داشته باشد، در حالی که در اصول اساسی کتاب خانه ترویج دسترسی به اطلاعات و جریان آزاد دانش ریشه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آزادی بیان، فعالیت، مرجع، پایگاه داده </w:t>
      </w:r>
      <w:bookmarkStart w:id="399" w:name="pg9659_93983"/>
    </w:p>
    <w:p>
      <w:pPr>
        <w:pStyle w:val="Heading2"/>
        <w:numPr>
          <w:ilvl w:val="1"/>
          <w:numId w:val="1"/>
        </w:numPr>
        <w:rPr/>
      </w:pPr>
      <w:bookmarkStart w:id="400" w:name="__RefHeading___Toc7825501_2870459653"/>
      <w:bookmarkStart w:id="401" w:name="_Toc145"/>
      <w:bookmarkEnd w:id="399"/>
      <w:bookmarkEnd w:id="400"/>
      <w:r>
        <w:rPr>
          <w:rtl w:val="true"/>
        </w:rPr>
        <w:t xml:space="preserve">فانوس دریایی برای آزادی بیان </w:t>
      </w:r>
      <w:r>
        <w:rPr>
          <w:rtl w:val="true"/>
        </w:rPr>
        <w:t>«</w:t>
      </w:r>
      <w:r>
        <w:rPr>
          <w:rtl w:val="true"/>
        </w:rPr>
        <w:t>سانسور و فعالیت های مرجع</w:t>
      </w:r>
      <w:r>
        <w:rPr>
          <w:rtl w:val="true"/>
        </w:rPr>
        <w:t xml:space="preserve">» </w:t>
      </w:r>
      <w:r>
        <w:rPr>
          <w:rtl w:val="true"/>
        </w:rPr>
        <w:t>در یک چشم انداز جهانی</w:t>
      </w:r>
      <w:bookmarkEnd w:id="401"/>
    </w:p>
    <w:p>
      <w:pPr>
        <w:pStyle w:val="Heading3"/>
        <w:numPr>
          <w:ilvl w:val="2"/>
          <w:numId w:val="1"/>
        </w:numPr>
        <w:rPr/>
      </w:pPr>
      <w:bookmarkStart w:id="402" w:name="__RefHeading___Toc7825503_2870459653"/>
      <w:bookmarkStart w:id="403" w:name="_Toc146"/>
      <w:bookmarkEnd w:id="402"/>
      <w:r>
        <w:rPr>
          <w:rtl w:val="true"/>
        </w:rPr>
        <w:t>اشاره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فانوس دریایی برای 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 و فعالیت های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چشم انداز جهانی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نوشته میشل آنتوانت تیسدِل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افسانه تیموری خانی </w:t>
      </w:r>
      <w:r>
        <w:rPr>
          <w:rStyle w:val="FootnoteAnchor"/>
          <w:rtl w:val="true"/>
        </w:rPr>
        <w:footnoteReference w:id="57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مقاله پایگاه داده بین المللی 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دریایی برای 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منبعی که ترکیبی از کتاب داری مرجع و فعالیت است را مورد بحث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داده مبتنی بر اینترنت، هم به عنوان یک محصول و هم به عنوان یک ابزار برای کتاب داری مرجع از طریق بررسی نمونه هایی از محتوای پایگاه داده و هم کاری های بین المللی بین کتاب داری و فعالیت ها را مورد بررسی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پایگاه داده مستند ساختن سانسور تاریخی و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انداز جهانی، ارائه منبع یادگیری مشارکتی و تسهیل گفتگو درباره سانسور و آزادی بیان است؛ بنابراین، استدلال من این است که با ادامه هم کاری های بین المللی و ارتقاء پایگاه داده، عامل بالقوه ای برای کمک به مردم برای انجام، ساختن و تغییر چیزی به وجود می آید</w:t>
      </w:r>
      <w:r>
        <w:rPr>
          <w:rFonts w:eastAsia="IRNazanin" w:cs="IRNazanin"/>
          <w:color w:val="111111"/>
          <w:sz w:val="28"/>
          <w:szCs w:val="28"/>
          <w:rtl w:val="true"/>
          <w:lang w:bidi="fa-IR"/>
        </w:rPr>
        <w:t xml:space="preserve">. </w:t>
      </w:r>
      <w:bookmarkStart w:id="404" w:name="pg9659_93984"/>
    </w:p>
    <w:p>
      <w:pPr>
        <w:pStyle w:val="Heading3"/>
        <w:numPr>
          <w:ilvl w:val="2"/>
          <w:numId w:val="1"/>
        </w:numPr>
        <w:rPr/>
      </w:pPr>
      <w:bookmarkStart w:id="405" w:name="__RefHeading___Toc7825505_2870459653"/>
      <w:bookmarkStart w:id="406" w:name="_Toc147"/>
      <w:bookmarkEnd w:id="404"/>
      <w:bookmarkEnd w:id="405"/>
      <w:r>
        <w:rPr>
          <w:rtl w:val="true"/>
        </w:rPr>
        <w:t>کتاب خانه به عنوان زیر ساخت</w:t>
      </w:r>
      <w:r>
        <w:rPr>
          <w:rtl w:val="true"/>
        </w:rPr>
        <w:t xml:space="preserve">: </w:t>
      </w:r>
      <w:r>
        <w:rPr>
          <w:rtl w:val="true"/>
        </w:rPr>
        <w:t>کتاب خانه و فعالیت</w:t>
      </w:r>
      <w:bookmarkEnd w:id="406"/>
    </w:p>
    <w:p>
      <w:pPr>
        <w:pStyle w:val="BookText"/>
        <w:rPr/>
      </w:pPr>
      <w:r>
        <w:rPr>
          <w:rFonts w:ascii="IRNazanin" w:hAnsi="IRNazanin" w:eastAsia="IRNazanin"/>
          <w:color w:val="111111"/>
          <w:sz w:val="28"/>
          <w:sz w:val="28"/>
          <w:szCs w:val="28"/>
          <w:rtl w:val="true"/>
          <w:lang w:bidi="fa-IR"/>
        </w:rPr>
        <w:t>دسترسی به آموزش و اطلاعات از ارکان مهم توسعه اجتماعی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کتاب خانه ها، همگام با مدارس، بخش بسیار مهمی از زیرساخت های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که کتاب خانه ها بخشی از زیر ساخت یک مردم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دموکراتیک هستند، برای مدت طولانی توسط سازمان های بین المللی، از جمله ایفلا و یونسکو ترویج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بر اهمیت کتاب خانه ها به عنوان نهادهایی که اطلاعات و دانش را دموکراتیک می کند،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 کند که کتاب خانه ها به توانمندسازی مردم به طوری که آن ها می توانند دسترسی و اشتراک به اطلاعات و جریان دانش</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را داشته باشند،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ها شامل تقویت ساختار اطلاعات </w:t>
      </w:r>
      <w:r>
        <w:rPr>
          <w:rStyle w:val="FootnoteAnchor"/>
          <w:rtl w:val="true"/>
        </w:rPr>
        <w:footnoteReference w:id="573"/>
      </w:r>
      <w:r>
        <w:rPr>
          <w:rFonts w:ascii="IRNazanin" w:hAnsi="IRNazanin" w:eastAsia="IRNazanin"/>
          <w:color w:val="111111"/>
          <w:sz w:val="28"/>
          <w:sz w:val="28"/>
          <w:szCs w:val="28"/>
          <w:rtl w:val="true"/>
          <w:lang w:bidi="fa-IR"/>
        </w:rPr>
        <w:t>خدمات، برنامه ها، استانداردها و مؤسساتی که دسترسی به اطلاعات و دانش را ارتقاء می دهند است</w:t>
      </w:r>
      <w:r>
        <w:rPr>
          <w:rFonts w:eastAsia="IRNazanin" w:cs="IRNazanin"/>
          <w:color w:val="111111"/>
          <w:sz w:val="28"/>
          <w:szCs w:val="28"/>
          <w:rtl w:val="true"/>
          <w:lang w:bidi="fa-IR"/>
        </w:rPr>
        <w:t xml:space="preserve">. </w:t>
      </w:r>
      <w:r>
        <w:rPr>
          <w:rStyle w:val="FootnoteAnchor"/>
          <w:rtl w:val="true"/>
        </w:rPr>
        <w:footnoteReference w:id="574"/>
      </w:r>
    </w:p>
    <w:p>
      <w:pPr>
        <w:pStyle w:val="Heading3"/>
        <w:numPr>
          <w:ilvl w:val="2"/>
          <w:numId w:val="1"/>
        </w:numPr>
        <w:rPr/>
      </w:pPr>
      <w:bookmarkStart w:id="407" w:name="__RefHeading___Toc7825507_2870459653"/>
      <w:bookmarkStart w:id="408" w:name="_Toc148"/>
      <w:bookmarkEnd w:id="407"/>
      <w:r>
        <w:rPr>
          <w:rtl w:val="true"/>
        </w:rPr>
        <w:t>ایفلا و اِف اِی آی اِف ای</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ایفلا و اِف اِی آی اِف ای </w:t>
      </w:r>
      <w:r>
        <w:rPr>
          <w:rStyle w:val="FootnoteAnchor"/>
          <w:rtl w:val="true"/>
        </w:rPr>
        <w:footnoteReference w:id="57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بیانیه ایفلا تصدیق نقش کتاب خانه ها در زیرساخت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اصلی ایفلا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افراد، جوامع و سازمان ها نیاز به دسترسی جهانی و برابر به اطلاعات، ایده ها آثار هنری اجتماعی، آموزشی، فرهنگی، دموکراتیک و رفاه اقتصادی دارند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کمیته ایفلا در زمینه دسترسی به اطلاعات و 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هایی در مورد تهدیدات آزادی فکری در سراسر جهان در بخش کتاب خانه داده است </w:t>
      </w:r>
      <w:r>
        <w:rPr>
          <w:rStyle w:val="FootnoteAnchor"/>
          <w:rtl w:val="true"/>
        </w:rPr>
        <w:footnoteReference w:id="577"/>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اِی آی اِف ای یک سری گزارش های جهانی منتشر کرده اند که مجموعه ای از مقالات، همراه با گزارش هایی در زمینه، آزادی فکری در کشورهای عضو انفرادی است</w:t>
      </w:r>
      <w:r>
        <w:rPr>
          <w:rFonts w:eastAsia="IRNazanin" w:cs="IRNazanin"/>
          <w:color w:val="111111"/>
          <w:sz w:val="28"/>
          <w:szCs w:val="28"/>
          <w:rtl w:val="true"/>
          <w:lang w:bidi="fa-IR"/>
        </w:rPr>
        <w:t xml:space="preserve">. </w:t>
      </w:r>
      <w:bookmarkStart w:id="409" w:name="pg9659_93985"/>
    </w:p>
    <w:p>
      <w:pPr>
        <w:pStyle w:val="Heading3"/>
        <w:numPr>
          <w:ilvl w:val="2"/>
          <w:numId w:val="1"/>
        </w:numPr>
        <w:rPr/>
      </w:pPr>
      <w:bookmarkStart w:id="410" w:name="__RefHeading___Toc7825509_2870459653"/>
      <w:bookmarkStart w:id="411" w:name="_Toc149"/>
      <w:bookmarkEnd w:id="409"/>
      <w:bookmarkEnd w:id="410"/>
      <w:r>
        <w:rPr>
          <w:rtl w:val="true"/>
        </w:rPr>
        <w:t>کتاب خانه و انتقال ارزش ها</w:t>
      </w:r>
      <w:bookmarkEnd w:id="411"/>
    </w:p>
    <w:p>
      <w:pPr>
        <w:pStyle w:val="BookText"/>
        <w:rPr/>
      </w:pPr>
      <w:r>
        <w:rPr>
          <w:rFonts w:ascii="IRNazanin" w:hAnsi="IRNazanin" w:eastAsia="IRNazanin"/>
          <w:color w:val="111111"/>
          <w:sz w:val="28"/>
          <w:sz w:val="28"/>
          <w:szCs w:val="28"/>
          <w:rtl w:val="true"/>
          <w:lang w:bidi="fa-IR"/>
        </w:rPr>
        <w:t xml:space="preserve">بر اساس فرهنگ لغت انگلیسی آکسفورد، فعالیت سیاست مشارکت فعال و یا تعامل در حوزه های خاصی از فعالیت است؛ به طور خاص، استفاده از مبارزات پرشور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سیاسی یا اجتماعی را به ارمغان می آورد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اجازه بدهید که دو معیار مهمی که برای فعالیت مرجع وجود دارد را نشان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فعال و مبارزات پرشور که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این ارزش ها به طور ضمنی در علت وجودی کتاب خانه های امروزی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لازم است که اذعان داریم که تسهیل دسترسی به اطلاعات و دانش فرصتی برای انتقال ارزش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کتاب خانه نقش مهمی در توسعه اجتماعی و فردی دارد، فعالیت مرجع شامل انتخاب برخی از ارزش ها به دلایل محاسبه نتایج با نتیجه مورد نظر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داری مرجع نشان دهنده یکی از راه هایی که کتاب خانه دسترسی به اطلاعات را ارائه می دهد است، در صورتی که خدمات مرجع شامل اشکال مختلف مدیریت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بی طرفانه نیست بلکه به طور مستقیم و غیر مستقیم توسط کارکنان کتاب خانه میانجی گری می شود و در نتیجه فرصتی برای دفاع از ارزش های صریح و ضمنی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خدمات مرجع، نه تنها برای جریان دانش و اطلاعات، بلکه برای انتقال ارزش ها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مرجع به طور خاص برای حفاظت و دادن دسترسی به اطلاعات از یک ماهیت سیاسی برای افزایش فرصت ها جهت دفاع از ارزش های سیاسی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زمانی که ارزش های والا منعکس کننده اصول اساسی نقش کتاب خانه در زیر ساخت های اجتماعی که مردم را توانمند و ارزش های دموکراتیک را تقویت می کند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اصلی کتاب خانه ها حفظ، آرشیو و امکان دسترسی به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مکانی است که در آن دانش جدید پدیدار و آن را یک نهاد مولد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کتاب خانه را به نمادی برای جریان آزاد اندیشه ها و آزادی بیان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 خانه به ایجاد شهروندان آگاه کمک می کند و بنابراین مهم است که کتاب خانه ضد سانسور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جفری گرت </w:t>
      </w:r>
      <w:r>
        <w:rPr>
          <w:rStyle w:val="FootnoteAnchor"/>
          <w:rtl w:val="true"/>
        </w:rPr>
        <w:footnoteReference w:id="579"/>
      </w:r>
      <w:r>
        <w:rPr>
          <w:rFonts w:ascii="IRNazanin" w:hAnsi="IRNazanin" w:eastAsia="IRNazanin"/>
          <w:color w:val="111111"/>
          <w:sz w:val="28"/>
          <w:sz w:val="28"/>
          <w:szCs w:val="28"/>
          <w:rtl w:val="true"/>
          <w:lang w:bidi="fa-IR"/>
        </w:rPr>
        <w:t xml:space="preserve">در ویرایش کتاب ها درباره تخریب کتاب خانه ها یادداشت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کتاب سوزی </w:t>
      </w:r>
      <w:r>
        <w:rPr>
          <w:rStyle w:val="FootnoteAnchor"/>
          <w:rtl w:val="true"/>
        </w:rPr>
        <w:footnoteReference w:id="580"/>
      </w:r>
      <w:r>
        <w:rPr>
          <w:rFonts w:ascii="IRNazanin" w:hAnsi="IRNazanin" w:eastAsia="IRNazanin"/>
          <w:color w:val="111111"/>
          <w:sz w:val="28"/>
          <w:sz w:val="28"/>
          <w:szCs w:val="28"/>
          <w:rtl w:val="true"/>
          <w:lang w:bidi="fa-IR"/>
        </w:rPr>
        <w:t xml:space="preserve">، تخریب کتاب ها </w:t>
      </w:r>
      <w:r>
        <w:rPr>
          <w:rStyle w:val="FootnoteAnchor"/>
          <w:rtl w:val="true"/>
        </w:rPr>
        <w:footnoteReference w:id="581"/>
      </w:r>
      <w:r>
        <w:rPr>
          <w:rFonts w:ascii="IRNazanin" w:hAnsi="IRNazanin" w:eastAsia="IRNazanin"/>
          <w:color w:val="111111"/>
          <w:sz w:val="28"/>
          <w:sz w:val="28"/>
          <w:szCs w:val="28"/>
          <w:rtl w:val="true"/>
          <w:lang w:bidi="fa-IR"/>
        </w:rPr>
        <w:t xml:space="preserve">یا کتاب سوزی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تنها زیر ساخت های نمادین جامعه نرم</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به محتوا و خدماتش بسیار وابسته است</w:t>
      </w:r>
      <w:r>
        <w:rPr>
          <w:rFonts w:eastAsia="IRNazanin" w:cs="IRNazanin"/>
          <w:color w:val="111111"/>
          <w:sz w:val="28"/>
          <w:szCs w:val="28"/>
          <w:rtl w:val="true"/>
          <w:lang w:bidi="fa-IR"/>
        </w:rPr>
        <w:t xml:space="preserve">. </w:t>
      </w:r>
      <w:bookmarkStart w:id="412" w:name="pg9659_93986"/>
    </w:p>
    <w:p>
      <w:pPr>
        <w:pStyle w:val="BookText"/>
        <w:rPr/>
      </w:pPr>
      <w:bookmarkEnd w:id="412"/>
      <w:r>
        <w:rPr>
          <w:rFonts w:ascii="IRNazanin" w:hAnsi="IRNazanin" w:eastAsia="IRNazanin"/>
          <w:color w:val="111111"/>
          <w:sz w:val="28"/>
          <w:sz w:val="28"/>
          <w:szCs w:val="28"/>
          <w:rtl w:val="true"/>
          <w:lang w:bidi="fa-IR"/>
        </w:rPr>
        <w:t>به عنوان نهادی که به دسترسی اطلاعات اختصاص داده شده، کتاب خانه موسسه هایی ایده آل برای ترویج آگاهی سانسور و آزادی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می دهد که چرا فانوس دریایی برای آزادی بیان توسط کتاب خانه ملی مدیریت می شود، اما توضیحی نمی دهد که چگونه منابع پدید آمده است</w:t>
      </w:r>
      <w:r>
        <w:rPr>
          <w:rFonts w:eastAsia="IRNazanin" w:cs="IRNazanin"/>
          <w:color w:val="111111"/>
          <w:sz w:val="28"/>
          <w:szCs w:val="28"/>
          <w:rtl w:val="true"/>
          <w:lang w:bidi="fa-IR"/>
        </w:rPr>
        <w:t>.</w:t>
      </w:r>
    </w:p>
    <w:p>
      <w:pPr>
        <w:pStyle w:val="Heading3"/>
        <w:numPr>
          <w:ilvl w:val="2"/>
          <w:numId w:val="1"/>
        </w:numPr>
        <w:rPr/>
      </w:pPr>
      <w:bookmarkStart w:id="413" w:name="__RefHeading___Toc7825511_2870459653"/>
      <w:bookmarkStart w:id="414" w:name="_Toc150"/>
      <w:bookmarkEnd w:id="413"/>
      <w:r>
        <w:rPr>
          <w:rtl w:val="true"/>
        </w:rPr>
        <w:t>سانسور</w:t>
      </w:r>
      <w:bookmarkEnd w:id="414"/>
    </w:p>
    <w:p>
      <w:pPr>
        <w:pStyle w:val="BookText"/>
        <w:rPr/>
      </w:pPr>
      <w:r>
        <w:rPr>
          <w:rFonts w:ascii="IRNazanin" w:hAnsi="IRNazanin" w:eastAsia="IRNazanin"/>
          <w:color w:val="111111"/>
          <w:sz w:val="28"/>
          <w:sz w:val="28"/>
          <w:szCs w:val="28"/>
          <w:rtl w:val="true"/>
          <w:lang w:bidi="fa-IR"/>
        </w:rPr>
        <w:t xml:space="preserve">سانسور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آزادی بیان و آزادی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قدمت زندگی اجتماعی دارد و هنوز هم در اشکال بسیار و در تمام نقاط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باستان سانسور یک ابزار مشروع برای تنظیم زندگی سیاسی و اخلاقی مردم در نظر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ردپای واژه سانسور به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تأسيس دفتر سانسور در رم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می تواند مستقیم، غیر مستقیم و خود خواسته و با انگیزه های سیاسی، اخلاقی و ایدئولوژی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اعلامیه جهانی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سازمان ملل متحد </w:t>
      </w:r>
      <w:r>
        <w:rPr>
          <w:rStyle w:val="FootnoteAnchor"/>
          <w:rtl w:val="true"/>
        </w:rPr>
        <w:footnoteReference w:id="584"/>
      </w:r>
      <w:r>
        <w:rPr>
          <w:rFonts w:ascii="IRNazanin" w:hAnsi="IRNazanin" w:eastAsia="IRNazanin"/>
          <w:color w:val="111111"/>
          <w:sz w:val="28"/>
          <w:sz w:val="28"/>
          <w:szCs w:val="28"/>
          <w:rtl w:val="true"/>
          <w:lang w:bidi="fa-IR"/>
        </w:rPr>
        <w:t>، آزادی بیان یک حق اساسی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دولت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حق آزادی عقیده و بیان دارد این حق شامل آزادی داشتن عقیده بدون بیم و دریافت و انتقال اطلاعات و افکار از طریق هر رسانه ای و بدون ملاحظات مرزی است</w:t>
      </w:r>
      <w:r>
        <w:rPr>
          <w:rFonts w:eastAsia="IRNazanin" w:cs="IRNazanin"/>
          <w:color w:val="111111"/>
          <w:sz w:val="28"/>
          <w:szCs w:val="28"/>
          <w:rtl w:val="true"/>
          <w:lang w:bidi="fa-IR"/>
        </w:rPr>
        <w:t>»</w:t>
      </w:r>
    </w:p>
    <w:p>
      <w:pPr>
        <w:pStyle w:val="Heading3"/>
        <w:numPr>
          <w:ilvl w:val="2"/>
          <w:numId w:val="1"/>
        </w:numPr>
        <w:rPr/>
      </w:pPr>
      <w:bookmarkStart w:id="415" w:name="__RefHeading___Toc7825513_2870459653"/>
      <w:bookmarkStart w:id="416" w:name="_Toc151"/>
      <w:bookmarkEnd w:id="415"/>
      <w:r>
        <w:rPr>
          <w:rtl w:val="true"/>
        </w:rPr>
        <w:t>فانوس دریایی برای آزادی بیان</w:t>
      </w:r>
      <w:bookmarkEnd w:id="416"/>
    </w:p>
    <w:p>
      <w:pPr>
        <w:pStyle w:val="BookText"/>
        <w:rPr/>
      </w:pPr>
      <w:r>
        <w:rPr>
          <w:rFonts w:ascii="IRNazanin" w:hAnsi="IRNazanin" w:eastAsia="IRNazanin"/>
          <w:color w:val="111111"/>
          <w:sz w:val="28"/>
          <w:sz w:val="28"/>
          <w:szCs w:val="28"/>
          <w:rtl w:val="true"/>
          <w:lang w:bidi="fa-IR"/>
        </w:rPr>
        <w:t xml:space="preserve">پایگاه داده بین المللی سانسور، فانوس دریایی برای آزادی بیان، یک منبع مبتنی بر اینترنت رایگان است که شامل تقریباً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کتاب سانسور شده، روزنامه ها و انواع دیگر رسانه ها و هم چنین پیشینه سانسور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دریایی سه هدف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اطلاعات در مورد سانسور تاریخی و جاری در یک چشم انداز جهانی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منبع یادگیری مشارکتی برای محققان، دانشجویان و فعالان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گفتگو در مورد سانسور، آزادی بیان و حقوق بشر از طریق وب سایت و برنامه های آن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 روزنامه ها، پخش برنامه های رادیویی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تلویزیونی و وب سایت هایی در پایگاه داده فانوس </w:t>
      </w:r>
      <w:bookmarkStart w:id="417" w:name="pg9659_93987"/>
    </w:p>
    <w:p>
      <w:pPr>
        <w:pStyle w:val="BookText"/>
        <w:rPr/>
      </w:pPr>
      <w:bookmarkEnd w:id="417"/>
      <w:r>
        <w:rPr>
          <w:rFonts w:ascii="IRNazanin" w:hAnsi="IRNazanin" w:eastAsia="IRNazanin"/>
          <w:color w:val="111111"/>
          <w:sz w:val="28"/>
          <w:sz w:val="28"/>
          <w:szCs w:val="28"/>
          <w:rtl w:val="true"/>
          <w:lang w:bidi="fa-IR"/>
        </w:rPr>
        <w:t>دریایی ثبت می شوند که سانسور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اخلاقی، مذهبی و یا سیاسی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دولت، مقامات حاکم یا بدنه مربوط به دولت</w:t>
      </w:r>
    </w:p>
    <w:p>
      <w:pPr>
        <w:pStyle w:val="BookText"/>
        <w:rPr/>
      </w:pPr>
      <w:r>
        <w:rPr>
          <w:rFonts w:ascii="IRNazanin" w:hAnsi="IRNazanin" w:eastAsia="IRNazanin"/>
          <w:color w:val="111111"/>
          <w:sz w:val="28"/>
          <w:sz w:val="28"/>
          <w:szCs w:val="28"/>
          <w:rtl w:val="true"/>
          <w:lang w:bidi="fa-IR"/>
        </w:rPr>
        <w:t>پایگاه داده، محصول همکاری های بین المللی است و نشان می دهد، چگونه جامعه مدنی و سازمان های فعال، کتاب خانه ها و آرشیوها می توانند برای ایجاد منابع جهت افزایش آگاهی در مورد سانسور تاریخی و جاری و هم چنین ترویج آزادی بیان هم کاری کنند</w:t>
      </w:r>
      <w:r>
        <w:rPr>
          <w:rFonts w:eastAsia="IRNazanin" w:cs="IRNazanin"/>
          <w:color w:val="111111"/>
          <w:sz w:val="28"/>
          <w:szCs w:val="28"/>
          <w:rtl w:val="true"/>
          <w:lang w:bidi="fa-IR"/>
        </w:rPr>
        <w:t>.</w:t>
      </w:r>
    </w:p>
    <w:p>
      <w:pPr>
        <w:pStyle w:val="Heading3"/>
        <w:numPr>
          <w:ilvl w:val="2"/>
          <w:numId w:val="1"/>
        </w:numPr>
        <w:rPr/>
      </w:pPr>
      <w:bookmarkStart w:id="418" w:name="__RefHeading___Toc7825515_2870459653"/>
      <w:bookmarkStart w:id="419" w:name="_Toc152"/>
      <w:bookmarkEnd w:id="418"/>
      <w:r>
        <w:rPr>
          <w:rtl w:val="true"/>
        </w:rPr>
        <w:t>پیش زمینه و چشم انداز</w:t>
      </w:r>
      <w:bookmarkEnd w:id="419"/>
    </w:p>
    <w:p>
      <w:pPr>
        <w:pStyle w:val="Heading4"/>
        <w:numPr>
          <w:ilvl w:val="3"/>
          <w:numId w:val="1"/>
        </w:numPr>
        <w:rPr/>
      </w:pPr>
      <w:bookmarkStart w:id="420" w:name="__RefHeading___Toc7825517_2870459653"/>
      <w:bookmarkStart w:id="421" w:name="_Toc153"/>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فانوس دریایی به عنوان یک ابزار برای دسترسی به دانش و اطلاعات ایجاد شد و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خانه جدید اسکندریه در مصر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نروژی آزادی بیان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نِفی </w:t>
      </w:r>
      <w:r>
        <w:rPr>
          <w:rStyle w:val="FootnoteAnchor"/>
        </w:rPr>
        <w:footnoteReference w:id="586"/>
      </w:r>
      <w:r>
        <w:rPr>
          <w:rFonts w:eastAsia="IRNazanin" w:cs="IRNazanin"/>
          <w:color w:val="111111"/>
          <w:sz w:val="28"/>
          <w:szCs w:val="28"/>
          <w:lang w:bidi="fa-IR"/>
        </w:rPr>
        <w:t>1995</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شناسایی و در دسترس قرار دادن منابع اطلاعاتی در مورد سانسور جاری و تاریخی در سراسر جهان بررسی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تأیید کرد که اطلاعات اغلب در فهرست های چاپ شده و یا در فایلهای دستی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هم چنین به این نتیجه رسید که سوابق تاریخی از کتاب ها و روزنامه های سانسور شده توسط سازمان های دولتی، دانشگاه و یا کتاب خانه های ملی اداره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مطالعه نفی، نگارنده و تصویرگر، مت نیوت </w:t>
      </w:r>
      <w:r>
        <w:rPr>
          <w:rStyle w:val="FootnoteAnchor"/>
          <w:rtl w:val="true"/>
        </w:rPr>
        <w:footnoteReference w:id="587"/>
      </w:r>
      <w:r>
        <w:rPr>
          <w:rFonts w:ascii="IRNazanin" w:hAnsi="IRNazanin" w:eastAsia="IRNazanin"/>
          <w:color w:val="111111"/>
          <w:sz w:val="28"/>
          <w:sz w:val="28"/>
          <w:szCs w:val="28"/>
          <w:rtl w:val="true"/>
          <w:lang w:bidi="fa-IR"/>
        </w:rPr>
        <w:t>، در زمان جشن افتتاح کتاب خانه جدید اسکندریه یک پایگاه داده ابتکاری سانسور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این بود که هر محتوایی از پایگاه داده دیگر سازمان های اجتماعی و فعالان مدنی و هم چنین از کتاب خانه ها و بایگانی از طریق همکاری و گفت وگو بین المللی برداشت شود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نتیجه یک نمونه اولیه از یک پایگاه داده بین المللی است که در کنار نمونه های تاریخی سانسور در روسیه، لیتوانی، آفریقای جنوبی و نروژ خصوصاً در طول جنگ </w:t>
      </w:r>
    </w:p>
    <w:p>
      <w:pPr>
        <w:pStyle w:val="BookText"/>
        <w:rPr/>
      </w:pPr>
      <w:r>
        <w:rPr>
          <w:rFonts w:ascii="IRNazanin" w:hAnsi="IRNazanin" w:eastAsia="IRNazanin"/>
          <w:color w:val="111111"/>
          <w:sz w:val="28"/>
          <w:sz w:val="28"/>
          <w:szCs w:val="28"/>
          <w:rtl w:val="true"/>
          <w:lang w:bidi="fa-IR"/>
        </w:rPr>
        <w:t xml:space="preserve">جهانی دوم و فهرست کلیسای کاتولیک لیبروریم پروهیبیتوریم </w:t>
      </w:r>
      <w:r>
        <w:rPr>
          <w:rStyle w:val="FootnoteAnchor"/>
          <w:rtl w:val="true"/>
        </w:rPr>
        <w:footnoteReference w:id="589"/>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لیبروریم پروهیبیتوریم یک مثال قابل توجه از سانسور تاریخی است و به عنوان اولین فهرست موجودی نظام مند ادبیات ممنوع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فهرست در سال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آخرین بیست فهرست در اواخر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نمونه هایی از سانسور تاریخی، پایگاه داده، اطلاعات در مورد سانسور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می کند، در این میان، موسسه بین المللی 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آیِفکس</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یک شبکه جهانی است که از آزادی بیان دفاع و آن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شبکه آیفِکس شامل انجمن روزنامه نگاران، سازمان های حقوق بشر و دیگر بازیگران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اندرکاران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دولتی است که مروج آزادی بیان و دموکراسی در کشورهای متبوع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آیفِکس گزارش روزانه ایجاد می کند و آیفِکس هفته </w:t>
      </w:r>
      <w:r>
        <w:rPr>
          <w:rStyle w:val="FootnoteAnchor"/>
          <w:rtl w:val="true"/>
        </w:rPr>
        <w:footnoteReference w:id="591"/>
      </w:r>
      <w:r>
        <w:rPr>
          <w:rFonts w:ascii="IRNazanin" w:hAnsi="IRNazanin" w:eastAsia="IRNazanin"/>
          <w:color w:val="111111"/>
          <w:sz w:val="28"/>
          <w:sz w:val="28"/>
          <w:szCs w:val="28"/>
          <w:rtl w:val="true"/>
          <w:lang w:bidi="fa-IR"/>
        </w:rPr>
        <w:t>، آزادی بیان و سانسور در سراسر جهان را به روزرسانی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سازمان های عضو این شبکه و پژوهش های این شبکه، آیفِکس مسائل مهم، مانند دسترسی به اطلاعات، سانسور، حقوق قومی، آزادی اجتماعات و قوانین مؤثر بر آزادی بیان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 ها گزارش های مستقیم در مورد سانسور ارائه می دهند، مانند این که مقامات مسئول کتاب ها را توقیف، وب سایت ها را بلوک و پخش برنامه ها را قطع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شبکه آیفِکس و بیانیه ها مثال های ملموسی از این چنین فعالیت ها، گزارش ها و جمع آوری داده ها، به خوبی فرایندهای دموکراتیک در سطح خرد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مدنی و سازمان های فعال یک شبکه بین المللی تشکیل می دهند که تهدیدهای آزادی بیان را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 ها دموکراسی در عمل یا حداقل، اشارات کلامی به مردم سالاری است که دسترسی به اطلاعات و آزادی بیان را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در سطح جهانی به گردش در می آیند و داده های کوچکی که در غیر این صورت ممکن بود، بدون توجه بمانند به ارمغان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گزارش ها اغلب نمونه هایی هستند که دلایل این که چرا ضروری است برای آزادی بیان مبازره و با سانسور نبرد کنیم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مثال از سر فصل بیانیه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دولت پوشش خبری نا آرامی را هک و نابود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اضطراری برداشته اما نقض حقوق ادامه دارد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متعهد به اصلاح لافینگ استوک</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قانون افترا </w:t>
      </w:r>
      <w:bookmarkStart w:id="422" w:name="pg9659_93989"/>
    </w:p>
    <w:p>
      <w:pPr>
        <w:pStyle w:val="BookText"/>
        <w:rPr/>
      </w:pPr>
      <w:bookmarkEnd w:id="4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ویرایشگر کرد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مسلح و سیاستمداران در پشت حمله به روزنامه نگاران، می گوید اتحادیه ملی خبرنگاران سومالی</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جهانی آزادی مطبوعات یونسکو برای داوطلبان علنی شد </w:t>
      </w:r>
      <w:r>
        <w:rPr>
          <w:rStyle w:val="FootnoteAnchor"/>
          <w:rtl w:val="true"/>
        </w:rPr>
        <w:footnoteReference w:id="594"/>
      </w:r>
    </w:p>
    <w:p>
      <w:pPr>
        <w:pStyle w:val="Heading3"/>
        <w:numPr>
          <w:ilvl w:val="2"/>
          <w:numId w:val="1"/>
        </w:numPr>
        <w:rPr/>
      </w:pPr>
      <w:bookmarkStart w:id="423" w:name="__RefHeading___Toc7825519_2870459653"/>
      <w:bookmarkStart w:id="424" w:name="_Toc154"/>
      <w:bookmarkEnd w:id="423"/>
      <w:r>
        <w:rPr>
          <w:rtl w:val="true"/>
        </w:rPr>
        <w:t>.</w:t>
      </w:r>
      <w:r>
        <w:rPr/>
        <w:t>12</w:t>
      </w:r>
      <w:r>
        <w:rPr>
          <w:rtl w:val="true"/>
        </w:rPr>
        <w:t xml:space="preserve">ژانویه </w:t>
      </w:r>
      <w:r>
        <w:rPr/>
        <w:t>2011</w:t>
      </w:r>
      <w:r>
        <w:rPr>
          <w:rtl w:val="true"/>
        </w:rPr>
        <w:t xml:space="preserve">: </w:t>
      </w:r>
      <w:r>
        <w:rPr>
          <w:rtl w:val="true"/>
        </w:rPr>
        <w:t>مقر دولت پوشش خبری ناآرامی را هک و نابود می کند</w:t>
      </w:r>
      <w:bookmarkEnd w:id="424"/>
    </w:p>
    <w:p>
      <w:pPr>
        <w:pStyle w:val="BookText"/>
        <w:rPr/>
      </w:pPr>
      <w:r>
        <w:rPr>
          <w:rFonts w:ascii="IRNazanin" w:hAnsi="IRNazanin" w:eastAsia="IRNazanin"/>
          <w:color w:val="111111"/>
          <w:sz w:val="28"/>
          <w:sz w:val="28"/>
          <w:szCs w:val="28"/>
          <w:rtl w:val="true"/>
          <w:lang w:bidi="fa-IR"/>
        </w:rPr>
        <w:t>در کنار تظاهرات، سرکوب رسانه ها هم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حمایت از روزنامه 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پی جی</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گزارش می دهد که در اواخر ماه دسامبر، مقامات دکه های روزنامه فروشی را مصادره کردند، نسخه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از الموكیف</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 یک هفته نامه مخالف و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کاغذ مخالف 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الجيدايد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هر دو رسانه به طور گسترده ای حوادث آشکار سیدی بوزید </w:t>
      </w:r>
      <w:r>
        <w:rPr>
          <w:rStyle w:val="FootnoteAnchor"/>
          <w:rtl w:val="true"/>
        </w:rPr>
        <w:footnoteReference w:id="598"/>
      </w:r>
      <w:r>
        <w:rPr>
          <w:rFonts w:ascii="IRNazanin" w:hAnsi="IRNazanin" w:eastAsia="IRNazanin"/>
          <w:color w:val="111111"/>
          <w:sz w:val="28"/>
          <w:sz w:val="28"/>
          <w:szCs w:val="28"/>
          <w:rtl w:val="true"/>
          <w:lang w:bidi="fa-IR"/>
        </w:rPr>
        <w:t xml:space="preserve">را پوشش می دادند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فانوس دریایی جهانی است و امکان مقایسه روند سانسور را در بین کشورها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ابزار منحصر به فرد مرجع است و طبیعت کتاب خانه ها را از طرق مختلف منعکس می کند</w:t>
      </w:r>
      <w:r>
        <w:rPr>
          <w:rFonts w:eastAsia="IRNazanin" w:cs="IRNazanin"/>
          <w:color w:val="111111"/>
          <w:sz w:val="28"/>
          <w:szCs w:val="28"/>
          <w:rtl w:val="true"/>
          <w:lang w:bidi="fa-IR"/>
        </w:rPr>
        <w:t>.</w:t>
      </w:r>
    </w:p>
    <w:p>
      <w:pPr>
        <w:pStyle w:val="Heading3"/>
        <w:numPr>
          <w:ilvl w:val="2"/>
          <w:numId w:val="1"/>
        </w:numPr>
        <w:rPr/>
      </w:pPr>
      <w:bookmarkStart w:id="425" w:name="__RefHeading___Toc7825521_2870459653"/>
      <w:bookmarkStart w:id="426" w:name="_Toc155"/>
      <w:bookmarkEnd w:id="425"/>
      <w:r>
        <w:rPr>
          <w:rtl w:val="true"/>
        </w:rPr>
        <w:t xml:space="preserve">پیامدهای محلی </w:t>
      </w:r>
      <w:r>
        <w:rPr>
          <w:rtl w:val="true"/>
        </w:rPr>
        <w:t xml:space="preserve">- </w:t>
      </w:r>
      <w:r>
        <w:rPr>
          <w:rtl w:val="true"/>
        </w:rPr>
        <w:t>جهانی سانسور چیست؟</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پیامد های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w:t>
      </w:r>
      <w:r>
        <w:rPr>
          <w:rStyle w:val="FootnoteAnchor"/>
          <w:rtl w:val="true"/>
        </w:rPr>
        <w:footnoteReference w:id="600"/>
      </w:r>
      <w:r>
        <w:rPr>
          <w:rFonts w:ascii="IRNazanin" w:hAnsi="IRNazanin" w:eastAsia="IRNazanin"/>
          <w:color w:val="111111"/>
          <w:sz w:val="28"/>
          <w:sz w:val="28"/>
          <w:szCs w:val="28"/>
          <w:rtl w:val="true"/>
          <w:lang w:bidi="fa-IR"/>
        </w:rPr>
        <w:t>سانسور چیست؟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جنبه مهم از فعالیت های مرجع امروز، تمرکز بر این دارد که چگونه ما برای این که مسائل مهم در کتاب خانه را برجسته کنیم، می توانیم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فکر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یک نمونه از موارد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 نروژی تامس هیلاند اریکسن </w:t>
      </w:r>
      <w:r>
        <w:rPr>
          <w:rStyle w:val="FootnoteAnchor"/>
          <w:rtl w:val="true"/>
        </w:rPr>
        <w:footnoteReference w:id="601"/>
      </w:r>
      <w:r>
        <w:rPr>
          <w:rFonts w:ascii="IRNazanin" w:hAnsi="IRNazanin" w:eastAsia="IRNazanin"/>
          <w:color w:val="111111"/>
          <w:sz w:val="28"/>
          <w:sz w:val="28"/>
          <w:szCs w:val="28"/>
          <w:rtl w:val="true"/>
          <w:lang w:bidi="fa-IR"/>
        </w:rPr>
        <w:t xml:space="preserve">اشاره می کند که زندگی مردم نه کاملاً جهانی و نه کاملاً محلی هستند آن ها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اریکسن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هم چنین می توانید به تظاهرات محلی از مسائل جهانی، فرآیندها و شرایط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سانسور،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می تواند چندین ابعاد داشته و به نحوه اشتراک، دسترسی، تجربه، تفسیر و حفظ اطلاعات و افکار در سطح جهانی و به صورت محلی اعمال گردد </w:t>
      </w:r>
      <w:bookmarkStart w:id="427" w:name="pg9659_93990"/>
    </w:p>
    <w:p>
      <w:pPr>
        <w:pStyle w:val="BookText"/>
        <w:rPr/>
      </w:pPr>
      <w:bookmarkEnd w:id="427"/>
      <w:r>
        <w:rPr>
          <w:rFonts w:ascii="IRNazanin" w:hAnsi="IRNazanin" w:eastAsia="IRNazanin"/>
          <w:color w:val="111111"/>
          <w:sz w:val="28"/>
          <w:sz w:val="28"/>
          <w:szCs w:val="28"/>
          <w:rtl w:val="true"/>
          <w:lang w:bidi="fa-IR"/>
        </w:rPr>
        <w:t>در کتاب خانه شخص می تواند از یک مکان به جهان دسترسی داشته باشد، در نتیجه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بیشتر و بیشتری برای خواندن همان ادبیات و دیدن همان فیلم، همان برنامه تلویزیونی و تجربه حوادث مشابه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دسترسی بیشتر به اطلاعات در مورد تفاوت های برجسته در جهان بیش از پیش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طور فزاینده دسترسی به محصولات فرهنگی و اطلاعات مشابه زیاد می شود، اما اغلب تفسیر و درک تجارب خودمان را از دیدگاه های محلی و ملی داریم؛ مانند ایده ها و ارزش ها، کتاب ها، فیلم ها و دیگر اصطلاحات فرهنگی که می تواند واکنش های مختلف در مکان های مختلف ایجاد کنند؛ بنابراین، از آن جایی که محدودیت و شرایط برای آزادی بیان در جوامع مختلف متفاوت است، لذا انواع مختلف سانسور و اعمال سانسورهای مختلف در سراسر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نروژی آزادی بیان نگران سانسور در یک چشم انداز جهانی است</w:t>
      </w:r>
      <w:r>
        <w:rPr>
          <w:rFonts w:eastAsia="IRNazanin" w:cs="IRNazanin"/>
          <w:color w:val="111111"/>
          <w:sz w:val="28"/>
          <w:szCs w:val="28"/>
          <w:rtl w:val="true"/>
          <w:lang w:bidi="fa-IR"/>
        </w:rPr>
        <w:t>.</w:t>
      </w:r>
    </w:p>
    <w:p>
      <w:pPr>
        <w:pStyle w:val="Heading3"/>
        <w:numPr>
          <w:ilvl w:val="2"/>
          <w:numId w:val="1"/>
        </w:numPr>
        <w:rPr/>
      </w:pPr>
      <w:bookmarkStart w:id="428" w:name="__RefHeading___Toc7825523_2870459653"/>
      <w:bookmarkStart w:id="429" w:name="_Toc156"/>
      <w:bookmarkEnd w:id="428"/>
      <w:r>
        <w:rPr>
          <w:rtl w:val="true"/>
        </w:rPr>
        <w:t>فعالیت های بیشتر مرجع</w:t>
      </w:r>
      <w:bookmarkEnd w:id="429"/>
    </w:p>
    <w:p>
      <w:pPr>
        <w:pStyle w:val="Heading4"/>
        <w:numPr>
          <w:ilvl w:val="3"/>
          <w:numId w:val="1"/>
        </w:numPr>
        <w:rPr/>
      </w:pPr>
      <w:bookmarkStart w:id="430" w:name="__RefHeading___Toc7825525_2870459653"/>
      <w:bookmarkStart w:id="431" w:name="_Toc157"/>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شاید آسان تر باشد که شما به ترکیب فعالیت و کتاب داری مرجع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می خواهم نشان دهم که خدمات مرجع نه تنها باید شامل فعالیت سازمان از میان منابع معتبر خود باشد، بلکه شاید فعالیت های سازمان های دیگر به عنوان با ارزشترین منابع را ببینید، خصوصاً زمانی که به طور خاص بر موضوعات با ارزش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منابع منحصر به فرد سازمانی و اطلاعات جایگزین سبب می شود که فعالیت های حرفه ای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نکته جهت ترکیب فعالیت و کتاب داری مرجع برای سانسور و آزادی بیان وجود دارد</w:t>
      </w:r>
      <w:r>
        <w:rPr>
          <w:rFonts w:eastAsia="IRNazanin" w:cs="IRNazanin"/>
          <w:color w:val="111111"/>
          <w:sz w:val="28"/>
          <w:szCs w:val="28"/>
          <w:rtl w:val="true"/>
          <w:lang w:bidi="fa-IR"/>
        </w:rPr>
        <w:t>.</w:t>
      </w:r>
    </w:p>
    <w:p>
      <w:pPr>
        <w:pStyle w:val="Heading4"/>
        <w:numPr>
          <w:ilvl w:val="3"/>
          <w:numId w:val="1"/>
        </w:numPr>
        <w:rPr/>
      </w:pPr>
      <w:bookmarkStart w:id="432" w:name="__RefHeading___Toc7825527_2870459653"/>
      <w:bookmarkStart w:id="433" w:name="_Toc158"/>
      <w:bookmarkEnd w:id="432"/>
      <w:r>
        <w:rPr/>
        <w:t>1</w:t>
      </w:r>
      <w:r>
        <w:rPr>
          <w:rtl w:val="true"/>
        </w:rPr>
        <w:t xml:space="preserve">- </w:t>
      </w:r>
      <w:r>
        <w:rPr>
          <w:rtl w:val="true"/>
        </w:rPr>
        <w:t>جستجو برای به روز رسانی منظم در مورد سانسور از منظر جهانی</w:t>
      </w:r>
      <w:bookmarkEnd w:id="433"/>
    </w:p>
    <w:p>
      <w:pPr>
        <w:pStyle w:val="Heading5"/>
        <w:numPr>
          <w:ilvl w:val="4"/>
          <w:numId w:val="1"/>
        </w:numPr>
        <w:rPr/>
      </w:pPr>
      <w:bookmarkStart w:id="434" w:name="__RefHeading___Toc7825529_2870459653"/>
      <w:bookmarkStart w:id="435" w:name="_Toc159"/>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اشتراک در به روزرسانی دوره ای از آیفِکس، شاخص سانسور، فریموسا </w:t>
      </w:r>
      <w:r>
        <w:rPr>
          <w:rStyle w:val="FootnoteAnchor"/>
          <w:rtl w:val="true"/>
        </w:rPr>
        <w:footnoteReference w:id="602"/>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سمپسونیا وی </w:t>
      </w:r>
      <w:r>
        <w:rPr>
          <w:rStyle w:val="FootnoteAnchor"/>
          <w:rtl w:val="true"/>
        </w:rPr>
        <w:footnoteReference w:id="603"/>
      </w:r>
      <w:r>
        <w:rPr>
          <w:rFonts w:ascii="IRNazanin" w:hAnsi="IRNazanin" w:eastAsia="IRNazanin"/>
          <w:color w:val="111111"/>
          <w:sz w:val="28"/>
          <w:sz w:val="28"/>
          <w:szCs w:val="28"/>
          <w:rtl w:val="true"/>
          <w:lang w:bidi="fa-IR"/>
        </w:rPr>
        <w:t>، منابع آموزنده ای از اطلاعات سانسور در یک چشم انداز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هایی که سبب تسهیل گفتگو، بالا بردن سطح آگاهی و ایجاد کمپین به طرفداری و حمایت از نویسندگان و هنرمندان آزار و اذیت 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الهام گرفته از اعلامیه حقوق بشر سازمان ملل متحد است که سیاست ها و قوانینی که از آزادی بیان در سراسر جهان حمایت می کند را تدوین و ترویج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فریموسا درباره سانسور موسیقی در سراسر جهان و کمپین هایی که به طرفداری از هنرمندان آزار و اذیت شده تشکیل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سانسور هم یک سازمان بین المللی و هم </w:t>
      </w:r>
      <w:bookmarkStart w:id="436" w:name="pg9659_93991"/>
    </w:p>
    <w:p>
      <w:pPr>
        <w:pStyle w:val="BookText"/>
        <w:rPr/>
      </w:pPr>
      <w:bookmarkEnd w:id="436"/>
      <w:r>
        <w:rPr>
          <w:rFonts w:ascii="IRNazanin" w:hAnsi="IRNazanin" w:eastAsia="IRNazanin"/>
          <w:color w:val="111111"/>
          <w:sz w:val="28"/>
          <w:sz w:val="28"/>
          <w:szCs w:val="28"/>
          <w:rtl w:val="true"/>
          <w:lang w:bidi="fa-IR"/>
        </w:rPr>
        <w:t>یک مجله است که آزادی بیان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سمپسونیاوی یک مجله بر خط است که با حمایت مالی شهر پناهندگی پیتزبورگ </w:t>
      </w:r>
      <w:r>
        <w:rPr>
          <w:rStyle w:val="FootnoteAnchor"/>
          <w:rtl w:val="true"/>
        </w:rPr>
        <w:footnoteReference w:id="604"/>
      </w:r>
      <w:r>
        <w:rPr>
          <w:rFonts w:ascii="IRNazanin" w:hAnsi="IRNazanin" w:eastAsia="IRNazanin"/>
          <w:color w:val="111111"/>
          <w:sz w:val="28"/>
          <w:sz w:val="28"/>
          <w:szCs w:val="28"/>
          <w:rtl w:val="true"/>
          <w:lang w:bidi="fa-IR"/>
        </w:rPr>
        <w:t>که هدف آن ایجاد یک جامعه پررونق برای نویسندگان، خوانندگان و اهل محل است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سمپسونیاوی و شاخص سانسور اخبار در مورد تهدید به آزادی بیان در سراسر جهان را گزارش می دهد و با انتشار آثار اصلی نویسندگانی که تحت آزار هستند از آن ها حمایت می کند</w:t>
      </w:r>
      <w:r>
        <w:rPr>
          <w:rFonts w:eastAsia="IRNazanin" w:cs="IRNazanin"/>
          <w:color w:val="111111"/>
          <w:sz w:val="28"/>
          <w:szCs w:val="28"/>
          <w:rtl w:val="true"/>
          <w:lang w:bidi="fa-IR"/>
        </w:rPr>
        <w:t>.</w:t>
      </w:r>
    </w:p>
    <w:p>
      <w:pPr>
        <w:pStyle w:val="Heading5"/>
        <w:numPr>
          <w:ilvl w:val="4"/>
          <w:numId w:val="1"/>
        </w:numPr>
        <w:rPr/>
      </w:pPr>
      <w:bookmarkStart w:id="437" w:name="__RefHeading___Toc7825531_2870459653"/>
      <w:bookmarkStart w:id="438" w:name="_Toc160"/>
      <w:bookmarkEnd w:id="437"/>
      <w:r>
        <w:rPr>
          <w:rtl w:val="true"/>
        </w:rPr>
        <w:t>انجمن بین المللی قلم</w:t>
      </w:r>
      <w:bookmarkEnd w:id="438"/>
    </w:p>
    <w:p>
      <w:pPr>
        <w:pStyle w:val="BookText"/>
        <w:rPr/>
      </w:pPr>
      <w:r>
        <w:rPr>
          <w:rFonts w:ascii="IRNazanin" w:hAnsi="IRNazanin" w:eastAsia="IRNazanin"/>
          <w:color w:val="111111"/>
          <w:sz w:val="28"/>
          <w:sz w:val="28"/>
          <w:szCs w:val="28"/>
          <w:rtl w:val="true"/>
          <w:lang w:bidi="fa-IR"/>
        </w:rPr>
        <w:t xml:space="preserve">انجمن بین المللی قلم،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نوشتن و آزادی بیان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برای شاعران، نمایشنامه نویسان، مقاله نویسان، ویراستاران و نویسندگان است و بیش از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بین المللی توسط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انجمن ملی قلم در سراسر جهان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تا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صحنه بین المللی فعال بوده مروج سانسور و در اوایل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علنی سوزاندن کتاب در حکومت نازی ها در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کمپین قلم برای نویسندگان زندانی و تحت آزار و اذیت قرار گرفته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انجام می دهیم و هر آن چه که انجام می گیرد، هدف ارتباط فرد با گروه بین المللی و ارتباط فرهنگ ها و زبان ها با خوانندگان و نویسندگان در هر شرایط و هر کجا که زندگی می کنند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 کار سازمان نشان دهنده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و اتصال مناطق به مسائل و فرآیندهای جهانی است</w:t>
      </w:r>
      <w:r>
        <w:rPr>
          <w:rFonts w:eastAsia="IRNazanin" w:cs="IRNazanin"/>
          <w:color w:val="111111"/>
          <w:sz w:val="28"/>
          <w:szCs w:val="28"/>
          <w:rtl w:val="true"/>
          <w:lang w:bidi="fa-IR"/>
        </w:rPr>
        <w:t>.</w:t>
      </w:r>
    </w:p>
    <w:p>
      <w:pPr>
        <w:pStyle w:val="Heading4"/>
        <w:numPr>
          <w:ilvl w:val="3"/>
          <w:numId w:val="1"/>
        </w:numPr>
        <w:rPr/>
      </w:pPr>
      <w:bookmarkStart w:id="439" w:name="__RefHeading___Toc7825533_2870459653"/>
      <w:bookmarkStart w:id="440" w:name="_Toc161"/>
      <w:bookmarkEnd w:id="439"/>
      <w:r>
        <w:rPr/>
        <w:t>2</w:t>
      </w:r>
      <w:r>
        <w:rPr>
          <w:rtl w:val="true"/>
        </w:rPr>
        <w:t xml:space="preserve">- </w:t>
      </w:r>
      <w:r>
        <w:rPr>
          <w:rtl w:val="true"/>
        </w:rPr>
        <w:t>در مورد آیکورن و پناهگاه های شهری در کشور شما بیشتر بدانیم</w:t>
      </w:r>
      <w:r>
        <w:rPr>
          <w:rtl w:val="true"/>
        </w:rPr>
        <w:t>.</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آیکون </w:t>
      </w:r>
      <w:r>
        <w:rPr>
          <w:rStyle w:val="FootnoteAnchor"/>
          <w:rtl w:val="true"/>
        </w:rPr>
        <w:footnoteReference w:id="605"/>
      </w:r>
      <w:r>
        <w:rPr>
          <w:rFonts w:ascii="IRNazanin" w:hAnsi="IRNazanin" w:eastAsia="IRNazanin"/>
          <w:color w:val="111111"/>
          <w:sz w:val="28"/>
          <w:sz w:val="28"/>
          <w:szCs w:val="28"/>
          <w:rtl w:val="true"/>
          <w:lang w:bidi="fa-IR"/>
        </w:rPr>
        <w:t>و پناهندگاه های شهری در کشور شما بیشتر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آیکورن، نویسندگان مهمان </w:t>
      </w:r>
      <w:r>
        <w:rPr>
          <w:rStyle w:val="FootnoteAnchor"/>
          <w:rtl w:val="true"/>
        </w:rPr>
        <w:footnoteReference w:id="606"/>
      </w:r>
      <w:r>
        <w:rPr>
          <w:rFonts w:ascii="IRNazanin" w:hAnsi="IRNazanin" w:eastAsia="IRNazanin"/>
          <w:color w:val="111111"/>
          <w:sz w:val="28"/>
          <w:sz w:val="28"/>
          <w:szCs w:val="28"/>
          <w:rtl w:val="true"/>
          <w:lang w:bidi="fa-IR"/>
        </w:rPr>
        <w:t>و آثارشان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نویسندگان مهمان و شهرهای عضو در کشور و یا منطقه شما وجود دارند؟ نویسندگان مهمان آیکورن را به موسسه خود دعوت کنید در مورد کارشان و یا سانسور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فرصت های مناسب برای ترویج نویسندگان مهمان به همکاران و کاربرانتان باشید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آیکورن، شبکه بین المللی شهرهای مأمن </w:t>
      </w:r>
      <w:r>
        <w:rPr>
          <w:rStyle w:val="FootnoteAnchor"/>
          <w:rtl w:val="true"/>
        </w:rPr>
        <w:footnoteReference w:id="607"/>
      </w:r>
      <w:r>
        <w:rPr>
          <w:rFonts w:ascii="IRNazanin" w:hAnsi="IRNazanin" w:eastAsia="IRNazanin"/>
          <w:color w:val="111111"/>
          <w:sz w:val="28"/>
          <w:sz w:val="28"/>
          <w:szCs w:val="28"/>
          <w:rtl w:val="true"/>
          <w:lang w:bidi="fa-IR"/>
        </w:rPr>
        <w:t xml:space="preserve">، توضیح می دهد که انجمن شهرها در سراسر جهان به نویسندگان مهمانی که مورد اذیت و آزار قرار گرفته اند، کار و یک مکان امن برای اقامت را برای یک </w:t>
      </w:r>
      <w:bookmarkStart w:id="441" w:name="pg9659_93992"/>
    </w:p>
    <w:p>
      <w:pPr>
        <w:pStyle w:val="BookText"/>
        <w:rPr/>
      </w:pPr>
      <w:bookmarkEnd w:id="441"/>
      <w:r>
        <w:rPr>
          <w:rFonts w:ascii="IRNazanin" w:hAnsi="IRNazanin" w:eastAsia="IRNazanin"/>
          <w:color w:val="111111"/>
          <w:sz w:val="28"/>
          <w:sz w:val="28"/>
          <w:szCs w:val="28"/>
          <w:rtl w:val="true"/>
          <w:lang w:bidi="fa-IR"/>
        </w:rPr>
        <w:t>دوره زمانی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مهمان آیکورن شامل شاعران، روزنامه نگاران، کاریکاتوریست و مترجمان از سراسر جهان، از جمله کنیا، یمن، زیمبابوه، ناگالند، هند، عراق، کوبا، صربستان، سوریه، چین و بنگلادش و نقاط دیگر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از حدوداً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این شبکه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آیکورن، شهرهای عضو آیکورن و نویسندگان مهمان به یک شبکه جهانی هم بستگی، خلاقیت و تعامل متقابل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آیکورن مثالی از تفکر جهانی و عمل محلی برای رسیدگی به سانسور و تبعید به عنوان یک مسئله جهانی است</w:t>
      </w:r>
      <w:r>
        <w:rPr>
          <w:rFonts w:eastAsia="IRNazanin" w:cs="IRNazanin"/>
          <w:color w:val="111111"/>
          <w:sz w:val="28"/>
          <w:szCs w:val="28"/>
          <w:rtl w:val="true"/>
          <w:lang w:bidi="fa-IR"/>
        </w:rPr>
        <w:t>.</w:t>
      </w:r>
    </w:p>
    <w:p>
      <w:pPr>
        <w:pStyle w:val="Heading4"/>
        <w:numPr>
          <w:ilvl w:val="3"/>
          <w:numId w:val="1"/>
        </w:numPr>
        <w:rPr/>
      </w:pPr>
      <w:bookmarkStart w:id="442" w:name="__RefHeading___Toc7825535_2870459653"/>
      <w:bookmarkStart w:id="443" w:name="_Toc162"/>
      <w:bookmarkEnd w:id="442"/>
      <w:r>
        <w:rPr/>
        <w:t>3</w:t>
      </w:r>
      <w:r>
        <w:rPr>
          <w:rtl w:val="true"/>
        </w:rPr>
        <w:t xml:space="preserve">- </w:t>
      </w:r>
      <w:r>
        <w:rPr>
          <w:rtl w:val="true"/>
        </w:rPr>
        <w:t>اطلاعات در مورد فانوس دریایی برای آزادی بیان را به اشتراک بگذارید و اطلاعات در مورد سانسور رسانه ها را برای ثبت در پایگاه داده ارائه نمایید</w:t>
      </w:r>
      <w:r>
        <w:rPr>
          <w:rtl w:val="true"/>
        </w:rPr>
        <w:t>.</w:t>
      </w:r>
      <w:bookmarkEnd w:id="443"/>
    </w:p>
    <w:p>
      <w:pPr>
        <w:pStyle w:val="BookText"/>
        <w:rPr/>
      </w:pPr>
      <w:r>
        <w:rPr>
          <w:rFonts w:ascii="IRNazanin" w:hAnsi="IRNazanin" w:eastAsia="IRNazanin"/>
          <w:color w:val="111111"/>
          <w:sz w:val="28"/>
          <w:sz w:val="28"/>
          <w:szCs w:val="28"/>
          <w:rtl w:val="true"/>
          <w:lang w:bidi="fa-IR"/>
        </w:rPr>
        <w:t>زمانی که به دنبال اطلاعات در مورد کتاب سانسور شده ای یا سانسور هستید از پایگاه بین المللی سانسور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دانش آموزان و دیگران را برای اطلاعات در مورد سانسور به قانوس دریایی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ما در اضافه کردن اطلاعات به پایگاه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کشور خود بکنید و یا برای منابع سانسور شده پایگاه داده را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مورد سانسور در کشورتان و منطقه و یا اطلاعاتی که به نظر می رسد از قلم افتاده است را برای بررسی و ثبت نهایی در پایگاه داده ارائه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در فانوس دریایی نمونه هایی از سانسور مستقیم که توسط دولت، حکومت و یا بدنه مربوط به دولت است،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دریایی اطلاعات در مورد سانسور غیر مستقیم، موسیقی و یا فیلم را نگهداری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اطلاعات در مورد سانسور کتاب، روزنامه،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 های تلویزیونی و وب سایت استقبال می کنیم</w:t>
      </w:r>
      <w:r>
        <w:rPr>
          <w:rFonts w:eastAsia="IRNazanin" w:cs="IRNazanin"/>
          <w:color w:val="111111"/>
          <w:sz w:val="28"/>
          <w:szCs w:val="28"/>
          <w:rtl w:val="true"/>
          <w:lang w:bidi="fa-IR"/>
        </w:rPr>
        <w:t>.</w:t>
      </w:r>
    </w:p>
    <w:p>
      <w:pPr>
        <w:pStyle w:val="Heading4"/>
        <w:numPr>
          <w:ilvl w:val="3"/>
          <w:numId w:val="1"/>
        </w:numPr>
        <w:rPr/>
      </w:pPr>
      <w:bookmarkStart w:id="444" w:name="__RefHeading___Toc7825537_2870459653"/>
      <w:bookmarkStart w:id="445" w:name="_Toc163"/>
      <w:bookmarkEnd w:id="444"/>
      <w:r>
        <w:rPr/>
        <w:t>4</w:t>
      </w:r>
      <w:r>
        <w:rPr>
          <w:rtl w:val="true"/>
        </w:rPr>
        <w:t xml:space="preserve">- </w:t>
      </w:r>
      <w:r>
        <w:rPr>
          <w:rtl w:val="true"/>
        </w:rPr>
        <w:t>درباره فعالیت و حمایت سازمان های مربوط به رشته خاص مورد علاقه و مسئولیتتان و هم چنین در مورد آزادی بیان و فعالیت ضد سانسور بیشتر بدانید</w:t>
      </w:r>
      <w:bookmarkEnd w:id="4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جهانی بیان و سازمان های ضد سانسور، سانسور را مستند، داده ها را جمع آوری، خط مشی مدارک را تدوین و از سازمان های ملی و منطقه ای و هم چنین سازمان های جهانی مانند سازمان ملل متحد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برجسته شان چالش های مشترک سانسور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دریایی یکی از چندین بازیگران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جمع آوری، حفظ و انتشار اطلاعات در مورد سانسور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شهروندان نگران </w:t>
      </w:r>
      <w:r>
        <w:rPr>
          <w:rStyle w:val="FootnoteAnchor"/>
          <w:rtl w:val="true"/>
        </w:rPr>
        <w:footnoteReference w:id="608"/>
      </w:r>
      <w:r>
        <w:rPr>
          <w:rFonts w:ascii="IRNazanin" w:hAnsi="IRNazanin" w:eastAsia="IRNazanin"/>
          <w:color w:val="111111"/>
          <w:sz w:val="28"/>
          <w:sz w:val="28"/>
          <w:szCs w:val="28"/>
          <w:rtl w:val="true"/>
          <w:lang w:bidi="fa-IR"/>
        </w:rPr>
        <w:t xml:space="preserve">، اتاق بایگانی </w:t>
      </w:r>
      <w:r>
        <w:rPr>
          <w:rStyle w:val="FootnoteAnchor"/>
          <w:rtl w:val="true"/>
        </w:rPr>
        <w:footnoteReference w:id="609"/>
      </w:r>
      <w:r>
        <w:rPr>
          <w:rFonts w:ascii="IRNazanin" w:hAnsi="IRNazanin" w:eastAsia="IRNazanin"/>
          <w:color w:val="111111"/>
          <w:sz w:val="28"/>
          <w:sz w:val="28"/>
          <w:szCs w:val="28"/>
          <w:rtl w:val="true"/>
          <w:lang w:bidi="fa-IR"/>
        </w:rPr>
        <w:t xml:space="preserve">، فانوس دریایی، فریموسا و حمایت از صداهای جهانی </w:t>
      </w:r>
      <w:r>
        <w:rPr>
          <w:rStyle w:val="FootnoteAnchor"/>
          <w:rtl w:val="true"/>
        </w:rPr>
        <w:footnoteReference w:id="610"/>
      </w:r>
      <w:r>
        <w:rPr>
          <w:rFonts w:ascii="IRNazanin" w:hAnsi="IRNazanin" w:eastAsia="IRNazanin"/>
          <w:color w:val="111111"/>
          <w:sz w:val="28"/>
          <w:sz w:val="28"/>
          <w:szCs w:val="28"/>
          <w:rtl w:val="true"/>
          <w:lang w:bidi="fa-IR"/>
        </w:rPr>
        <w:t>دیگر طرح های مبتنی بر شبکه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بایگانی آرشیو سانسور قابل جستجو مبتنی بر شبکه است که به عنوان طرح یک </w:t>
      </w:r>
      <w:bookmarkStart w:id="446" w:name="pg9659_93993"/>
    </w:p>
    <w:p>
      <w:pPr>
        <w:pStyle w:val="BookText"/>
        <w:rPr/>
      </w:pPr>
      <w:bookmarkEnd w:id="446"/>
      <w:r>
        <w:rPr>
          <w:rFonts w:ascii="IRNazanin" w:hAnsi="IRNazanin" w:eastAsia="IRNazanin"/>
          <w:color w:val="111111"/>
          <w:sz w:val="28"/>
          <w:sz w:val="28"/>
          <w:szCs w:val="28"/>
          <w:rtl w:val="true"/>
          <w:lang w:bidi="fa-IR"/>
        </w:rPr>
        <w:t xml:space="preserve">هنرمند توسط مانتادس </w:t>
      </w:r>
      <w:r>
        <w:rPr>
          <w:rStyle w:val="FootnoteAnchor"/>
          <w:rtl w:val="true"/>
        </w:rPr>
        <w:footnoteReference w:id="611"/>
      </w:r>
      <w:r>
        <w:rPr>
          <w:rFonts w:ascii="IRNazanin" w:hAnsi="IRNazanin" w:eastAsia="IRNazanin"/>
          <w:color w:val="111111"/>
          <w:sz w:val="28"/>
          <w:sz w:val="28"/>
          <w:szCs w:val="28"/>
          <w:rtl w:val="true"/>
          <w:lang w:bidi="fa-IR"/>
        </w:rPr>
        <w:t xml:space="preserve">آغاز شد و در اصل نصب و راه اندازی هنری آن توسط گالری خیابان راندولف </w:t>
      </w:r>
      <w:r>
        <w:rPr>
          <w:rStyle w:val="FootnoteAnchor"/>
          <w:rtl w:val="true"/>
        </w:rPr>
        <w:footnoteReference w:id="612"/>
      </w:r>
      <w:r>
        <w:rPr>
          <w:rFonts w:ascii="IRNazanin" w:hAnsi="IRNazanin" w:eastAsia="IRNazanin"/>
          <w:color w:val="111111"/>
          <w:sz w:val="28"/>
          <w:sz w:val="28"/>
          <w:szCs w:val="28"/>
          <w:rtl w:val="true"/>
          <w:lang w:bidi="fa-IR"/>
        </w:rPr>
        <w:t>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فریموسا بر حمایت، خط مشی کاری و آگاهی عمومی در مورد سانسور موسیقی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از صداهای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تلاش برای دفاع از آزادی بیان برخط برای وبلاگ نویسان و شهروندان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یک پایگاه اطلاعاتی از وبلاگ نویسان و روزنامه نگاران تهدید شده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نشان می دهند که چگونه سازمان های غیر دولتی به منابع مهم داده ها و اطلاعات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فانوس دریایی می تواند فعالیت هایی که به تولید ابزار، واسطه ها و خدمات برای حفظ و بازیابی انواع خاصی از داده ها منجر شود را نشان دهد</w:t>
      </w:r>
      <w:r>
        <w:rPr>
          <w:rFonts w:eastAsia="IRNazanin" w:cs="IRNazanin"/>
          <w:color w:val="111111"/>
          <w:sz w:val="28"/>
          <w:szCs w:val="28"/>
          <w:rtl w:val="true"/>
          <w:lang w:bidi="fa-IR"/>
        </w:rPr>
        <w:t>.</w:t>
      </w:r>
    </w:p>
    <w:p>
      <w:pPr>
        <w:pStyle w:val="Heading3"/>
        <w:numPr>
          <w:ilvl w:val="2"/>
          <w:numId w:val="1"/>
        </w:numPr>
        <w:rPr/>
      </w:pPr>
      <w:bookmarkStart w:id="447" w:name="__RefHeading___Toc7825539_2870459653"/>
      <w:bookmarkStart w:id="448" w:name="_Toc164"/>
      <w:bookmarkEnd w:id="447"/>
      <w:r>
        <w:rPr>
          <w:rtl w:val="true"/>
        </w:rPr>
        <w:t>ملاحظات نهایی</w:t>
      </w:r>
      <w:bookmarkEnd w:id="448"/>
    </w:p>
    <w:p>
      <w:pPr>
        <w:pStyle w:val="BookText"/>
        <w:rPr/>
      </w:pPr>
      <w:r>
        <w:rPr>
          <w:rFonts w:ascii="IRNazanin" w:hAnsi="IRNazanin" w:eastAsia="IRNazanin"/>
          <w:color w:val="111111"/>
          <w:sz w:val="28"/>
          <w:sz w:val="28"/>
          <w:szCs w:val="28"/>
          <w:rtl w:val="true"/>
          <w:lang w:bidi="fa-IR"/>
        </w:rPr>
        <w:t xml:space="preserve">این پایگاه داده مثال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همکاری بین کتاب داری و فعالیت می تواند ایجاد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ارتقاء از این ابزار منحصر به فرد مرجع متکی بر به اشتراک گذاری اطلاعات در مورد سانسور فعلی و تاریخی است، در نتیجه نشان می دهد که چگونه کتاب داری مرجع می تواند با فعالیت هم زیستی موفقیت آمیز داشته باشد، در حالی که در اصول اساسی کتاب خانه ترویج دسترسی به اطلاعات و جریان آزاد دانش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انتقال دانش ارزش های اصلی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چنین جنبه های ضمنی از دسترسی به اطلاعات و اهداف اصلی در فانوس دریایی برای آزادی بیان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کتاب خانه به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فعالیت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بدون مرز،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به ابتکار پاتریک ویل </w:t>
      </w:r>
      <w:r>
        <w:rPr>
          <w:rStyle w:val="FootnoteAnchor"/>
          <w:rtl w:val="true"/>
        </w:rPr>
        <w:footnoteReference w:id="613"/>
      </w:r>
      <w:r>
        <w:rPr>
          <w:rFonts w:ascii="IRNazanin" w:hAnsi="IRNazanin" w:eastAsia="IRNazanin"/>
          <w:color w:val="111111"/>
          <w:sz w:val="28"/>
          <w:sz w:val="28"/>
          <w:szCs w:val="28"/>
          <w:rtl w:val="true"/>
          <w:lang w:bidi="fa-IR"/>
        </w:rPr>
        <w:t>تأسیس شد و خود را به عنوان یکی از سازمان های غیر دولتی پیشرو که در کار دانش و فرهنگ مبتنی بر پیشرفت دنیا و حمایت از کتاب خانه ها در کشورهای در حال توسعه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اعتقاد دارند که دسترسی به اطلاعات و اشاعه فرهنگ دو کلیدی هستند که هنوز تحت سرمایه گذاری توسعه انسانی و اقتصادی و گسترش شیوه های دموکراتیک و حقوق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هم چنین بر ارتباط بین توسعه، مردم سالاری و حقوق بشر تأکید می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ایجاد و ترویج کتاب خانه ها، آموزش کتاب داران، توزیع کتاب ها، حمایت از چاپ و نشر محلی و طراحی شبکه های کتاب خانه، کتاب خانه های بدون مرز دسترسی به دانش در سراسر جهان را فعالانه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دریایی برای آزادی بیان مثالی از یک ابزار مرجع است که بر روی اصول حمایت و فعالیت برای اطلاعات و دانش بنانهاده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انجمن نروژی آزادی </w:t>
      </w:r>
      <w:bookmarkStart w:id="449" w:name="pg9659_93994"/>
    </w:p>
    <w:p>
      <w:pPr>
        <w:pStyle w:val="BookText"/>
        <w:rPr/>
      </w:pPr>
      <w:bookmarkEnd w:id="449"/>
      <w:r>
        <w:rPr>
          <w:rFonts w:ascii="IRNazanin" w:hAnsi="IRNazanin" w:eastAsia="IRNazanin"/>
          <w:color w:val="111111"/>
          <w:sz w:val="28"/>
          <w:sz w:val="28"/>
          <w:szCs w:val="28"/>
          <w:rtl w:val="true"/>
          <w:lang w:bidi="fa-IR"/>
        </w:rPr>
        <w:t>بیان، پایگاه داده ای به عنوان یک اثر تاریخی برای سانسور رسانه در سراسر جهان شروع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این بود که با همکاری کتاب خانه های ملی و دانشگاهی و سازمان های آزادی مطبوعات از داده های مربوط به سانسور در یک چشم انداز جهانی حفاظت شود و در نتیجه نشان بدهد که در طول تاریخ و در سراسر جهان، سانسور آزادی بیان و دسترسی به اطلاعات 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 ترکیبی از داده های مرجع و اطلاعات جمع آوری شده توسط یک شبکه بین المللی طرفدار آزادی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یک ابزار مرجع است که منعکس کننده روند سانسور و هم چنین آزادی بیان و دسترسی به اطلاعات را برجسته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سانسور به عنوان یک مسئله جهانی به صورت محلی تمرکز می کنیم به ما یادآوری می کند که دسترسی به اطلاعات و آزادی بیان هنوز به عنوان حقوق جهانی در همه جای جهان انجام نشده است به عنوان کتاب داران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بین المللی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داریم تا چالش های آزادی بیان که به طور مستقیم دسترسی به اطلاعات را تحت تأثیر قرار می دهند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اشکالش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چالش هایی را دارد و اثرات آن بیش از پیش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این توسعه شاهدی است که کتاب خانه نقش مهم در زیر ساخت های اجتماعی جوامع ما بازی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ارتقاء و دسترسی به اطلاعات به ایجاد آگاهی عمومی کمک می کند؛ بنابراین وظایف اصلی کتاب خانه ارزشمند باقی خواهد ماند، به خصوص در دنیایی که در آن سانسور به طور مستمر آزادی بیان را تهدید می کند که بدون آن امکان دسترسی به اطلاعات، ایده ها و دانش بی معنی خواهد بود</w:t>
      </w:r>
      <w:r>
        <w:rPr>
          <w:rFonts w:eastAsia="IRNazanin" w:cs="IRNazanin"/>
          <w:color w:val="111111"/>
          <w:sz w:val="28"/>
          <w:szCs w:val="28"/>
          <w:rtl w:val="true"/>
          <w:lang w:bidi="fa-IR"/>
        </w:rPr>
        <w:t>.</w:t>
      </w:r>
    </w:p>
    <w:p>
      <w:pPr>
        <w:pStyle w:val="Heading3"/>
        <w:numPr>
          <w:ilvl w:val="2"/>
          <w:numId w:val="1"/>
        </w:numPr>
        <w:rPr/>
      </w:pPr>
      <w:bookmarkStart w:id="450" w:name="__RefHeading___Toc7825541_2870459653"/>
      <w:bookmarkStart w:id="451" w:name="_Toc165"/>
      <w:bookmarkEnd w:id="450"/>
      <w:r>
        <w:rPr>
          <w:rtl w:val="true"/>
        </w:rPr>
        <w:t>منابع</w:t>
      </w:r>
      <w:bookmarkEnd w:id="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Báez, Fernando. 2008. A Universal History of the Destruction of Books: From Ancient Sumer to Modern Iraq. New York: Atlas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Coetzee, JM. 1996. Giving Offense: Essays on Censorship. Chicago: University of Chicago Press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Eriksen, Thomas Hylland. 2010. Small Places, Large Issues: An Introduction to Social and Cutlural Anthropology. London: Pluto Press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Garrett, Jeffrey. 2009. Why Burn a Library? Library Quarterly 79(4):489-493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Knuth, Rebecca. 2006. Burning Books and Leveling Libraries: Extremist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Violence and Cultural Destruction. Westport: Praeger. Nasrin, Taslima. 1993. Lajja (Shame). New Delhi: Penguin Books. Polastron, Lucien X. 2007. Books on Fire: the Destruction of Libraries throughout History. Rochester: Inner Traditions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Rushdie, Salman. 1988. The Satanic Verses. London: Viking</w:t>
      </w:r>
      <w:r>
        <w:rPr>
          <w:rFonts w:eastAsia="Times New Roman" w:cs="Times New Roman" w:ascii="Times New Roman" w:hAnsi="Times New Roman"/>
          <w:color w:val="111111"/>
          <w:sz w:val="28"/>
          <w:szCs w:val="28"/>
          <w:rtl w:val="true"/>
          <w:lang w:val="en-US" w:bidi="en-US"/>
        </w:rPr>
        <w:t xml:space="preserve"> </w:t>
      </w:r>
      <w:bookmarkStart w:id="452" w:name="pg9659_93996"/>
    </w:p>
    <w:p>
      <w:pPr>
        <w:pStyle w:val="Heading2"/>
        <w:numPr>
          <w:ilvl w:val="1"/>
          <w:numId w:val="1"/>
        </w:numPr>
        <w:rPr/>
      </w:pPr>
      <w:bookmarkStart w:id="453" w:name="__RefHeading___Toc7825543_2870459653"/>
      <w:bookmarkStart w:id="454" w:name="_Toc166"/>
      <w:bookmarkEnd w:id="452"/>
      <w:bookmarkEnd w:id="453"/>
      <w:r>
        <w:rPr>
          <w:rtl w:val="true"/>
        </w:rPr>
        <w:t>چکیده</w:t>
      </w:r>
      <w:bookmarkEnd w:id="454"/>
    </w:p>
    <w:p>
      <w:pPr>
        <w:pStyle w:val="BookText"/>
        <w:rPr/>
      </w:pPr>
      <w:r>
        <w:rPr>
          <w:rFonts w:ascii="IRNazanin" w:hAnsi="IRNazanin" w:eastAsia="IRNazanin"/>
          <w:color w:val="111111"/>
          <w:sz w:val="28"/>
          <w:sz w:val="28"/>
          <w:szCs w:val="28"/>
          <w:rtl w:val="true"/>
          <w:lang w:bidi="fa-IR"/>
        </w:rPr>
        <w:t xml:space="preserve">این مقاله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توسعه یا گذار به توسعه کشورها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های 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بدیلی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اند و توسط یا برای متخصصان کتاب خانه ها برگزار شده اند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از هر کجا و در هر زمانی قابل دسترس هستند و چالش های آن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پژوهش به عنوان بخش مهمی از فرایند شناسایی موضوع های مناسب برای دوره های آموزشی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فراهم کردن شرایط لازم برای ایجاد طرح های موفق آموزشی برای گروه های چند قومیتی، چگونگی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بهترین روش های اجرا بیان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آموزشی برخط فراگیر رایگان، همایش های وبی، آموزش و پرورش، شورهای در حال توسعه</w:t>
      </w:r>
      <w:r>
        <w:rPr>
          <w:rFonts w:eastAsia="IRNazanin" w:cs="IRNazanin"/>
          <w:color w:val="111111"/>
          <w:sz w:val="28"/>
          <w:szCs w:val="28"/>
          <w:rtl w:val="true"/>
          <w:lang w:bidi="fa-IR"/>
        </w:rPr>
        <w:t xml:space="preserve">. </w:t>
      </w:r>
      <w:bookmarkStart w:id="455" w:name="pg9659_93997"/>
    </w:p>
    <w:p>
      <w:pPr>
        <w:pStyle w:val="Heading2"/>
        <w:numPr>
          <w:ilvl w:val="1"/>
          <w:numId w:val="1"/>
        </w:numPr>
        <w:rPr/>
      </w:pPr>
      <w:bookmarkStart w:id="456" w:name="__RefHeading___Toc7825545_2870459653"/>
      <w:bookmarkStart w:id="457" w:name="_Toc167"/>
      <w:bookmarkEnd w:id="455"/>
      <w:bookmarkEnd w:id="456"/>
      <w:r>
        <w:rPr>
          <w:rtl w:val="true"/>
        </w:rPr>
        <w:t>«</w:t>
      </w:r>
      <w:r>
        <w:rPr>
          <w:rtl w:val="true"/>
        </w:rPr>
        <w:t>دوره های آموزشی برخط فراگیر رایگان</w:t>
      </w:r>
      <w:r>
        <w:rPr>
          <w:rtl w:val="true"/>
        </w:rPr>
        <w:t xml:space="preserve">» </w:t>
      </w:r>
      <w:r>
        <w:rPr>
          <w:rtl w:val="true"/>
        </w:rPr>
        <w:t>ابزاری برای دسترسی به اطلاعات در کشورهای در حال توسعه</w:t>
      </w:r>
      <w:r>
        <w:rPr>
          <w:rtl w:val="true"/>
        </w:rPr>
        <w:t xml:space="preserve">: </w:t>
      </w:r>
      <w:r>
        <w:rPr>
          <w:rtl w:val="true"/>
        </w:rPr>
        <w:t>روشی جدید برای کمک به رفع چالش های آموزش و پرورش با استفاده از فناوری های اطلاعات و ارتباطات</w:t>
      </w:r>
      <w:bookmarkEnd w:id="457"/>
    </w:p>
    <w:p>
      <w:pPr>
        <w:pStyle w:val="Heading3"/>
        <w:numPr>
          <w:ilvl w:val="2"/>
          <w:numId w:val="1"/>
        </w:numPr>
        <w:rPr/>
      </w:pPr>
      <w:bookmarkStart w:id="458" w:name="__RefHeading___Toc7825547_2870459653"/>
      <w:bookmarkStart w:id="459" w:name="_Toc168"/>
      <w:bookmarkEnd w:id="458"/>
      <w:r>
        <w:rPr>
          <w:rtl w:val="true"/>
        </w:rPr>
        <w:t>اشاره</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برای دسترسی به اطلاعات در کشورهای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جدید برای کمک به رفع چالش های آموزش و پرورش با استفاده از فناوری های اطلاعات و ارتباطات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نوشته لویدا گارسیا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فِیبو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مهدی خادمیان </w:t>
      </w:r>
      <w:r>
        <w:rPr>
          <w:rStyle w:val="FootnoteAnchor"/>
          <w:rtl w:val="true"/>
        </w:rPr>
        <w:footnoteReference w:id="61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یک همایش عالی داشته باشید و از بودن در شهر لیون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این نشست در کنار سایر همکاران ارجمند حضور دارم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ترجیح می دهم وضعیت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کشورهای مختلف در حال توسعه یا در حال گذار به توسعه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متذکر می شوم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مخفف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جهان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تأکید من بر کشورهای حوزه کارائیب، آمریکای لاتین، آفریقا و آسیا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که امروز از بقیه همکاران حاضر در نشست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کورسِرا</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یکی از سازمان هایی است که دوره های آموزشی برخط رایگان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ملی تایوان</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دوره هایی آموزشی برای چینی زبان ها نیز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دوره های آموزشی برای همه رایگان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در آفریقا با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ابداعی و آزمایشی جدید در تانزانیا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که در قالب یک طرح ابداعی بزرگ تر قرار دارد از دوره 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مهارت های دانش آموزان راجع به فناوری های مرتبط با بازار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های آموزشی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مهارت های اقتصادی جدید برای آفریقا</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خواهند بود که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پشتیبانی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جنوبی قاره آفریقا</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شروع شده است و هدف آن مهارت آموزی درباره اقتصاد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هدف برای توسعه کشورها خیلی ضروری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ملی مستقل مکزیک</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برنامه جامعی برای ارائه آموزش های برخط از جمله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آموزشی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به توسعه آموزش حرفه ای و مداوم دانشگاهیان می پردازند و دسته دوم موضوع های ابداعی را به دانش آموزان و عموم مردم آموزش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بیشتر دوره های آموزشی، مربوط به چگونگی انجام آموزش های برخط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دوره های آموزشی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های اطلاعاتی و ارتباطی برای آموزش و پرورش و چگونه با استفاده از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مودل</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دوره های آموزشی برگزار کنیم و غیره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 که ما مشاهده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در حال توسعه هنوز یک روش بسیار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دانشگاه ها و موسسه ها و متخصصان این مسائل را مورد توجه قرار داده اند و توسعه بدیل هایی را برای آموزش برخط به همکارانشان 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الآن می خواهم به برخی از این بدیل ها که توسط متخصصان در مناطق مختلف جغرافیایی استفاده می شوند اشاره کنم</w:t>
      </w:r>
      <w:r>
        <w:rPr>
          <w:rFonts w:eastAsia="IRNazanin" w:cs="IRNazanin"/>
          <w:color w:val="111111"/>
          <w:sz w:val="28"/>
          <w:szCs w:val="28"/>
          <w:rtl w:val="true"/>
          <w:lang w:bidi="fa-IR"/>
        </w:rPr>
        <w:t xml:space="preserve">. </w:t>
      </w:r>
      <w:bookmarkStart w:id="460" w:name="pg9659_93999"/>
    </w:p>
    <w:p>
      <w:pPr>
        <w:pStyle w:val="BookText"/>
        <w:rPr/>
      </w:pPr>
      <w:bookmarkEnd w:id="460"/>
      <w:r>
        <w:rPr>
          <w:rFonts w:ascii="IRNazanin" w:hAnsi="IRNazanin" w:eastAsia="IRNazanin"/>
          <w:color w:val="111111"/>
          <w:sz w:val="28"/>
          <w:sz w:val="28"/>
          <w:szCs w:val="28"/>
          <w:rtl w:val="true"/>
          <w:lang w:bidi="fa-IR"/>
        </w:rPr>
        <w:t xml:space="preserve">رایج ترین این دوره های آموزشی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های وبی</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که ضبط شده و از هر کجا و در هر زمان قابل دسترس هستند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نمونه هایی از آن ها که توسط دو گروه در آمریکای لاتین و اسپانیا ارائه می شوند اشاره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سوشال بیبلیو</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گروهی است که در اسپانیا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توسط و برای کتاب داران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همایش های و بی ماهانه یا هفتگی موضوعی که یک سخنران دارند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این همایش های وبی، افراد باید عضوی از جامعه برخط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زمانی که بخواهند می توانند به سایت همایش مراجعه و فایل های ضبط شده را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آموزشی با استفاده از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ویزآی کیو</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ایجاد می شود، بنابراین برگزار کنندگان می توانند دوره ها را به صورت رایگان ارائه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رِندِر تری سی</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یک گروه خیلی جدید است که اخیراً کارش را در آرژانتین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توسط و برای کتاب داران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آموزشی ارائه شده توسط این گروه تا حد زیادی مشابه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سوشال بیبلیو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برخی از برگزار کنندگان در سال های قبل به طور افتخاری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سوشال بیبلیو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 بودند و درباره قالب ارائه و موضوع های دوره های آموزشی تجربه کسب کرده بودند، همایش های وبی با استفاده از نرم افزارهای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یوتیوب لایو ایونتز</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هنگ اوت</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ها ضبط می شوند و افراد هر زمانی که بخواهند می توانند مراجعه کرده و فایل های ضبط شده را گوش کنند</w:t>
      </w:r>
      <w:r>
        <w:rPr>
          <w:rFonts w:eastAsia="IRNazanin" w:cs="IRNazanin"/>
          <w:color w:val="111111"/>
          <w:sz w:val="28"/>
          <w:szCs w:val="28"/>
          <w:rtl w:val="true"/>
          <w:lang w:bidi="fa-IR"/>
        </w:rPr>
        <w:t>.</w:t>
      </w:r>
    </w:p>
    <w:p>
      <w:pPr>
        <w:pStyle w:val="Heading3"/>
        <w:numPr>
          <w:ilvl w:val="2"/>
          <w:numId w:val="1"/>
        </w:numPr>
        <w:rPr/>
      </w:pPr>
      <w:bookmarkStart w:id="461" w:name="__RefHeading___Toc7825549_2870459653"/>
      <w:bookmarkStart w:id="462" w:name="_Toc169"/>
      <w:bookmarkEnd w:id="461"/>
      <w:r>
        <w:rPr>
          <w:rtl w:val="true"/>
        </w:rPr>
        <w:t>چه کار باید کرد؟</w:t>
      </w:r>
      <w:bookmarkEnd w:id="4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شغلی مرتبط با فعالیت های جهانی و هم چنین مهارت های شغلی مرتبط با فعالیت های محلی خیلی رواج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گفتگوهای جالبی درباره این که تمرکز بر کدام یک از این دو مهارت یا محلی باشد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به واقعیت های زندگی هر شخص بستگی داشته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در حال توسعه، به هم کاری </w:t>
      </w:r>
      <w:bookmarkStart w:id="463" w:name="pg9659_94000"/>
    </w:p>
    <w:p>
      <w:pPr>
        <w:pStyle w:val="BookText"/>
        <w:rPr/>
      </w:pPr>
      <w:bookmarkEnd w:id="463"/>
      <w:r>
        <w:rPr>
          <w:rFonts w:ascii="IRNazanin" w:hAnsi="IRNazanin" w:eastAsia="IRNazanin"/>
          <w:color w:val="111111"/>
          <w:sz w:val="28"/>
          <w:sz w:val="28"/>
          <w:szCs w:val="28"/>
          <w:rtl w:val="true"/>
          <w:lang w:bidi="fa-IR"/>
        </w:rPr>
        <w:t>همه جانبه نیاز داریم، موسسه ها و سازمان های مرتبط می توانند با کمک هایشان به تحقق این هدف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های دانش</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برای توسعه برنامه های درسی محتواهای آموزشی، آزمون و بررسی صحت و سقم استانداردها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مدرسان محلی باید قابلیت های لازم برای ایجاد محتواهای آموزشی مورد نیاز و برگزاری دوره های آموزشی به زبان محلی را کسب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ارتباطی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ممکن است به اینترنت سرعت بالا دسترسی نداشته باشند، اما وسایل ارتباطی همراه، امکان مشارکت در دوره های آموزشی را به طور پیوسته برایشان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محدودیت های مکانی از سر راهشان برداشته می شود و می توانند از هر کجا در دوره های آموزشی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برای کسانی که در مناطق روستایی زندگی می خیلی مفید است</w:t>
      </w:r>
      <w:r>
        <w:rPr>
          <w:rFonts w:eastAsia="IRNazanin" w:cs="IRNazanin"/>
          <w:color w:val="111111"/>
          <w:sz w:val="28"/>
          <w:szCs w:val="28"/>
          <w:rtl w:val="true"/>
          <w:lang w:bidi="fa-IR"/>
        </w:rPr>
        <w:t>.</w:t>
      </w:r>
    </w:p>
    <w:p>
      <w:pPr>
        <w:pStyle w:val="Heading3"/>
        <w:numPr>
          <w:ilvl w:val="2"/>
          <w:numId w:val="1"/>
        </w:numPr>
        <w:rPr/>
      </w:pPr>
      <w:bookmarkStart w:id="464" w:name="__RefHeading___Toc7825551_2870459653"/>
      <w:bookmarkStart w:id="465" w:name="_Toc170"/>
      <w:bookmarkEnd w:id="464"/>
      <w:r>
        <w:rPr>
          <w:rtl w:val="true"/>
        </w:rPr>
        <w:t>چالش ها</w:t>
      </w:r>
      <w:bookmarkEnd w:id="465"/>
    </w:p>
    <w:p>
      <w:pPr>
        <w:pStyle w:val="BookText"/>
        <w:rPr/>
      </w:pPr>
      <w:r>
        <w:rPr>
          <w:rFonts w:ascii="IRNazanin" w:hAnsi="IRNazanin" w:eastAsia="IRNazanin"/>
          <w:color w:val="111111"/>
          <w:sz w:val="28"/>
          <w:sz w:val="28"/>
          <w:szCs w:val="28"/>
          <w:rtl w:val="true"/>
          <w:lang w:bidi="fa-IR"/>
        </w:rPr>
        <w:t>دسترسی به فناوری و زیرساخت مطلوب برای برقراری ارتباط اینترنتی، سواد رقمی، مهارت زبان انگلیسی کافی، ساختار آموزشی، محیط ارائه دوره های آموزشی و درک افراد از ارزش یادگیری از چالش های پیش 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مدرسان محلی باید با آموزش های رقمی و مهارت های فناوری آشنایی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هایی مانند فردگرایی یا تنهایی کار کردن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برای بسیاری از ما که کار گروهی را ترجیح می دهیم یک چالش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دیگر این است که محتوای اطلاعاتی کافی در زبان های مختلف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محتواهای اطلاعاتی به زبان انگلیسی هستند؛ بنابراین، فراگیران برای شرکت در دوره های آموزشی باید زبان انگلیسی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باید متذکر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همگانی ترجمه گر جهانی</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دارد، اما همه دوره های آموزشی به بسیاری از زبان ها ترجمه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مزایایی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مزیت بزرگ این است که هر کسی از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یا 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زمانی می 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w:t>
      </w:r>
      <w:bookmarkStart w:id="466" w:name="pg9659_94001"/>
    </w:p>
    <w:p>
      <w:pPr>
        <w:pStyle w:val="BookText"/>
        <w:rPr/>
      </w:pPr>
      <w:bookmarkEnd w:id="4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مزیت دیگر این است که با طراحی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توانیم به بهبود سواد افراد از جمله زنان، کودکان و گروه های آسیب پذیر در کشورهای در حال توسعه کمک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می توانیم یادگیری مادام العمر را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ما، کتاب خانه بهترین مکان برای کمک به افراد جهت دستیابی به این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را در ذهن داشته باشید</w:t>
      </w:r>
      <w:r>
        <w:rPr>
          <w:rFonts w:eastAsia="IRNazanin" w:cs="IRNazanin"/>
          <w:color w:val="111111"/>
          <w:sz w:val="28"/>
          <w:szCs w:val="28"/>
          <w:rtl w:val="true"/>
          <w:lang w:bidi="fa-IR"/>
        </w:rPr>
        <w:t>.</w:t>
      </w:r>
    </w:p>
    <w:p>
      <w:pPr>
        <w:pStyle w:val="Heading3"/>
        <w:numPr>
          <w:ilvl w:val="2"/>
          <w:numId w:val="1"/>
        </w:numPr>
        <w:rPr/>
      </w:pPr>
      <w:bookmarkStart w:id="467" w:name="__RefHeading___Toc7825553_2870459653"/>
      <w:bookmarkStart w:id="468" w:name="_Toc171"/>
      <w:bookmarkEnd w:id="467"/>
      <w:r>
        <w:rPr>
          <w:rtl w:val="true"/>
        </w:rPr>
        <w:t>پژوهش</w:t>
      </w:r>
      <w:bookmarkEnd w:id="468"/>
    </w:p>
    <w:p>
      <w:pPr>
        <w:pStyle w:val="BookText"/>
        <w:rPr/>
      </w:pPr>
      <w:r>
        <w:rPr>
          <w:rFonts w:ascii="IRNazanin" w:hAnsi="IRNazanin" w:eastAsia="IRNazanin"/>
          <w:color w:val="111111"/>
          <w:sz w:val="28"/>
          <w:sz w:val="28"/>
          <w:szCs w:val="28"/>
          <w:rtl w:val="true"/>
          <w:lang w:bidi="fa-IR"/>
        </w:rPr>
        <w:t xml:space="preserve">اکنون می خواهم اطلاعاتی درباره پژوهش های انجام شده توسط سازمان غیرانتفاعی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اینفورمیشن نیو ویو</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که خودم مدیرش هستم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سازمان دسترس پذیر کردن اطلاعات برای کشورهای در حال توسعه در آمریکای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کاری کتاب خانه ها، گروه های کتابداری و سایر نهادهای مرتبط که دسترسی جامعه به اطلاعات را امکان پذیر می کنند، نیازهای اطلاعاتی را شناسایی می کنیم و از آن ها برای طراحی دوره های آموزشی رایگان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های کانونی را تشکیل و مصاحبه هایی با کتاب داران کتاب خانه های دانشگاهی، عمومی و مدارس و اساتید و دانشجویان کتاب داری و اطلاع رسانی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دریافتیم دوره های آموزشی مربوط به فناوریهای نوظهور، کتاب خانه های رقمی و آموزش های کتاب داری مورد نیازشان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ها که خیلی مفید و راهگشا هستند با نیازهای اطلاعاتی شده برای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همکاران در کشورهای در حال توسعه مطابقت دارند</w:t>
      </w:r>
      <w:r>
        <w:rPr>
          <w:rFonts w:eastAsia="IRNazanin" w:cs="IRNazanin"/>
          <w:color w:val="111111"/>
          <w:sz w:val="28"/>
          <w:szCs w:val="28"/>
          <w:rtl w:val="true"/>
          <w:lang w:bidi="fa-IR"/>
        </w:rPr>
        <w:t>.</w:t>
      </w:r>
    </w:p>
    <w:p>
      <w:pPr>
        <w:pStyle w:val="Heading3"/>
        <w:numPr>
          <w:ilvl w:val="2"/>
          <w:numId w:val="1"/>
        </w:numPr>
        <w:rPr/>
      </w:pPr>
      <w:bookmarkStart w:id="469" w:name="__RefHeading___Toc7825555_2870459653"/>
      <w:bookmarkStart w:id="470" w:name="_Toc172"/>
      <w:bookmarkEnd w:id="469"/>
      <w:r>
        <w:rPr>
          <w:rtl w:val="true"/>
        </w:rPr>
        <w:t>چگونه دوره های آموزشی را اجرا کنیم؟</w:t>
      </w:r>
      <w:bookmarkEnd w:id="4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باید به کاری که می خواهیم انجام دهیم فکر کنیم و چالش ها و مزایای ذکر شده در بالا را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نیازهای اطلاعاتی گروه هدفمان را ارزیابی کنیم، در این مورد به طور خلاصه تجربه پژوهشی در سازمان خودم را با شما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می توانیم موضوع های مورد نیاز، موضوع های مرتبط محلی و موضوع های مرتبط جهانی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بهترین قالب ارائه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کنیم که آیا برای ارائه 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لازم را داریم، آیا می توانیم دوره های آموزشی را با وسایل ارتباطی همراه </w:t>
      </w:r>
      <w:bookmarkStart w:id="471" w:name="pg9659_94002"/>
    </w:p>
    <w:p>
      <w:pPr>
        <w:pStyle w:val="BookText"/>
        <w:rPr/>
      </w:pPr>
      <w:bookmarkEnd w:id="471"/>
      <w:r>
        <w:rPr>
          <w:rFonts w:ascii="IRNazanin" w:hAnsi="IRNazanin" w:eastAsia="IRNazanin"/>
          <w:color w:val="111111"/>
          <w:sz w:val="28"/>
          <w:sz w:val="28"/>
          <w:szCs w:val="28"/>
          <w:rtl w:val="true"/>
          <w:lang w:bidi="fa-IR"/>
        </w:rPr>
        <w:t xml:space="preserve">ارائه کنیم یا باید دوره 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های 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البته نه کم ارزش ترین، نکته این است که باید از همان آغاز فرایند جامعه را مد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سخنرانی ام را به پایان برسانم، لازم می دانم به چند نکته ی مهم و مؤثر برای موفقیت طرح های آموزشی گروه های چند قومیتی در کشورهای در حال توسعه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اشنو و یوجالا</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 نیاز داریم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هنجارهای فرهنگی و شناخت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نظام آموزشی محلی، تاریخ کشور، تفاوت های منطقه ای، از جمله محیط اجتماعی و سیاسی چند ملیتی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فرهنگی محلی شامل فرهنگ غذایی، موسیقی و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باید از همه عناصر فرهنگی که می خواهیم با آن ها کارکنیم آگاهی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 که با مشارکت کنندگان در دوره های آموزشی با صبوری و به شیوه ای مؤثر درباره ایده ها بحث کنیم و مفاهیم را توضیح دهیم و تدریس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باید دقت کنیم پیش داوری نداشته باشیم و از تعصب و رفتارهای قالبی پرهیز کنیم و هم دلی را در موسسه های محلی تمرین کنیم</w:t>
      </w:r>
      <w:r>
        <w:rPr>
          <w:rFonts w:eastAsia="IRNazanin" w:cs="IRNazanin"/>
          <w:color w:val="111111"/>
          <w:sz w:val="28"/>
          <w:szCs w:val="28"/>
          <w:rtl w:val="true"/>
          <w:lang w:bidi="fa-IR"/>
        </w:rPr>
        <w:t>.</w:t>
      </w:r>
    </w:p>
    <w:p>
      <w:pPr>
        <w:pStyle w:val="Heading3"/>
        <w:numPr>
          <w:ilvl w:val="2"/>
          <w:numId w:val="1"/>
        </w:numPr>
        <w:rPr/>
      </w:pPr>
      <w:bookmarkStart w:id="472" w:name="__RefHeading___Toc7825557_2870459653"/>
      <w:bookmarkStart w:id="473" w:name="_Toc173"/>
      <w:bookmarkEnd w:id="472"/>
      <w:r>
        <w:rPr>
          <w:rtl w:val="true"/>
        </w:rPr>
        <w:t>منابع</w:t>
      </w:r>
      <w:bookmarkEnd w:id="473"/>
    </w:p>
    <w:p>
      <w:pPr>
        <w:pStyle w:val="BookText"/>
        <w:rPr/>
      </w:pPr>
      <w:r>
        <w:rPr>
          <w:rFonts w:eastAsia="Times New Roman" w:cs="Times New Roman" w:ascii="Times New Roman" w:hAnsi="Times New Roman"/>
          <w:color w:val="111111"/>
          <w:sz w:val="28"/>
          <w:szCs w:val="28"/>
          <w:lang w:val="en-US" w:bidi="en-US"/>
        </w:rPr>
        <w:t>Chao-chen Chen, Joyce. "Opportunities And Challenges of MOOCS: Asia." IFLA WLIC 2013 Singapore, June 2013. Perspectives From Accessed 6 July, 2014. Available: http://library.ifla.org/157/1/098-chen-en.pdf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International Council for Open and Distance Education. "World Bank Edu Tech: MOOCs and Developing Countries.' ICDE, 26 April 2013. Accessed 6 July, 2014. Avaliable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http://www.icde.org/ World+Bank+EduTech3A+MOOCs+and+developing countries.b7C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wJLG2t.ips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Schnuer, Susan and Ujala, Satgoor. "International partnership, national impact: the South African Library Leadership Project." Continuing Professional Development - Preparing for New Roles in Libraries: a Voyage of Discovery. Sixth World Conference on Continuing Professional Development and Workplace Learning for the Library and Information Professions. Eds. Paul Genoni and Graham Walton. Munich: Saur, 2005. 267-285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World Bank. "NESAP-ICT." 2013. Accessed 6 July, 2014 Availablehttp://web.worldbank.org/WBSITE/EXTERNAL/COUNTRIES/AFRICAEXT/EXTA skniL</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gro.c3rednerpa//:ptth c3rednerpA /moc.oilbiblaicos.www//:ptth oilbiblaicoS php.xedni/latrop/xm.manu.deauc.www/ptth MANU</w:t>
      </w:r>
      <w:r>
        <w:rPr>
          <w:rFonts w:eastAsia="Times New Roman" w:cs="Times New Roman" w:ascii="Times New Roman" w:hAnsi="Times New Roman"/>
          <w:color w:val="111111"/>
          <w:sz w:val="28"/>
          <w:szCs w:val="28"/>
          <w:rtl w:val="true"/>
          <w:lang w:val="en-US" w:bidi="en-US"/>
        </w:rPr>
        <w:t xml:space="preserve">/ </w:t>
      </w:r>
      <w:bookmarkStart w:id="474" w:name="pg9659_94004"/>
    </w:p>
    <w:p>
      <w:pPr>
        <w:pStyle w:val="Heading2"/>
        <w:numPr>
          <w:ilvl w:val="1"/>
          <w:numId w:val="1"/>
        </w:numPr>
        <w:rPr/>
      </w:pPr>
      <w:bookmarkStart w:id="475" w:name="__RefHeading___Toc7825559_2870459653"/>
      <w:bookmarkStart w:id="476" w:name="_Toc174"/>
      <w:bookmarkEnd w:id="474"/>
      <w:bookmarkEnd w:id="475"/>
      <w:r>
        <w:rPr>
          <w:rtl w:val="true"/>
        </w:rPr>
        <w:t>چکیده</w:t>
      </w:r>
      <w:bookmarkEnd w:id="476"/>
    </w:p>
    <w:p>
      <w:pPr>
        <w:pStyle w:val="BookText"/>
        <w:rPr/>
      </w:pPr>
      <w:r>
        <w:rPr>
          <w:rFonts w:ascii="IRNazanin" w:hAnsi="IRNazanin" w:eastAsia="IRNazanin"/>
          <w:color w:val="111111"/>
          <w:sz w:val="28"/>
          <w:sz w:val="28"/>
          <w:szCs w:val="28"/>
          <w:rtl w:val="true"/>
          <w:lang w:bidi="fa-IR"/>
        </w:rPr>
        <w:t xml:space="preserve">از ماه اوت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حاصل شده بود که بنا به دلایل ایمنی در ساختمان کتاب خانه سوربن که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پس از انتقال کل مجموعه کتاب خانه دانشگاه سوربن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پژوهش در موضوع علوم انسانی و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دارای ارزش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ژوئن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مجموعه ای که بیشترین استفاده را داشتند، در کتاب خانه موقت سنت باربی ذخیره شد که از ماه مه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همین امور گشایش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اقلامی که کم تر مورد استفاده بودند، در محلی نزدیک سوربن </w:t>
      </w:r>
      <w:r>
        <w:rPr>
          <w:rStyle w:val="FootnoteAnchor"/>
          <w:rtl w:val="true"/>
        </w:rPr>
        <w:footnoteReference w:id="636"/>
      </w:r>
      <w:r>
        <w:rPr>
          <w:rFonts w:ascii="IRNazanin" w:hAnsi="IRNazanin" w:eastAsia="IRNazanin"/>
          <w:color w:val="111111"/>
          <w:sz w:val="28"/>
          <w:sz w:val="28"/>
          <w:szCs w:val="28"/>
          <w:rtl w:val="true"/>
          <w:lang w:bidi="fa-IR"/>
        </w:rPr>
        <w:t xml:space="preserve">، در مرکز فنی کتاب آموزش عالی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تی اِل 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پاریس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خانه مجددا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نوسازی کامل و انتقال مجموعه ای دیگر در سورین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این ساختمان بازسازی شده فقط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قفسه ها را در خود جای می داد،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قفسه ها می بایست در خارج از این مکان ذخیره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قفسه به تاسیسات جدید سی تی اِل ای اِس منتقل و یک نظام ذخیره پویا در آن مستقر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سال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نیمی از این مجموعه در دانشگاه سوربن و نیمی دیگر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سی تی اِل ای اِس ذخیره سازی خواهد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دانشگاه سوربن، نوسازی، مرکز فنی کتاب آموزش عالی </w:t>
      </w:r>
      <w:bookmarkStart w:id="477" w:name="pg9659_94005"/>
    </w:p>
    <w:p>
      <w:pPr>
        <w:pStyle w:val="Heading2"/>
        <w:numPr>
          <w:ilvl w:val="1"/>
          <w:numId w:val="1"/>
        </w:numPr>
        <w:rPr/>
      </w:pPr>
      <w:bookmarkStart w:id="478" w:name="__RefHeading___Toc7825561_2870459653"/>
      <w:bookmarkStart w:id="479" w:name="_Toc175"/>
      <w:bookmarkEnd w:id="477"/>
      <w:bookmarkEnd w:id="478"/>
      <w:r>
        <w:rPr>
          <w:rtl w:val="true"/>
        </w:rPr>
        <w:t xml:space="preserve">نوسازی و سازماندهی مجدد مجموعه ها از نظام ذخیره سازی منفعل قدیمی به نظام پویای نوین در کتاب خانه دانشگاه سوربن فرانسه </w:t>
      </w:r>
      <w:r>
        <w:rPr>
          <w:rtl w:val="true"/>
        </w:rPr>
        <w:t>(</w:t>
      </w:r>
      <w:r>
        <w:rPr/>
        <w:t>2003</w:t>
      </w:r>
      <w:r>
        <w:rPr>
          <w:rtl w:val="true"/>
        </w:rPr>
        <w:t>-</w:t>
      </w:r>
      <w:r>
        <w:rPr/>
        <w:t>2016</w:t>
      </w:r>
      <w:r>
        <w:rPr>
          <w:rtl w:val="true"/>
        </w:rPr>
        <w:t>)</w:t>
      </w:r>
      <w:bookmarkEnd w:id="479"/>
    </w:p>
    <w:p>
      <w:pPr>
        <w:pStyle w:val="Heading3"/>
        <w:numPr>
          <w:ilvl w:val="2"/>
          <w:numId w:val="1"/>
        </w:numPr>
        <w:rPr/>
      </w:pPr>
      <w:bookmarkStart w:id="480" w:name="__RefHeading___Toc7825563_2870459653"/>
      <w:bookmarkStart w:id="481" w:name="_Toc176"/>
      <w:bookmarkEnd w:id="480"/>
      <w:r>
        <w:rPr>
          <w:rtl w:val="true"/>
        </w:rPr>
        <w:t>اشاره</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نوسازی و سازماندهی مجدد مجموعه ها از نظام ذخیره سازی منفعل قدیمی به نظام پویای نوین در کتاب خانه دانشگاه سوربن فرانسه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نوشته فیلیپ مارسرو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مرضیه خان سفید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کتابخانه دانشگاه سوربن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بازگشایی شد، فرایند طولانی و برنامه ریزی و بازسازی ساختمان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فرآیند طولانی نوسازی، این مجموعه بزرگ و مرتبط در شرایط نامناسبی قرار 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خانه دانشگاه سوربن، مجموعه ها در حوزه علوم انسانی متنوع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به مفهوم مجموعه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کم تر متاخر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 ویژه شامل نزدیک به دو میلیون تحقیق و پژوهش با متر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هم چنین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و سند قبل از انقلاب فرانسه،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اینکونابولا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قدیمی قبل از </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آرشیو و اسناد اساتید مشهور، اسناد در مورد دانشگاه پاریس، و غیره می شود</w:t>
      </w:r>
      <w:r>
        <w:rPr>
          <w:rFonts w:eastAsia="IRNazanin" w:cs="IRNazanin"/>
          <w:color w:val="111111"/>
          <w:sz w:val="28"/>
          <w:szCs w:val="28"/>
          <w:rtl w:val="true"/>
          <w:lang w:bidi="fa-IR"/>
        </w:rPr>
        <w:t xml:space="preserve">. </w:t>
      </w:r>
      <w:bookmarkStart w:id="482" w:name="pg9659_94006"/>
    </w:p>
    <w:p>
      <w:pPr>
        <w:pStyle w:val="BookText"/>
        <w:rPr/>
      </w:pPr>
      <w:bookmarkEnd w:id="482"/>
      <w:r>
        <w:rPr>
          <w:rFonts w:ascii="IRNazanin" w:hAnsi="IRNazanin" w:eastAsia="IRNazanin"/>
          <w:color w:val="111111"/>
          <w:sz w:val="28"/>
          <w:sz w:val="28"/>
          <w:szCs w:val="28"/>
          <w:rtl w:val="true"/>
          <w:lang w:bidi="fa-IR"/>
        </w:rPr>
        <w:t xml:space="preserve">این اسناد در حال حاضر به طور گسترده کامل مرمت و موضوعی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فلسفه،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های مطالعه در دسترس هستند، نظام رقومی اجازه می دهد تا هر کاربر ثبت نام شده به اسناد مورد نظر خود که در دانشگاه سوربن یا محل دیگری ذخیره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های آموزشی و اتاق هایی برای کار جمعی یا فردی نیز در دسترس هستند از قبل سفارش دهد</w:t>
      </w:r>
      <w:r>
        <w:rPr>
          <w:rFonts w:eastAsia="IRNazanin" w:cs="IRNazanin"/>
          <w:color w:val="111111"/>
          <w:sz w:val="28"/>
          <w:szCs w:val="28"/>
          <w:rtl w:val="true"/>
          <w:lang w:bidi="fa-IR"/>
        </w:rPr>
        <w:t>.</w:t>
      </w:r>
    </w:p>
    <w:p>
      <w:pPr>
        <w:pStyle w:val="Heading3"/>
        <w:numPr>
          <w:ilvl w:val="2"/>
          <w:numId w:val="1"/>
        </w:numPr>
        <w:rPr/>
      </w:pPr>
      <w:bookmarkStart w:id="483" w:name="__RefHeading___Toc7825565_2870459653"/>
      <w:bookmarkStart w:id="484" w:name="_Toc177"/>
      <w:bookmarkEnd w:id="483"/>
      <w:r>
        <w:rPr>
          <w:rtl w:val="true"/>
        </w:rPr>
        <w:t>مشکلات و انجام طرح</w:t>
      </w:r>
      <w:bookmarkEnd w:id="484"/>
    </w:p>
    <w:p>
      <w:pPr>
        <w:pStyle w:val="BookText"/>
        <w:rPr/>
      </w:pPr>
      <w:r>
        <w:rPr>
          <w:rFonts w:ascii="IRNazanin" w:hAnsi="IRNazanin" w:eastAsia="IRNazanin"/>
          <w:color w:val="111111"/>
          <w:sz w:val="28"/>
          <w:sz w:val="28"/>
          <w:szCs w:val="28"/>
          <w:rtl w:val="true"/>
          <w:lang w:bidi="fa-IR"/>
        </w:rPr>
        <w:t xml:space="preserve">ساختمان های تاریخی، کتاب خانه دانشگاه سوربن در سوم دسامبر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آن، هنری پل </w:t>
      </w:r>
      <w:r>
        <w:rPr>
          <w:rStyle w:val="FootnoteAnchor"/>
          <w:rtl w:val="true"/>
        </w:rPr>
        <w:footnoteReference w:id="642"/>
      </w:r>
      <w:r>
        <w:rPr>
          <w:rFonts w:ascii="IRNazanin" w:hAnsi="IRNazanin" w:eastAsia="IRNazanin"/>
          <w:color w:val="111111"/>
          <w:sz w:val="28"/>
          <w:sz w:val="28"/>
          <w:szCs w:val="28"/>
          <w:rtl w:val="true"/>
          <w:lang w:bidi="fa-IR"/>
        </w:rPr>
        <w:t>، یک کتاب خانه عمومی، برای دانشگاه پاریس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اتاق مطالعه اصلی آن با متر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ظرفیت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مخازن سازمان یافته در دو برج سه طبقه،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را در خود جای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قرن بیستم، این ساختمان تاریخی در فهرست میراث فرهنگی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کتاب خانه در شکل اول آن، به زودی ناکافی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وسایل و مبلمان جدید در اتاق مطالعه اصلی نصب شد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را در خود جای دهد و هر برج از مخازن، بیش از پنج سطح را دریافت نمود، تا ظرفیت کلی کتاب خانه، بالای یک میلیون سند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بسیار کمی، بین سال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دانشگاه پاریس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متفاوت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به مکان جدید در پردیس جدید نقل مکان کرد و کتاب خانه دانشگاه سوربن مجموعه خود را در حوزه علوم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تصمیم گرفته شد، مخازن جدید در قسمت زیر سوربن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کل مخازن، 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از قفسه افزایش پیدا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وقتی که کتاب خانه دانشگاه سوربن بر روی عموم مردم بسته شد، قبل از شروع نوسازی، سالن های مطالعه هنوز هم شکل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از یک قرن، تغییرات بسیار کمی، در این ساختمان مهم،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فشار عمومی، استفاده شدید از کتاب خانه، عدم وجود مکان های در کتاب خانه دانشگاه در پاریس تاثیر نمادین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سوربن از دلایلی بود که باعث شد، نوسازی مناسب ساختمان تقریبا غیر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نتیجه قابل پیش بینی در این وضعیت، بیشتر از یک قرن قدمت، به دلایل ایمنی، کتاب خانه دانشگاه سوربن، در اوت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عموم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رئیس دانشگاه و شهردار پاریس، موفق به تعویق انداختن، بسته شدن کتاب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که یک برنامه نوسازی کامل بین سال های </w:t>
      </w:r>
      <w:r>
        <w:rPr>
          <w:rFonts w:eastAsia="IRNazanin" w:cs="IRNazanin"/>
          <w:color w:val="111111"/>
          <w:sz w:val="28"/>
          <w:szCs w:val="28"/>
          <w:lang w:bidi="fa-IR"/>
        </w:rPr>
        <w:t>20030</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تعریف شود</w:t>
      </w:r>
      <w:r>
        <w:rPr>
          <w:rFonts w:eastAsia="IRNazanin" w:cs="IRNazanin"/>
          <w:color w:val="111111"/>
          <w:sz w:val="28"/>
          <w:szCs w:val="28"/>
          <w:rtl w:val="true"/>
          <w:lang w:bidi="fa-IR"/>
        </w:rPr>
        <w:t xml:space="preserve">. </w:t>
      </w:r>
      <w:bookmarkStart w:id="485" w:name="pg9659_94007"/>
    </w:p>
    <w:p>
      <w:pPr>
        <w:pStyle w:val="Heading3"/>
        <w:numPr>
          <w:ilvl w:val="2"/>
          <w:numId w:val="1"/>
        </w:numPr>
        <w:rPr/>
      </w:pPr>
      <w:bookmarkStart w:id="486" w:name="__RefHeading___Toc7825567_2870459653"/>
      <w:bookmarkStart w:id="487" w:name="_Toc178"/>
      <w:bookmarkEnd w:id="485"/>
      <w:bookmarkEnd w:id="486"/>
      <w:r>
        <w:rPr>
          <w:rtl w:val="true"/>
        </w:rPr>
        <w:t>اهمیت میراث فرهنگی و تاریخچه انجام طرح</w:t>
      </w:r>
      <w:bookmarkEnd w:id="487"/>
    </w:p>
    <w:p>
      <w:pPr>
        <w:pStyle w:val="BookText"/>
        <w:rPr/>
      </w:pPr>
      <w:r>
        <w:rPr>
          <w:rFonts w:ascii="IRNazanin" w:hAnsi="IRNazanin" w:eastAsia="IRNazanin"/>
          <w:color w:val="111111"/>
          <w:sz w:val="28"/>
          <w:sz w:val="28"/>
          <w:szCs w:val="28"/>
          <w:rtl w:val="true"/>
          <w:lang w:bidi="fa-IR"/>
        </w:rPr>
        <w:t xml:space="preserve">به خوبی مشخص بود که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کامل کتاب خانه دانشگاه سوربن لازم و ضروری است و در جولای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دانشگاه پاریس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پانتئون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سوربن </w:t>
      </w:r>
      <w:r>
        <w:rPr>
          <w:rStyle w:val="FootnoteAnchor"/>
          <w:rtl w:val="true"/>
        </w:rPr>
        <w:footnoteReference w:id="643"/>
      </w:r>
      <w:r>
        <w:rPr>
          <w:rFonts w:ascii="IRNazanin" w:hAnsi="IRNazanin" w:eastAsia="IRNazanin"/>
          <w:color w:val="111111"/>
          <w:sz w:val="28"/>
          <w:sz w:val="28"/>
          <w:szCs w:val="28"/>
          <w:rtl w:val="true"/>
          <w:lang w:bidi="fa-IR"/>
        </w:rPr>
        <w:t xml:space="preserve">، در حمایت عمومی به کتاب خانه دانشگاه سورین، تصمیم به استخدام افراد محلی در منطقه کوارتر لاتین </w:t>
      </w:r>
      <w:r>
        <w:rPr>
          <w:rStyle w:val="FootnoteAnchor"/>
          <w:rtl w:val="true"/>
        </w:rPr>
        <w:footnoteReference w:id="644"/>
      </w:r>
      <w:r>
        <w:rPr>
          <w:rFonts w:ascii="IRNazanin" w:hAnsi="IRNazanin" w:eastAsia="IRNazanin"/>
          <w:color w:val="111111"/>
          <w:sz w:val="28"/>
          <w:sz w:val="28"/>
          <w:szCs w:val="28"/>
          <w:rtl w:val="true"/>
          <w:lang w:bidi="fa-IR"/>
        </w:rPr>
        <w:t xml:space="preserve">، برای انتقال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قفسه اسناد، نوسازی زودتر از زمان برنامه ریزی شده،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زیادی در دانشگاه سوربن برای ایجاد یک مرکز ذخیره سازی جدید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برای خدمترسانی کتاب خانه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قفسه مجموعه، پس از طرح احداث ساختمانی با چنین تسهیلاتی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ساخت سازه پیشبینی شده، در زیر حیاط اصلی دانشگاه غیر ممکن به نظر می رسید و تصور برآن بود که هیچ راه حل بلند مدتی برای کمبود فضای ذخیره سازی وجود ندارد مگر این که یک ساختمان در خارج از مرکز تاریخی پاریس برای این کار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 طرح در مقیاس جدید، باید برنامه ریزی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اصلی طرح این بود که ساختمان سابق کتاب خانه دانشگاه سوربن برای استفاده مجدد مورد مرمت قرار گیرد تا حتی الامکان تعداد بیشتری از اسناد کتاب خانه دانشگاه سوربن ذخیره سازی شود که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از قفسه ها را پس از نوسازی می تواند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دیگری نیز باید برای ذخیره کتاب های باقی مانده برنامه ریزی و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یک ساختمان متعلق به دولت فرانسه واقع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 لاوالی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مرکز پاریس بود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توسط یک یادداشت تفاهم بین دولت فرانسه و منطقه ایل دو فرانس </w:t>
      </w:r>
      <w:r>
        <w:rPr>
          <w:rStyle w:val="FootnoteAnchor"/>
          <w:rtl w:val="true"/>
        </w:rPr>
        <w:footnoteReference w:id="646"/>
      </w:r>
      <w:r>
        <w:rPr>
          <w:rFonts w:ascii="IRNazanin" w:hAnsi="IRNazanin" w:eastAsia="IRNazanin"/>
          <w:color w:val="111111"/>
          <w:sz w:val="28"/>
          <w:sz w:val="28"/>
          <w:szCs w:val="28"/>
          <w:rtl w:val="true"/>
          <w:lang w:bidi="fa-IR"/>
        </w:rPr>
        <w:t xml:space="preserve">، یک مرکز ذخیره سازی جدید، که قادر به خدمت رسانی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بود برنامه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طرح کلی از مجموعه گسترش کتاب خانه دانشگاه سورین</w:t>
      </w:r>
    </w:p>
    <w:p>
      <w:pPr>
        <w:pStyle w:val="BookText"/>
        <w:rPr/>
      </w:pPr>
      <w:r>
        <w:rPr>
          <w:rFonts w:ascii="IRNazanin" w:hAnsi="IRNazanin" w:eastAsia="IRNazanin"/>
          <w:color w:val="111111"/>
          <w:sz w:val="28"/>
          <w:sz w:val="28"/>
          <w:szCs w:val="28"/>
          <w:rtl w:val="true"/>
          <w:lang w:bidi="fa-IR"/>
        </w:rPr>
        <w:t>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قفسه در دانشگاه سوربن و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طول قفسه در محل دیگر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آینده نزدیک به عنوان نقطه کلیدی سازمان از مجموعه خواهد بود</w:t>
      </w:r>
      <w:r>
        <w:rPr>
          <w:rFonts w:eastAsia="IRNazanin" w:cs="IRNazanin"/>
          <w:color w:val="111111"/>
          <w:sz w:val="28"/>
          <w:szCs w:val="28"/>
          <w:rtl w:val="true"/>
          <w:lang w:bidi="fa-IR"/>
        </w:rPr>
        <w:t>.</w:t>
      </w:r>
    </w:p>
    <w:p>
      <w:pPr>
        <w:pStyle w:val="Heading3"/>
        <w:numPr>
          <w:ilvl w:val="2"/>
          <w:numId w:val="1"/>
        </w:numPr>
        <w:rPr/>
      </w:pPr>
      <w:bookmarkStart w:id="488" w:name="__RefHeading___Toc7825569_2870459653"/>
      <w:bookmarkStart w:id="489" w:name="_Toc179"/>
      <w:bookmarkEnd w:id="488"/>
      <w:r>
        <w:rPr>
          <w:rtl w:val="true"/>
        </w:rPr>
        <w:t xml:space="preserve">فرآیند انجام طرح از سال </w:t>
      </w:r>
      <w:r>
        <w:rPr/>
        <w:t>2009</w:t>
      </w:r>
      <w:r>
        <w:rPr>
          <w:rtl w:val="true"/>
        </w:rPr>
        <w:t xml:space="preserve"> - </w:t>
      </w:r>
      <w:r>
        <w:rPr/>
        <w:t>2013</w:t>
      </w:r>
      <w:bookmarkEnd w:id="48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آگهی مناقصه برای کارهای نوسازی توسط شورای شهر پاریس و مالکان زمین و ساختمان های دانشگاه سوربن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وضوح مشخص شد که کارهای انجام طرح در اواسط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کامل مجموعه باید برنامه ریزی می شد</w:t>
      </w:r>
      <w:r>
        <w:rPr>
          <w:rFonts w:eastAsia="IRNazanin" w:cs="IRNazanin"/>
          <w:color w:val="111111"/>
          <w:sz w:val="28"/>
          <w:szCs w:val="28"/>
          <w:rtl w:val="true"/>
          <w:lang w:bidi="fa-IR"/>
        </w:rPr>
        <w:t xml:space="preserve">. </w:t>
      </w:r>
      <w:bookmarkStart w:id="490" w:name="pg9659_94008"/>
    </w:p>
    <w:p>
      <w:pPr>
        <w:pStyle w:val="BookText"/>
        <w:rPr/>
      </w:pPr>
      <w:bookmarkEnd w:id="490"/>
      <w:r>
        <w:rPr>
          <w:rFonts w:ascii="IRNazanin" w:hAnsi="IRNazanin" w:eastAsia="IRNazanin"/>
          <w:color w:val="111111"/>
          <w:sz w:val="28"/>
          <w:sz w:val="28"/>
          <w:szCs w:val="28"/>
          <w:rtl w:val="true"/>
          <w:lang w:bidi="fa-IR"/>
        </w:rPr>
        <w:t xml:space="preserve">آگهی مناقصه این انتقال در اوایل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ژوئن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قفسه سند از محل اولیه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با توجه به این که کتاب خانه دانشگاه سوربن را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ظرفیت قفسه بندی خود را از دست داد، که تصمیم گرفته شد مجموعه به دو بلوک اصلی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مواد بیشتر مورد استفاده کتاب خانه موقت سنت باربه </w:t>
      </w:r>
      <w:r>
        <w:rPr>
          <w:rStyle w:val="FootnoteAnchor"/>
          <w:rtl w:val="true"/>
        </w:rPr>
        <w:footnoteReference w:id="647"/>
      </w:r>
      <w:r>
        <w:rPr>
          <w:rFonts w:ascii="IRNazanin" w:hAnsi="IRNazanin" w:eastAsia="IRNazanin"/>
          <w:color w:val="111111"/>
          <w:sz w:val="28"/>
          <w:sz w:val="28"/>
          <w:szCs w:val="28"/>
          <w:rtl w:val="true"/>
          <w:lang w:bidi="fa-IR"/>
        </w:rPr>
        <w:t xml:space="preserve">و پس از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در دانشگاه سوربن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مخازن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دسترسی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هایی که کم تر استفاده می شدند در نوتردام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لطف یک یادداشت تفاهم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فنی کتاب آموزی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تی اِل ای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در این مرکز قفسه بندی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این اسناد توسط سی تی اِل ای 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 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نظام شاتل یک روز پس از سفارش آن ها توسط کاربر به طور کامل در دسترس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توزیع بر پایه یک بررسی طولانی مدت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استفاده از مجموعه ها در کتاب خانه دانشگاه سوربن به خصوص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دوره ای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کم یا زیاد از کتاب ها و مجلات در یک مقیاس زمانی طولانی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همین، اصول توزیع هنوز هم فعال و تحت تاثیر گسترش مجموعه است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هنگامی که بازگرداندن این مجموعه انجام پذیرفت، این اصول هم چنان مد نظر قرار گرفت</w:t>
      </w:r>
      <w:r>
        <w:rPr>
          <w:rFonts w:eastAsia="IRNazanin" w:cs="IRNazanin"/>
          <w:color w:val="111111"/>
          <w:sz w:val="28"/>
          <w:szCs w:val="28"/>
          <w:rtl w:val="true"/>
          <w:lang w:bidi="fa-IR"/>
        </w:rPr>
        <w:t>.</w:t>
      </w:r>
    </w:p>
    <w:p>
      <w:pPr>
        <w:pStyle w:val="Heading3"/>
        <w:numPr>
          <w:ilvl w:val="2"/>
          <w:numId w:val="1"/>
        </w:numPr>
        <w:rPr/>
      </w:pPr>
      <w:bookmarkStart w:id="491" w:name="__RefHeading___Toc7825571_2870459653"/>
      <w:bookmarkStart w:id="492" w:name="_Toc180"/>
      <w:bookmarkEnd w:id="491"/>
      <w:r>
        <w:rPr>
          <w:rtl w:val="true"/>
        </w:rPr>
        <w:t>محل جدید کتاب ها</w:t>
      </w:r>
      <w:bookmarkEnd w:id="49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کتاب خانه دانشگاه سوربن در ساختمان سنت باربه برای استفاده کنندگان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سال می 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کامل انتقال این همراه با محدودیت های فراوانی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تازه تاسیس سنت باربه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فوریه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اشتراک گذاشتن فضاهای خود با کتابخانه دانشگاه سوربن و به ویژه سالن اصلی ساختمان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مطالعه، موقتا به کتاب خانه دانشگاه سوربن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ذخیره شده در مخازن جدید سنت باربه به طور کامل توسط قفسه های فشرده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شد، که در زمان انتقال مجموعه دانشگاه سوربن و برای استفاده در تمام طول روز مشکل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کتاب خانه دانشگاه سوربن نیز مزایای بسیاری از این وضعیت ویژه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فرصتی بود که نقش کامل خود را به عنوان یکی از </w:t>
      </w:r>
      <w:bookmarkStart w:id="493" w:name="pg9659_94009"/>
    </w:p>
    <w:p>
      <w:pPr>
        <w:pStyle w:val="BookText"/>
        <w:rPr/>
      </w:pPr>
      <w:bookmarkEnd w:id="493"/>
      <w:r>
        <w:rPr>
          <w:rFonts w:ascii="IRNazanin" w:hAnsi="IRNazanin" w:eastAsia="IRNazanin"/>
          <w:color w:val="111111"/>
          <w:sz w:val="28"/>
          <w:sz w:val="28"/>
          <w:szCs w:val="28"/>
          <w:rtl w:val="true"/>
          <w:lang w:bidi="fa-IR"/>
        </w:rPr>
        <w:t>کتاب خانه های دانشگاهی تحقیقات در فرانسه در علوم انسانی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ثبت نام و امانت دهی، از نو و بر اساس دسترسی آسان تر برای کاربران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کار کتاب خانه کمی افزایش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هفته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دسترسی باز بزرگتر شده و به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رشد یافتند، این در حالی بود که قبلا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دانشگاه سوربن، در دسترسی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آزاد به منابع رقومی به کاربران ثبت نام شده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رزرو رقومی برای همه استاد از اواسط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همه پیشرفت ها، عادت کار جمعی برای رسیدن به طرح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سوربن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ذهن ضروری است و هنوز اثر محکم بر روی فضای اجتماعی در کتاب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نکات کلیدی برای نوسازی ذکر شده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اصلی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تقسیم بندی، خلاصه و سازماندهی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یک کتاب خانه جدید، ایجاد یک کتاب خانه مجازی، بهبود خدمات ارائه شده به کاربران، تقویت مجموعه، بهبود مدیریت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هدف، گروه های کاری، کارگاه ها، و غیره به منظور اطمینان از نیل به این اهداف در سطح فردی و جمعی برای نوسازی کتاب خانه برنامه ریزی شدند</w:t>
      </w:r>
      <w:r>
        <w:rPr>
          <w:rFonts w:eastAsia="IRNazanin" w:cs="IRNazanin"/>
          <w:color w:val="111111"/>
          <w:sz w:val="28"/>
          <w:szCs w:val="28"/>
          <w:rtl w:val="true"/>
          <w:lang w:bidi="fa-IR"/>
        </w:rPr>
        <w:t>.</w:t>
      </w:r>
    </w:p>
    <w:p>
      <w:pPr>
        <w:pStyle w:val="Heading3"/>
        <w:numPr>
          <w:ilvl w:val="2"/>
          <w:numId w:val="1"/>
        </w:numPr>
        <w:rPr/>
      </w:pPr>
      <w:bookmarkStart w:id="494" w:name="__RefHeading___Toc7825573_2870459653"/>
      <w:bookmarkStart w:id="495" w:name="_Toc181"/>
      <w:bookmarkEnd w:id="494"/>
      <w:r>
        <w:rPr>
          <w:rtl w:val="true"/>
        </w:rPr>
        <w:t xml:space="preserve">ثمره انجام طرح </w:t>
      </w:r>
      <w:r>
        <w:rPr>
          <w:rtl w:val="true"/>
        </w:rPr>
        <w:t>(</w:t>
      </w:r>
      <w:r>
        <w:rPr/>
        <w:t>2013</w:t>
      </w:r>
      <w:r>
        <w:rPr>
          <w:rtl w:val="true"/>
        </w:rPr>
        <w:t>-</w:t>
      </w:r>
      <w:r>
        <w:rPr/>
        <w:t>2016</w:t>
      </w:r>
      <w:r>
        <w:rPr>
          <w:rtl w:val="true"/>
        </w:rPr>
        <w:t>)</w:t>
      </w:r>
      <w:bookmarkEnd w:id="495"/>
    </w:p>
    <w:p>
      <w:pPr>
        <w:pStyle w:val="BookText"/>
        <w:rPr/>
      </w:pPr>
      <w:r>
        <w:rPr>
          <w:rFonts w:ascii="IRNazanin" w:hAnsi="IRNazanin" w:eastAsia="IRNazanin"/>
          <w:color w:val="111111"/>
          <w:sz w:val="28"/>
          <w:sz w:val="28"/>
          <w:szCs w:val="28"/>
          <w:rtl w:val="true"/>
          <w:lang w:bidi="fa-IR"/>
        </w:rPr>
        <w:t xml:space="preserve">در طول سال 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نوسازی به طور گسترده ای پیشرفت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گفت که نوسازی، تقریبا رفع تمام مشکلاتی بوده است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از آن جمله می توان به تهویه مطبوع، اطفاء حریق و آتش، نظام های تخلیه، برق، لوله کشی، دسترسی افراد معلول، و غیره اشاره کرد که به طور کامل تغییر کرده به استانداردهای معقولی دست یافتند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وقتی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باز شد، در بازسازی جدید، کتاب خانه دانشگاه سوربن افزایش قابل توجهی در اندازه و وسعت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تنها برای عموم آزاد و مخازن ارائه فقط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از قفسه بندی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ما باید توجه داشته باشیم که ظرفیت ذخیره سازی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مقایسه با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نصب و راه اندازی قفسه های فشرده افزایش یافت که تقویت کفسازی آن را هم به دنبال داشت، با این حال از دست دادن ذخیره سازی به میزان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قفسه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تصمیم گرفته شد که مجموعه میراث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قفسه و اغلب مجموعه های فعلی و مجموعه برای استفاده </w:t>
      </w:r>
      <w:r>
        <w:rPr>
          <w:rFonts w:eastAsia="IRNazanin" w:cs="IRNazanin"/>
          <w:color w:val="111111"/>
          <w:sz w:val="28"/>
          <w:szCs w:val="28"/>
          <w:rtl w:val="true"/>
          <w:lang w:bidi="fa-IR"/>
        </w:rPr>
        <w:t>(</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سوربن و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خارج از دانشگاه سوربن ذخیره شوند</w:t>
      </w:r>
      <w:r>
        <w:rPr>
          <w:rFonts w:eastAsia="IRNazanin" w:cs="IRNazanin"/>
          <w:color w:val="111111"/>
          <w:sz w:val="28"/>
          <w:szCs w:val="28"/>
          <w:rtl w:val="true"/>
          <w:lang w:bidi="fa-IR"/>
        </w:rPr>
        <w:t xml:space="preserve">. </w:t>
      </w:r>
      <w:bookmarkStart w:id="496" w:name="pg9659_94010"/>
    </w:p>
    <w:p>
      <w:pPr>
        <w:pStyle w:val="BookText"/>
        <w:rPr/>
      </w:pPr>
      <w:bookmarkEnd w:id="496"/>
      <w:r>
        <w:rPr>
          <w:rFonts w:ascii="IRNazanin" w:hAnsi="IRNazanin" w:eastAsia="IRNazanin"/>
          <w:color w:val="111111"/>
          <w:sz w:val="28"/>
          <w:sz w:val="28"/>
          <w:szCs w:val="28"/>
          <w:rtl w:val="true"/>
          <w:lang w:bidi="fa-IR"/>
        </w:rPr>
        <w:t>این سازمان جدید از مجموعه ها در کتاب خانه نوسازی شده می بایست به منظور رسیدن به چند هدف به شرح زیر برنامه ریزی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اسناد تا حد امکان در دانشگاه سوربن،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مواد پر استفاده بیشتر در دانشگاه سوربن،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مجموعه در مخازن برای حفظ مجموعه پراستفاده به صورت مخازن بسته و برای میز امانت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متمرکز کردن تحویل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سازی مجموعه اسناد میراث در دانشگاه سوربن،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مجموعه دسترسی آزاد تا حد امکان در کتاب خانه جدید</w:t>
      </w:r>
      <w:r>
        <w:rPr>
          <w:rFonts w:eastAsia="IRNazanin" w:cs="IRNazanin"/>
          <w:color w:val="111111"/>
          <w:sz w:val="28"/>
          <w:szCs w:val="28"/>
          <w:rtl w:val="true"/>
          <w:lang w:bidi="fa-IR"/>
        </w:rPr>
        <w:t>.</w:t>
      </w:r>
    </w:p>
    <w:p>
      <w:pPr>
        <w:pStyle w:val="Heading3"/>
        <w:numPr>
          <w:ilvl w:val="2"/>
          <w:numId w:val="1"/>
        </w:numPr>
        <w:rPr/>
      </w:pPr>
      <w:bookmarkStart w:id="497" w:name="__RefHeading___Toc7825575_2870459653"/>
      <w:bookmarkStart w:id="498" w:name="_Toc182"/>
      <w:bookmarkEnd w:id="497"/>
      <w:r>
        <w:rPr>
          <w:rtl w:val="true"/>
        </w:rPr>
        <w:t>نگاه دقیق تر به طرح</w:t>
      </w:r>
      <w:bookmarkEnd w:id="49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کتاب خانه دانشگاه سوربن از دوشنبه تا جمعه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 در روز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باز کردن، طیف وسیعی از خدمات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 کتاب خانه دانشگاه سوربن که در سوربن ذخیره شده، امروزه نشان دهنده کمی بیشتر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مخازن، این در حالی است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قفسههای فشرده برقی ذخیره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دسترسی آزاد، به صورت موضوعی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اتاق، کاربر می تواند اسناد و مدارک کلی، کمک و خدمات ویژه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منطقه اصلی به ترتیب به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مطالعه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اتاق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اتاق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شده که به مردم اسناد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سازماندهی و اشاعه دانش 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موضوعات خاص و مورد علاقه را ممکن می سازد که روشی سریع به پژوهش را فراهم می آورد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اتاق مطالعه موضوعی، کتاب ها، نشریات ادواری و مواد رقومی به شرح زیر در دسترس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ادواری در اتاق تاریخ باستان و قرون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مطالعه </w:t>
      </w:r>
      <w:r>
        <w:rPr>
          <w:rFonts w:eastAsia="Times New Roman" w:cs="Times New Roman" w:ascii="Times New Roman" w:hAnsi="Times New Roman"/>
          <w:color w:val="111111"/>
          <w:sz w:val="28"/>
          <w:szCs w:val="28"/>
          <w:lang w:val="en-US" w:bidi="en-US"/>
        </w:rPr>
        <w:t>Fustel Coulanges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ادواری در اتاق تاریخچه مدرن و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مطالعه </w:t>
      </w:r>
      <w:r>
        <w:rPr>
          <w:rFonts w:eastAsia="Times New Roman" w:cs="Times New Roman" w:ascii="Times New Roman" w:hAnsi="Times New Roman"/>
          <w:color w:val="111111"/>
          <w:sz w:val="28"/>
          <w:szCs w:val="28"/>
          <w:lang w:val="en-US" w:bidi="en-US"/>
        </w:rPr>
        <w:t>Labrousse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نشریه ادواری در اتاق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ارسطو و اتاق </w:t>
      </w:r>
      <w:r>
        <w:rPr>
          <w:rFonts w:eastAsia="Times New Roman" w:cs="Times New Roman" w:ascii="Times New Roman" w:hAnsi="Times New Roman"/>
          <w:color w:val="111111"/>
          <w:sz w:val="28"/>
          <w:szCs w:val="28"/>
          <w:lang w:val="en-US" w:bidi="en-US"/>
        </w:rPr>
        <w:t>Jankélévitch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ادواری در اتاق ادبیات و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w:t>
      </w:r>
      <w:r>
        <w:rPr>
          <w:rFonts w:eastAsia="Times New Roman" w:cs="Times New Roman" w:ascii="Times New Roman" w:hAnsi="Times New Roman"/>
          <w:color w:val="111111"/>
          <w:sz w:val="28"/>
          <w:szCs w:val="28"/>
          <w:lang w:val="en-US" w:bidi="en-US"/>
        </w:rPr>
        <w:t>Romilly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اتاق و کتابهای ویژه و کمیاب،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نشریات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دست آمده توسط کتاب خانه دانشگاه سوربن در قفسه های باز در یک نظام مجوز رسمی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متعلق به استادان، دستیاران و پژوهشگران </w:t>
      </w:r>
      <w:bookmarkStart w:id="499" w:name="pg9659_94011"/>
    </w:p>
    <w:p>
      <w:pPr>
        <w:pStyle w:val="BookText"/>
        <w:rPr/>
      </w:pPr>
      <w:bookmarkEnd w:id="499"/>
      <w:r>
        <w:rPr>
          <w:rFonts w:ascii="IRNazanin" w:hAnsi="IRNazanin" w:eastAsia="IRNazanin"/>
          <w:color w:val="111111"/>
          <w:sz w:val="28"/>
          <w:sz w:val="28"/>
          <w:szCs w:val="28"/>
          <w:rtl w:val="true"/>
          <w:lang w:bidi="fa-IR"/>
        </w:rPr>
        <w:t>که پذیرفته اند در شرایط امنیتی خاص از آن استفاده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قفسه اسناد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درسی تی اِل ای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ذخیره بیرون دانشگاه سوربن یک روز پس از سفارش دهی توسط یک نظام رقومی در دسترس می باشند</w:t>
      </w:r>
      <w:r>
        <w:rPr>
          <w:rFonts w:eastAsia="IRNazanin" w:cs="IRNazanin"/>
          <w:color w:val="111111"/>
          <w:sz w:val="28"/>
          <w:szCs w:val="28"/>
          <w:rtl w:val="true"/>
          <w:lang w:bidi="fa-IR"/>
        </w:rPr>
        <w:t>.</w:t>
      </w:r>
    </w:p>
    <w:p>
      <w:pPr>
        <w:pStyle w:val="Heading3"/>
        <w:numPr>
          <w:ilvl w:val="2"/>
          <w:numId w:val="1"/>
        </w:numPr>
        <w:rPr/>
      </w:pPr>
      <w:bookmarkStart w:id="500" w:name="__RefHeading___Toc7825577_2870459653"/>
      <w:bookmarkStart w:id="501" w:name="_Toc183"/>
      <w:bookmarkEnd w:id="500"/>
      <w:r>
        <w:rPr>
          <w:rtl w:val="true"/>
        </w:rPr>
        <w:t xml:space="preserve">آرزوهای بزرگ </w:t>
      </w:r>
      <w:r>
        <w:rPr/>
        <w:t>2016</w:t>
      </w:r>
      <w:r>
        <w:rPr>
          <w:rtl w:val="true"/>
        </w:rPr>
        <w:t>-</w:t>
      </w:r>
      <w:r>
        <w:rPr/>
        <w:t>2020</w:t>
      </w:r>
      <w:bookmarkEnd w:id="501"/>
    </w:p>
    <w:p>
      <w:pPr>
        <w:pStyle w:val="BookText"/>
        <w:rPr/>
      </w:pPr>
      <w:r>
        <w:rPr>
          <w:rFonts w:ascii="IRNazanin" w:hAnsi="IRNazanin" w:eastAsia="IRNazanin"/>
          <w:color w:val="111111"/>
          <w:sz w:val="28"/>
          <w:sz w:val="28"/>
          <w:szCs w:val="28"/>
          <w:rtl w:val="true"/>
          <w:lang w:bidi="fa-IR"/>
        </w:rPr>
        <w:t xml:space="preserve">در حال حاضر، اصول جدید سازمان به وضوح جا افتاده و برای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مجموعه فعلی هنوز هم در حال افزایش منظم به میزان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است، که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قفسه ها در حال حاضر آزاد و خالی هستند در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پر و کامل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تعادل بین ذخیره سازی و دسترسی باز و بین ذخیره سازی فعلی و گذشته قرار است بسیار قابل انعطاف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تصمیم گرفته شد یک مدیریت پویا را می توان با هدف حفظ اشغال حداکثر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ظرفیت قفسه بندی دانشگاه سوربن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از کل ظرفیت مخازن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برنامه ریزی و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نظام فعلی تحویل کتاب از نوامبر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شده و یک بار دیگر پس از سال کند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ذخیره سازی که برای کتاب خانه دانشگاه سوربن در مرن لاوالی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شده بود به دلیل مشکل از کمبود ذخیره سازی هدف و اندازه آن پس 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لطف یک نظر سنجی به سفارش وزارت آموزش عالی، تصمیم گرفته شد که ظرفیت سی تی اِل ای اِس به طرز چشمگیری به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فوق العاده ای از اندازه بدان معنی است که این تاسیسات ذخیره سازی توسط دانشگاه های پاریس به اشتراک گذاشته خواهد شد و میزبان مجموعه هایی از کتاب خانه های دانشگاهی از سراسر فرانسه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معنی است که ماموریت اصلی سی تی اِل ای اِس تغییر خواهد کرد و اجازه می دهد کتاب خانه های دانشگاهی از آن به عنوان یک مخزن دائمی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یک تصویب نامه این تغییر وضعیت از فوریه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گسترش و گشایش سی تی اِل ای اس، در سال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حداقل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دیگری از مجموعه کتاب خانه دانشگاه سوربن به سی تی اِل ای اِس و دانشگاه پاریس یک پانتئون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سورين منتقل خواهد شد و اجرای گران قیمت از مخازن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نوتردام به پایان خواهد رسید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ذخیره سازی پویا، جهت اجرایی شدن برنامه ریزی شده است که در آن، محل هر سند بستگی به استفاده آن و چرخه زندگی آن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کتاب خانه دانشگاه سوربن قادر </w:t>
      </w:r>
    </w:p>
    <w:p>
      <w:pPr>
        <w:pStyle w:val="BookText"/>
        <w:rPr/>
      </w:pPr>
      <w:r>
        <w:rPr>
          <w:rFonts w:ascii="IRNazanin" w:hAnsi="IRNazanin" w:eastAsia="IRNazanin"/>
          <w:color w:val="111111"/>
          <w:sz w:val="28"/>
          <w:sz w:val="28"/>
          <w:szCs w:val="28"/>
          <w:rtl w:val="true"/>
          <w:lang w:bidi="fa-IR"/>
        </w:rPr>
        <w:t xml:space="preserve">خواهد بود، در حداقل در تئوری و در یک چشم انداز بلند مدت از نظام علائم پیچیده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شده و اتکا به نظامی که هنوز مجریان کتاب خانه دانشگاه سوربن در گذشته گیر انداخته است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واضح به نظر می رسد که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از مجموعه کتاب خانه دانشگاه سورین در سوربن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در سی تی اِل ای اِس ذخیره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یک طرح،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به لطف برنامه نوسازی، کتاب خانه دانشگاه سوربن به تدریج از یک وضعیت منفعل به ذخیره سازی به حالت پویا رو به جلو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مخازن در دانشگاه سوربن پر خواهد شد و هیچ راه حل دیگر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حتی زمانی که ما در حال صحبت کردن در مورد مجموعه های پژوهشی هستیم، این تغییر در روش مدیریت چنین مقدار زیادی از اسناد یک مسئله حیاتی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نگهداری یک مجموعه پژوهشی تنها به معنی گردهم آوردن اسناد نیست بلکه به معنی ارزیابی مجموعه و بررسی دائمی میزان ارتباط به جامعه پژوهشگران می باشد</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9659_94014"/>
      <w:bookmarkStart w:id="503" w:name="pg9659_94014"/>
      <w:bookmarkEnd w:id="503"/>
    </w:p>
    <w:p>
      <w:pPr>
        <w:pStyle w:val="Heading2"/>
        <w:numPr>
          <w:ilvl w:val="1"/>
          <w:numId w:val="1"/>
        </w:numPr>
        <w:rPr/>
      </w:pPr>
      <w:bookmarkStart w:id="504" w:name="pg9659_94014"/>
      <w:bookmarkStart w:id="505" w:name="__RefHeading___Toc7825579_2870459653"/>
      <w:bookmarkStart w:id="506" w:name="_Toc184"/>
      <w:bookmarkEnd w:id="504"/>
      <w:bookmarkEnd w:id="505"/>
      <w:r>
        <w:rPr>
          <w:rtl w:val="true"/>
        </w:rPr>
        <w:t>چکیده</w:t>
      </w:r>
      <w:bookmarkEnd w:id="506"/>
    </w:p>
    <w:p>
      <w:pPr>
        <w:pStyle w:val="BookText"/>
        <w:rPr/>
      </w:pPr>
      <w:r>
        <w:rPr>
          <w:rFonts w:ascii="IRNazanin" w:hAnsi="IRNazanin" w:eastAsia="IRNazanin"/>
          <w:color w:val="111111"/>
          <w:sz w:val="28"/>
          <w:sz w:val="28"/>
          <w:szCs w:val="28"/>
          <w:rtl w:val="true"/>
          <w:lang w:bidi="fa-IR"/>
        </w:rPr>
        <w:t xml:space="preserve">کتاب خانه گرو </w:t>
      </w:r>
      <w:r>
        <w:rPr>
          <w:rStyle w:val="FootnoteAnchor"/>
          <w:rtl w:val="true"/>
        </w:rPr>
        <w:footnoteReference w:id="648"/>
      </w:r>
      <w:r>
        <w:rPr>
          <w:rFonts w:ascii="IRNazanin" w:hAnsi="IRNazanin" w:eastAsia="IRNazanin"/>
          <w:color w:val="111111"/>
          <w:sz w:val="28"/>
          <w:sz w:val="28"/>
          <w:szCs w:val="28"/>
          <w:rtl w:val="true"/>
          <w:lang w:bidi="fa-IR"/>
        </w:rPr>
        <w:t xml:space="preserve">در شهر پِرث </w:t>
      </w:r>
      <w:r>
        <w:rPr>
          <w:rStyle w:val="FootnoteAnchor"/>
          <w:rtl w:val="true"/>
        </w:rPr>
        <w:footnoteReference w:id="649"/>
      </w:r>
      <w:r>
        <w:rPr>
          <w:rFonts w:ascii="IRNazanin" w:hAnsi="IRNazanin" w:eastAsia="IRNazanin"/>
          <w:color w:val="111111"/>
          <w:sz w:val="28"/>
          <w:sz w:val="28"/>
          <w:szCs w:val="28"/>
          <w:rtl w:val="true"/>
          <w:lang w:bidi="fa-IR"/>
        </w:rPr>
        <w:t>واقع در غرب استرالیا، نمونه بیانیه جامعه آرمانی در مورد آینده پایداری محیطی است که از طریق کتاب خانه خود 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مسرت غیر منتظره ای با تأسیس ساختمان عمومی جدید سبز همراه با انتظارات خوش بینانه برای اجرای همه نظام های طراحی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 است که کتاب خانه گرو به طور ضمنی باید ساختمان نمونه پیشرویی باشد که خطر اجرای برخی از فناوری های امتحان نشده را به صورتی که انتظار می رفت،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چالش مطرح تحلیل و پذیرش کاستی ها به عنوان آموخته های معتبر است به جای این که به آن ها اجازه بدهند موفقیت های طرح تحت الشعاع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عین حال نوشته ای در باب جنبه های فناورانه ساختمانی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عادی کتاب خانه جدید در جریان است، در حالی که کارکنان و مدیریت با چالش های زیر ساخت و به همان میزان با واقعیت متداول ساختمان های جدید طراحی شده درگیر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انتظارات جامعه و واقعیت های پیرامون یک ساختمان سبز آرمانی، تعامل ادامه دار کتاب خانه سبز با کارکنان، مشتریان و بازدیدکنندگانش و فرصت های برنامه ریزی و هم افزایی که تعامل جامعه با کتاب خانه سبز را پی ریزی می کند، تشریح می نماید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سبز، طراحی پایداری محیطی، برنامه های کتاب خانه، کتاب خانه های عمومی </w:t>
      </w:r>
      <w:bookmarkStart w:id="507" w:name="pg9659_94015"/>
    </w:p>
    <w:p>
      <w:pPr>
        <w:pStyle w:val="Heading2"/>
        <w:numPr>
          <w:ilvl w:val="1"/>
          <w:numId w:val="1"/>
        </w:numPr>
        <w:rPr/>
      </w:pPr>
      <w:bookmarkStart w:id="508" w:name="__RefHeading___Toc7825581_2870459653"/>
      <w:bookmarkStart w:id="509" w:name="_Toc185"/>
      <w:bookmarkEnd w:id="507"/>
      <w:bookmarkEnd w:id="508"/>
      <w:r>
        <w:rPr>
          <w:rtl w:val="true"/>
        </w:rPr>
        <w:t xml:space="preserve">کتاب خانه </w:t>
      </w:r>
      <w:r>
        <w:rPr>
          <w:rtl w:val="true"/>
        </w:rPr>
        <w:t>«</w:t>
      </w:r>
      <w:r>
        <w:rPr>
          <w:rtl w:val="true"/>
        </w:rPr>
        <w:t>گرو</w:t>
      </w:r>
      <w:r>
        <w:rPr>
          <w:rtl w:val="true"/>
        </w:rPr>
        <w:t xml:space="preserve">» </w:t>
      </w:r>
      <w:r>
        <w:rPr>
          <w:rtl w:val="true"/>
        </w:rPr>
        <w:t>به عنوان نمونه کتاب خانه سبز از لحاظ تعامل مداوم جامعه، انتظارات جامعه، فراهم آوری و اشتراک اطلاعات و مشارکت</w:t>
      </w:r>
      <w:bookmarkEnd w:id="509"/>
    </w:p>
    <w:p>
      <w:pPr>
        <w:pStyle w:val="Heading3"/>
        <w:numPr>
          <w:ilvl w:val="2"/>
          <w:numId w:val="1"/>
        </w:numPr>
        <w:rPr/>
      </w:pPr>
      <w:bookmarkStart w:id="510" w:name="__RefHeading___Toc7825583_2870459653"/>
      <w:bookmarkStart w:id="511" w:name="_Toc186"/>
      <w:bookmarkEnd w:id="510"/>
      <w:r>
        <w:rPr>
          <w:rtl w:val="true"/>
        </w:rPr>
        <w:t>اشاره</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 خانه سبز از لحاظ تعامل مداوم جامعه، انتظارات جامعه، فراهم آوری و اشتراک اطلاعات و مشارکت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نوشته دِبرا بورن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رضا خانی پور </w:t>
      </w:r>
      <w:r>
        <w:rPr>
          <w:rStyle w:val="FootnoteAnchor"/>
          <w:rtl w:val="true"/>
        </w:rPr>
        <w:footnoteReference w:id="652"/>
      </w:r>
    </w:p>
    <w:p>
      <w:pPr>
        <w:pStyle w:val="Heading3"/>
        <w:numPr>
          <w:ilvl w:val="2"/>
          <w:numId w:val="1"/>
        </w:numPr>
        <w:rPr/>
      </w:pPr>
      <w:bookmarkStart w:id="512" w:name="__RefHeading___Toc7825585_2870459653"/>
      <w:bookmarkStart w:id="513" w:name="_Toc187"/>
      <w:bookmarkEnd w:id="512"/>
      <w:r>
        <w:rPr>
          <w:rtl w:val="true"/>
        </w:rPr>
        <w:t>جایگاه شهرگرو بر روی سیاره زمین</w:t>
      </w:r>
      <w:bookmarkEnd w:id="513"/>
    </w:p>
    <w:p>
      <w:pPr>
        <w:pStyle w:val="BookText"/>
        <w:rPr/>
      </w:pPr>
      <w:r>
        <w:rPr>
          <w:rFonts w:ascii="IRNazanin" w:hAnsi="IRNazanin" w:eastAsia="IRNazanin"/>
          <w:color w:val="111111"/>
          <w:sz w:val="28"/>
          <w:sz w:val="28"/>
          <w:szCs w:val="28"/>
          <w:rtl w:val="true"/>
          <w:lang w:bidi="fa-IR"/>
        </w:rPr>
        <w:t>در شهر پرث، پایتخت ایالتی، در غرب استرالیا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حاشیه اقیانوس هند، هزاران کیلومتر دورتر از نزدیک ترین شهر واقع شده است، به واقع دور افتاده ترین شهر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مسطح، با تعدادی اندکی کوه که بتوانند باعث بارش باران شوند و در نتیجه، تعداد کمی رودخانه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آب مصرفی خود به سفره های آب زیرزمینی که با بارندگی های قلیل آب گیری می شوند و کارخانه های آب شیرین کن دولتی که اکنون تنها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آب مورد نیاز را تأمین می کنند،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سطح هستند، بنابراین هرگونه تغییرات اقلیمی سریعاً و عمیقاً توسط جمعیت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آن احساس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این مقاله است، در یکی از مرغوب ترین و اعیان نشین ترین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سنتی این سرزمین قبیله و اجاک </w:t>
      </w:r>
      <w:r>
        <w:rPr>
          <w:rStyle w:val="FootnoteAnchor"/>
          <w:rtl w:val="true"/>
        </w:rPr>
        <w:footnoteReference w:id="653"/>
      </w:r>
      <w:r>
        <w:rPr>
          <w:rFonts w:ascii="IRNazanin" w:hAnsi="IRNazanin" w:eastAsia="IRNazanin"/>
          <w:color w:val="111111"/>
          <w:sz w:val="28"/>
          <w:sz w:val="28"/>
          <w:szCs w:val="28"/>
          <w:rtl w:val="true"/>
          <w:lang w:bidi="fa-IR"/>
        </w:rPr>
        <w:t xml:space="preserve">، بخشی از قبیله ای بزرگ تر به نام نیونگار </w:t>
      </w:r>
      <w:r>
        <w:rPr>
          <w:rStyle w:val="FootnoteAnchor"/>
          <w:rtl w:val="true"/>
        </w:rPr>
        <w:footnoteReference w:id="65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حومه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مینت گرو</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برروی باریکه ای از زمین بین سواحل شنی اقیانوس هند، </w:t>
      </w:r>
      <w:bookmarkStart w:id="514" w:name="pg9659_94016"/>
    </w:p>
    <w:p>
      <w:pPr>
        <w:pStyle w:val="BookText"/>
        <w:rPr/>
      </w:pPr>
      <w:bookmarkEnd w:id="514"/>
      <w:r>
        <w:rPr>
          <w:rFonts w:ascii="IRNazanin" w:hAnsi="IRNazanin" w:eastAsia="IRNazanin"/>
          <w:color w:val="111111"/>
          <w:sz w:val="28"/>
          <w:sz w:val="28"/>
          <w:szCs w:val="28"/>
          <w:rtl w:val="true"/>
          <w:lang w:bidi="fa-IR"/>
        </w:rPr>
        <w:t xml:space="preserve">در سمت غرب و قسمت های زیبای پائین رود سوان </w:t>
      </w:r>
      <w:r>
        <w:rPr>
          <w:rStyle w:val="FootnoteAnchor"/>
          <w:rtl w:val="true"/>
        </w:rPr>
        <w:footnoteReference w:id="656"/>
      </w:r>
      <w:r>
        <w:rPr>
          <w:rFonts w:ascii="IRNazanin" w:hAnsi="IRNazanin" w:eastAsia="IRNazanin"/>
          <w:color w:val="111111"/>
          <w:sz w:val="28"/>
          <w:sz w:val="28"/>
          <w:szCs w:val="28"/>
          <w:rtl w:val="true"/>
          <w:lang w:bidi="fa-IR"/>
        </w:rPr>
        <w:t>، در سمت شرق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پِیِر مینت گرو یک محله ممتاز و کم جمعیت است، کتاب خانه در خدمت گروه های متنوعی از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حومه های مجاور آن، موسمان پارک </w:t>
      </w:r>
      <w:r>
        <w:rPr>
          <w:rStyle w:val="FootnoteAnchor"/>
          <w:rtl w:val="true"/>
        </w:rPr>
        <w:footnoteReference w:id="657"/>
      </w:r>
      <w:r>
        <w:rPr>
          <w:rFonts w:ascii="Amiri" w:hAnsi="Amiri" w:eastAsia="Amiri" w:cs="Amiri"/>
          <w:color w:val="111111"/>
          <w:sz w:val="28"/>
          <w:sz w:val="28"/>
          <w:szCs w:val="28"/>
          <w:rtl w:val="true"/>
          <w:lang w:bidi="ar-SA"/>
        </w:rPr>
        <w:t xml:space="preserve">و کاتِسلو </w:t>
      </w:r>
      <w:r>
        <w:rPr>
          <w:rStyle w:val="FootnoteAnchor"/>
          <w:rtl w:val="true"/>
        </w:rPr>
        <w:footnoteReference w:id="658"/>
      </w:r>
      <w:r>
        <w:rPr>
          <w:rFonts w:ascii="IRNazanin" w:hAnsi="IRNazanin" w:eastAsia="IRNazanin"/>
          <w:color w:val="111111"/>
          <w:sz w:val="28"/>
          <w:sz w:val="28"/>
          <w:szCs w:val="28"/>
          <w:rtl w:val="true"/>
          <w:lang w:bidi="fa-IR"/>
        </w:rPr>
        <w:t>که تا همین اواخر مجموعه ای از صنایع سبک را در خود جای داده و هنوز هم محل زندگی کارگران و اقشار متوسط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هر سه حومه، همیشه سیاست مداران محافظه کار را برای کلیه سطوح دولت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گرو، کتاب خانه، مرکز آموزش محلی، خدمات بهداشتی کودکان، رستوران و دفاتر دولتی محلی گرو را شامل شده و تحت تملک و حوزه مدیریت سه حکومت محلی شهرهای مجاور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کاتِسلو، موسمان پارک و ناحیه پِیِرمینت 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کل این سه حومه در حدود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Heading3"/>
        <w:numPr>
          <w:ilvl w:val="2"/>
          <w:numId w:val="1"/>
        </w:numPr>
        <w:rPr/>
      </w:pPr>
      <w:bookmarkStart w:id="515" w:name="__RefHeading___Toc7825587_2870459653"/>
      <w:bookmarkStart w:id="516" w:name="_Toc188"/>
      <w:bookmarkEnd w:id="515"/>
      <w:r>
        <w:rPr>
          <w:rtl w:val="true"/>
        </w:rPr>
        <w:t>کتاب خانه جدید گرو پا به عرصه وجود می گذارد</w:t>
      </w:r>
      <w:r>
        <w:rPr>
          <w:rtl w:val="true"/>
        </w:rPr>
        <w:t>.</w:t>
      </w:r>
      <w:bookmarkEnd w:id="516"/>
    </w:p>
    <w:p>
      <w:pPr>
        <w:pStyle w:val="BookText"/>
        <w:rPr/>
      </w:pPr>
      <w:r>
        <w:rPr>
          <w:rFonts w:ascii="IRNazanin" w:hAnsi="IRNazanin" w:eastAsia="IRNazanin"/>
          <w:color w:val="111111"/>
          <w:sz w:val="28"/>
          <w:sz w:val="28"/>
          <w:szCs w:val="28"/>
          <w:rtl w:val="true"/>
          <w:lang w:bidi="fa-IR"/>
        </w:rPr>
        <w:t xml:space="preserve">اولین کتاب خانه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مشخص شد که کتاب خانه موجود از نظر فضای قابل استفاده و فناوری رسانه ای جدید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سه حکومت محلی چندین جلسه مشورتی تشکیل داده و به این نتیجه رسیدند که به یک کتاب خانه مدرن جدید با فضائی به مراتب بزرگ تر از کتاب خانه موجود نیاز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اولیه کتاب خانه جدید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خانم تریشا هیل </w:t>
      </w:r>
      <w:r>
        <w:rPr>
          <w:rStyle w:val="FootnoteAnchor"/>
          <w:rtl w:val="true"/>
        </w:rPr>
        <w:footnoteReference w:id="659"/>
      </w:r>
      <w:r>
        <w:rPr>
          <w:rFonts w:ascii="IRNazanin" w:hAnsi="IRNazanin" w:eastAsia="IRNazanin"/>
          <w:color w:val="111111"/>
          <w:sz w:val="28"/>
          <w:sz w:val="28"/>
          <w:szCs w:val="28"/>
          <w:rtl w:val="true"/>
          <w:lang w:bidi="fa-IR"/>
        </w:rPr>
        <w:t>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سال های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کتاب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اولیه در برگیرنده بخش جامعی در مورد حفاظت از محیط زیست بود که بر اساس قانون حفاظت از محیط زیست مورخ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کاتِسلو تنظیم شده بود</w:t>
      </w:r>
      <w:r>
        <w:rPr>
          <w:rFonts w:eastAsia="IRNazanin" w:cs="IRNazanin"/>
          <w:color w:val="111111"/>
          <w:sz w:val="28"/>
          <w:szCs w:val="28"/>
          <w:rtl w:val="true"/>
          <w:lang w:bidi="fa-IR"/>
        </w:rPr>
        <w:t>.</w:t>
      </w:r>
    </w:p>
    <w:p>
      <w:pPr>
        <w:pStyle w:val="Heading3"/>
        <w:numPr>
          <w:ilvl w:val="2"/>
          <w:numId w:val="1"/>
        </w:numPr>
        <w:rPr/>
      </w:pPr>
      <w:bookmarkStart w:id="517" w:name="__RefHeading___Toc7825589_2870459653"/>
      <w:bookmarkStart w:id="518" w:name="_Toc189"/>
      <w:bookmarkEnd w:id="517"/>
      <w:r>
        <w:rPr>
          <w:rtl w:val="true"/>
        </w:rPr>
        <w:t>گرو سبز می شود</w:t>
      </w:r>
      <w:r>
        <w:rPr>
          <w:rtl w:val="true"/>
        </w:rPr>
        <w:t>.</w:t>
      </w:r>
      <w:bookmarkEnd w:id="5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تعاملات ابتدائی با مردم درباره کتاب خانه بر امور قابل پیش بینی چون هزینه کل، فضای اضافی برای نگهداری کتب و تدارک فضا جهت فعالیت ها و فناوری های جدید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در جلسه عمومی که برای گفتگو در مورد توسعه کتاب خانه جدید تشکیل شد، عده کمی از مردم نکاتی را در خصوص امکان ادغام ملاحظات محیط زیستی در این طرح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حوزه کاتِسلو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 تمایلات محیط زیستی شدیدی از خود بروز می داد و سایر اعضا نیز تدریجاً به همان سمت و سو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اعضای شوراهای شهر و نیز اعضا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w:t>
      </w:r>
      <w:bookmarkStart w:id="519" w:name="pg9659_94017"/>
    </w:p>
    <w:p>
      <w:pPr>
        <w:pStyle w:val="BookText"/>
        <w:rPr/>
      </w:pPr>
      <w:bookmarkEnd w:id="519"/>
      <w:r>
        <w:rPr>
          <w:rFonts w:ascii="IRNazanin" w:hAnsi="IRNazanin" w:eastAsia="IRNazanin"/>
          <w:color w:val="111111"/>
          <w:sz w:val="28"/>
          <w:sz w:val="28"/>
          <w:szCs w:val="28"/>
          <w:rtl w:val="true"/>
          <w:lang w:bidi="fa-IR"/>
        </w:rPr>
        <w:t>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آنان موضوع حفاظت از محیط زیست را در جریان بحث پیش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دانه کوچک سبز عواطف جامعه در خاکی حاصلخیز کاشته شده و ریشه دوانید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معمار استخدام شدند تا طرح های مفهومی مربوطه را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حفاظت از محیط زیست، قویاً بر تعیین نهائی معمار از جانب هیئت انتخاب کننده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هاولِت </w:t>
      </w:r>
      <w:r>
        <w:rPr>
          <w:rStyle w:val="FootnoteAnchor"/>
          <w:rtl w:val="true"/>
        </w:rPr>
        <w:footnoteReference w:id="660"/>
      </w:r>
      <w:r>
        <w:rPr>
          <w:rFonts w:ascii="IRNazanin" w:hAnsi="IRNazanin" w:eastAsia="IRNazanin"/>
          <w:color w:val="111111"/>
          <w:sz w:val="28"/>
          <w:sz w:val="28"/>
          <w:szCs w:val="28"/>
          <w:rtl w:val="true"/>
          <w:lang w:bidi="fa-IR"/>
        </w:rPr>
        <w:t xml:space="preserve">و بیلی وودلند </w:t>
      </w:r>
      <w:r>
        <w:rPr>
          <w:rStyle w:val="FootnoteAnchor"/>
          <w:rtl w:val="true"/>
        </w:rPr>
        <w:footnoteReference w:id="661"/>
      </w:r>
      <w:r>
        <w:rPr>
          <w:rFonts w:ascii="IRNazanin" w:hAnsi="IRNazanin" w:eastAsia="IRNazanin"/>
          <w:color w:val="111111"/>
          <w:sz w:val="28"/>
          <w:sz w:val="28"/>
          <w:szCs w:val="28"/>
          <w:rtl w:val="true"/>
          <w:lang w:bidi="fa-IR"/>
        </w:rPr>
        <w:t>با طرح های خود که شامل جنبه های سازگار با محیط زیست بودند، هیئت مذکور را تحت تأثیر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جولای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نفر مأموریت اجرائی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کار، گروه طراحی یک ساختمان ساده سبز رنگ را پیشنهاد داده بودند، ولی با پیشرفت طراحی به مرحله مشاوره، بازخورد دریافتی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ابتکارات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در طراحی گنجانیده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معمارها فهرست جامعی از شاخص هایی که امکان داشت برای این طرح مناسب باشند را ارائه داده و از این که هر سه شورا تمامیت</w:t>
      </w:r>
    </w:p>
    <w:p>
      <w:pPr>
        <w:pStyle w:val="BookText"/>
        <w:rPr/>
      </w:pPr>
      <w:r>
        <w:rPr>
          <w:rFonts w:ascii="IRNazanin" w:hAnsi="IRNazanin" w:eastAsia="IRNazanin"/>
          <w:color w:val="111111"/>
          <w:sz w:val="28"/>
          <w:sz w:val="28"/>
          <w:szCs w:val="28"/>
          <w:rtl w:val="true"/>
          <w:lang w:bidi="fa-IR"/>
        </w:rPr>
        <w:t>فهرست پیشنهادی را تائید کردند بسیار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امر طرحی بسیار پیچیده بود و اکنون گرو اولین ساختمان عمومی استرالیا بود که در آن چنین طیف گسترده ای از جنبه های یک طرح یک پارچه و پیشرفته و پایداری محیط زیستی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شده بود</w:t>
      </w:r>
      <w:r>
        <w:rPr>
          <w:rFonts w:eastAsia="IRNazanin" w:cs="IRNazanin"/>
          <w:color w:val="111111"/>
          <w:sz w:val="28"/>
          <w:szCs w:val="28"/>
          <w:rtl w:val="true"/>
          <w:lang w:bidi="fa-IR"/>
        </w:rPr>
        <w:t>.</w:t>
      </w:r>
    </w:p>
    <w:p>
      <w:pPr>
        <w:pStyle w:val="Heading3"/>
        <w:numPr>
          <w:ilvl w:val="2"/>
          <w:numId w:val="1"/>
        </w:numPr>
        <w:rPr/>
      </w:pPr>
      <w:bookmarkStart w:id="520" w:name="__RefHeading___Toc7825591_2870459653"/>
      <w:bookmarkStart w:id="521" w:name="_Toc190"/>
      <w:bookmarkEnd w:id="520"/>
      <w:r>
        <w:rPr>
          <w:rtl w:val="true"/>
        </w:rPr>
        <w:t>توسعه پرمخاطره گرو</w:t>
      </w:r>
      <w:bookmarkEnd w:id="5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از ساکنان و اعضای منتخب به خاطر هرگونه هزینه مالی بالا نسبت به شوراهای خود معترض بودند، به خصوص که این هزینه ها برای کاری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محلی نیز آماده بودند تا بلندگوی این گونه عقاید شوند؛ بنابراین ایجاد فضائی که در آن طرفداران بالقوه طرح نیز امکان آگاه شدن و ابراز عقیده را داشته باشند حیاتی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برای به تصویب رسانیدن طرح ضروری می نمود عبارت بود از یک طرح تعاملی با مردم که نهایتاً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ارتباطات اُ اِی کِی ریج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برنامه این طرح یک متخصص زیست محیطی پرآوازه به نام جاش بیرن </w:t>
      </w:r>
      <w:r>
        <w:rPr>
          <w:rStyle w:val="FootnoteAnchor"/>
          <w:rtl w:val="true"/>
        </w:rPr>
        <w:footnoteReference w:id="66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حضورش در برنامه پرطرفدار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باغبانی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بیرن خواسته شد تا نیازهای تعاملی طرح را مورد بررسی قرار داده و بین مردم در مورد مزایای متعدد طرح درک، </w:t>
      </w:r>
      <w:bookmarkStart w:id="522" w:name="pg9659_94018"/>
    </w:p>
    <w:p>
      <w:pPr>
        <w:pStyle w:val="BookText"/>
        <w:rPr/>
      </w:pPr>
      <w:bookmarkEnd w:id="522"/>
      <w:r>
        <w:rPr>
          <w:rFonts w:ascii="IRNazanin" w:hAnsi="IRNazanin" w:eastAsia="IRNazanin"/>
          <w:color w:val="111111"/>
          <w:sz w:val="28"/>
          <w:sz w:val="28"/>
          <w:szCs w:val="28"/>
          <w:rtl w:val="true"/>
          <w:lang w:bidi="fa-IR"/>
        </w:rPr>
        <w:t>آگاهی و حمایت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تطابق و انتشار اطلاعیه ها، مقالات خبری باورپذیر و قابل درک را امکان پذیر ساخته و راه را برای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فعالیت های تبلیغاتی، از قبیل جنبش های نامه نگاری و نظرخواهی پستی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ژوئن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 زمانی بحرانی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ساختمانی شروع شده بود، ولی بحث در مورد نصب تجهیزات ای اس دی کماکان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تسهیلات مالی به یک نهاد جدید فدرال دولتی،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ولی تائیدیه آن قطعی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جلسات پرالتهاب شوراها، هر سه شورا خود را به اجرای تمامی جنبه های ای اِس دی که توسط معمارها پیشنهاد شده بودند متعهد نمودند، صرف نظر از این که تسهیلات اعطا بشوند یا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اعلام شد که گرو موفق به دریافت تسهیلاتی به مبلغ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اجرای طرح ای اِس 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نهائی کل طرح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آن به اجزا ای اِس دی تخصیص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سرمایه مورد نیاز برای اجرای طرح توسط دولت های محلی تأمین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از طریق دریافت وام و به نسبت جمعیت هر یک از حوزه های مرتبط</w:t>
      </w:r>
      <w:r>
        <w:rPr>
          <w:rFonts w:eastAsia="IRNazanin" w:cs="IRNazanin"/>
          <w:color w:val="111111"/>
          <w:sz w:val="28"/>
          <w:szCs w:val="28"/>
          <w:rtl w:val="true"/>
          <w:lang w:bidi="fa-IR"/>
        </w:rPr>
        <w:t>).</w:t>
      </w:r>
    </w:p>
    <w:p>
      <w:pPr>
        <w:pStyle w:val="Heading3"/>
        <w:numPr>
          <w:ilvl w:val="2"/>
          <w:numId w:val="1"/>
        </w:numPr>
        <w:rPr/>
      </w:pPr>
      <w:bookmarkStart w:id="523" w:name="__RefHeading___Toc7825593_2870459653"/>
      <w:bookmarkStart w:id="524" w:name="_Toc191"/>
      <w:bookmarkEnd w:id="523"/>
      <w:r>
        <w:rPr>
          <w:rtl w:val="true"/>
        </w:rPr>
        <w:t>سرانجام کتاب خانه گرو تأسیس شد</w:t>
      </w:r>
      <w:bookmarkEnd w:id="52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اوت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گرو و سایر خدمات آن در زمان و با بودجه مقرر، برای عموم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رسمی در سپتامبر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های طرح محیط زیست پایداری کتاب خانه 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مسئولانه ساختمان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ساختمانی بازیافت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حساس به آب و 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جایابی و سایه یابی طرح؛ مکان یابی مطلوب برای استفاده بهینه از زاویه تابش آفتاب با تغییر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هزارتوی حرارتی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سنگ های بزرگ و مخازن آب باران در زیرزمین کتاب خانه به شکل مخزن انرژی حرارتی عمل می کند، سرمایش در تابستان و گرمایش در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مارپیچ بازیافت گرمایش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هوای خروجی دستگاه تهویه هوا برای گرم کردن و یا سرد کردن اولیه هوای ورودی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دمای هوا در خارج از ساختمان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حرارت زمینی </w:t>
      </w:r>
      <w:r>
        <w:rPr>
          <w:rStyle w:val="FootnoteAnchor"/>
          <w:rtl w:val="true"/>
        </w:rPr>
        <w:footnoteReference w:id="665"/>
      </w:r>
      <w:r>
        <w:rPr>
          <w:rFonts w:ascii="IRNazanin" w:hAnsi="IRNazanin" w:eastAsia="IRNazanin"/>
          <w:color w:val="111111"/>
          <w:sz w:val="28"/>
          <w:sz w:val="28"/>
          <w:szCs w:val="28"/>
          <w:rtl w:val="true"/>
          <w:lang w:bidi="fa-IR"/>
        </w:rPr>
        <w:t xml:space="preserve">آب خنک از یک منبع عمیق آب زیرزمینی به درون دستگاه مبدل حرارت </w:t>
      </w:r>
    </w:p>
    <w:p>
      <w:pPr>
        <w:pStyle w:val="BookText"/>
        <w:rPr/>
      </w:pPr>
      <w:r>
        <w:rPr>
          <w:rFonts w:ascii="IRNazanin" w:hAnsi="IRNazanin" w:eastAsia="IRNazanin"/>
          <w:color w:val="111111"/>
          <w:sz w:val="28"/>
          <w:sz w:val="28"/>
          <w:szCs w:val="28"/>
          <w:rtl w:val="true"/>
          <w:lang w:bidi="fa-IR"/>
        </w:rPr>
        <w:t>پمپ شده، سپس مجدداً به قسمت گرم تری از منبع مذکور تزریق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فشار وارده به دستگاه تهویه هوا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گزینه های حمل و نقل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گرو در نزدیکی یک مرکز خرید قرار داشته و باعث ترغیب مردم به سفرهای چند منظوره، در عوض رفت و آمدهای تک منظوره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به ایستگاه های پر آمد و شد اتوبوس و قطار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دوچرخه سواران تسهیلاتی از قبیل محل پارک دوچرخه، محل مسقف نگهداری دوچرخه، جایگاه پر کردن بطری آب، اتاق های تعویض لباس و دوش حمام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انرژی تجدید 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فتوولتائیک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کیلوواتی </w:t>
      </w:r>
      <w:r>
        <w:rPr>
          <w:rStyle w:val="FootnoteAnchor"/>
          <w:rtl w:val="true"/>
        </w:rPr>
        <w:footnoteReference w:id="666"/>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 مصرفی کتاب خانه را تأمین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گرم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شده از گرمای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توربین های 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ظرفیت یک کیلووات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امکانات نمایش و آموزش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وری انرژی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روشنایی فلوئورسنت مات با کنترل حسگرها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اندازی ساختمان در زمانی صورت گرفت که امکان استفاده از چراغ های اِل ای دی وجود نداشت، ولی در بازسازی این بخش تحت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طبیعی از طریق نورگیرهای دیواری، پنجره ها و سقف های نورگیر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تهویه هوای طبیعی در پارکینگ زیرزمینی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نیاز به هواکش های تخلیه 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دوجداره باکیفیت که با گاز آرگون پر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کنترل کننده نور آفتاب با پوشش مانع از تشعشع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عایق کاری سقف و پارکینگ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وری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کارآمد آب رسانی برای ماشین های ظرف شوئی، شیرهای آب دستشوئی ها و توالت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جمع آوری و ذخیره سازی آب بارندگی با ظرفیت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در محل ساختمان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تصفیه فاضلاب سیاه، زرد و خاکستری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بندی میزان آلودگی فاضلاب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ملزومات محیطی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ثاثیه و لوازمی که بر اساس گواهی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کننده و بر مبنای میزان تصاعد گازهای </w:t>
      </w:r>
      <w:bookmarkStart w:id="525" w:name="pg9659_94020"/>
    </w:p>
    <w:p>
      <w:pPr>
        <w:pStyle w:val="BookText"/>
        <w:rPr/>
      </w:pPr>
      <w:bookmarkEnd w:id="525"/>
      <w:r>
        <w:rPr>
          <w:rFonts w:ascii="IRNazanin" w:hAnsi="IRNazanin" w:eastAsia="IRNazanin"/>
          <w:color w:val="111111"/>
          <w:sz w:val="28"/>
          <w:sz w:val="28"/>
          <w:szCs w:val="28"/>
          <w:rtl w:val="true"/>
          <w:lang w:bidi="fa-IR"/>
        </w:rPr>
        <w:t xml:space="preserve">دی اکسید کربن و متان، میزان استفاده از مواد بازیافتی، تصاعد کم مواد ارگانیک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بشقاب ها، فنجان ها، لیوان ها، کاردها و چنگال هایی که در مقیاس تجاری و به منظور استفاده در مراسم رسمی خریداری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اجتناب از مصرف لوازم پلاستیکی یک بار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تصفیه آب های ناشی از طوفان شامل یک فیلتر آب آلوده و نیز سیستم های فیلتر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نیزاری</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که قبل از جریان یافتن آب به داخل منابع آب زیرزمینی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گیاهان بومی که به آب کمی نیاز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آبیاری مرتبط با سیستم تصفیه آب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سبز با پوشش گیاهی به منظور نمایش منظره عمودی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مورد استفاده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پاراگراف های ذیل رجوع شود</w:t>
      </w:r>
      <w:r>
        <w:rPr>
          <w:rFonts w:eastAsia="IRNazanin" w:cs="IRNazanin"/>
          <w:color w:val="111111"/>
          <w:sz w:val="28"/>
          <w:szCs w:val="28"/>
          <w:rtl w:val="true"/>
          <w:lang w:bidi="fa-IR"/>
        </w:rPr>
        <w:t>.</w:t>
      </w:r>
    </w:p>
    <w:p>
      <w:pPr>
        <w:pStyle w:val="Heading3"/>
        <w:numPr>
          <w:ilvl w:val="2"/>
          <w:numId w:val="1"/>
        </w:numPr>
        <w:rPr/>
      </w:pPr>
      <w:bookmarkStart w:id="526" w:name="__RefHeading___Toc7825595_2870459653"/>
      <w:bookmarkStart w:id="527" w:name="_Toc192"/>
      <w:bookmarkEnd w:id="526"/>
      <w:r>
        <w:rPr>
          <w:rtl w:val="true"/>
        </w:rPr>
        <w:t xml:space="preserve">کتاب خانه گرو </w:t>
      </w:r>
      <w:r>
        <w:rPr>
          <w:rtl w:val="true"/>
        </w:rPr>
        <w:t xml:space="preserve">- </w:t>
      </w:r>
      <w:r>
        <w:rPr>
          <w:rtl w:val="true"/>
        </w:rPr>
        <w:t>نخستین گام ها</w:t>
      </w:r>
      <w:bookmarkEnd w:id="527"/>
    </w:p>
    <w:p>
      <w:pPr>
        <w:pStyle w:val="BookText"/>
        <w:rPr/>
      </w:pPr>
      <w:r>
        <w:rPr>
          <w:rFonts w:ascii="IRNazanin" w:hAnsi="IRNazanin" w:eastAsia="IRNazanin"/>
          <w:color w:val="111111"/>
          <w:sz w:val="28"/>
          <w:sz w:val="28"/>
          <w:szCs w:val="28"/>
          <w:rtl w:val="true"/>
          <w:lang w:bidi="fa-IR"/>
        </w:rPr>
        <w:t xml:space="preserve">غالباً گفته شده که در امر نوآوری،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پیشگامان نوآوری در یک فناوری جدید بهای سنگینی می پردازند، چون در عمل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خوکچه هندی آزمایشگاهی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انواع فناوری، مانند جانمائی ساختمان، شیشه های دو جداره سیستم آب گرم خورشیدی و سیستم های فتوولتائیک، قبلاً و با کارائی و هزینه روشن و قابل پیش بینی در فناوری های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زیست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فناوری های غیر متداول تر، از قبیل مهار کردن منابع گرمایش زیرزمینی جهت سرمایش ساختمان، تصفیه فاضلاب جهت استفاده مجدد از آب در محل و توربین های بادی جهت تولید برق در محیط شهری، کم تر قابل پیش بینی بودند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به علت غیر قابل پیش بینی بودن مشخصات خاص زمین شناسی در محل، اولین حفاری انجام شده برای سیستم تبادل حرارت زیر زمینی با شکست مواجه شده و بالاجبار در همان اوایل کار، با تحمل هزینه، در محل دیگری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توربین های باد در ارتفاعی نسبتاً پائین نصب شده و قادر به مقاومت در برابر تلاطم های ایجاد شده به وسیله درختان و ساختمان های مجاور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این توربین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هزینه مشاور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منتقل شدند</w:t>
      </w:r>
      <w:r>
        <w:rPr>
          <w:rFonts w:eastAsia="IRNazanin" w:cs="IRNazanin"/>
          <w:color w:val="111111"/>
          <w:sz w:val="28"/>
          <w:szCs w:val="28"/>
          <w:rtl w:val="true"/>
          <w:lang w:bidi="fa-IR"/>
        </w:rPr>
        <w:t xml:space="preserve">. </w:t>
      </w:r>
      <w:bookmarkStart w:id="528" w:name="pg9659_94021"/>
    </w:p>
    <w:p>
      <w:pPr>
        <w:pStyle w:val="BookText"/>
        <w:rPr/>
      </w:pPr>
      <w:bookmarkEnd w:id="528"/>
      <w:r>
        <w:rPr>
          <w:rFonts w:ascii="IRNazanin" w:hAnsi="IRNazanin" w:eastAsia="IRNazanin"/>
          <w:color w:val="111111"/>
          <w:sz w:val="28"/>
          <w:sz w:val="28"/>
          <w:szCs w:val="28"/>
          <w:rtl w:val="true"/>
          <w:lang w:bidi="fa-IR"/>
        </w:rPr>
        <w:t>سیستم پیچیده بازیافت فاضلاب تصفیه شده که برای تجزیه مواد آلاینده به فرایندهای زیستی متکی بود، به علت مرگ میکروارگانیسم ها و ماکروارگانیسم های مورد نیاز، بارها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که سیستم مذکور را تأمین کرده بود ورشکست شد؛ و از آن جائی که هزینه تعمیر سیستم بیشتر از ارزش آب به دست آمده بود، تصمیم گرفته شد که این بخش سیستم تازمان دستیابی به راه حلی بهتر درآینده از رده خارج شود؛ و دست آخر این که، سیستم جمع آوری آب باران تغییر کاربری داده خواهد شد تا به مصرف آبیاری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مشکلات مربوط به تصفیه آب باران برای مصارف داخلی اصلاح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ایرادات اهداف مناسبی برای منتقدین طرح بوده و هم چنین، موجب هزینه های مضاعف برای سه دولت محلی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هم زمان با تعویض اعضای شورا در روند طبیعی انتخابات، بدین معناست که تضمینی برای حمایت سیاسی از هزینه های تعمیراتی وجود نخواهد داشت</w:t>
      </w:r>
      <w:r>
        <w:rPr>
          <w:rFonts w:eastAsia="IRNazanin" w:cs="IRNazanin"/>
          <w:color w:val="111111"/>
          <w:sz w:val="28"/>
          <w:szCs w:val="28"/>
          <w:rtl w:val="true"/>
          <w:lang w:bidi="fa-IR"/>
        </w:rPr>
        <w:t>.</w:t>
      </w:r>
    </w:p>
    <w:p>
      <w:pPr>
        <w:pStyle w:val="Heading3"/>
        <w:numPr>
          <w:ilvl w:val="2"/>
          <w:numId w:val="1"/>
        </w:numPr>
        <w:rPr/>
      </w:pPr>
      <w:bookmarkStart w:id="529" w:name="__RefHeading___Toc7825597_2870459653"/>
      <w:bookmarkStart w:id="530" w:name="_Toc193"/>
      <w:bookmarkEnd w:id="529"/>
      <w:r>
        <w:rPr>
          <w:rtl w:val="true"/>
        </w:rPr>
        <w:t>آموختن از تجربیات</w:t>
      </w:r>
      <w:bookmarkEnd w:id="530"/>
    </w:p>
    <w:p>
      <w:pPr>
        <w:pStyle w:val="BookText"/>
        <w:rPr/>
      </w:pPr>
      <w:r>
        <w:rPr>
          <w:rFonts w:ascii="IRNazanin" w:hAnsi="IRNazanin" w:eastAsia="IRNazanin"/>
          <w:color w:val="111111"/>
          <w:sz w:val="28"/>
          <w:sz w:val="28"/>
          <w:szCs w:val="28"/>
          <w:rtl w:val="true"/>
          <w:lang w:bidi="fa-IR"/>
        </w:rPr>
        <w:t>در نگرشی به گذشته، می توان گفت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یک پدیده شناخته شده مدیریتی به نام خوش بینی مفرط در مرحله طراحی صدمه خورد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موجب پیدایش فرهنگ خوش بینی مفرط می شوند عبارت اند از ضعف کیفی اطلاعات موجود و روش های 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طرح گرو، این یک خطر ذاتی تلقی می شد چون بسیاری از فناوری ها قبلاً و در این مقیاس در ساختمان های عمومی به کار برده نشده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شناخته شده خطر عامل پیچیدگی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چالش آمیختن سیستم های نامتجانس چون آب، انرژی خورشیدی و بادی، سیستم های دمای زیرزمینی، انفعالی، هیدرولیک و مکانیکی، پایش و کنترل رقومی و آنالوگ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چالش ها مستلزم ورود اطلاعات و هماهنگی طیف گسترده ای از تأمین کنندگان و مشاورین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مورد نیاز برای برقراری این هماهنگی در سیستم مدیریت ساختمان قابل اتکا نبود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ناچار، در زمان افتتاح یک ساختمان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خوشنودی به وجود می آید، زیرا انتظار خوش بینانه ای وجود دارد که تمامی سیستم ها به گونه ای عمل خواهند کرد که از روز اول برای آن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اتفاقی نمی افتد، اعتماد عمومی خدشه 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هدف گذاری که گرو باید پیشگام آموزش و به نمایش گذاشتن یک ساختمان باشد، تلویحاً شامل پذیرفتن این خطر نیز می شود که برخی از فناوری های از قبل آزمایش نشده ممکن است کارایی پیش بینی شده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مداوم عبارت از این است که کاستی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تجزیه و تحلیل کرده و بپذیریم، نه این که اجازه دهیم که موفقیت های کلی فناوری های سبز که به خوبی عمل کرده و یا با چند تنظیم اصلاحی دور نمائی عالی برای توفیق دارند را تحت الشعاع قرار دهند</w:t>
      </w:r>
      <w:r>
        <w:rPr>
          <w:rFonts w:eastAsia="IRNazanin" w:cs="IRNazanin"/>
          <w:color w:val="111111"/>
          <w:sz w:val="28"/>
          <w:szCs w:val="28"/>
          <w:rtl w:val="true"/>
          <w:lang w:bidi="fa-IR"/>
        </w:rPr>
        <w:t xml:space="preserve">. </w:t>
      </w:r>
      <w:bookmarkStart w:id="531" w:name="pg9659_94022"/>
    </w:p>
    <w:p>
      <w:pPr>
        <w:pStyle w:val="BookText"/>
        <w:rPr/>
      </w:pPr>
      <w:bookmarkEnd w:id="531"/>
      <w:r>
        <w:rPr>
          <w:rFonts w:ascii="IRNazanin" w:hAnsi="IRNazanin" w:eastAsia="IRNazanin"/>
          <w:color w:val="111111"/>
          <w:sz w:val="28"/>
          <w:sz w:val="28"/>
          <w:szCs w:val="28"/>
          <w:rtl w:val="true"/>
          <w:lang w:bidi="fa-IR"/>
        </w:rPr>
        <w:t>علی رغم مسائل پیش آمده، کتاب خانه گرو اکنون به عنوان یکی از تحسین برانگیزنده ترین کتاب خانه های پِرث به خاطر طرح ساختمانی و امکانات ای اِس دی آن و نیز نتایج عمل کرد و اقدامات بدیع در تمامی جنبه های خدمات کتاب خانه ای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مقاله امکان بسط بیشتر این موارد را ندارد، ولی به طرح موضوعاتی چون تعامل مداوم کتاب خانه سبز با کارکنان، مشتریان و بازدیدکنندگان و فرصت های برنامه ریزی و همافزائی که تعامل جامعه با کتاب خانه سبز را پی ریزی می کنند خواهد پرداخت</w:t>
      </w:r>
      <w:r>
        <w:rPr>
          <w:rFonts w:eastAsia="IRNazanin" w:cs="IRNazanin"/>
          <w:color w:val="111111"/>
          <w:sz w:val="28"/>
          <w:szCs w:val="28"/>
          <w:rtl w:val="true"/>
          <w:lang w:bidi="fa-IR"/>
        </w:rPr>
        <w:t>.</w:t>
      </w:r>
    </w:p>
    <w:p>
      <w:pPr>
        <w:pStyle w:val="Heading3"/>
        <w:numPr>
          <w:ilvl w:val="2"/>
          <w:numId w:val="1"/>
        </w:numPr>
        <w:rPr/>
      </w:pPr>
      <w:bookmarkStart w:id="532" w:name="__RefHeading___Toc7825599_2870459653"/>
      <w:bookmarkStart w:id="533" w:name="_Toc194"/>
      <w:bookmarkEnd w:id="532"/>
      <w:r>
        <w:rPr>
          <w:rtl w:val="true"/>
        </w:rPr>
        <w:t>گرو به عنوان مثالی زنده</w:t>
      </w:r>
      <w:r>
        <w:rPr>
          <w:rtl w:val="true"/>
        </w:rPr>
        <w:t xml:space="preserve">: </w:t>
      </w:r>
      <w:r>
        <w:rPr>
          <w:rtl w:val="true"/>
        </w:rPr>
        <w:t>چشم انداز و مأموریت</w:t>
      </w:r>
      <w:bookmarkEnd w:id="533"/>
    </w:p>
    <w:p>
      <w:pPr>
        <w:pStyle w:val="BookText"/>
        <w:rPr/>
      </w:pPr>
      <w:r>
        <w:rPr>
          <w:rFonts w:ascii="IRNazanin" w:hAnsi="IRNazanin" w:eastAsia="IRNazanin"/>
          <w:color w:val="111111"/>
          <w:sz w:val="28"/>
          <w:sz w:val="28"/>
          <w:szCs w:val="28"/>
          <w:rtl w:val="true"/>
          <w:lang w:bidi="fa-IR"/>
        </w:rPr>
        <w:t>در آغاز طرح کتاب خانه گرو این احساس شکل گرفت که کتاب خانه به محل تمرکز بر یک راهبرد پیشرو آموزش اجتماعی درباره فواید و اقدامات عملی که آینده پایداری جامعه را تأمین کند 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شامل فعالیت های پیشبردی، اطلاعات و منابع برخط، ابزار آموزشی و رویدادهای اجتماعی می شود تا در نهایت برنامه ای را ارائه دهد که علاوه بر تأثیر محلی، به طور بالقوه برد ملی و جهانی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این هدف،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جنبه های کاری کتاب خانه گرو، شامل برندسازی و بیانیه های چشم انداز و مأموریت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آموختن،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برای نقش آموزشی کتاب خانه گرو در زندگی جامعه، بلکه جهت 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با الگوسازی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ابداع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ای از بیانیه جاری چشم انداز و مأموریت کتاب خانه گرو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کتاب خانه گرو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جوامعی مطمئن و مرتبط در حال پیشبرد مسیر آموزش و زندگی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 مأموریت ویژه ای برای آموزش هر چه گسترده تر جامعه در مورد مقوله پایداری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مرتبط با رهبری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از طریق الگوسازی در اقدامات پایدار شامل به نمایش گذاردن ویژگی های یک طرح زیست محیطی پایدار به منظور ترغیب مردم به پذیرش و الگوبرداری از آن برای کاربردهای شخصی و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مربوط به آموزش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منابعی برای زندگی پایدار و شراکت با سایر سازمان ها در شبکه سبز و پایدار به منظور کسب دانش و آموزش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سبز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پایداری در تمامی شئون عملیاتی کتاب خانه گرو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شامل ارتقا آگاهی </w:t>
      </w:r>
      <w:bookmarkStart w:id="534" w:name="pg9659_94023"/>
    </w:p>
    <w:p>
      <w:pPr>
        <w:pStyle w:val="BookText"/>
        <w:rPr/>
      </w:pPr>
      <w:bookmarkEnd w:id="534"/>
      <w:r>
        <w:rPr>
          <w:rFonts w:ascii="IRNazanin" w:hAnsi="IRNazanin" w:eastAsia="IRNazanin"/>
          <w:color w:val="111111"/>
          <w:sz w:val="28"/>
          <w:sz w:val="28"/>
          <w:szCs w:val="28"/>
          <w:rtl w:val="true"/>
          <w:lang w:bidi="fa-IR"/>
        </w:rPr>
        <w:t>کارکنان به این مهم می شود که اقدامات آنان، حتی جزئی ترین آن ها، بر محیط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پیمان کاران نظافت چی از مواد پاک کننده با سمیت کم تر استفاده می کنند؛ تمام کاغذهای مورد برای چاپ و فتوکپی از نوع بازیافتی هستند؛ سطل های زباله در سطح کتاب خانه، هم برای کارکنان و هم برای مشتریان، برای جداسازی زباله قابل بازیافت در نظر گرفته شده اند؛ کتاب خانه مکانی را برای جمع آوری باطری های قابل بازیافت، گوشی های همراه و کاتریج پرینترها تدارک دیده است؛ قبل از برگزاری مراسم در کتاب خانه، بررسی های لازم به منظور کاهش ضایعات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با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پیوسته ای را برای به کارگیری شعار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اسراف، استفاده مجدد،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کارکنان باقی مانده غذاها را به یک مزرعه پرورش کرم برای تولید کود کمپوست که در مجموعه کتاب خانه قرار دارد، اهدا کرده و از یک باغ کوچک گیاهان و سبزیجات نگهداری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کارکنان یک پالت چوبی که برای تحویل کالا به کتاب خانه به کار رفته بود را بازسازی کردند تا از آن برای ساختن یک باغچه عمودی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کارکنان مشتاقانه در این طرح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کرمیت قورباغه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شخصیت کارتونی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بازگو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بودن همیشه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کارکنان عمیقاً تحت تأثیر چالش های مربوط به ساخت کتاب خانه قرار گرفته اند؛ هم از نظر آسایش شخصی و هم به لحاظ مورد انتقاد قرار گرفتن برای موضوعاتی که از کنترل آنان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که در جریان موج گرمای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عادی در پِرت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سیستم تهویه خراب شده است؛ و یا وقتی که مردم در مورد مقاله های اخیر روزنامه در خصوص هزینه های بالای ساختمان کتاب خانه شروع به اعتراض می کنند، باز هم اشتیاق خلل ناپذیر نسبت به ساختمان سبز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اکثریت کارکنان صبور و در مواقع نیاز برای رسیدگی به چالش ها، حامی مدیریت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دیگری که کسب شده این است که مدیریت کتاب خانه نیز باید آمادگی مقابله با چالش های مدیریتی یک ساختمان سبز را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که آنان باید تمایل به کسب آگاهی های لازم در ارتباط با فناوری های پایدار داشته باشند، زیرا آنان ناچارند با گروهی با تخصص های متنوع از تأمین کنندگان و مشاوران کار کنند تا از سرمایه گذاری اولیه و آمال جامعه در یک ساختمان سبز حفاظت و به خوبی بهره برداری شود</w:t>
      </w:r>
      <w:r>
        <w:rPr>
          <w:rFonts w:eastAsia="IRNazanin" w:cs="IRNazanin"/>
          <w:color w:val="111111"/>
          <w:sz w:val="28"/>
          <w:szCs w:val="28"/>
          <w:rtl w:val="true"/>
          <w:lang w:bidi="fa-IR"/>
        </w:rPr>
        <w:t>.</w:t>
      </w:r>
    </w:p>
    <w:p>
      <w:pPr>
        <w:pStyle w:val="Heading3"/>
        <w:numPr>
          <w:ilvl w:val="2"/>
          <w:numId w:val="1"/>
        </w:numPr>
        <w:rPr/>
      </w:pPr>
      <w:bookmarkStart w:id="535" w:name="__RefHeading___Toc7825601_2870459653"/>
      <w:bookmarkStart w:id="536" w:name="_Toc195"/>
      <w:bookmarkEnd w:id="535"/>
      <w:r>
        <w:rPr>
          <w:rtl w:val="true"/>
        </w:rPr>
        <w:t>گرو در قالب یک الهام پایان ناپذیر</w:t>
      </w:r>
      <w:bookmarkEnd w:id="53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منبع آموزش و الهام خود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جهت بهره جویی از ساختمان به عنوان یک </w:t>
      </w:r>
      <w:bookmarkStart w:id="537" w:name="pg9659_94024"/>
    </w:p>
    <w:p>
      <w:pPr>
        <w:pStyle w:val="BookText"/>
        <w:rPr/>
      </w:pPr>
      <w:bookmarkEnd w:id="537"/>
      <w:r>
        <w:rPr>
          <w:rFonts w:ascii="IRNazanin" w:hAnsi="IRNazanin" w:eastAsia="IRNazanin"/>
          <w:color w:val="111111"/>
          <w:sz w:val="28"/>
          <w:sz w:val="28"/>
          <w:szCs w:val="28"/>
          <w:rtl w:val="true"/>
          <w:lang w:bidi="fa-IR"/>
        </w:rPr>
        <w:t>ابزار آموزشی، ضرورت داشته که طیف حضار در کتاب خانه، شامل کودکان، دانش آموزان، مهندسین و متخصصين صنعت، در این مورد توجیه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پاسخ به این چالش، در موارد امکان، قابل رؤیت ساختن ویژگی های ساختمان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بارز توربین های 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پنل های فتوولتئیک بعداً در محلی نسبتاً نامطلوب در نمای ساختمان نصب شدند، صرفاً به خاطر این که دیده شوند؛ و برخی از بخش های ساختمان که در حالت عادی از دید پنهان بودند، از طریق احداث درگاه قابل روئیت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پنجره هائی برای دیدن هزارتوی حرارتی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مواردی که در نقشه راهنما به آن ها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شکل مدور مخازن بزرگ زیرزمینی آب باران، در یک محل بازی به صورت مجازی و تفریحی نمایش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علائم تفسیری، اطلاعیه ها و منابع برخط توسط یک پیمان کار مخابراتی تدوین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با هماهنگی شخصیت محیط زیستی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 بیرن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تا بتوان اطلاعات پیچیده را به نحوی اثر بخش به حضار عام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اطلاعیه ها نه تنها به تشریح ویژگی های ای اِس دی پرداختند، بلکه شامل نکاتی برای اعضای جامعه بودند که چگونه اقدامات پایدار را به سطح</w:t>
      </w:r>
    </w:p>
    <w:p>
      <w:pPr>
        <w:pStyle w:val="BookText"/>
        <w:rPr/>
      </w:pPr>
      <w:r>
        <w:rPr>
          <w:rFonts w:ascii="IRNazanin" w:hAnsi="IRNazanin" w:eastAsia="IRNazanin"/>
          <w:color w:val="111111"/>
          <w:sz w:val="28"/>
          <w:sz w:val="28"/>
          <w:szCs w:val="28"/>
          <w:rtl w:val="true"/>
          <w:lang w:bidi="fa-IR"/>
        </w:rPr>
        <w:t>منازل خود تعمیم دهند</w:t>
      </w:r>
      <w:r>
        <w:rPr>
          <w:rFonts w:eastAsia="IRNazanin" w:cs="IRNazanin"/>
          <w:color w:val="111111"/>
          <w:sz w:val="28"/>
          <w:szCs w:val="28"/>
          <w:rtl w:val="true"/>
          <w:lang w:bidi="fa-IR"/>
        </w:rPr>
        <w:t xml:space="preserve">. </w:t>
      </w:r>
      <w:r>
        <w:rPr>
          <w:rStyle w:val="FootnoteAnchor"/>
          <w:rtl w:val="true"/>
        </w:rPr>
        <w:footnoteReference w:id="668"/>
      </w:r>
    </w:p>
    <w:p>
      <w:pPr>
        <w:pStyle w:val="Heading3"/>
        <w:numPr>
          <w:ilvl w:val="2"/>
          <w:numId w:val="1"/>
        </w:numPr>
        <w:rPr/>
      </w:pPr>
      <w:bookmarkStart w:id="538" w:name="__RefHeading___Toc7825603_2870459653"/>
      <w:bookmarkStart w:id="539" w:name="_Toc196"/>
      <w:bookmarkEnd w:id="538"/>
      <w:r>
        <w:rPr>
          <w:rtl w:val="true"/>
        </w:rPr>
        <w:t>تورهای صنعت</w:t>
      </w:r>
      <w:bookmarkEnd w:id="539"/>
    </w:p>
    <w:p>
      <w:pPr>
        <w:pStyle w:val="BookText"/>
        <w:rPr/>
      </w:pPr>
      <w:r>
        <w:rPr>
          <w:rFonts w:ascii="IRNazanin" w:hAnsi="IRNazanin" w:eastAsia="IRNazanin"/>
          <w:color w:val="111111"/>
          <w:sz w:val="28"/>
          <w:sz w:val="28"/>
          <w:szCs w:val="28"/>
          <w:rtl w:val="true"/>
          <w:lang w:bidi="fa-IR"/>
        </w:rPr>
        <w:t xml:space="preserve">آوازه طرح گرو، هم به عنوان تنها طرح دارای تسهیلات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استرالیای غربی و هم برنده جوایز متعدد صنعتی، مورد توجه شایان متخصصین صنعت شامل کتاب خانه ها، دولت های محلی، خدمات عمومی، معمارهاف ساختمان سازان، مهندسین محیط زیست و دانشگاهیان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مقامات منتخب سایر دولت های محلی غالباً درخواست بازدید از این تأسیسات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چهار سال اخیر،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یا گروه کوچک شخصاً از گرو بازدید کرده اند</w:t>
      </w:r>
      <w:r>
        <w:rPr>
          <w:rFonts w:eastAsia="IRNazanin" w:cs="IRNazanin"/>
          <w:color w:val="111111"/>
          <w:sz w:val="28"/>
          <w:szCs w:val="28"/>
          <w:rtl w:val="true"/>
          <w:lang w:bidi="fa-IR"/>
        </w:rPr>
        <w:t>.</w:t>
      </w:r>
    </w:p>
    <w:p>
      <w:pPr>
        <w:pStyle w:val="Heading3"/>
        <w:numPr>
          <w:ilvl w:val="2"/>
          <w:numId w:val="1"/>
        </w:numPr>
        <w:rPr/>
      </w:pPr>
      <w:bookmarkStart w:id="540" w:name="__RefHeading___Toc7825605_2870459653"/>
      <w:bookmarkStart w:id="541" w:name="_Toc197"/>
      <w:bookmarkEnd w:id="540"/>
      <w:r>
        <w:rPr>
          <w:rtl w:val="true"/>
        </w:rPr>
        <w:t>تعامل با جامعه</w:t>
      </w:r>
      <w:bookmarkEnd w:id="54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ابتدای کار، تعامل با جامعه توسط شخصیت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 بیرن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رسمی طرح شناخته شده بود،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با همکاری شرکت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آب دولت ایالتی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بسیار موفقیت آمیز درختکاری عمومی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ویژگی های محیط زیستی و استراتژی های مدیریت منابع آب گرو را به نمایش گذاشت و شامل کاشت دستی درخت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 بیرن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جناب کالین بارنت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وزیر استرالیای غربی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مراسم، تورهای همراه با راهنما از محل ساختمان گرو، نمایش های زنده، داستان سرائی بازی های بوم شناسی برای کودکان و غرفه های اطلاعات در مورد تمام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آغازین، روابطی را بین گروه های محیط زیستی و سازمان هایی که فورا متوجه توانایی بالقوه گرو برای میزبانی و تکمیل برنامه های کاریشان شده بودند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هم چنین برای ترویج برنامه های دولتی،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زمین</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و دوره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هوشمندانه</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برای خانه داران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ها به طور مرتب با مشارکت گرو و جهت میزبانی برنامه های مضمونی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جولای عاری از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هوای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گروه ها مرتباً برای دریافت آموزش در مورد ویژگی های ای اِس دی از گرو بازدید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گروه های محیط زیستی و پایداری برنامه هایی را در گرو اجرا کردند و یا با آن رابطه دارند که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کننده را به خود جذب کرده اند</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تشریح این فعالیت ها و مراسم، از یک مراسم به عنوان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تر بیشتر است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یک حرکت مردمی جهت ترویج اقدامات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 درخواست کردند که این مراسم را میزبانی کند، چون ویژگی های ای اِس دی مکمل خوبی برای اهداف جشنواره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جشنواره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و به خوبی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متعاقباً، جشنواره دوم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شده و چنان موفقیت آمیز بود که جایزه سال رویداد جامعه </w:t>
      </w:r>
      <w:r>
        <w:rPr>
          <w:rStyle w:val="FootnoteAnchor"/>
          <w:rtl w:val="true"/>
        </w:rPr>
        <w:footnoteReference w:id="673"/>
      </w:r>
      <w:r>
        <w:rPr>
          <w:rFonts w:ascii="IRNazanin" w:hAnsi="IRNazanin" w:eastAsia="IRNazanin"/>
          <w:color w:val="111111"/>
          <w:sz w:val="28"/>
          <w:sz w:val="28"/>
          <w:szCs w:val="28"/>
          <w:rtl w:val="true"/>
          <w:lang w:bidi="fa-IR"/>
        </w:rPr>
        <w:t>را از استان پِپرمینت گرو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فوریه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موفق ترین جشنواره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که در طول روز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برجسته این سال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دوچرخه، نگهداری از مرغ و خروس، تولید نان، پنیر و ماست، سامان دهی محیط زندگی، ایجاد تعادل در کار و زندگی، بازنشستگی و تولید غذای مغذی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هم برای گرو و هم برای سازمان دهندگان کم هزینه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مجریان داوطلب و نسبت به موضوع کار خود مشتاق بودند؛ و شرکت در تمامی مراسم جشنواره رایگان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مراسمی سالیانه برای ترویج روش های زندگی جایگزین در تقویم پِرث ثبت شده است</w:t>
      </w:r>
      <w:r>
        <w:rPr>
          <w:rFonts w:eastAsia="IRNazanin" w:cs="IRNazanin"/>
          <w:color w:val="111111"/>
          <w:sz w:val="28"/>
          <w:szCs w:val="28"/>
          <w:rtl w:val="true"/>
          <w:lang w:bidi="fa-IR"/>
        </w:rPr>
        <w:t xml:space="preserve">. </w:t>
      </w:r>
      <w:bookmarkStart w:id="542" w:name="pg9659_94026"/>
    </w:p>
    <w:p>
      <w:pPr>
        <w:pStyle w:val="Heading3"/>
        <w:numPr>
          <w:ilvl w:val="2"/>
          <w:numId w:val="1"/>
        </w:numPr>
        <w:rPr/>
      </w:pPr>
      <w:bookmarkStart w:id="543" w:name="__RefHeading___Toc7825607_2870459653"/>
      <w:bookmarkStart w:id="544" w:name="_Toc198"/>
      <w:bookmarkEnd w:id="542"/>
      <w:bookmarkEnd w:id="543"/>
      <w:r>
        <w:rPr>
          <w:rtl w:val="true"/>
        </w:rPr>
        <w:t xml:space="preserve">تعامل با گرو </w:t>
      </w:r>
      <w:r>
        <w:rPr>
          <w:rtl w:val="true"/>
        </w:rPr>
        <w:t xml:space="preserve">... </w:t>
      </w:r>
      <w:r>
        <w:rPr>
          <w:rtl w:val="true"/>
        </w:rPr>
        <w:t>به عنوان یک کتاب خانه</w:t>
      </w:r>
      <w:bookmarkEnd w:id="544"/>
    </w:p>
    <w:p>
      <w:pPr>
        <w:pStyle w:val="BookText"/>
        <w:rPr/>
      </w:pPr>
      <w:r>
        <w:rPr>
          <w:rFonts w:ascii="IRNazanin" w:hAnsi="IRNazanin" w:eastAsia="IRNazanin"/>
          <w:color w:val="111111"/>
          <w:sz w:val="28"/>
          <w:sz w:val="28"/>
          <w:szCs w:val="28"/>
          <w:rtl w:val="true"/>
          <w:lang w:bidi="fa-IR"/>
        </w:rPr>
        <w:t xml:space="preserve">تقریباً به محض افتتاح کتاب خانه، بازدید از آن به میزان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عضویت به میزان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 وام ها به 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و این مقادیر غالباً در سطوح بالاتری هم حفظ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هاوک </w:t>
      </w:r>
      <w:r>
        <w:rPr>
          <w:rStyle w:val="FootnoteAnchor"/>
          <w:rtl w:val="true"/>
        </w:rPr>
        <w:footnoteReference w:id="674"/>
      </w:r>
      <w:r>
        <w:rPr>
          <w:rFonts w:ascii="IRNazanin" w:hAnsi="IRNazanin" w:eastAsia="IRNazanin"/>
          <w:color w:val="111111"/>
          <w:sz w:val="28"/>
          <w:sz w:val="28"/>
          <w:szCs w:val="28"/>
          <w:rtl w:val="true"/>
          <w:lang w:bidi="fa-IR"/>
        </w:rPr>
        <w:t xml:space="preserve">اشاره می کند، اعتبار 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خانه، از طریق نمایش توجه و هم دلی آن نسبت به سلامتی و رفاه مشتریانش و نیز اهداف آن برای هزینه کردن پول مالیات دهندگان در راه ایجاد اماکن عمومی پایدار و یا مقرون به صرفه، ابزارهای بالقوه نیرومند بازاریابی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تمرکز و علاقه ای که نسبت به ویژگی های زیست محیطی و فعالیت های کتاب خانه گرو وجود دارد، تعجب آور نخواهد بود اگر این تمرکز تمامی مجموعه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مجموعه ای دیدنی از کتب و مجلات مرتبط با موضوعات محیط زیستی و زندگانی پایدار را گردآوری و نگهداری می کند که با یک نقطه سبزرنگ بر روی جلد کتب متمایز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در مواقعی که گرو فعالیت ها و مراسمی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کند بیشتر به معرض نمایش گذارده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گرو به طور مرتب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 های کودکان تلفیق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مراسم جشن هالوین </w:t>
      </w:r>
      <w:r>
        <w:rPr>
          <w:rStyle w:val="FootnoteAnchor"/>
          <w:rtl w:val="true"/>
        </w:rPr>
        <w:footnoteReference w:id="67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هالوگرین </w:t>
      </w:r>
      <w:r>
        <w:rPr>
          <w:rStyle w:val="FootnoteAnchor"/>
          <w:rtl w:val="true"/>
        </w:rPr>
        <w:footnoteReference w:id="676"/>
      </w:r>
      <w:r>
        <w:rPr>
          <w:rFonts w:ascii="IRNazanin" w:hAnsi="IRNazanin" w:eastAsia="IRNazanin"/>
          <w:color w:val="111111"/>
          <w:sz w:val="28"/>
          <w:sz w:val="28"/>
          <w:szCs w:val="28"/>
          <w:rtl w:val="true"/>
          <w:lang w:bidi="fa-IR"/>
        </w:rPr>
        <w:t>نام گذاری شد</w:t>
      </w:r>
      <w:r>
        <w:rPr>
          <w:rFonts w:eastAsia="IRNazanin" w:cs="IRNazanin"/>
          <w:color w:val="111111"/>
          <w:sz w:val="28"/>
          <w:szCs w:val="28"/>
          <w:rtl w:val="true"/>
          <w:lang w:bidi="fa-IR"/>
        </w:rPr>
        <w:t>.</w:t>
      </w:r>
    </w:p>
    <w:p>
      <w:pPr>
        <w:pStyle w:val="Heading3"/>
        <w:numPr>
          <w:ilvl w:val="2"/>
          <w:numId w:val="1"/>
        </w:numPr>
        <w:rPr/>
      </w:pPr>
      <w:bookmarkStart w:id="545" w:name="__RefHeading___Toc7825609_2870459653"/>
      <w:bookmarkStart w:id="546" w:name="_Toc199"/>
      <w:bookmarkEnd w:id="545"/>
      <w:r>
        <w:rPr>
          <w:rtl w:val="true"/>
        </w:rPr>
        <w:t>جمع بندی</w:t>
      </w:r>
      <w:bookmarkEnd w:id="546"/>
    </w:p>
    <w:p>
      <w:pPr>
        <w:pStyle w:val="BookText"/>
        <w:rPr/>
      </w:pPr>
      <w:r>
        <w:rPr>
          <w:rFonts w:ascii="IRNazanin" w:hAnsi="IRNazanin" w:eastAsia="IRNazanin"/>
          <w:color w:val="111111"/>
          <w:sz w:val="28"/>
          <w:sz w:val="28"/>
          <w:szCs w:val="28"/>
          <w:rtl w:val="true"/>
          <w:lang w:bidi="fa-IR"/>
        </w:rPr>
        <w:t xml:space="preserve">کتاب خانه گرو یک نمایشگاه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خلوتگاه شهری با ساختمانی جذاب و مایه مباهات جامعه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نقش مهمی در بازگو کردن روایت تلاش های این جامعه برای کسب آتیه ای پایدار دارد؛ و این روایت هنوز به پایداری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در این ساختمان تمامی جنبه های خدمات کتاب خانه ای را برانگیخته که شامل ارتقا استاندارد کار در سایر حوزه ها چون خدمات رقومی، خدمات به مشتری و روش های مدیریت می شود؛ و این ها روایاتی هستند که باید در نوشته ها و سخنرانی های دیگر ارائه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حمایت پایدار جامعه، آینده کتاب خانه گرو درخشان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شهردار، ران نوریس </w:t>
      </w:r>
      <w:r>
        <w:rPr>
          <w:rStyle w:val="FootnoteAnchor"/>
          <w:rtl w:val="true"/>
        </w:rPr>
        <w:footnoteReference w:id="67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ران نوریس 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شهر و از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شهردار موسمان پارک </w:t>
      </w:r>
      <w:r>
        <w:rPr>
          <w:rStyle w:val="FootnoteAnchor"/>
          <w:rtl w:val="true"/>
        </w:rPr>
        <w:footnoteReference w:id="678"/>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547" w:name="pg9659_94027"/>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هر سه شورای شهر تصمیم به اجرای طرح کتاب خانه گرفتند، اولین کار ما مشورت با مردم شهرهایمان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مشورت سه نتیجه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یک کتابخانه جدید و بزرگ تر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کتاب خانه جدید باید تمامی فناوری های رسانه ای پیشرو را، در حد استطاعت مالی منطقه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طرح کتاب خانه باید در حد امکان، طرح های محیط زیستی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را شامل شود؛ بنابراین، طراحی ساختمان جدید، به خصوص جنبه ای اِس دی آن، بر اساس خواسته مردم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طرح، هدف یافتن و ادغام کلیه جنبه های محیط زیستی پایدار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بودیم که مصرف آب را به حداقل رسانیده و در حد امکان آن را بازیافت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که از باد و خورشید انرژی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این فناوری ها چالش آمیز بود، ولی حالا ما می دانیم که چه کاری به نتیجه می رسد و کدام روش بی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اساسی برای احداث ساختمان، آموزش و به اثبات رسانیدن توانائی های ما بود ما می خواستیم به مشتریان کتاب خانه نشان دهیم که ساختمان چگونه عمل می کند تا آنان نیز بتوانند به کاربرد همان فناوری در سطح خانگی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ما نیاز به ایجاد تغییر و کنار گذاردن برخی از فناوری ها داشتیم به این مفهوم نیست که آن فناوری ها ناتوان بوده اند؛ بلکه ما هنوز آن ها را به کار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محیط زیستی در ساختمان ها یک دانش رو به تکامل بوده و ما باید ابتکارات ای اِس دی را در حالی که تدریجاً قابل دسترسی و مقرون به صرفه می شوند به مردم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معیار سنجشی، من این کتاب خانه را یک توفیق فنی و اجتماعی ارزیابی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قدردانی ها</w:t>
      </w:r>
    </w:p>
    <w:p>
      <w:pPr>
        <w:pStyle w:val="BookText"/>
        <w:rPr/>
      </w:pPr>
      <w:r>
        <w:rPr>
          <w:rFonts w:ascii="IRNazanin" w:hAnsi="IRNazanin" w:eastAsia="IRNazanin"/>
          <w:color w:val="111111"/>
          <w:sz w:val="28"/>
          <w:sz w:val="28"/>
          <w:szCs w:val="28"/>
          <w:rtl w:val="true"/>
          <w:lang w:bidi="fa-IR"/>
        </w:rPr>
        <w:t xml:space="preserve">طرح کتاب خانه استان گرو با اعطای تسهیلات مالی از جانب دولت استرالیا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سبز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مقاله، در نهایت احترام و تحسین از خانم ترشیا هیل، مدیریت کتاب خانه در سال های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به خاطر آغاز و به ثمر نشاندن این طرح الهام بخش و نیز از اعضای منتخب و کارکنان دوراندیش دولت های محلی شهرهای کاتِسلو، پِیرمینت گرو، موسمان پارک تقدیر می نماید</w:t>
      </w:r>
      <w:r>
        <w:rPr>
          <w:rFonts w:eastAsia="IRNazanin" w:cs="IRNazanin"/>
          <w:color w:val="111111"/>
          <w:sz w:val="28"/>
          <w:szCs w:val="28"/>
          <w:rtl w:val="true"/>
          <w:lang w:bidi="fa-IR"/>
        </w:rPr>
        <w:t>.</w:t>
      </w:r>
    </w:p>
    <w:p>
      <w:pPr>
        <w:pStyle w:val="Heading3"/>
        <w:numPr>
          <w:ilvl w:val="2"/>
          <w:numId w:val="1"/>
        </w:numPr>
        <w:rPr/>
      </w:pPr>
      <w:bookmarkStart w:id="548" w:name="__RefHeading___Toc7825611_2870459653"/>
      <w:bookmarkStart w:id="549" w:name="_Toc200"/>
      <w:bookmarkEnd w:id="548"/>
      <w:r>
        <w:rPr>
          <w:rtl w:val="true"/>
        </w:rPr>
        <w:t>منابع</w:t>
      </w:r>
      <w:bookmarkEnd w:id="549"/>
    </w:p>
    <w:p>
      <w:pPr>
        <w:pStyle w:val="BookText"/>
        <w:rPr/>
      </w:pPr>
      <w:r>
        <w:rPr>
          <w:rFonts w:eastAsia="Times New Roman" w:cs="Times New Roman" w:ascii="Times New Roman" w:hAnsi="Times New Roman"/>
          <w:color w:val="111111"/>
          <w:sz w:val="28"/>
          <w:szCs w:val="28"/>
          <w:lang w:val="en-US" w:bidi="en-US"/>
        </w:rPr>
        <w:t>Hauke, Petra Going green as a marketing tool for libraries: environmentally sustainable management practices, IFLA WLIC 2013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National Audit Office (UK) Over-optimism in Government Projects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Report 2013</w:t>
      </w:r>
    </w:p>
    <w:p>
      <w:pPr>
        <w:pStyle w:val="BookText"/>
        <w:rPr/>
      </w:pPr>
      <w:r>
        <w:rPr>
          <w:rFonts w:eastAsia="Times New Roman" w:cs="Times New Roman" w:ascii="Times New Roman" w:hAnsi="Times New Roman"/>
          <w:color w:val="111111"/>
          <w:sz w:val="28"/>
          <w:szCs w:val="28"/>
          <w:lang w:val="en-US" w:bidi="en-US"/>
        </w:rPr>
        <w:t>Grove Precinct Website www.thegroveprecinct.com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Grove Library Website www.thegrovelibrary.com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9659_94030"/>
      <w:bookmarkStart w:id="551" w:name="pg9659_94030"/>
      <w:bookmarkEnd w:id="551"/>
    </w:p>
    <w:p>
      <w:pPr>
        <w:pStyle w:val="Heading2"/>
        <w:numPr>
          <w:ilvl w:val="1"/>
          <w:numId w:val="1"/>
        </w:numPr>
        <w:rPr/>
      </w:pPr>
      <w:bookmarkStart w:id="552" w:name="pg9659_94030"/>
      <w:bookmarkStart w:id="553" w:name="__RefHeading___Toc7825613_2870459653"/>
      <w:bookmarkStart w:id="554" w:name="_Toc201"/>
      <w:bookmarkEnd w:id="552"/>
      <w:bookmarkEnd w:id="553"/>
      <w:r>
        <w:rPr>
          <w:rtl w:val="true"/>
        </w:rPr>
        <w:t>چکیده</w:t>
      </w:r>
      <w:bookmarkEnd w:id="554"/>
    </w:p>
    <w:p>
      <w:pPr>
        <w:pStyle w:val="BookText"/>
        <w:rPr/>
      </w:pPr>
      <w:r>
        <w:rPr>
          <w:rFonts w:ascii="IRNazanin" w:hAnsi="IRNazanin" w:eastAsia="IRNazanin"/>
          <w:color w:val="111111"/>
          <w:sz w:val="28"/>
          <w:sz w:val="28"/>
          <w:szCs w:val="28"/>
          <w:rtl w:val="true"/>
          <w:lang w:bidi="fa-IR"/>
        </w:rPr>
        <w:t>این مقاله نشان می دهد که چگونه، یک کتاب خانه رقومی در ابتدای امر به استفاده زیست شناسان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وسیعی از مخاطبان، از جمله هنرمندان، تاریخ نگاران هنر، طراحان گرافیک و نمایشگاهی، ناشران و سایر کسانی که در زمینه های مربوط به علوم انسانی فعالیت دارند نیز خدمات ارائه کرده؛ و درنتیجه باعث پیوند دنیای علم و هنر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میراث گونه های زیستی </w:t>
      </w:r>
      <w:r>
        <w:rPr>
          <w:rStyle w:val="FootnoteAnchor"/>
          <w:rtl w:val="true"/>
        </w:rPr>
        <w:footnoteReference w:id="679"/>
      </w:r>
      <w:r>
        <w:rPr>
          <w:rFonts w:ascii="IRNazanin" w:hAnsi="IRNazanin" w:eastAsia="IRNazanin"/>
          <w:color w:val="111111"/>
          <w:sz w:val="28"/>
          <w:sz w:val="28"/>
          <w:szCs w:val="28"/>
          <w:rtl w:val="true"/>
          <w:lang w:bidi="fa-IR"/>
        </w:rPr>
        <w:t>که حاصل ائتلاف جهانی مؤسسات تاریخ علوم طبیعی، گیاه شناسی، کشاورزی، دانشگاه ها و کتاب خانه های ملی است، مخزن غنی از منابع گونه های زیستی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آوردن امکان دسترسی آزاد به 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درگاه </w:t>
      </w:r>
      <w:r>
        <w:rPr>
          <w:rStyle w:val="FootnoteAnchor"/>
          <w:rtl w:val="true"/>
        </w:rPr>
        <w:footnoteReference w:id="680"/>
      </w:r>
      <w:r>
        <w:rPr>
          <w:rFonts w:ascii="IRNazanin" w:hAnsi="IRNazanin" w:eastAsia="IRNazanin"/>
          <w:color w:val="111111"/>
          <w:sz w:val="28"/>
          <w:sz w:val="28"/>
          <w:szCs w:val="28"/>
          <w:rtl w:val="true"/>
          <w:lang w:bidi="fa-IR"/>
        </w:rPr>
        <w:t>، کتاب خانه میراث گونه های زیستی به یک ابزار پژوهشی ضروری برای زیست شناسان سراسر جهان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متون، اما با قابلیت دسترسی نه چندان آسان میلیون ها منبع تصویری، لوحه ها، اشکال، نقشه ها و عکس هایی وجود دارد که بسیاری از آن ها توسط بهترین تصویرگران گیاه شناس و جانور در جهان مانند جان جیمز اودوبان </w:t>
      </w:r>
      <w:r>
        <w:rPr>
          <w:rStyle w:val="FootnoteAnchor"/>
          <w:rtl w:val="true"/>
        </w:rPr>
        <w:footnoteReference w:id="681"/>
      </w:r>
      <w:r>
        <w:rPr>
          <w:rFonts w:ascii="IRNazanin" w:hAnsi="IRNazanin" w:eastAsia="IRNazanin"/>
          <w:color w:val="111111"/>
          <w:sz w:val="28"/>
          <w:sz w:val="28"/>
          <w:szCs w:val="28"/>
          <w:rtl w:val="true"/>
          <w:lang w:bidi="fa-IR"/>
        </w:rPr>
        <w:t xml:space="preserve">، جورج دیونوس ارت </w:t>
      </w:r>
      <w:r>
        <w:rPr>
          <w:rStyle w:val="FootnoteAnchor"/>
          <w:rtl w:val="true"/>
        </w:rPr>
        <w:footnoteReference w:id="682"/>
      </w:r>
      <w:r>
        <w:rPr>
          <w:rFonts w:ascii="IRNazanin" w:hAnsi="IRNazanin" w:eastAsia="IRNazanin"/>
          <w:color w:val="111111"/>
          <w:sz w:val="28"/>
          <w:sz w:val="28"/>
          <w:szCs w:val="28"/>
          <w:rtl w:val="true"/>
          <w:lang w:bidi="fa-IR"/>
        </w:rPr>
        <w:t xml:space="preserve">و پیرردوته </w:t>
      </w:r>
      <w:r>
        <w:rPr>
          <w:rStyle w:val="FootnoteAnchor"/>
          <w:rtl w:val="true"/>
        </w:rPr>
        <w:footnoteReference w:id="683"/>
      </w:r>
      <w:r>
        <w:rPr>
          <w:rFonts w:ascii="IRNazanin" w:hAnsi="IRNazanin" w:eastAsia="IRNazanin"/>
          <w:color w:val="111111"/>
          <w:sz w:val="28"/>
          <w:sz w:val="28"/>
          <w:szCs w:val="28"/>
          <w:rtl w:val="true"/>
          <w:lang w:bidi="fa-IR"/>
        </w:rPr>
        <w:t>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کارکنان کتاب خانه میراث گونه های زیستی شروع به کپی صفحات زیبای موجود در مجلدات در سایت فلیکر </w:t>
      </w:r>
      <w:r>
        <w:rPr>
          <w:rStyle w:val="FootnoteAnchor"/>
          <w:rtl w:val="true"/>
        </w:rPr>
        <w:footnoteReference w:id="684"/>
      </w:r>
      <w:r>
        <w:rPr>
          <w:rFonts w:ascii="IRNazanin" w:hAnsi="IRNazanin" w:eastAsia="IRNazanin"/>
          <w:color w:val="111111"/>
          <w:sz w:val="28"/>
          <w:sz w:val="28"/>
          <w:szCs w:val="28"/>
          <w:rtl w:val="true"/>
          <w:lang w:bidi="fa-IR"/>
        </w:rPr>
        <w:t xml:space="preserve">کردند که هم اکنون دربردارنده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است، محبوبیت آن نشان داد که کار کتاب خانه میراث گونه های زیستی می تواند نظر هر مخاطبی را خارج از دنیای علم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نیاز به خودکارسازی روند شناسایی و ایجاد فراداده های مربوطه احساس می شود که روندی دشوار بوده و همواره مستلزم صرف زمان به سزایی از سوی کارکنان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باغ گیاه شناسی میزوری </w:t>
      </w:r>
      <w:r>
        <w:rPr>
          <w:rStyle w:val="FootnoteAnchor"/>
          <w:rtl w:val="true"/>
        </w:rPr>
        <w:footnoteReference w:id="685"/>
      </w:r>
      <w:r>
        <w:rPr>
          <w:rFonts w:ascii="IRNazanin" w:hAnsi="IRNazanin" w:eastAsia="IRNazanin"/>
          <w:color w:val="111111"/>
          <w:sz w:val="28"/>
          <w:sz w:val="28"/>
          <w:szCs w:val="28"/>
          <w:rtl w:val="true"/>
          <w:lang w:bidi="fa-IR"/>
        </w:rPr>
        <w:t xml:space="preserve">یک طرح بلند پروازانه برای شناسایی و توصیف خودکار کلیه تصاویر تاریخ طبیعی موجود در متن های کتاب خانه میراث گونه های زیستی، نه فقط در لوحه ها، بلکه به منظور قابلیت دسترسی آسان تر و به اشتراک گذاری با مخازن دیگر از قبیل دائره المعارف زندگی </w:t>
      </w:r>
      <w:r>
        <w:rPr>
          <w:rStyle w:val="FootnoteAnchor"/>
          <w:rtl w:val="true"/>
        </w:rPr>
        <w:footnoteReference w:id="686"/>
      </w:r>
      <w:r>
        <w:rPr>
          <w:rFonts w:ascii="IRNazanin" w:hAnsi="IRNazanin" w:eastAsia="IRNazanin"/>
          <w:color w:val="111111"/>
          <w:sz w:val="28"/>
          <w:sz w:val="28"/>
          <w:szCs w:val="28"/>
          <w:rtl w:val="true"/>
          <w:lang w:bidi="fa-IR"/>
        </w:rPr>
        <w:t xml:space="preserve">، آرتستور </w:t>
      </w:r>
      <w:r>
        <w:rPr>
          <w:rStyle w:val="FootnoteAnchor"/>
          <w:rtl w:val="true"/>
        </w:rPr>
        <w:footnoteReference w:id="687"/>
      </w:r>
      <w:r>
        <w:rPr>
          <w:rFonts w:ascii="IRNazanin" w:hAnsi="IRNazanin" w:eastAsia="IRNazanin"/>
          <w:color w:val="111111"/>
          <w:sz w:val="28"/>
          <w:sz w:val="28"/>
          <w:szCs w:val="28"/>
          <w:rtl w:val="true"/>
          <w:lang w:bidi="fa-IR"/>
        </w:rPr>
        <w:t xml:space="preserve">و کتاب خانه رقومی عمومی آمریکا </w:t>
      </w:r>
      <w:r>
        <w:rPr>
          <w:rStyle w:val="FootnoteAnchor"/>
          <w:rtl w:val="true"/>
        </w:rPr>
        <w:footnoteReference w:id="688"/>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این طرح را شرح داده و نشان می دهد که چگونه پژوهش گران، معلمان، طراحان و دوستداران تصویر قادر به یافت و مشاهده ثروت عظیمی از تصاویر زندگی های گیاهی و جانوری خواهند بود و از آن طریق بین علم، هنر، فرهنگ و تاریخ ارتباط برقرار می 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میراث گونه های زیستی، گونه های زیستی، تصاویر تاریخ علوم طبیعی، دائرة المعارف زندگی </w:t>
      </w:r>
      <w:bookmarkStart w:id="555" w:name="pg9659_94031"/>
    </w:p>
    <w:p>
      <w:pPr>
        <w:pStyle w:val="Heading2"/>
        <w:numPr>
          <w:ilvl w:val="1"/>
          <w:numId w:val="1"/>
        </w:numPr>
        <w:rPr/>
      </w:pPr>
      <w:bookmarkStart w:id="556" w:name="__RefHeading___Toc7825615_2870459653"/>
      <w:bookmarkStart w:id="557" w:name="_Toc202"/>
      <w:bookmarkEnd w:id="555"/>
      <w:bookmarkEnd w:id="556"/>
      <w:r>
        <w:rPr>
          <w:rtl w:val="true"/>
        </w:rPr>
        <w:t>هنر زندگی</w:t>
      </w:r>
      <w:r>
        <w:rPr>
          <w:rtl w:val="true"/>
        </w:rPr>
        <w:t xml:space="preserve">: </w:t>
      </w:r>
      <w:r>
        <w:rPr>
          <w:rtl w:val="true"/>
        </w:rPr>
        <w:t>پیوند دنیای هنر و علم</w:t>
      </w:r>
      <w:bookmarkEnd w:id="557"/>
    </w:p>
    <w:p>
      <w:pPr>
        <w:pStyle w:val="Heading3"/>
        <w:numPr>
          <w:ilvl w:val="2"/>
          <w:numId w:val="1"/>
        </w:numPr>
        <w:rPr/>
      </w:pPr>
      <w:bookmarkStart w:id="558" w:name="__RefHeading___Toc7825617_2870459653"/>
      <w:bookmarkStart w:id="559" w:name="_Toc203"/>
      <w:bookmarkEnd w:id="558"/>
      <w:r>
        <w:rPr>
          <w:rtl w:val="true"/>
        </w:rPr>
        <w:t>اشاره</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دنیای هنر و علم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نوشته تریش رز ساندلر</w:t>
      </w:r>
      <w:r>
        <w:rPr>
          <w:rStyle w:val="FootnoteAnchor"/>
          <w:rtl w:val="true"/>
        </w:rPr>
        <w:footnoteReference w:id="690"/>
      </w:r>
      <w:r>
        <w:rPr>
          <w:rFonts w:ascii="IRNazanin" w:hAnsi="IRNazanin" w:eastAsia="IRNazanin"/>
          <w:color w:val="111111"/>
          <w:sz w:val="28"/>
          <w:sz w:val="28"/>
          <w:szCs w:val="28"/>
          <w:rtl w:val="true"/>
          <w:lang w:bidi="fa-IR"/>
        </w:rPr>
        <w:t>، نانسی 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 </w:t>
      </w:r>
      <w:r>
        <w:rPr>
          <w:rStyle w:val="FootnoteAnchor"/>
          <w:rtl w:val="true"/>
        </w:rPr>
        <w:footnoteReference w:id="691"/>
      </w:r>
      <w:r>
        <w:rPr>
          <w:rFonts w:ascii="IRNazanin" w:hAnsi="IRNazanin" w:eastAsia="IRNazanin"/>
          <w:color w:val="111111"/>
          <w:sz w:val="28"/>
          <w:sz w:val="28"/>
          <w:szCs w:val="28"/>
          <w:rtl w:val="true"/>
          <w:lang w:bidi="fa-IR"/>
        </w:rPr>
        <w:t xml:space="preserve">و کنستانس رینالدو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فریبرز درودی </w:t>
      </w:r>
      <w:r>
        <w:rPr>
          <w:rStyle w:val="FootnoteAnchor"/>
          <w:rtl w:val="true"/>
        </w:rPr>
        <w:footnoteReference w:id="693"/>
      </w:r>
    </w:p>
    <w:p>
      <w:pPr>
        <w:pStyle w:val="Heading3"/>
        <w:numPr>
          <w:ilvl w:val="2"/>
          <w:numId w:val="1"/>
        </w:numPr>
        <w:rPr/>
      </w:pPr>
      <w:bookmarkStart w:id="560" w:name="__RefHeading___Toc7825619_2870459653"/>
      <w:bookmarkStart w:id="561" w:name="_Toc204"/>
      <w:bookmarkEnd w:id="560"/>
      <w:r>
        <w:rPr>
          <w:rtl w:val="true"/>
        </w:rPr>
        <w:t>مقدمه</w:t>
      </w:r>
      <w:bookmarkEnd w:id="561"/>
    </w:p>
    <w:p>
      <w:pPr>
        <w:pStyle w:val="BookText"/>
        <w:rPr/>
      </w:pPr>
      <w:r>
        <w:rPr>
          <w:rFonts w:ascii="IRNazanin" w:hAnsi="IRNazanin" w:eastAsia="IRNazanin"/>
          <w:color w:val="111111"/>
          <w:sz w:val="28"/>
          <w:sz w:val="28"/>
          <w:szCs w:val="28"/>
          <w:rtl w:val="true"/>
          <w:lang w:bidi="fa-IR"/>
        </w:rPr>
        <w:t>کتاب خانه میراث گونه های زیستی یک طرح و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یک طرح، این امر همکاری جمعی بین موزه های تاریخ طبیعی، باغ های گیاه شناسی، دانشگاه کشاورزی، کتاب خانه های پژوهش های زیست شناختی و سازمان های مشابه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 و رینالدو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مشترک آن ها اصلاح و ارتقاء کارآمدی روش پژوهش در مطالعات گونه های زیستی به واسطه در دسترس قرار دادن منابع گونه های زیستی در انظار عموم و به طور رایگان، به عنوان بخشی از جامعه جهانی گونه های زیستی است که هدفی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پژوهش در حوزه گونه های زیستی شامل موضوع هایی چون شناسایی و طبقه بندی گونه ها و نیز تأثیر بر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 محیط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آن ها است، تحقیق درباره گونه های زیستی در درک جهان پیرامون به ما کمک می کند و هم چنین به شرح موضوعات مربوط به مدیریت زمان، مهاجرت، کشاورزی و مباحث دیگر می پردازد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یک محصول، کتاب خانه موروثی گونه های زیستی، یک مخزن رقومی پیوسته در حال توسعه </w:t>
      </w:r>
      <w:bookmarkStart w:id="562" w:name="pg9659_94032"/>
    </w:p>
    <w:p>
      <w:pPr>
        <w:pStyle w:val="BookText"/>
        <w:rPr/>
      </w:pPr>
      <w:bookmarkEnd w:id="562"/>
      <w:r>
        <w:rPr>
          <w:rFonts w:ascii="IRNazanin" w:hAnsi="IRNazanin" w:eastAsia="IRNazanin"/>
          <w:color w:val="111111"/>
          <w:sz w:val="28"/>
          <w:sz w:val="28"/>
          <w:szCs w:val="28"/>
          <w:rtl w:val="true"/>
          <w:lang w:bidi="fa-IR"/>
        </w:rPr>
        <w:t xml:space="preserve">بوده که در حال حاضر شامل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نشریه و مقاله است که به روی هم بالغ بر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صفحه؛ متن و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تقریب تمام محتوای این کتاب خانه در دسترس عموم است 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حق چاپ آثار خود را به این مرکز واگذار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بسیاری از مجلدات کمیاب و با ارزش که تاریخ آن به قرن هیجدهم باز می گردد، در این کتاب 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کتاب خانه موروثی گونه های زیستی به افزودن اسناد بایگانی پرداخته اند که در قالب یادداشت های میدانی </w:t>
      </w:r>
      <w:r>
        <w:rPr>
          <w:rStyle w:val="FootnoteAnchor"/>
          <w:rtl w:val="true"/>
        </w:rPr>
        <w:footnoteReference w:id="694"/>
      </w:r>
      <w:r>
        <w:rPr>
          <w:rFonts w:ascii="IRNazanin" w:hAnsi="IRNazanin" w:eastAsia="IRNazanin"/>
          <w:color w:val="111111"/>
          <w:sz w:val="28"/>
          <w:sz w:val="28"/>
          <w:szCs w:val="28"/>
          <w:rtl w:val="true"/>
          <w:lang w:bidi="fa-IR"/>
        </w:rPr>
        <w:t>، دفتر خاطراتی که دانشمندان و مکتشفان در حين سفر و اکتشافات با خود داشته اند است و نمونه های جمع آوری شده، از قبیل شکل زمین، وضعیت آب وهوا و اطلاعات دیگری را که برای مجموعه های اسناد، بسیار گرانب ها هستند را توصیف و 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 های میدانی برای تاریخ دانان و دانشمندان منبعی است که عمق و ارزش آن تا حد زیادی قابل تشخیص نبوده و بیشتر اوقات در بخش موزه یا آرشیوها، در کشوها و صندوق ها، حفظ و نگهداری می شوند که ضامن سفرها و کاوش ها در زمینه های مربوطه هستند</w:t>
      </w:r>
      <w:r>
        <w:rPr>
          <w:rFonts w:eastAsia="IRNazanin" w:cs="IRNazanin"/>
          <w:color w:val="111111"/>
          <w:sz w:val="28"/>
          <w:szCs w:val="28"/>
          <w:rtl w:val="true"/>
          <w:lang w:bidi="fa-IR"/>
        </w:rPr>
        <w:t>.</w:t>
      </w:r>
    </w:p>
    <w:p>
      <w:pPr>
        <w:pStyle w:val="Heading3"/>
        <w:numPr>
          <w:ilvl w:val="2"/>
          <w:numId w:val="1"/>
        </w:numPr>
        <w:rPr/>
      </w:pPr>
      <w:bookmarkStart w:id="563" w:name="__RefHeading___Toc7825621_2870459653"/>
      <w:bookmarkStart w:id="564" w:name="_Toc205"/>
      <w:bookmarkEnd w:id="563"/>
      <w:r>
        <w:rPr>
          <w:rtl w:val="true"/>
        </w:rPr>
        <w:t>جستجوگر کتاب خانه میراث گونه های زیستی</w:t>
      </w:r>
      <w:bookmarkEnd w:id="564"/>
    </w:p>
    <w:p>
      <w:pPr>
        <w:pStyle w:val="BookText"/>
        <w:rPr/>
      </w:pPr>
      <w:r>
        <w:rPr>
          <w:rFonts w:ascii="IRNazanin" w:hAnsi="IRNazanin" w:eastAsia="IRNazanin"/>
          <w:color w:val="111111"/>
          <w:sz w:val="28"/>
          <w:sz w:val="28"/>
          <w:szCs w:val="28"/>
          <w:rtl w:val="true"/>
          <w:lang w:bidi="fa-IR"/>
        </w:rPr>
        <w:t xml:space="preserve">چنان که کلیه محتوای کتاب خانه میراث گونه های زیستی در آرشیو اینترنتی </w:t>
      </w:r>
      <w:r>
        <w:rPr>
          <w:rStyle w:val="FootnoteAnchor"/>
          <w:rtl w:val="true"/>
        </w:rPr>
        <w:footnoteReference w:id="695"/>
      </w:r>
      <w:r>
        <w:rPr>
          <w:rFonts w:ascii="IRNazanin" w:hAnsi="IRNazanin" w:eastAsia="IRNazanin"/>
          <w:color w:val="111111"/>
          <w:sz w:val="28"/>
          <w:sz w:val="28"/>
          <w:szCs w:val="28"/>
          <w:rtl w:val="true"/>
          <w:lang w:bidi="fa-IR"/>
        </w:rPr>
        <w:t xml:space="preserve">موجود است، درگاه تخصصی تری جهت رفع نیاز دانشمندان در نشانی زیر </w:t>
      </w:r>
      <w:r>
        <w:rPr>
          <w:rStyle w:val="FootnoteAnchor"/>
          <w:rtl w:val="true"/>
        </w:rPr>
        <w:footnoteReference w:id="696"/>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درگاه در ابتدا برای دانشمندان علاقه مند به موضوعاتی در باب زیست شناسی و طبقه بندی نظام مند جانداران ساخته شده روش ثبت اولیه در پایگاه داده ها برحسب عنوان کتاب یا نشریه، اسامی گونه های زیستی و نام مؤلف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قابلیت جستجو، توسعه یافته، چنان که می توان مندرجات را در سطحی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فصل یا سطح مقاله جستجو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این روش به اسلوب قطعه ای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همیشگی و جدید در کتاب خانه میراث گونه های زیستی می توانند با یک جستجوی ساده کلمات کلیدی مطالب را بر اساس عنوان، نام نویسنده، تاریخ یا مجموعه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حرفه ای تر قادر خواهند بود از ویژگی های جستجوی پیشرفته، جایی که رشته های تخصصی را می توان مورد جستجو قرار داد، بهره مند 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کتاب ها و نشریات زمینه های قابل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 خانوادگی نویسنده، جلد، چاپ، سال، موضوع، زبان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هفته یا کتاب خانه داروین </w:t>
      </w:r>
      <w:r>
        <w:rPr>
          <w:rStyle w:val="FootnoteAnchor"/>
          <w:rtl w:val="true"/>
        </w:rPr>
        <w:footnoteReference w:id="697"/>
      </w:r>
      <w:r>
        <w:rPr>
          <w:rFonts w:ascii="IRNazanin" w:hAnsi="IRNazanin" w:eastAsia="IRNazanin"/>
          <w:color w:val="111111"/>
          <w:sz w:val="28"/>
          <w:sz w:val="28"/>
          <w:szCs w:val="28"/>
          <w:rtl w:val="true"/>
          <w:lang w:bidi="fa-IR"/>
        </w:rPr>
        <w:t>دارای زمینه های قابل جستجو برای مقاله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عنوان مقاله، نشریه یا کتاب، نام خانوادگی مؤلف و سال انتشار آن </w:t>
      </w:r>
      <w:bookmarkStart w:id="565" w:name="pg9659_94033"/>
    </w:p>
    <w:p>
      <w:pPr>
        <w:pStyle w:val="BookText"/>
        <w:rPr/>
      </w:pPr>
      <w:bookmarkEnd w:id="5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مقالات و فصول هنوز در کتاب خانه میراث گونه های زیستی فهرست نویسی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مقاله ای با استفاده از این روش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می تواند عنوان نشریه ای که مقاله موردنظر در آن چاپ شده است را جستجو کرده و سپس به صفحه ای که مقاله یا فصل مورد نظر از آن جا آغاز می شود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بخش ها را می توان از طریق بایوستور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w:t>
      </w:r>
      <w:r>
        <w:rPr>
          <w:rStyle w:val="FootnoteAnchor"/>
          <w:rtl w:val="true"/>
        </w:rPr>
        <w:footnoteReference w:id="698"/>
      </w:r>
      <w:r>
        <w:rPr>
          <w:rFonts w:ascii="IRNazanin" w:hAnsi="IRNazanin" w:eastAsia="IRNazanin"/>
          <w:color w:val="111111"/>
          <w:sz w:val="28"/>
          <w:sz w:val="28"/>
          <w:szCs w:val="28"/>
          <w:rtl w:val="true"/>
          <w:lang w:bidi="fa-IR"/>
        </w:rPr>
        <w:t>شناسایی و فهرست 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جستجوی موضوعی بر اساس عنوان های رده بندی کتاب خانه کنگره بوده و ممکن است برای برخی از کاربران قابل مشاهده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های علمی از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سی آر دی</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استخراج شده و از طریق خدمت برخط طبقه بندی اسامی با جملات کنترلی مطابقت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بالا اشاره شد، این درگاه برای برآورده ساختن نیاز زیست شناسان و متخصصان طبقه بندی، کسانی که اغلب برای نام گونه هایی هم چون مایکروتوس اِنسیل و اینیکس </w:t>
      </w:r>
      <w:r>
        <w:rPr>
          <w:rStyle w:val="FootnoteAnchor"/>
          <w:rtl w:val="true"/>
        </w:rPr>
        <w:footnoteReference w:id="700"/>
      </w:r>
      <w:r>
        <w:rPr>
          <w:rFonts w:ascii="IRNazanin" w:hAnsi="IRNazanin" w:eastAsia="IRNazanin"/>
          <w:color w:val="111111"/>
          <w:sz w:val="28"/>
          <w:sz w:val="28"/>
          <w:szCs w:val="28"/>
          <w:rtl w:val="true"/>
          <w:lang w:bidi="fa-IR"/>
        </w:rPr>
        <w:t>جستجو می کند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نام علمی شناخته شده باشد، ساخت و ایجاد تاریخچه یا کتاب شناسی با استفاده از نشانی زیر </w:t>
      </w:r>
      <w:r>
        <w:rPr>
          <w:rStyle w:val="FootnoteAnchor"/>
          <w:rtl w:val="true"/>
        </w:rPr>
        <w:footnoteReference w:id="701"/>
      </w:r>
      <w:r>
        <w:rPr>
          <w:rFonts w:ascii="IRNazanin" w:hAnsi="IRNazanin" w:eastAsia="IRNazanin"/>
          <w:color w:val="111111"/>
          <w:sz w:val="28"/>
          <w:sz w:val="28"/>
          <w:szCs w:val="28"/>
          <w:rtl w:val="true"/>
          <w:lang w:bidi="fa-IR"/>
        </w:rPr>
        <w:t>، جایی که هرگونه طبقه بندی تک جمله ای، دو جمله ای و یا سه جمله ای وجود دارد،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کتاب شناسی کتاب خانه میراث گونه های زیستی نیز جمع آوری شده و در مراجع دیگر هم چون یوروپیانا </w:t>
      </w:r>
      <w:r>
        <w:rPr>
          <w:rStyle w:val="FootnoteAnchor"/>
          <w:rtl w:val="true"/>
        </w:rPr>
        <w:footnoteReference w:id="702"/>
      </w:r>
      <w:r>
        <w:rPr>
          <w:rFonts w:ascii="IRNazanin" w:hAnsi="IRNazanin" w:eastAsia="IRNazanin"/>
          <w:color w:val="111111"/>
          <w:sz w:val="28"/>
          <w:sz w:val="28"/>
          <w:szCs w:val="28"/>
          <w:rtl w:val="true"/>
          <w:lang w:bidi="fa-IR"/>
        </w:rPr>
        <w:t xml:space="preserve">و کتاب خانه رقومی عمومی نسبتاً جدید آمریکا </w:t>
      </w:r>
      <w:r>
        <w:rPr>
          <w:rStyle w:val="FootnoteAnchor"/>
          <w:rtl w:val="true"/>
        </w:rPr>
        <w:footnoteReference w:id="703"/>
      </w:r>
      <w:r>
        <w:rPr>
          <w:rFonts w:ascii="IRNazanin" w:hAnsi="IRNazanin" w:eastAsia="IRNazanin"/>
          <w:color w:val="111111"/>
          <w:sz w:val="28"/>
          <w:sz w:val="28"/>
          <w:szCs w:val="28"/>
          <w:rtl w:val="true"/>
          <w:lang w:bidi="fa-IR"/>
        </w:rPr>
        <w:t>قابل 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یک پژوهش گر می تواند منابع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میراث گونه های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 دائره المعارف حیات </w:t>
      </w:r>
      <w:r>
        <w:rPr>
          <w:rStyle w:val="FootnoteAnchor"/>
          <w:rtl w:val="true"/>
        </w:rPr>
        <w:footnoteReference w:id="704"/>
      </w:r>
      <w:r>
        <w:rPr>
          <w:rFonts w:ascii="IRNazanin" w:hAnsi="IRNazanin" w:eastAsia="IRNazanin"/>
          <w:color w:val="111111"/>
          <w:sz w:val="28"/>
          <w:sz w:val="28"/>
          <w:szCs w:val="28"/>
          <w:rtl w:val="true"/>
          <w:lang w:bidi="fa-IR"/>
        </w:rPr>
        <w:t>پیدا کند، این یک ابتکار سراسری است که یک صفحه وب را برای همه گونه های جانداران شناسایی شده،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موجود در کتاب خانه میراث گونه های طبیعی مهم بوده، البته عکس های موجود نیز برای دانشمندان و مخاطبان به همان اندازه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گسترش این تصاویر شامل اثر هنری که به اندازه کامل یک صفحه نقاشی شده تا خطوط ترسیم شده درون متن ها، نقشه ها، جدول ها، نمودارها و گراف ها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مقاله درباره این تصاویر و استفاده ای که آن ها دارند بحث می کند که بسی فراتر از عالم علم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7825623_2870459653"/>
      <w:bookmarkStart w:id="567" w:name="_Toc206"/>
      <w:bookmarkEnd w:id="566"/>
      <w:r>
        <w:rPr>
          <w:rtl w:val="true"/>
        </w:rPr>
        <w:t>هنر زندگی</w:t>
      </w:r>
      <w:bookmarkEnd w:id="567"/>
    </w:p>
    <w:p>
      <w:pPr>
        <w:pStyle w:val="BookText"/>
        <w:rPr/>
      </w:pPr>
      <w:r>
        <w:rPr>
          <w:rFonts w:ascii="IRNazanin" w:hAnsi="IRNazanin" w:eastAsia="IRNazanin"/>
          <w:color w:val="111111"/>
          <w:sz w:val="28"/>
          <w:sz w:val="28"/>
          <w:szCs w:val="28"/>
          <w:rtl w:val="true"/>
          <w:lang w:bidi="fa-IR"/>
        </w:rPr>
        <w:t>یک کاربر چگونه می تواند تصاویر را پیدا کند؟ طرح هنر زندگی از بیان مسئله ای که نتیجه این پرسش بوده نشأت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خانه میراث گونه های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انبوهی از متن های بر مهم 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کتاب خانه میراث گونه های زیستی می دانند که تصاویر شگفت انگیزی در میان صفحات کتاب خانه میراث گونه های زیستی موجود است، اما راهی آسان تر از فشار دادن دکمه بر روی یک کتاب یا مجلد در درگاه کتاب خانه میراث گونه های زیستی و حرکت بین صفحات آن وجود ندارد؛ و نیز اغلب اوقات هیچ فراداده توصیفی پیوست تصویر وجود ندارد که محتوای تصویر را برای شما بازگو کند، اطلاعاتی از قبیل، گونه جاندار، زمان خلق تصویر یا چه کسی در خلق آن اثر نقش داشته،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امر، تقاضا برای تصاویر چه عمومی و چه تخصصی، از سوی دانشمندان، هنرمندان، نمایشگاه داران، مربیان، طراحان و دانشجویان و آنان که صرفاً علاقه مند به تصویر هستند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بعضی از مجلدها فراداده ها را که به تصاویر اشاره دارند به تفصیل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فراداده ها به طور جزیی یا کلی به صورت دستی تهیه شده اند و واضح است که این کار بسیار دشوار بوده</w:t>
      </w:r>
    </w:p>
    <w:p>
      <w:pPr>
        <w:pStyle w:val="BookText"/>
        <w:rPr/>
      </w:pPr>
      <w:r>
        <w:rPr>
          <w:rFonts w:ascii="IRNazanin" w:hAnsi="IRNazanin" w:eastAsia="IRNazanin"/>
          <w:color w:val="111111"/>
          <w:sz w:val="28"/>
          <w:sz w:val="28"/>
          <w:szCs w:val="28"/>
          <w:rtl w:val="true"/>
          <w:lang w:bidi="fa-IR"/>
        </w:rPr>
        <w:t xml:space="preserve">است؛ بنابراین اعضا طرح شروع به استخراج تصاویر تمام صفحه زیبای گیاهان و حیوانات کردند و آن ها را در سایت فلیکر </w:t>
      </w:r>
      <w:r>
        <w:rPr>
          <w:rStyle w:val="FootnoteAnchor"/>
          <w:rtl w:val="true"/>
        </w:rPr>
        <w:footnoteReference w:id="705"/>
      </w:r>
      <w:r>
        <w:rPr>
          <w:rFonts w:ascii="IRNazanin" w:hAnsi="IRNazanin" w:eastAsia="IRNazanin"/>
          <w:color w:val="111111"/>
          <w:sz w:val="28"/>
          <w:sz w:val="28"/>
          <w:szCs w:val="28"/>
          <w:rtl w:val="true"/>
          <w:lang w:bidi="fa-IR"/>
        </w:rPr>
        <w:t>برای دسترسی آسان جمع 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میراث گونه های زیستی فلیکر حاوی بیش از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سایت فلیکر کتاب خانه میراث گونه های زیستی در صفحه فیسبوک این کتاب خانه </w:t>
      </w:r>
      <w:r>
        <w:rPr>
          <w:rStyle w:val="FootnoteAnchor"/>
          <w:rtl w:val="true"/>
        </w:rPr>
        <w:footnoteReference w:id="706"/>
      </w:r>
      <w:r>
        <w:rPr>
          <w:rFonts w:ascii="IRNazanin" w:hAnsi="IRNazanin" w:eastAsia="IRNazanin"/>
          <w:color w:val="111111"/>
          <w:sz w:val="28"/>
          <w:sz w:val="28"/>
          <w:szCs w:val="28"/>
          <w:rtl w:val="true"/>
          <w:lang w:bidi="fa-IR"/>
        </w:rPr>
        <w:t xml:space="preserve">با مضامینی به عنوان طرح سؤال و پست های جذاب و الصاق به تابلوی عکس های مورد علاقه </w:t>
      </w:r>
      <w:r>
        <w:rPr>
          <w:rStyle w:val="FootnoteAnchor"/>
          <w:rtl w:val="true"/>
        </w:rPr>
        <w:footnoteReference w:id="707"/>
      </w:r>
      <w:r>
        <w:rPr>
          <w:rFonts w:ascii="IRNazanin" w:hAnsi="IRNazanin" w:eastAsia="IRNazanin"/>
          <w:color w:val="111111"/>
          <w:sz w:val="28"/>
          <w:sz w:val="28"/>
          <w:szCs w:val="28"/>
          <w:rtl w:val="true"/>
          <w:lang w:bidi="fa-IR"/>
        </w:rPr>
        <w:t xml:space="preserve">کتاب خانه </w:t>
      </w:r>
      <w:bookmarkStart w:id="568" w:name="pg9659_94035"/>
    </w:p>
    <w:p>
      <w:pPr>
        <w:pStyle w:val="BookText"/>
        <w:rPr/>
      </w:pPr>
      <w:bookmarkEnd w:id="568"/>
      <w:r>
        <w:rPr>
          <w:rFonts w:ascii="IRNazanin" w:hAnsi="IRNazanin" w:eastAsia="IRNazanin"/>
          <w:color w:val="111111"/>
          <w:sz w:val="28"/>
          <w:sz w:val="28"/>
          <w:szCs w:val="28"/>
          <w:rtl w:val="true"/>
          <w:lang w:bidi="fa-IR"/>
        </w:rPr>
        <w:t xml:space="preserve">میراث گونه های زیستی </w:t>
      </w:r>
      <w:r>
        <w:rPr>
          <w:rStyle w:val="FootnoteAnchor"/>
          <w:rtl w:val="true"/>
        </w:rPr>
        <w:footnoteReference w:id="708"/>
      </w:r>
      <w:r>
        <w:rPr>
          <w:rFonts w:ascii="IRNazanin" w:hAnsi="IRNazanin" w:eastAsia="IRNazanin"/>
          <w:color w:val="111111"/>
          <w:sz w:val="28"/>
          <w:sz w:val="28"/>
          <w:szCs w:val="28"/>
          <w:rtl w:val="true"/>
          <w:lang w:bidi="fa-IR"/>
        </w:rPr>
        <w:t>دوباره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فلیکر در حال حاضر حاوی حدود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است که به کتاب خانه میراث گونه های زیستی به صورت تصاویر منفرد و مجلد حاوی تصویر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برچسب زنی تصاویر در فلیکر با اسامی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به صورت خودکار در سایت دائره المعارف زندگی فلیکر وارد کرد </w:t>
      </w:r>
      <w:r>
        <w:rPr>
          <w:rStyle w:val="FootnoteAnchor"/>
          <w:rtl w:val="true"/>
        </w:rPr>
        <w:footnoteReference w:id="709"/>
      </w:r>
      <w:r>
        <w:rPr>
          <w:rFonts w:ascii="IRNazanin" w:hAnsi="IRNazanin" w:eastAsia="IRNazanin"/>
          <w:color w:val="111111"/>
          <w:sz w:val="28"/>
          <w:sz w:val="28"/>
          <w:szCs w:val="28"/>
          <w:rtl w:val="true"/>
          <w:lang w:bidi="fa-IR"/>
        </w:rPr>
        <w:t>و در صفحات گونه های مربوط نمایش داد و از این طریق تسهیل در استفاده بیشتر و در معرض قرار دادن تصاویر به گستره بیشتری از مخاطبین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کتاب خانه میراث گونه های زیستی برچسب زنی و در دائره المعارف زندگی دوباره استفاده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این تصاویر آشکار می سازد که کار کتاب خانه میراث گونه های زیستی می تواند یک مخاطب که بسی از عالم علم دور است را جذب کند و همان گونه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بازدید از محتوای کتاب خانه میراث گونه های زیستی فلیکر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چشم انداز جالب توجهی در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کتاب خانه میراث گونه های زیستی درصدد افزایش محتوای سایت برای مخاطبان و حوزه های جدید هستند؛ تصاویری که در حوزه های رسانه جمعی ارائه شده اند خط سیر</w:t>
      </w:r>
    </w:p>
    <w:p>
      <w:pPr>
        <w:pStyle w:val="BookText"/>
        <w:rPr/>
      </w:pPr>
      <w:r>
        <w:rPr>
          <w:rFonts w:ascii="IRNazanin" w:hAnsi="IRNazanin" w:eastAsia="IRNazanin"/>
          <w:color w:val="111111"/>
          <w:sz w:val="28"/>
          <w:sz w:val="28"/>
          <w:szCs w:val="28"/>
          <w:rtl w:val="true"/>
          <w:lang w:bidi="fa-IR"/>
        </w:rPr>
        <w:t>آشکاری در دستیابی به کاربران در حوزه های هنر و علوم انسانی و نیز مخاطبان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آشکار بود که یک راه و روش خودکار برای شناسایی، استخراج و فراهم آوردن فراداده های مفصل برای هر تصویر مستلزم روند مقیاس گذاری میلیون ها تصویر موجود در کتاب خانه میراث گونه های زیستی است</w:t>
      </w:r>
      <w:r>
        <w:rPr>
          <w:rFonts w:eastAsia="IRNazanin" w:cs="IRNazanin"/>
          <w:color w:val="111111"/>
          <w:sz w:val="28"/>
          <w:szCs w:val="28"/>
          <w:rtl w:val="true"/>
          <w:lang w:bidi="fa-IR"/>
        </w:rPr>
        <w:t>.</w:t>
      </w:r>
    </w:p>
    <w:p>
      <w:pPr>
        <w:pStyle w:val="Heading3"/>
        <w:numPr>
          <w:ilvl w:val="2"/>
          <w:numId w:val="1"/>
        </w:numPr>
        <w:rPr/>
      </w:pPr>
      <w:bookmarkStart w:id="569" w:name="__RefHeading___Toc7825625_2870459653"/>
      <w:bookmarkStart w:id="570" w:name="_Toc207"/>
      <w:bookmarkEnd w:id="569"/>
      <w:r>
        <w:rPr>
          <w:rtl w:val="true"/>
        </w:rPr>
        <w:t xml:space="preserve">طرح </w:t>
      </w:r>
      <w:r>
        <w:rPr>
          <w:rtl w:val="true"/>
        </w:rPr>
        <w:t>(</w:t>
      </w:r>
      <w:r>
        <w:rPr>
          <w:rtl w:val="true"/>
        </w:rPr>
        <w:t>اِن ایی اِچ</w:t>
      </w:r>
      <w:r>
        <w:rPr>
          <w:rtl w:val="true"/>
        </w:rPr>
        <w:t>)</w:t>
      </w:r>
      <w:bookmarkEnd w:id="57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گیاه شناسی میزوری مرکز اطلاع رسانی گروه های زیستی، پیشنهاد طرحی را تهیه کرد که به دنبال رهاسازی تصاویر تاریخ طبیعی از کتاب ها و نشریات رقومی موجود در کتاب خانه برخط میراث گونه های زیستی از طریق تهیه ابزارهای نرم افزاری برای خود کارسازی شناسایی و توصیف منابع جمعی تصویری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های گیاه شناسی میزوری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کمک مالی برای پشتیبانی از این تلاش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 ملی برای علوم انسانی</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بخش محافظت و دسترسی تحت برنامه، مجموعه علوم انسانی و منابع مرجع </w:t>
      </w:r>
      <w:r>
        <w:rPr>
          <w:rStyle w:val="FootnoteAnchor"/>
          <w:rtl w:val="true"/>
        </w:rPr>
        <w:footnoteReference w:id="711"/>
      </w:r>
      <w:r>
        <w:rPr>
          <w:rFonts w:ascii="IRNazanin" w:hAnsi="IRNazanin" w:eastAsia="IRNazanin"/>
          <w:color w:val="111111"/>
          <w:sz w:val="28"/>
          <w:sz w:val="28"/>
          <w:szCs w:val="28"/>
          <w:rtl w:val="true"/>
          <w:lang w:bidi="fa-IR"/>
        </w:rPr>
        <w:t xml:space="preserve">که طرح هایی را پشتیبانی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 اساسی برای امور پژوهشی، آموزش و برنامه ریزی عمومی در مسائل علوم انسانی فراهم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نمود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یکی از اعضای </w:t>
      </w:r>
      <w:bookmarkStart w:id="571" w:name="pg9659_94036"/>
    </w:p>
    <w:p>
      <w:pPr>
        <w:pStyle w:val="BookText"/>
        <w:rPr/>
      </w:pPr>
      <w:bookmarkEnd w:id="571"/>
      <w:r>
        <w:rPr>
          <w:rFonts w:ascii="IRNazanin" w:hAnsi="IRNazanin" w:eastAsia="IRNazanin"/>
          <w:color w:val="111111"/>
          <w:sz w:val="28"/>
          <w:sz w:val="28"/>
          <w:szCs w:val="28"/>
          <w:rtl w:val="true"/>
          <w:lang w:bidi="fa-IR"/>
        </w:rPr>
        <w:t xml:space="preserve">شورای تجدید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 ملی برای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گیری راجع به این طرح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مواردی را پیشنهاد دادند که در این جا سودمند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فناوری ها و رسانه های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که دانشمندان علوم طبیعی از قرن هیجده تا اوایل قرن بیست در اصل به دنبال آن بوده اند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یک فهرست قابل جستجو از تصاویر تمام چیزهای موجود در جهان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شکل تصاویر گیاه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 ملی برای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محتوا را برای جامعه علوم انسانی دسترس پذیری وسیع تر تشخیص داده، بنابراین </w:t>
      </w:r>
      <w:r>
        <w:rPr>
          <w:rFonts w:eastAsia="IRNazanin" w:cs="IRNazanin"/>
          <w:color w:val="111111"/>
          <w:sz w:val="28"/>
          <w:szCs w:val="28"/>
          <w:lang w:bidi="fa-IR"/>
        </w:rPr>
        <w:t>260000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گیاه شناسی میزوری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که هنر زندگی نام 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داده ها و منبع یابی انبوه شناسایی و توصیف تصاویر تاریخ طبیعی از کتاب خانه میراث گونه های طبیعی در ماه مه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تداوم این طرح برنامه ریزی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 ملی برای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تداوم طرح تا آوریل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کرده است</w:t>
      </w:r>
      <w:r>
        <w:rPr>
          <w:rFonts w:eastAsia="IRNazanin" w:cs="IRNazanin"/>
          <w:color w:val="111111"/>
          <w:sz w:val="28"/>
          <w:szCs w:val="28"/>
          <w:rtl w:val="true"/>
          <w:lang w:bidi="fa-IR"/>
        </w:rPr>
        <w:t>.</w:t>
      </w:r>
    </w:p>
    <w:p>
      <w:pPr>
        <w:pStyle w:val="Heading3"/>
        <w:numPr>
          <w:ilvl w:val="2"/>
          <w:numId w:val="1"/>
        </w:numPr>
        <w:rPr/>
      </w:pPr>
      <w:bookmarkStart w:id="572" w:name="__RefHeading___Toc7825627_2870459653"/>
      <w:bookmarkStart w:id="573" w:name="_Toc208"/>
      <w:bookmarkEnd w:id="572"/>
      <w:r>
        <w:rPr>
          <w:rtl w:val="true"/>
        </w:rPr>
        <w:t>هدف ها</w:t>
      </w:r>
      <w:bookmarkEnd w:id="573"/>
    </w:p>
    <w:p>
      <w:pPr>
        <w:pStyle w:val="BookText"/>
        <w:rPr/>
      </w:pPr>
      <w:r>
        <w:rPr>
          <w:rFonts w:ascii="IRNazanin" w:hAnsi="IRNazanin" w:eastAsia="IRNazanin"/>
          <w:color w:val="111111"/>
          <w:sz w:val="28"/>
          <w:sz w:val="28"/>
          <w:szCs w:val="28"/>
          <w:rtl w:val="true"/>
          <w:lang w:bidi="fa-IR"/>
        </w:rPr>
        <w:t xml:space="preserve">طرح هنر زندگی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یک الگوی فراداده مناسب برای تصاویر تاریخ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ابزارهای نرم افزاری برای شناسایی خودکار عکس ها در مجموعه نوشتاری کتاب خانه میراث گونه های زیستی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ابزارهای موجود به منظور ایجاد توانایی طبقه بندی تصاویر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 آن ها در منابع پر مخاطب برای قادر سازی جامع کاربران در جهت افزودن فراداده های توصیفی برای تصاویر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فراداده های توصیفی تولید شده توسط کاربران در درگاه کتاب خانه میراث گونه های زیستی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فراداده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دنبال ایجاد یک الگوی فراداده است که بتواند به طور کامل تصاویر تاریخ طبیعی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نیازمند برآوردن سه هدف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به فراهم کردن وسایل مورد نیاز جهت یافت و اکتشاف، شرح و توصیف و استفاده از تصاویر مشخص شده توسط هنرمندان، زیست شناسان، محققان علوم انسانی، کتاب داران و معلمان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مستلزم در دسترس ساختن فراداده ها و تصاویر کتاب خانه میراث گونه های زیستی در پایگاه های دیگر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مستلزم پشتیبانی وارد کردن فراداده های منابع تولید شده </w:t>
      </w:r>
      <w:r>
        <w:rPr>
          <w:rStyle w:val="FootnoteAnchor"/>
          <w:rtl w:val="true"/>
        </w:rPr>
        <w:footnoteReference w:id="713"/>
      </w:r>
      <w:r>
        <w:rPr>
          <w:rFonts w:ascii="IRNazanin" w:hAnsi="IRNazanin" w:eastAsia="IRNazanin"/>
          <w:color w:val="111111"/>
          <w:sz w:val="28"/>
          <w:sz w:val="28"/>
          <w:szCs w:val="28"/>
          <w:rtl w:val="true"/>
          <w:lang w:bidi="fa-IR"/>
        </w:rPr>
        <w:t>در سکوهای دیگر به درون کتاب خانه میراث گونه های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گروه طرح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گیاه شناسی میزوری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شرکای طرح از بخش بوم شناسی و تکامل زیستی در دانشگاه کلرادو </w:t>
      </w:r>
      <w:r>
        <w:rPr>
          <w:rStyle w:val="FootnoteAnchor"/>
          <w:rtl w:val="true"/>
        </w:rPr>
        <w:footnoteReference w:id="714"/>
      </w:r>
      <w:r>
        <w:rPr>
          <w:rFonts w:ascii="IRNazanin" w:hAnsi="IRNazanin" w:eastAsia="IRNazanin"/>
          <w:color w:val="111111"/>
          <w:sz w:val="28"/>
          <w:sz w:val="28"/>
          <w:szCs w:val="28"/>
          <w:rtl w:val="true"/>
          <w:lang w:bidi="fa-IR"/>
        </w:rPr>
        <w:t>روی ایجاد و گسترش این الگو 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به واسطه تخصص در زمینه استانداردسازی داده های گونه های زیستی و مشارکت در ویکی مدیا </w:t>
      </w:r>
      <w:r>
        <w:rPr>
          <w:rStyle w:val="FootnoteAnchor"/>
          <w:rtl w:val="true"/>
        </w:rPr>
        <w:footnoteReference w:id="715"/>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بررسی چشم اندازی درباره استانداردهای فراداده موجود مناسب جهت نیازهای تصاویر تاریخ طبیعی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روی پنج دسته مؤلفه تمرکز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وی آر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منابع تصویری</w:t>
      </w:r>
      <w:r>
        <w:rPr>
          <w:rFonts w:eastAsia="IRNazanin" w:cs="IRNazanin"/>
          <w:color w:val="111111"/>
          <w:sz w:val="28"/>
          <w:szCs w:val="28"/>
          <w:rtl w:val="true"/>
          <w:lang w:bidi="fa-IR"/>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ال آى دى اُ </w:t>
      </w:r>
      <w:r>
        <w:rPr>
          <w:rStyle w:val="FootnoteAnchor"/>
          <w:rtl w:val="true"/>
        </w:rPr>
        <w:footnoteReference w:id="717"/>
      </w:r>
      <w:r>
        <w:rPr>
          <w:rFonts w:ascii="IRNazanin" w:hAnsi="IRNazanin" w:eastAsia="IRNazanin"/>
          <w:color w:val="111111"/>
          <w:sz w:val="28"/>
          <w:sz w:val="28"/>
          <w:szCs w:val="28"/>
          <w:rtl w:val="true"/>
          <w:lang w:bidi="fa-IR"/>
        </w:rPr>
        <w:t xml:space="preserve">، هسته دوبلین </w:t>
      </w:r>
      <w:r>
        <w:rPr>
          <w:rStyle w:val="FootnoteAnchor"/>
          <w:rtl w:val="true"/>
        </w:rPr>
        <w:footnoteReference w:id="718"/>
      </w:r>
      <w:r>
        <w:rPr>
          <w:rFonts w:ascii="IRNazanin" w:hAnsi="IRNazanin" w:eastAsia="IRNazanin"/>
          <w:color w:val="111111"/>
          <w:sz w:val="28"/>
          <w:sz w:val="28"/>
          <w:szCs w:val="28"/>
          <w:rtl w:val="true"/>
          <w:lang w:bidi="fa-IR"/>
        </w:rPr>
        <w:t xml:space="preserve">، هسته داروین </w:t>
      </w:r>
      <w:r>
        <w:rPr>
          <w:rStyle w:val="FootnoteAnchor"/>
          <w:rtl w:val="true"/>
        </w:rPr>
        <w:footnoteReference w:id="719"/>
      </w:r>
      <w:r>
        <w:rPr>
          <w:rFonts w:ascii="IRNazanin" w:hAnsi="IRNazanin" w:eastAsia="IRNazanin"/>
          <w:color w:val="111111"/>
          <w:sz w:val="28"/>
          <w:sz w:val="28"/>
          <w:szCs w:val="28"/>
          <w:rtl w:val="true"/>
          <w:lang w:bidi="fa-IR"/>
        </w:rPr>
        <w:t xml:space="preserve">، هسته اودوبان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وی آر ای به علت نقشش به عنوان استانداردی برای توصیف آثار فرهنگی تصویری و نیز تصاویری که به آن ها سندیت می بخشد، به عنوان سودمندترین هسته برای تصاویر تاریخ طبیعی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ویژگی های این هسته بر اساس نوع اطلاعاتی است که از کاربران می خواهند آن ها را ثبت کنند مطابقت داشته و می تواند اطلاعات زیادی را در یک رابطه بیان کند که تصاویر متعدد ساختار یک کتاب را در یک صفحه همانند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موجود در هسته وی آر ای، اسلوبی برای ثبت یک نام پذیرفته شده و متداول برای یک گونه زیستی است، در حالی که این هسته دارای فیلد موضوعی با یک نوع مشخص برای نام های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است، جانورشناسان و متخصصان طبقه بندی به عناوین تخصصی 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اعضای ستاد، دو عنصر را جهت رفع این حاجت از هسته استاندارد داروین اقتباس کرده اند</w:t>
      </w:r>
      <w:r>
        <w:rPr>
          <w:rFonts w:eastAsia="IRNazanin" w:cs="IRNazanin"/>
          <w:color w:val="111111"/>
          <w:sz w:val="28"/>
          <w:szCs w:val="28"/>
          <w:rtl w:val="true"/>
          <w:lang w:bidi="fa-IR"/>
        </w:rPr>
        <w:t xml:space="preserve">. </w:t>
      </w:r>
      <w:bookmarkStart w:id="574" w:name="pg9659_94038"/>
    </w:p>
    <w:p>
      <w:pPr>
        <w:pStyle w:val="BookText"/>
        <w:rPr/>
      </w:pPr>
      <w:bookmarkEnd w:id="574"/>
      <w:r>
        <w:rPr>
          <w:rFonts w:ascii="IRNazanin" w:hAnsi="IRNazanin" w:eastAsia="IRNazanin"/>
          <w:color w:val="111111"/>
          <w:sz w:val="28"/>
          <w:sz w:val="28"/>
          <w:szCs w:val="28"/>
          <w:rtl w:val="true"/>
          <w:lang w:bidi="fa-IR"/>
        </w:rPr>
        <w:t>عکس</w:t>
      </w:r>
    </w:p>
    <w:p>
      <w:pPr>
        <w:pStyle w:val="Heading3"/>
        <w:numPr>
          <w:ilvl w:val="2"/>
          <w:numId w:val="1"/>
        </w:numPr>
        <w:rPr/>
      </w:pPr>
      <w:bookmarkStart w:id="575" w:name="__RefHeading___Toc7825629_2870459653"/>
      <w:bookmarkStart w:id="576" w:name="_Toc209"/>
      <w:bookmarkEnd w:id="575"/>
      <w:r>
        <w:rPr>
          <w:rtl w:val="true"/>
        </w:rPr>
        <w:t>شناسایی خودکار تصاویر</w:t>
      </w:r>
      <w:bookmarkEnd w:id="576"/>
    </w:p>
    <w:p>
      <w:pPr>
        <w:pStyle w:val="BookText"/>
        <w:rPr/>
      </w:pPr>
      <w:r>
        <w:rPr>
          <w:rFonts w:ascii="IRNazanin" w:hAnsi="IRNazanin" w:eastAsia="IRNazanin"/>
          <w:color w:val="111111"/>
          <w:sz w:val="28"/>
          <w:sz w:val="28"/>
          <w:szCs w:val="28"/>
          <w:rtl w:val="true"/>
          <w:lang w:bidi="fa-IR"/>
        </w:rPr>
        <w:t>به منظور مشخص کردن جایگاه صفحه های کتاب خانه میراث گونه های زیستی دارای تصاویر، به ایجاد و توسعه الگوریتم هایی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گیاه شناسی میزوری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شرکای طرح را از آزمایشگاه موزه هنر ایندیاناپولیس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اِم اِی</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نام نویسی کرده است و این افراد کسانی هستند که برای دانش و تخصص خود در ساخت برنامه های کاربردی منابع آزاد برای مجموعه های میراث فرهنگی به خصوص ایجاد یک ابزار برچسب برای طرح موزه اِستیو </w:t>
      </w:r>
      <w:r>
        <w:rPr>
          <w:rStyle w:val="FootnoteAnchor"/>
          <w:rtl w:val="true"/>
        </w:rPr>
        <w:footnoteReference w:id="722"/>
      </w:r>
      <w:r>
        <w:rPr>
          <w:rFonts w:ascii="IRNazanin" w:hAnsi="IRNazanin" w:eastAsia="IRNazanin"/>
          <w:color w:val="111111"/>
          <w:sz w:val="28"/>
          <w:sz w:val="28"/>
          <w:szCs w:val="28"/>
          <w:rtl w:val="true"/>
          <w:lang w:bidi="fa-IR"/>
        </w:rPr>
        <w:t>انتخاب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اجرای طرح هنر زندگی، آزمایشگاه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الگوریتم را بر مبنای تعدادی از ویژگی های صفحه رقومی ایجاد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های 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های تصویر مختصات تقریبی تصویر است که توسط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سی آر</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تولید شده است و کنتراست شامل مقایسه نسبت تضاد بین تصویر و متن در یک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آزمایش، ویژگی های بلوک های تصویر و کنتراست به عنوان مؤثرترین عوامل در شناسایی صفحه های حاوی تصاویر معرفی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دقت بین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ویژگی های رنگ و متراکم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دقت بین </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مورد آخر هنگامی که کار روی پیکره کامل کتاب خانه میراث گونه های زیستی آغاز شد نادیده گرفته شدند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گیاه شناسی میزوری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اعضا گروه کتاب خانه اِسمیت سونیان </w:t>
      </w:r>
      <w:r>
        <w:rPr>
          <w:rStyle w:val="FootnoteAnchor"/>
          <w:rtl w:val="true"/>
        </w:rPr>
        <w:footnoteReference w:id="724"/>
      </w:r>
      <w:r>
        <w:rPr>
          <w:rFonts w:ascii="IRNazanin" w:hAnsi="IRNazanin" w:eastAsia="IRNazanin"/>
          <w:color w:val="111111"/>
          <w:sz w:val="28"/>
          <w:sz w:val="28"/>
          <w:szCs w:val="28"/>
          <w:rtl w:val="true"/>
          <w:lang w:bidi="fa-IR"/>
        </w:rPr>
        <w:t xml:space="preserve">جهت تصحیح ابزاری که قبلاً ایجاد کرده و آن را ماکو </w:t>
      </w:r>
      <w:r>
        <w:rPr>
          <w:rStyle w:val="FootnoteAnchor"/>
          <w:rtl w:val="true"/>
        </w:rPr>
        <w:footnoteReference w:id="725"/>
      </w:r>
      <w:r>
        <w:rPr>
          <w:rFonts w:ascii="IRNazanin" w:hAnsi="IRNazanin" w:eastAsia="IRNazanin"/>
          <w:color w:val="111111"/>
          <w:sz w:val="28"/>
          <w:sz w:val="28"/>
          <w:szCs w:val="28"/>
          <w:rtl w:val="true"/>
          <w:lang w:bidi="fa-IR"/>
        </w:rPr>
        <w:t>نامیدند،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ماکو، کتاب خانه </w:t>
      </w:r>
      <w:bookmarkStart w:id="577" w:name="pg9659_94039"/>
    </w:p>
    <w:p>
      <w:pPr>
        <w:pStyle w:val="BookText"/>
        <w:rPr/>
      </w:pPr>
      <w:bookmarkEnd w:id="577"/>
      <w:r>
        <w:rPr>
          <w:rFonts w:ascii="IRNazanin" w:hAnsi="IRNazanin" w:eastAsia="IRNazanin"/>
          <w:color w:val="111111"/>
          <w:sz w:val="28"/>
          <w:sz w:val="28"/>
          <w:szCs w:val="28"/>
          <w:rtl w:val="true"/>
          <w:lang w:bidi="fa-IR"/>
        </w:rPr>
        <w:t xml:space="preserve">اسمیت سونیان را به منظور افزودن فراداده های سطح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شماره جلد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رقومی سازی، بررسی صفحه هنگامی که آن ها به درون درگاه کتاب خانه میراث گونه های زیستی انتقال داده می شوند،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 کتاب خانه اسمیت سونیان را مطابق با برآوردن نیازهای طرح هنر زندگی اصلاح کرده، بنابراین اعضا کتاب خانه میراث گونه های زیستی می توانند به راحتی نوع و دسته بندی صفحات که به کمک الگوریتم ها شناسایی شده اند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صفحه ها به نحوی است که هر صفحه می تواند متعلق به یک تا پنج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نقاشی، نمودار، چارت، جدول، عکس، نقشه یا برچسب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بندی ها درک بهتری از تصاویر موجود در صفحه های کتاب خانه میراث گونه های زیستی برای اعضا طرح هنر زندگی ایجاد و تعیین می کنند که کدام یک برای توصیف بیشتر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طبقه بندی کنندگان می توانند نشان دهند که آیا یک صفحه حاوی تصویر است یا خیر و در نتیجه زمینه های بیشتری را در جهت رسیدگی به صحت یا عدم صحت محصول الگوریتمی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منبع یابی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صفحات مصور و طبقه بندی شده به محیط های منبع یابی انبوه وارد می شدند، جایی که محتوای آن ها می تواند توصیف و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محیط ها شامل فلیکر می شود جایی که کتاب خانه میراث گونه های زیستی بیش از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شناسایی شده و به اشتراک گذاشته دارد </w:t>
      </w:r>
      <w:r>
        <w:rPr>
          <w:rStyle w:val="FootnoteAnchor"/>
          <w:rtl w:val="true"/>
        </w:rPr>
        <w:footnoteReference w:id="726"/>
      </w:r>
      <w:r>
        <w:rPr>
          <w:rFonts w:ascii="IRNazanin" w:hAnsi="IRNazanin" w:eastAsia="IRNazanin"/>
          <w:color w:val="111111"/>
          <w:sz w:val="28"/>
          <w:sz w:val="28"/>
          <w:szCs w:val="28"/>
          <w:rtl w:val="true"/>
          <w:lang w:bidi="fa-IR"/>
        </w:rPr>
        <w:t xml:space="preserve">و محیط های ویکی مدیا </w:t>
      </w:r>
      <w:r>
        <w:rPr>
          <w:rStyle w:val="FootnoteAnchor"/>
          <w:rtl w:val="true"/>
        </w:rPr>
        <w:footnoteReference w:id="727"/>
      </w:r>
      <w:r>
        <w:rPr>
          <w:rFonts w:ascii="IRNazanin" w:hAnsi="IRNazanin" w:eastAsia="IRNazanin"/>
          <w:color w:val="111111"/>
          <w:sz w:val="28"/>
          <w:sz w:val="28"/>
          <w:szCs w:val="28"/>
          <w:rtl w:val="true"/>
          <w:lang w:bidi="fa-IR"/>
        </w:rPr>
        <w:t>و ترکیب قالب هایی چون طرح هنر زندگی را در توصیف عمیق ممکن می سازد</w:t>
      </w:r>
      <w:r>
        <w:rPr>
          <w:rFonts w:eastAsia="IRNazanin" w:cs="IRNazanin"/>
          <w:color w:val="111111"/>
          <w:sz w:val="28"/>
          <w:szCs w:val="28"/>
          <w:rtl w:val="true"/>
          <w:lang w:bidi="fa-IR"/>
        </w:rPr>
        <w:t>.</w:t>
      </w:r>
    </w:p>
    <w:p>
      <w:pPr>
        <w:pStyle w:val="Heading3"/>
        <w:numPr>
          <w:ilvl w:val="2"/>
          <w:numId w:val="1"/>
        </w:numPr>
        <w:rPr/>
      </w:pPr>
      <w:bookmarkStart w:id="578" w:name="__RefHeading___Toc7825631_2870459653"/>
      <w:bookmarkStart w:id="579" w:name="_Toc210"/>
      <w:bookmarkEnd w:id="578"/>
      <w:r>
        <w:rPr>
          <w:rtl w:val="true"/>
        </w:rPr>
        <w:t>پذیرش فراداده در درگاه کتاب خانه میراث گونه های زیستی</w:t>
      </w:r>
      <w:bookmarkEnd w:id="579"/>
    </w:p>
    <w:p>
      <w:pPr>
        <w:pStyle w:val="BookText"/>
        <w:rPr/>
      </w:pPr>
      <w:r>
        <w:rPr>
          <w:rFonts w:ascii="IRNazanin" w:hAnsi="IRNazanin" w:eastAsia="IRNazanin"/>
          <w:color w:val="111111"/>
          <w:sz w:val="28"/>
          <w:sz w:val="28"/>
          <w:szCs w:val="28"/>
          <w:rtl w:val="true"/>
          <w:lang w:bidi="fa-IR"/>
        </w:rPr>
        <w:t>توصیف های ایجاد شده از طریق بخش منبع یابی انبوه در درگاه کتاب خانه میراث گونه های زیستی برای دستیابی و نگهداری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فراداده ها هنگامی که در نظام کتاب خانه میراث گونه های زیستی ذخیره شوند می توانند ضمیمه و از طریق درگاه جستجو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تصاویر و فراداده ها حفظ می شوند و به راحتی با مخازن دیگر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اُ ال</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سایت آرتستور به اشتراک گذاشته می شوند</w:t>
      </w:r>
      <w:r>
        <w:rPr>
          <w:rFonts w:eastAsia="IRNazanin" w:cs="IRNazanin"/>
          <w:color w:val="111111"/>
          <w:sz w:val="28"/>
          <w:szCs w:val="28"/>
          <w:rtl w:val="true"/>
          <w:lang w:bidi="fa-IR"/>
        </w:rPr>
        <w:t xml:space="preserve">. </w:t>
      </w:r>
      <w:r>
        <w:rPr>
          <w:rStyle w:val="FootnoteAnchor"/>
          <w:rtl w:val="true"/>
        </w:rPr>
        <w:footnoteReference w:id="729"/>
      </w:r>
    </w:p>
    <w:p>
      <w:pPr>
        <w:pStyle w:val="Heading3"/>
        <w:numPr>
          <w:ilvl w:val="2"/>
          <w:numId w:val="1"/>
        </w:numPr>
        <w:rPr/>
      </w:pPr>
      <w:bookmarkStart w:id="580" w:name="__RefHeading___Toc7825633_2870459653"/>
      <w:bookmarkStart w:id="581" w:name="_Toc211"/>
      <w:bookmarkEnd w:id="580"/>
      <w:r>
        <w:rPr>
          <w:rtl w:val="true"/>
        </w:rPr>
        <w:t>ابزارها و گردش کار هنر زندگی</w:t>
      </w:r>
      <w:bookmarkEnd w:id="58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طرح هنر زندگی نموداری را ایجاد کرده که چهار فرایند را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همان طور که </w:t>
      </w:r>
    </w:p>
    <w:p>
      <w:pPr>
        <w:pStyle w:val="BookText"/>
        <w:rPr/>
      </w:pPr>
      <w:r>
        <w:rPr>
          <w:rFonts w:ascii="IRNazanin" w:hAnsi="IRNazanin" w:eastAsia="IRNazanin"/>
          <w:color w:val="111111"/>
          <w:sz w:val="28"/>
          <w:sz w:val="28"/>
          <w:szCs w:val="28"/>
          <w:rtl w:val="true"/>
          <w:lang w:bidi="fa-IR"/>
        </w:rPr>
        <w:t xml:space="preserve">در هر مرحله حرکت می کنند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طبقه بندی، توصیف و اشتراک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ابزارها و جایگاه ویژه در هر مرحله لازم است؛ همان طور که کاربران این ابزارها به آن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دیاگرام جریان کار هنر 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استخراج</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شناسایی می کند که کدام صفحه های کتاب خانه میراث گونه های زیستی حاوی تصاویر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کارکنان کتاب خانه میراث گونه های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موزه هنر ایندیاناپولیس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 کنند که الگوریتم ها دقیق بودند و موزه هنر ایندیاناپولیس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وب جانگو</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برای تحلیل و مصورسازی نتایج الگوریتم 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وب جانگو برای تحلیل و مصورسازی نتایج الگوریتم 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ترین الگوریتم ها در یک محیط چند سروری اجرا شدند و خروجی در یک پایگاه داده، منبع </w:t>
      </w:r>
    </w:p>
    <w:p>
      <w:pPr>
        <w:pStyle w:val="BookText"/>
        <w:rPr/>
      </w:pPr>
      <w:r>
        <w:rPr>
          <w:rFonts w:ascii="IRNazanin" w:hAnsi="IRNazanin" w:eastAsia="IRNazanin"/>
          <w:color w:val="111111"/>
          <w:sz w:val="28"/>
          <w:sz w:val="28"/>
          <w:szCs w:val="28"/>
          <w:rtl w:val="true"/>
          <w:lang w:bidi="fa-IR"/>
        </w:rPr>
        <w:t xml:space="preserve">آزاد که مونگو دی بی </w:t>
      </w:r>
      <w:r>
        <w:rPr>
          <w:rStyle w:val="FootnoteAnchor"/>
          <w:rtl w:val="true"/>
        </w:rPr>
        <w:footnoteReference w:id="732"/>
      </w:r>
      <w:r>
        <w:rPr>
          <w:rFonts w:ascii="IRNazanin" w:hAnsi="IRNazanin" w:eastAsia="IRNazanin"/>
          <w:color w:val="111111"/>
          <w:sz w:val="28"/>
          <w:sz w:val="28"/>
          <w:szCs w:val="28"/>
          <w:rtl w:val="true"/>
          <w:lang w:bidi="fa-IR"/>
        </w:rPr>
        <w:t>نامیده می شود ذخیره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و مستندات در پایگاه داده </w:t>
      </w:r>
      <w:r>
        <w:rPr>
          <w:rStyle w:val="FootnoteAnchor"/>
          <w:rtl w:val="true"/>
        </w:rPr>
        <w:footnoteReference w:id="733"/>
      </w:r>
      <w:r>
        <w:rPr>
          <w:rFonts w:ascii="IRNazanin" w:hAnsi="IRNazanin" w:eastAsia="IRNazanin"/>
          <w:color w:val="111111"/>
          <w:sz w:val="28"/>
          <w:sz w:val="28"/>
          <w:szCs w:val="28"/>
          <w:rtl w:val="true"/>
          <w:lang w:bidi="fa-IR"/>
        </w:rPr>
        <w:t>موجود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طبقه بندی</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به کارکنان کتاب خانه میراث گونه های زیستی امکان را می دهد تا صفحه هایی که به وسیله الگوریتم ها در دسته بندی های انواع گسترده شناسایی می شوند را طبقه 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اسمیت سونیان ابزار منابع آزاد موجود که ماکو نامیده می شود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و مستندات آن در پایگاه داده زیر </w:t>
      </w:r>
      <w:r>
        <w:rPr>
          <w:rStyle w:val="FootnoteAnchor"/>
          <w:rtl w:val="true"/>
        </w:rPr>
        <w:footnoteReference w:id="735"/>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ماکا برای طبقه بندی تصاویر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توصیف</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به کاربران امکان می دهد تا محتوای تصاویر را به طور مفصل توصیف یا ضمیمه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فلیکر و محیط های ویکی مدیا ابزارهایی هستند که برای این وظیفه انتخاب شده اند، زیرا آن ها محیط های منبع یابی انبوه هستند جایی که شمار زیادی از کاربران تصاویر و فایل های رسانه ای را به اشتراک گذاشته و علامت گذاری می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اشتراک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ایجاد فراداده های تولید شده در بخش منبع یابی در بازگشت به </w:t>
      </w:r>
      <w:bookmarkStart w:id="582" w:name="pg9659_94042"/>
    </w:p>
    <w:p>
      <w:pPr>
        <w:pStyle w:val="BookText"/>
        <w:rPr/>
      </w:pPr>
      <w:bookmarkEnd w:id="582"/>
      <w:r>
        <w:rPr>
          <w:rFonts w:ascii="IRNazanin" w:hAnsi="IRNazanin" w:eastAsia="IRNazanin"/>
          <w:color w:val="111111"/>
          <w:sz w:val="28"/>
          <w:sz w:val="28"/>
          <w:szCs w:val="28"/>
          <w:rtl w:val="true"/>
          <w:lang w:bidi="fa-IR"/>
        </w:rPr>
        <w:t>کتاب خانه میراث گونه های زیستی برای دستیابی و استفاده مجدد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میراث گونه های زیستی در حال اشتراک گذاری تصاویر و فراداده ها با منابع مربوط به گونه های زیستی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تمایل دارد به طورگسترده، این تصاویر را با منابع تصویر همانند وب گاه آرتستور که پر مشغله ترین کاربرانش محققان علوم انسانی هستند به اشتراک بگذارد</w:t>
      </w:r>
      <w:r>
        <w:rPr>
          <w:rFonts w:eastAsia="IRNazanin" w:cs="IRNazanin"/>
          <w:color w:val="111111"/>
          <w:sz w:val="28"/>
          <w:szCs w:val="28"/>
          <w:rtl w:val="true"/>
          <w:lang w:bidi="fa-IR"/>
        </w:rPr>
        <w:t>.</w:t>
      </w:r>
    </w:p>
    <w:p>
      <w:pPr>
        <w:pStyle w:val="Heading3"/>
        <w:numPr>
          <w:ilvl w:val="2"/>
          <w:numId w:val="1"/>
        </w:numPr>
        <w:rPr/>
      </w:pPr>
      <w:bookmarkStart w:id="583" w:name="__RefHeading___Toc7825635_2870459653"/>
      <w:bookmarkStart w:id="584" w:name="_Toc212"/>
      <w:bookmarkEnd w:id="583"/>
      <w:r>
        <w:rPr>
          <w:rtl w:val="true"/>
        </w:rPr>
        <w:t>وضعیت فعلی</w:t>
      </w:r>
      <w:bookmarkEnd w:id="58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سایت فلیکر کتاب خانه میراث گونه های زیستی که برچسب های افزوده شده به تصاویررا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عمومی رسانه های ویکی را نشان می دهد که از قالب الگوی هنر زندگی استفاده می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 بیان گردید، برنامه ریزی شد که طرح هنر زندگی در آوریل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فرایند اجرای الگوریتم ها در سراسر مجموعه کتاب خانه میراث گونه های زیستی هستند و طبقه بندی صفحه های </w:t>
      </w:r>
      <w:bookmarkStart w:id="585" w:name="pg9659_94043"/>
    </w:p>
    <w:p>
      <w:pPr>
        <w:pStyle w:val="BookText"/>
        <w:rPr/>
      </w:pPr>
      <w:bookmarkEnd w:id="585"/>
      <w:r>
        <w:rPr>
          <w:rFonts w:ascii="IRNazanin" w:hAnsi="IRNazanin" w:eastAsia="IRNazanin"/>
          <w:color w:val="111111"/>
          <w:sz w:val="28"/>
          <w:sz w:val="28"/>
          <w:szCs w:val="28"/>
          <w:rtl w:val="true"/>
          <w:lang w:bidi="fa-IR"/>
        </w:rPr>
        <w:t>یافته شده که به همراه تصاویر هستند را طبقه بندی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ها برای تعیین چگونگی حجم بالایی از فایل های تصویری برای محیط های ویکی مدیا، هم چون چگونگی استخراج فراداده های برگشتی از ابزار هنگامی که منابع انبوه را توصیف می کنند،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کتاب خانه میراث گونه های زیستی به منظور ذخیره سازی و حفظ فراداده های ایجاد شده در هر مرحله گردش کار اصلاح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هنر زندگی به مشخصات برنامه تبدیل خواهد شد و هنگامی که کامل شد در دسترس عموم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علاقه مند می توانند روند پیشرفت ما را در صفحه طرح دنبال کنند</w:t>
      </w:r>
      <w:r>
        <w:rPr>
          <w:rFonts w:eastAsia="IRNazanin" w:cs="IRNazanin"/>
          <w:color w:val="111111"/>
          <w:sz w:val="28"/>
          <w:szCs w:val="28"/>
          <w:rtl w:val="true"/>
          <w:lang w:bidi="fa-IR"/>
        </w:rPr>
        <w:t xml:space="preserve">. </w:t>
      </w:r>
      <w:r>
        <w:rPr>
          <w:rStyle w:val="FootnoteAnchor"/>
          <w:rtl w:val="true"/>
        </w:rPr>
        <w:footnoteReference w:id="737"/>
      </w:r>
    </w:p>
    <w:p>
      <w:pPr>
        <w:pStyle w:val="Heading3"/>
        <w:numPr>
          <w:ilvl w:val="2"/>
          <w:numId w:val="1"/>
        </w:numPr>
        <w:rPr/>
      </w:pPr>
      <w:bookmarkStart w:id="586" w:name="__RefHeading___Toc7825637_2870459653"/>
      <w:bookmarkStart w:id="587" w:name="_Toc213"/>
      <w:bookmarkEnd w:id="586"/>
      <w:r>
        <w:rPr>
          <w:rtl w:val="true"/>
        </w:rPr>
        <w:t>وضعیت فعلی</w:t>
      </w:r>
      <w:bookmarkEnd w:id="587"/>
    </w:p>
    <w:p>
      <w:pPr>
        <w:pStyle w:val="BookText"/>
        <w:rPr/>
      </w:pPr>
      <w:r>
        <w:rPr>
          <w:rFonts w:ascii="IRNazanin" w:hAnsi="IRNazanin" w:eastAsia="IRNazanin"/>
          <w:color w:val="111111"/>
          <w:sz w:val="28"/>
          <w:sz w:val="28"/>
          <w:szCs w:val="28"/>
          <w:rtl w:val="true"/>
          <w:lang w:bidi="fa-IR"/>
        </w:rPr>
        <w:t xml:space="preserve">همان گونه که قبل بیان گردید، برنامه ریزی شد که طرح هنر زندگی در آوریل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شود اما به وسیله هدایای ملی برای علوم انسانی تا آوریل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کارکنان در حین فرایند اجرای الگوریتم ها در سراسر مجموعه کتاب خانه میراث گونه های زیستی هستند و طبقه بندی صفحه های یافته شده که به همراه تصاویر هستند را طبقه بندی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 برای تعیین چگونگی حجم بالایی از فایل های تصویری برای محیط های ویکی مدیا، هم چون چگونگی استخراج فراداده های برگشتی از ابزار هنگامی که منابع انبوه را توصیف می کنند،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کتاب خانه میراث گونه های زیستی به منظور ذخیره سازی و حفظ فراداده های ایجاد شده در هر مرحله گردش کار اصلاح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هنر زندگی به مشخصات برنامه تبدیل خواهد شد و هنگامی که کامل شد در دسترس عموم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علاقه مند می توانند روند پیشرفت ما را در صفحه طرح دنبال کنند</w:t>
      </w:r>
      <w:r>
        <w:rPr>
          <w:rFonts w:eastAsia="IRNazanin" w:cs="IRNazanin"/>
          <w:color w:val="111111"/>
          <w:sz w:val="28"/>
          <w:szCs w:val="28"/>
          <w:rtl w:val="true"/>
          <w:lang w:bidi="fa-IR"/>
        </w:rPr>
        <w:t xml:space="preserve">. </w:t>
      </w:r>
      <w:r>
        <w:rPr>
          <w:rStyle w:val="FootnoteAnchor"/>
          <w:rtl w:val="true"/>
        </w:rPr>
        <w:footnoteReference w:id="738"/>
      </w:r>
    </w:p>
    <w:p>
      <w:pPr>
        <w:pStyle w:val="Heading3"/>
        <w:numPr>
          <w:ilvl w:val="2"/>
          <w:numId w:val="1"/>
        </w:numPr>
        <w:rPr/>
      </w:pPr>
      <w:bookmarkStart w:id="588" w:name="__RefHeading___Toc7825639_2870459653"/>
      <w:bookmarkStart w:id="589" w:name="_Toc214"/>
      <w:bookmarkEnd w:id="588"/>
      <w:r>
        <w:rPr>
          <w:rtl w:val="true"/>
        </w:rPr>
        <w:t>فواید موجود برای محققان علوم و علوم انسانی</w:t>
      </w:r>
      <w:bookmarkEnd w:id="58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طبیعی بخشی از میراث فرهنگی بشر بوده و یک منبع غنی از دانش برای طیف گسترده ای از دانش آموزان، معلمان، عموم مردم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رینالدو و اسمیت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کیفیت زیبایی شناختی، تصاویر دقیق از گیاهان و حیوانات، حتی امروزه برای زیست شناسان که تاریخ طبقه بندی یک موجود زنده، یا مستندات برای نمونه های از دست رفته یا دور ریخته شده را دنبال می کنند، می تواند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عکاسی، هنرمندان گیاه شناس و جانورشناس، هم کاران </w:t>
      </w:r>
    </w:p>
    <w:p>
      <w:pPr>
        <w:pStyle w:val="BookText"/>
        <w:rPr/>
      </w:pPr>
      <w:r>
        <w:rPr>
          <w:rFonts w:ascii="IRNazanin" w:hAnsi="IRNazanin" w:eastAsia="IRNazanin"/>
          <w:color w:val="111111"/>
          <w:sz w:val="28"/>
          <w:sz w:val="28"/>
          <w:szCs w:val="28"/>
          <w:rtl w:val="true"/>
          <w:lang w:bidi="fa-IR"/>
        </w:rPr>
        <w:t>ضروری در مستندسازی جهان طبیعی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تاریخ طبیعی پنجره ای از گونه های زیستی سراسر جهان را به روی دانشمندان و افرادی که نمی توانند سفر کنند می گشاید و مجلدهای مصور غنی از تصویر به خوبی 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هنرمندان و آثارشان بخش جداناپذیری برای نشریات تاریخ طبیعی به شمار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بلوم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تصاویر تاریخ طبیعی داستان های برای بازگویی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تاریخ طبیعی تصاویری را از اطلاعات مستمر نادرست و گذشته کپی کردند یا حتی سعی کردند دیگران را در پذیرش این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نمایش شی طبیعی هستند،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جیمز اودوبان یکی از این فریب دهندگان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مفصل پیرامون این مطلب را در برت و دیویس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دسترسی آسان به تصاویر تاریخ طبیعی برای محققان علوم انسانی سودمند است هم چون جانت براون </w:t>
      </w:r>
      <w:r>
        <w:rPr>
          <w:rStyle w:val="FootnoteAnchor"/>
          <w:rtl w:val="true"/>
        </w:rPr>
        <w:footnoteReference w:id="741"/>
      </w:r>
      <w:r>
        <w:rPr>
          <w:rFonts w:ascii="IRNazanin" w:hAnsi="IRNazanin" w:eastAsia="IRNazanin"/>
          <w:color w:val="111111"/>
          <w:sz w:val="28"/>
          <w:sz w:val="28"/>
          <w:szCs w:val="28"/>
          <w:rtl w:val="true"/>
          <w:lang w:bidi="fa-IR"/>
        </w:rPr>
        <w:t>که به تاریخ فرهنگ و مصور گوریل و دیگر موجودات طبیعی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او تا حدودی مبتنی بر تصاویر تاریخی همراه با نمونه گونه های حفظ شده و سایر رسانه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پیشنهاد می دهد که دانشمندان از تصاویر تاریخ طبیعی به عنوان جایگزین برای نمونه گونه ها استفاده کنند، زیرا دانشمندان یا افراد عادی کمی می توانند سفر کنند و موجودات زنده در حیات وحش مشاهده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محققان علوم انسانی، یک منبع مهم تصاویر تاریخ طبیعی به طور آشکار در دسترس و قابل استفاده مجدد خواهد بود که شیوه های جدیدی برای جمع آوری منابع پنهانی گذشته و مطالعه روابط جامعه شناختی و تاریخی که به طور ذاتی در همکاری طبیعت گرایان و هنرمندان وجود دارد را فراهم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بلوم،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میلیون تصویر و فهرست فراداده های مرتبط وجود خواهد داشت که برای استفاده به طور رایگان قابل دانلود هستند و در بخش تصاویر آشنا قابل دسترس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سایت آرتستور، دائره المعارف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محتوا چند رشته ای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نظرها و آمار فلیکر، در خصوص کتاب خانه میراث گونه های زیستی نشان می دهد که این تصاویر به عنوان تجدید نظر نسبت به طیف گسترده ای از مخاطبان از جمله هنرمندان، زیست شناسان، محققان علوم انسانی، کتابداران، آموزش و پرورش و امدادرسانی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افرادی هستند که از تصاویر در تحقیقات، تجارت یا آموزش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کاربردهای غیر معمول تصاویر کتاب خانه میراث گونه های زیستی شامل تزیینات کارت های دعوت عروسی و احوال پرسی است </w:t>
      </w:r>
      <w:bookmarkStart w:id="590" w:name="pg9659_94045"/>
    </w:p>
    <w:p>
      <w:pPr>
        <w:pStyle w:val="BookText"/>
        <w:rPr/>
      </w:pPr>
      <w:bookmarkEnd w:id="590"/>
      <w:r>
        <w:rPr>
          <w:rFonts w:ascii="IRNazanin" w:hAnsi="IRNazanin" w:eastAsia="IRNazanin"/>
          <w:color w:val="111111"/>
          <w:sz w:val="28"/>
          <w:sz w:val="28"/>
          <w:szCs w:val="28"/>
          <w:rtl w:val="true"/>
          <w:lang w:bidi="fa-IR"/>
        </w:rPr>
        <w:t>همان طور که به اختلاط رنگ های رقومی کمک می کند و عکاسی مدرن را ارتقا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دانشمندان گونه های زیستی، این کار زمینه دسترسی به محتوا را به صورت منابع چاپی و برخط که به سختی یافت می شوند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اضافه شده به درگاه کتاب خانه میراث گونه های زیستی امکان جستجو برای تصاویر را از طریق نام گونه، نام های رایج، موضوع ها و تصویرگران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گسترده از طریق کم ترین آموزش علمی کاربران، از دانش آموزان و معلمان گرفته تا دانشمندان، از آموزش پیچیده تر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تصاویر موجود هستند و در مکان هایی چون فلیکر و محیط های ویکی مدیا توصیف می شوند، آن ها به آسانی در دیگر بخش های گونه های زیستی و غیر زیستی هم چون و یکی اسپسایس </w:t>
      </w:r>
      <w:r>
        <w:rPr>
          <w:rStyle w:val="FootnoteAnchor"/>
          <w:rtl w:val="true"/>
        </w:rPr>
        <w:footnoteReference w:id="742"/>
      </w:r>
      <w:r>
        <w:rPr>
          <w:rFonts w:ascii="IRNazanin" w:hAnsi="IRNazanin" w:eastAsia="IRNazanin"/>
          <w:color w:val="111111"/>
          <w:sz w:val="28"/>
          <w:sz w:val="28"/>
          <w:szCs w:val="28"/>
          <w:rtl w:val="true"/>
          <w:lang w:bidi="fa-IR"/>
        </w:rPr>
        <w:t>، ویکی مدیا و دائره المعارف زندگی موجود و مرتبط هستند؛ مانند محتوای متنی در کتاب خانه میراث گونه های زیستی، بیشتر محتوای تصویری تحت حوزه عمومی قرار می گیرد و برای دانلود رایگان و استفاده مجدد قابل دسترسی است که تصاویر می توانند تا ابزار آموزش، انتشار و تحقیق برای دانش آموزان هم چون محققان در بسیاری از زمینه ها ادغام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ها در دسترس خواهند بود و با خروجی تشخیص نوری نویسه ها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در هر مجموعه متنی قابل استفاده بوده به طوری که فواید کلی تری را برای کتاب خانه های رقومی به همراه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طرح می تواند برای مجموعه های تصویری دیگر که تعداد زیادی از تصاویر تاریخ طبیعی را دربر می گیرد، به کار رود</w:t>
      </w:r>
      <w:r>
        <w:rPr>
          <w:rFonts w:eastAsia="IRNazanin" w:cs="IRNazanin"/>
          <w:color w:val="111111"/>
          <w:sz w:val="28"/>
          <w:szCs w:val="28"/>
          <w:rtl w:val="true"/>
          <w:lang w:bidi="fa-IR"/>
        </w:rPr>
        <w:t>.</w:t>
      </w:r>
    </w:p>
    <w:p>
      <w:pPr>
        <w:pStyle w:val="Heading3"/>
        <w:numPr>
          <w:ilvl w:val="2"/>
          <w:numId w:val="1"/>
        </w:numPr>
        <w:rPr/>
      </w:pPr>
      <w:bookmarkStart w:id="591" w:name="__RefHeading___Toc7825641_2870459653"/>
      <w:bookmarkStart w:id="592" w:name="_Toc215"/>
      <w:bookmarkEnd w:id="591"/>
      <w:r>
        <w:rPr>
          <w:rtl w:val="true"/>
        </w:rPr>
        <w:t>منابع</w:t>
      </w:r>
      <w:bookmarkEnd w:id="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Blum AS, 1993, Picturing Nature: American Nineteenth Century Zoological Illustrations, Princeton University Press, Princeton, NJ</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Browne, J 2011, 'Illustrations as substitute specimens. Paper presented at the Life and Literature Conference, Chicago, IL</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Burtt, EH &amp; WE Davis 2013, Alexander Wilson: The Scot who Founded American Ornithology, Harvard University Press, Cambridge, 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Gwinn, NE &amp; Rinaldo, CA, 2009, 'The Biodiversity Library: Sharing biodiversity with the world', IFLA Journal, vol. 35, no. 1, pp. 25-34</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Rinaldo, CA &amp; Smith, J 2014, 'Moving through time and culture with the Biodiversity Heritage Library', in Migrating Heritage: Experiences of Cultural Networks and Cultural Dialogue in Europe, ed P Innocenti, Ashgate Publishing Group, Surrey, pp. 95-108</w:t>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9659_94048"/>
      <w:bookmarkStart w:id="594" w:name="pg9659_94048"/>
      <w:bookmarkEnd w:id="594"/>
    </w:p>
    <w:p>
      <w:pPr>
        <w:pStyle w:val="Heading2"/>
        <w:numPr>
          <w:ilvl w:val="1"/>
          <w:numId w:val="1"/>
        </w:numPr>
        <w:rPr/>
      </w:pPr>
      <w:bookmarkStart w:id="595" w:name="pg9659_94048"/>
      <w:bookmarkStart w:id="596" w:name="__RefHeading___Toc7825643_2870459653"/>
      <w:bookmarkStart w:id="597" w:name="_Toc216"/>
      <w:bookmarkEnd w:id="595"/>
      <w:bookmarkEnd w:id="596"/>
      <w:r>
        <w:rPr>
          <w:rtl w:val="true"/>
        </w:rPr>
        <w:t>چکیده</w:t>
      </w:r>
      <w:bookmarkEnd w:id="597"/>
    </w:p>
    <w:p>
      <w:pPr>
        <w:pStyle w:val="BookText"/>
        <w:rPr/>
      </w:pPr>
      <w:r>
        <w:rPr>
          <w:rFonts w:ascii="IRNazanin" w:hAnsi="IRNazanin" w:eastAsia="IRNazanin"/>
          <w:color w:val="111111"/>
          <w:sz w:val="28"/>
          <w:sz w:val="28"/>
          <w:szCs w:val="28"/>
          <w:rtl w:val="true"/>
          <w:lang w:bidi="fa-IR"/>
        </w:rPr>
        <w:t>به دلیل سهولت و دسترس پذیری ابزار ضبط رقومی و ازدیاد و تکثیر منابع و متونی که در وب گاه ها هر روزه و هر ساله توسط افراد غیر متخصص در سطح عامه در حال ایجاد است، امروزه متخصصان امور فرهنگی با کمبود امکانات مالی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با سؤالات جدیدی درباره مجموعه ها و فراداده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رویدادها در زمانی که اتفاق می افتند شکل نمی گیرند بلکه در هنگام ثبت و ضبط و آرشیو شدنشان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ضبط شخصی و روش های آرشیو کردن امروزه پیچیده تر شده و فراداده ها به طور خودکار ایجاد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چگونگی گردآوری محتواها توسط سازمان ها برای حمایت از مأموریت های تحقیقاتی شان را بررسی می کند که مثال ها، توصیه عملی و بحث درباره کاربردهای بلند مدت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مقاله به بررسی این مسئله می پردازد که چگونه محتوا و متون ایجاد شده می تواند توسط کتابداران نگهداری و در مکانی فرهنگی برای محققان دسترس پذیر 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برچسب گذاری، محتوای به اشتراک گذاشته شده توسط کاربران، مجموعه های رقومی</w:t>
      </w:r>
      <w:r>
        <w:rPr>
          <w:rFonts w:eastAsia="IRNazanin" w:cs="IRNazanin"/>
          <w:color w:val="111111"/>
          <w:sz w:val="28"/>
          <w:szCs w:val="28"/>
          <w:rtl w:val="true"/>
          <w:lang w:bidi="fa-IR"/>
        </w:rPr>
        <w:t xml:space="preserve">. </w:t>
      </w:r>
      <w:bookmarkStart w:id="598" w:name="pg9659_94049"/>
    </w:p>
    <w:p>
      <w:pPr>
        <w:pStyle w:val="Heading2"/>
        <w:numPr>
          <w:ilvl w:val="1"/>
          <w:numId w:val="1"/>
        </w:numPr>
        <w:rPr/>
      </w:pPr>
      <w:bookmarkStart w:id="599" w:name="__RefHeading___Toc7825645_2870459653"/>
      <w:bookmarkStart w:id="600" w:name="_Toc217"/>
      <w:bookmarkEnd w:id="598"/>
      <w:bookmarkEnd w:id="599"/>
      <w:r>
        <w:rPr>
          <w:rtl w:val="true"/>
        </w:rPr>
        <w:t>امروزه ما همه فهرست نویس هستیم</w:t>
      </w:r>
      <w:r>
        <w:rPr>
          <w:rtl w:val="true"/>
        </w:rPr>
        <w:t xml:space="preserve">: </w:t>
      </w:r>
      <w:r>
        <w:rPr>
          <w:rtl w:val="true"/>
        </w:rPr>
        <w:t>شما نیز قادر خواهید بود فراداده ها را برای مجموعه های تحقیقاتی خودتان سازماندهی کنید</w:t>
      </w:r>
      <w:bookmarkEnd w:id="600"/>
    </w:p>
    <w:p>
      <w:pPr>
        <w:pStyle w:val="Heading3"/>
        <w:numPr>
          <w:ilvl w:val="2"/>
          <w:numId w:val="1"/>
        </w:numPr>
        <w:rPr/>
      </w:pPr>
      <w:bookmarkStart w:id="601" w:name="__RefHeading___Toc7825647_2870459653"/>
      <w:bookmarkStart w:id="602" w:name="_Toc218"/>
      <w:bookmarkEnd w:id="601"/>
      <w:r>
        <w:rPr>
          <w:rtl w:val="true"/>
        </w:rPr>
        <w:t>اشاره</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ما همه فهرست نویس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قادر خواهید بود فراداده ها را برای مجموعه های تحقیقاتی خودتان سازماندهی کنید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نوشته ربکا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لوباس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محبوبه ربیعی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قبل از ورود تلفن های هوشمند، رسانه های اجتماعی و وب به دنیای امروزی کتاب خانه ها و آرشیوها منابعی را در زمینه وقایع و تاریخ محلی به بهترین نحو ممکن با تمرکز بر مجموعه ی ارائه شده جمع آوری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جراید، جزوه ها، پوسترها و عکس ها که تصویری از وقایع گذشته تاریخی که در زمان خودش جزء اخبار جاری بوده،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کم تر از آن چیزی بود که امروزه وجود دارد و هرکسی نمی توانست به ابزار عکاسی یا چاپ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فیزیکی یک اثر ممکن بود سال ها پس از وقوع یک واقعه وارد مجموعه بشود زمانی که رویداد مورد نظر از حافظه ها پاک شده و خالقان محتوا یا اثر در گذشته باشند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به کارگیری وسیع ابزارهای امروزی، شرح محتوا و مستندسازی و دبیزش وقایع افزایش یافته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شهروند به تنهایی می تواند یک گزارشگر باشد و نیازی به مهارت های پیشرفته فنی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خالقان آثار و محتوا، حرفه ای تر و توانمندتر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ممکن است گواهی نامه های عمومی خلق محتوا </w:t>
      </w:r>
      <w:r>
        <w:rPr>
          <w:rStyle w:val="FootnoteAnchor"/>
          <w:rtl w:val="true"/>
        </w:rPr>
        <w:footnoteReference w:id="747"/>
      </w:r>
      <w:r>
        <w:rPr>
          <w:rFonts w:ascii="IRNazanin" w:hAnsi="IRNazanin" w:eastAsia="IRNazanin"/>
          <w:color w:val="111111"/>
          <w:sz w:val="28"/>
          <w:sz w:val="28"/>
          <w:szCs w:val="28"/>
          <w:rtl w:val="true"/>
          <w:lang w:bidi="fa-IR"/>
        </w:rPr>
        <w:t>را به کاربرند، یا فراداده های مشروح و یا مثال هایی را به محتوا افزوده کنند و نیز ممکن است که از داده هایشان فایل پشتیبان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متخصصان امور فرهنگی می توانند تقاضای ورود انبوهی از منابع و متون را به مجموعه داشته باشند؟ آیا باید تلاش کنند؟ آیا کتاب خانه ها و آرشیوها در این زمینه مسؤولیتی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لمپرت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یافتن روش هایی است که بتوانند از عهده حجم انبوهی از منابع موجود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عدم توجه به این منابع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اهدا کنندگان که دیگر جعبه هایی از عکس را به آرشیو اهدا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یا منابع دیگر ممکن است وارد مجموعه شود یا نشود و یا ممکن است مفید باشد یا نباشد و یا ممکن است نسخه پشتیبان داشته و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ابزارهای دسترسی آسانی وجود دارد برای این که هر کسی بتواند اطلاعات و منابع شخصی خود را آرشیو کند اما این بدان معنی نیست که هر شخصی</w:t>
      </w:r>
    </w:p>
    <w:p>
      <w:pPr>
        <w:pStyle w:val="BookText"/>
        <w:rPr/>
      </w:pPr>
      <w:r>
        <w:rPr>
          <w:rFonts w:ascii="IRNazanin" w:hAnsi="IRNazanin" w:eastAsia="IRNazanin"/>
          <w:color w:val="111111"/>
          <w:sz w:val="28"/>
          <w:sz w:val="28"/>
          <w:szCs w:val="28"/>
          <w:rtl w:val="true"/>
          <w:lang w:bidi="fa-IR"/>
        </w:rPr>
        <w:t>می تواند منابعش را بهتر از آن چه در آلبوم های عکس قدیمی نگهداری می کرده، سازمان دهی و حفاظت کند، به ویژه اگر نیازمند انتقال و استفاده از یک وسیله و ابزار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ها منحصراً در مورد این مشکل مورد خطاب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دارای ابزار و مهارت های جمع آوری سازماندهی و آماده سازی منابع به نحوی که موجب ارزش افزوده آن ها نسبت به زمانی که به صورت نامنظم در وب هستند،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برخواسته از فرهنگ استانداردسازی هستیم مهارتی که می تواند در ارتباط به هر دو جنبه هم فرصت و هم معضل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کاربران می توانند به خلق محتوا بپردازند و به راحتی ارتباط متقابل برقرار کنند و این لزوماً بدان معنی نیست که ما منابع بیشتری برای جمع آوری داریم بلکه بدان معناست که ما فرصت های بیشتری داریم از کاربران مجموعه در این امر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فناوری موانع استفاده را از بین می برد و کاربران احساس می کنند که خصوصی تر ارتباط برقرار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کار گردآوری، حفاظت و نگهداری مجموعه به پایان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المپرت،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مجموعه ها به جای این که در زمان انجماد و توقف یابند، زنده و پویا خواهند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بحرانی برای کتاب خانه ها و آرشیوها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امور فرهنگی دو دیدگاه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نگهداری از منابع برای آینده و دسترس پذیر ساختن آن ها برای کاربران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هالند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فراداده های ایجاد شده توسط کاربران در جامعه آرشیوی بیشتر </w:t>
      </w:r>
      <w:bookmarkStart w:id="603" w:name="pg9659_94051"/>
    </w:p>
    <w:p>
      <w:pPr>
        <w:pStyle w:val="BookText"/>
        <w:rPr/>
      </w:pPr>
      <w:bookmarkEnd w:id="603"/>
      <w:r>
        <w:rPr>
          <w:rFonts w:ascii="IRNazanin" w:hAnsi="IRNazanin" w:eastAsia="IRNazanin"/>
          <w:color w:val="111111"/>
          <w:sz w:val="28"/>
          <w:sz w:val="28"/>
          <w:szCs w:val="28"/>
          <w:rtl w:val="true"/>
          <w:lang w:bidi="fa-IR"/>
        </w:rPr>
        <w:t>پذیرفته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گورز السکی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برای مورد اولی با افزایش میزان منابع و محتوا افزایش می یابد، همان طور که نیروی بالقوه برای مورد دومی با افزایش فناوری فراداده هایی که توسط کاربران افزوده شده، افزایش می یابد</w:t>
      </w:r>
      <w:r>
        <w:rPr>
          <w:rFonts w:eastAsia="IRNazanin" w:cs="IRNazanin"/>
          <w:color w:val="111111"/>
          <w:sz w:val="28"/>
          <w:szCs w:val="28"/>
          <w:rtl w:val="true"/>
          <w:lang w:bidi="fa-IR"/>
        </w:rPr>
        <w:t>.</w:t>
      </w:r>
    </w:p>
    <w:p>
      <w:pPr>
        <w:pStyle w:val="Heading3"/>
        <w:numPr>
          <w:ilvl w:val="2"/>
          <w:numId w:val="1"/>
        </w:numPr>
        <w:rPr/>
      </w:pPr>
      <w:bookmarkStart w:id="604" w:name="__RefHeading___Toc7825649_2870459653"/>
      <w:bookmarkStart w:id="605" w:name="_Toc219"/>
      <w:bookmarkEnd w:id="604"/>
      <w:r>
        <w:rPr>
          <w:rtl w:val="true"/>
        </w:rPr>
        <w:t>آمادگی برای بهره برداری غنی</w:t>
      </w:r>
      <w:bookmarkEnd w:id="605"/>
    </w:p>
    <w:p>
      <w:pPr>
        <w:pStyle w:val="BookText"/>
        <w:rPr/>
      </w:pPr>
      <w:r>
        <w:rPr>
          <w:rFonts w:ascii="IRNazanin" w:hAnsi="IRNazanin" w:eastAsia="IRNazanin"/>
          <w:color w:val="111111"/>
          <w:sz w:val="28"/>
          <w:sz w:val="28"/>
          <w:szCs w:val="28"/>
          <w:rtl w:val="true"/>
          <w:lang w:bidi="fa-IR"/>
        </w:rPr>
        <w:t>شاید سخت ترین سؤال این باشد که از کجا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چه منابعی را در حال حاضر جمع آوری می کند و تمرکز مجموعه روی چه منابعی است؟ و از میان انبوه منابع موجود در اینترنت چگونه می توان اطلاعات را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فکر کنید بر حسب آن چه می خواهید ایجاد کنید، این مسئله بهتر قابل مدیریت است اگر منابع شما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کتاب خانه شما منابعی را در زمینه سیاست محلی گردآوری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پوسترهای انتخاباتی، عکس های گردهمایی 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برای شروع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خدمات موجود برای محتوای ایجاد شده می تواند در شناسایی و تشخیص صاحبان محتوا و موادی که به صورت موضوعی سازمان دهی شده اند کمک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مجموعه های رقومی الگویی که گروه فلیکر </w:t>
      </w:r>
      <w:r>
        <w:rPr>
          <w:rStyle w:val="FootnoteAnchor"/>
          <w:rtl w:val="true"/>
        </w:rPr>
        <w:footnoteReference w:id="751"/>
      </w:r>
      <w:r>
        <w:rPr>
          <w:rFonts w:ascii="IRNazanin" w:hAnsi="IRNazanin" w:eastAsia="IRNazanin"/>
          <w:color w:val="111111"/>
          <w:sz w:val="28"/>
          <w:sz w:val="28"/>
          <w:szCs w:val="28"/>
          <w:rtl w:val="true"/>
          <w:lang w:bidi="fa-IR"/>
        </w:rPr>
        <w:t xml:space="preserve">استفاده می کند را مورد آزمایش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w:t>
      </w:r>
      <w:r>
        <w:rPr>
          <w:rFonts w:eastAsia="IRNazanin" w:cs="IRNazanin"/>
          <w:color w:val="111111"/>
          <w:sz w:val="28"/>
          <w:szCs w:val="28"/>
          <w:rtl w:val="true"/>
          <w:lang w:bidi="fa-IR"/>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فلیکر و به اشتراک گذاشتن عکس مشابه و آرشیو خدمات نقطه ی شروع خوبی است به این دلیل که اعضا می توانند از مجموعه عکس ها، آلبوم ها و گروه ها برای مقایسه و تطبیق محتوا که بر اساس محل و موضوع است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موجود نیز این شانس را به شما می دهد که بهترین روشی که کتابداران انجام می دهند را انجام دهید روشی را یاد بگیرید که یک نظام سازمان یافته می تواند جستجو و دستیابی شما را به حداکثر ممکن ارتقا 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اگر شما برای موارد شخصی جستجو می کنید، به ویژه اگر در تلاش هستید که منابع و موادی را از وقایع جاری به دست آورید، شما می توانید روش های شبکه های اجتماعی را بکار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روند عضویت در توییتر </w:t>
      </w:r>
      <w:r>
        <w:rPr>
          <w:rStyle w:val="FootnoteAnchor"/>
          <w:rtl w:val="true"/>
        </w:rPr>
        <w:footnoteReference w:id="753"/>
      </w:r>
      <w:r>
        <w:rPr>
          <w:rFonts w:ascii="IRNazanin" w:hAnsi="IRNazanin" w:eastAsia="IRNazanin"/>
          <w:color w:val="111111"/>
          <w:sz w:val="28"/>
          <w:sz w:val="28"/>
          <w:szCs w:val="28"/>
          <w:rtl w:val="true"/>
          <w:lang w:bidi="fa-IR"/>
        </w:rPr>
        <w:t>می تواند دریافتن محتوای مناسب جامعه مخاطبین مناسب برای موضوعی که شما در تلاش برای گردآوری آن هستید، راه حل کلیدی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به مجموعه های تفصیلی علاقه و تمایل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استیویلیا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ممکن است جستجوی دسته ای از منابع مناسب </w:t>
      </w:r>
      <w:bookmarkStart w:id="606" w:name="pg9659_94052"/>
    </w:p>
    <w:p>
      <w:pPr>
        <w:pStyle w:val="BookText"/>
        <w:rPr/>
      </w:pPr>
      <w:bookmarkEnd w:id="606"/>
      <w:r>
        <w:rPr>
          <w:rFonts w:ascii="IRNazanin" w:hAnsi="IRNazanin" w:eastAsia="IRNazanin"/>
          <w:color w:val="111111"/>
          <w:sz w:val="28"/>
          <w:sz w:val="28"/>
          <w:szCs w:val="28"/>
          <w:rtl w:val="true"/>
          <w:lang w:bidi="fa-IR"/>
        </w:rPr>
        <w:t>به جای تلاش در عدم پوشش یک منبع با ارزش در یک زمان، مؤثرتر و کارآمدتر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شما در مرحله بهره برداری هستید می بایست سنجیده تر و در عین حال منعطف تر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لمپرت،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فناوری به سرعت روبه رشد و ظهور است، شما باید قادر به پاسخگویی روش های جدیدی باشید که در آینده ایجاد و توزیع متون و منابع را به آسانی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شما از مسیرهای ثابت و موجود برای انتخاب منابع استفاده می کردید، اما باید بتوانید راهبرد و اسپاری مجموعه فعال و پویا را توسعه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این منظور این است که بدانید گردآورندگان و خالقان محتوا و متون کجا هستند و سپس قادر خواهید بود مسیرهایی را برای حضور آن ها در مجموعه تان ایجاد کنید</w:t>
      </w:r>
      <w:r>
        <w:rPr>
          <w:rFonts w:eastAsia="IRNazanin" w:cs="IRNazanin"/>
          <w:color w:val="111111"/>
          <w:sz w:val="28"/>
          <w:szCs w:val="28"/>
          <w:rtl w:val="true"/>
          <w:lang w:bidi="fa-IR"/>
        </w:rPr>
        <w:t>.</w:t>
      </w:r>
    </w:p>
    <w:p>
      <w:pPr>
        <w:pStyle w:val="Heading3"/>
        <w:numPr>
          <w:ilvl w:val="2"/>
          <w:numId w:val="1"/>
        </w:numPr>
        <w:rPr/>
      </w:pPr>
      <w:bookmarkStart w:id="607" w:name="__RefHeading___Toc7825651_2870459653"/>
      <w:bookmarkStart w:id="608" w:name="_Toc220"/>
      <w:bookmarkEnd w:id="607"/>
      <w:r>
        <w:rPr>
          <w:rtl w:val="true"/>
        </w:rPr>
        <w:t>حقوق</w:t>
      </w:r>
      <w:bookmarkEnd w:id="608"/>
    </w:p>
    <w:p>
      <w:pPr>
        <w:pStyle w:val="BookText"/>
        <w:rPr/>
      </w:pPr>
      <w:r>
        <w:rPr>
          <w:rFonts w:ascii="IRNazanin" w:hAnsi="IRNazanin" w:eastAsia="IRNazanin"/>
          <w:color w:val="111111"/>
          <w:sz w:val="28"/>
          <w:sz w:val="28"/>
          <w:szCs w:val="28"/>
          <w:rtl w:val="true"/>
          <w:lang w:bidi="fa-IR"/>
        </w:rPr>
        <w:t>پیش تر شما بدنه ی منابعی را که قصد داشتید گردآوری کنید را شناسایی می کردید ولی این که بتوانید به لحاظ قانونی آن ها را به دست آورید منوط به رعایت حقوق مالکیت معنوی آثار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 تواند بسیار وقت گیر باشد و بازده و نتیجه ی مطلوبی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حق مالکیت به تنهایی می تواند دلیل خوبی برای 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قوانین حق مؤلف دلیل خوبی است برای هدف قرار دادن خدماتی که در آینده به وجود خواهد آمد و اطلاعات حقوقی را برای شما به نمایش درآورد و به ویژه جایی که گواهی نامه عمومی خلق محتوا مورد توجه و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در وقت شما صرفه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لازم است که به این مسئله توجه کنید که موسسه شما با چه سطحی برای استفاده و به کارگیری مجدد راحت تر است برای مثال آیا شما فقط می خواهید منابع را که مجوز دسترسی بیشتری دارند را گردآوری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نامه اختیار که به هر شخصی اجازه می دهد که محتوا را تغییر بدهد یا مجدداً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ترجیح می دهید که منابعی را که اجازه هیچ گونه تغییری در آن ها نیست را گردآوری کنید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راهنما برای آن چه کتاب خانه یا موسسه ی شما قادر به انجام آن خواهد بود؛ به عبارت دیگر چه میزان نظارت بر گردآوری منابعی که قصد افزودن به مجموعه تان دارید،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طور فکر می کنید که احتمالاً منابعی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صرفه جویی در وقت مستقیماً با نویسنده تماس بگیرید برای درخواست اجازه از لحاظ حقوقی و در عین حال برنامه و طرحی برای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شما می بایست یک فرم مشخص با قالب و زبان استاندارد داشته باشد و البته شما می توانید در صورت لزوم آن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زمانی که صرف دریافت مجوز می کنید می بایست نسبت به مسئله موضوع برای مجموعه تان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ساده و عمومی </w:t>
      </w:r>
      <w:bookmarkStart w:id="609" w:name="pg9659_94053"/>
    </w:p>
    <w:p>
      <w:pPr>
        <w:pStyle w:val="BookText"/>
        <w:rPr/>
      </w:pPr>
      <w:bookmarkEnd w:id="609"/>
      <w:r>
        <w:rPr>
          <w:rFonts w:ascii="IRNazanin" w:hAnsi="IRNazanin" w:eastAsia="IRNazanin"/>
          <w:color w:val="111111"/>
          <w:sz w:val="28"/>
          <w:sz w:val="28"/>
          <w:szCs w:val="28"/>
          <w:rtl w:val="true"/>
          <w:lang w:bidi="fa-IR"/>
        </w:rPr>
        <w:t>که سالانه است نیاز به صرف وقت به همان میزانی که در مرتبه اول صرف شده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محتوا و اثری اجازه صادر نکرد، احتمالاً برای تعدادی محتوای مشابه دیگر هم همین اتفاق می افتد</w:t>
      </w:r>
      <w:r>
        <w:rPr>
          <w:rFonts w:eastAsia="IRNazanin" w:cs="IRNazanin"/>
          <w:color w:val="111111"/>
          <w:sz w:val="28"/>
          <w:szCs w:val="28"/>
          <w:rtl w:val="true"/>
          <w:lang w:bidi="fa-IR"/>
        </w:rPr>
        <w:t>.</w:t>
      </w:r>
    </w:p>
    <w:p>
      <w:pPr>
        <w:pStyle w:val="Heading3"/>
        <w:numPr>
          <w:ilvl w:val="2"/>
          <w:numId w:val="1"/>
        </w:numPr>
        <w:rPr/>
      </w:pPr>
      <w:bookmarkStart w:id="610" w:name="__RefHeading___Toc7825653_2870459653"/>
      <w:bookmarkStart w:id="611" w:name="_Toc221"/>
      <w:bookmarkEnd w:id="610"/>
      <w:r>
        <w:rPr>
          <w:rtl w:val="true"/>
        </w:rPr>
        <w:t>واسپاری و تحویل</w:t>
      </w:r>
      <w:bookmarkEnd w:id="611"/>
    </w:p>
    <w:p>
      <w:pPr>
        <w:pStyle w:val="BookText"/>
        <w:rPr/>
      </w:pPr>
      <w:r>
        <w:rPr>
          <w:rFonts w:ascii="IRNazanin" w:hAnsi="IRNazanin" w:eastAsia="IRNazanin"/>
          <w:color w:val="111111"/>
          <w:sz w:val="28"/>
          <w:sz w:val="28"/>
          <w:szCs w:val="28"/>
          <w:rtl w:val="true"/>
          <w:lang w:bidi="fa-IR"/>
        </w:rPr>
        <w:t>لازم است که در مورد چگونگی ذخیره ی مواد و منابع تصمیم گیری کنید که این امر خود با انتخاب منابع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گردآوری و حفاظت منابع و انتخاب نظامی که شامل دانش فنی شما در مدیریت و حفاظت منابع است می بایست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میزان که فراداده ها در جستجو برای انتخاب منابع با اهمیت اند، انتخاب نظامی برای اخذ این فراداده ها نیز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نظام می بایست هماهنگ و متناسب با منابعی که در آن مجموعه تحت مدیریت شماست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ممکن است شما بتوانید تعداد زیادی از مجموعه هایی که ایجاد می کنید را توسط خالقان آثار و تحت نظارت و کنترل خودتان ایجاد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اُمِکا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گاه دسترسی آزاد که هر کسی بدون داشتن مهارت فنی خاص می تواند محتوایی را که خلق کرده به اشتراک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دهد خالقان آثار و محتوا به آسانی مجموعه های رقومی را با حمایت نسبتاً اندکی بر روی وب گاه برای نمایش عموم به اشتراک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توانید گروه هایی را با مشاوره و پیشنهاد ایجاد کنید که بنابراین آن ها قادر خواهند بود خودشان مجموعه ای برخط ایجاد کنند که سطح پیچیده تری از رسانه ها و شبکه های اجتماعی دارند</w:t>
      </w:r>
      <w:r>
        <w:rPr>
          <w:rFonts w:eastAsia="IRNazanin" w:cs="IRNazanin"/>
          <w:color w:val="111111"/>
          <w:sz w:val="28"/>
          <w:szCs w:val="28"/>
          <w:rtl w:val="true"/>
          <w:lang w:bidi="fa-IR"/>
        </w:rPr>
        <w:t>.</w:t>
      </w:r>
    </w:p>
    <w:p>
      <w:pPr>
        <w:pStyle w:val="Heading3"/>
        <w:numPr>
          <w:ilvl w:val="2"/>
          <w:numId w:val="1"/>
        </w:numPr>
        <w:rPr/>
      </w:pPr>
      <w:bookmarkStart w:id="612" w:name="__RefHeading___Toc7825655_2870459653"/>
      <w:bookmarkStart w:id="613" w:name="_Toc222"/>
      <w:bookmarkEnd w:id="612"/>
      <w:r>
        <w:rPr>
          <w:rtl w:val="true"/>
        </w:rPr>
        <w:t>فراداده های توصیفی</w:t>
      </w:r>
      <w:bookmarkEnd w:id="613"/>
    </w:p>
    <w:p>
      <w:pPr>
        <w:pStyle w:val="BookText"/>
        <w:rPr/>
      </w:pPr>
      <w:r>
        <w:rPr>
          <w:rFonts w:ascii="IRNazanin" w:hAnsi="IRNazanin" w:eastAsia="IRNazanin"/>
          <w:color w:val="111111"/>
          <w:sz w:val="28"/>
          <w:sz w:val="28"/>
          <w:szCs w:val="28"/>
          <w:rtl w:val="true"/>
          <w:lang w:bidi="fa-IR"/>
        </w:rPr>
        <w:t>منابع تهیه شده در بردارنده ی فراداده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شما می خواهید موسسه یا کتاب خانه ی خود را مطابق استانداردها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 و ارزش های حرفه ای ما برای حمایت متداوم سازمان و یافتن همه آن چه که به کار برده شده، است؛ اما با فراداده هایی که به صورت عینی وارد مجموعه می شوند چه باید کرد؟</w:t>
      </w:r>
    </w:p>
    <w:p>
      <w:pPr>
        <w:pStyle w:val="BookText"/>
        <w:rPr/>
      </w:pPr>
      <w:r>
        <w:rPr>
          <w:rFonts w:ascii="IRNazanin" w:hAnsi="IRNazanin" w:eastAsia="IRNazanin"/>
          <w:color w:val="111111"/>
          <w:sz w:val="28"/>
          <w:sz w:val="28"/>
          <w:szCs w:val="28"/>
          <w:rtl w:val="true"/>
          <w:lang w:bidi="fa-IR"/>
        </w:rPr>
        <w:t xml:space="preserve">فراداده های فنی ممکن است توسط ماشین ایجاد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هایی که مستقیماً توسط دوربین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توصیف بیشتر حالت موضوعی و شخصی داشته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 محتوا ممکن است تصویری همراه با عباراتی یا کلماتی برچسب گذاری یا طبقه بندی کند </w:t>
      </w:r>
      <w:bookmarkStart w:id="614" w:name="pg9659_94054"/>
    </w:p>
    <w:p>
      <w:pPr>
        <w:pStyle w:val="BookText"/>
        <w:rPr/>
      </w:pPr>
      <w:bookmarkEnd w:id="614"/>
      <w:r>
        <w:rPr>
          <w:rFonts w:ascii="IRNazanin" w:hAnsi="IRNazanin" w:eastAsia="IRNazanin"/>
          <w:color w:val="111111"/>
          <w:sz w:val="28"/>
          <w:sz w:val="28"/>
          <w:szCs w:val="28"/>
          <w:rtl w:val="true"/>
          <w:lang w:bidi="fa-IR"/>
        </w:rPr>
        <w:t>که قضاوت با ارزش یا دیدگاهی موضوعی نسبت به واقعه یا شی عینی در تصویر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موضوعی چه میزان از محتوا را تشکیل می دهد؟ آیا کتاب خانه یا آرشیو محتوایی را مورد استفاده قرار می دهد که دارای مسئولیت معنوی برای حفظ این دیدگاه است؟ و آیا به همان میزان مسئولیت برای تهیه ی فراداده ای عینی و تحلیل آن دارد؟ اگر چنان چه دیدگاه عینی مخالف خالقان محتوا و اثر باشد موارد اخلاقی چه هستند؟ نکته ای که دیدگاه توسط خالق اثر به وجود می آورد ممکن است ارزش کاوش را برای اطلاعات عینی افزوده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ی برچسب گذاری و قرار دادن کلید واژه بر متونی که فراداده های موجود در آن توسط کاربران مجزا نشده، زمانی مشخص می شود که محتوا نمایه سازی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طور مثال کاربر می داند که کی، کجا و چه کسی در یک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هم چنین به شما این امکان را می دهد که اگر شما تصاویری از خیابان اصلی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تصاویری از واقعه سیاسی جاری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یادداشت های کاربران ممکن است در رابطه با عقاید و دیدگاه های خالقان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ها مرسوم است که در مورد فراداده ها بی طرف باشیم اما نگهداری محتوا و متون موضوعی ممکن است دارای ارزش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جدید متون ثابت می تواند برگرفته از تاریخ باشد؛ بنابراین خط مشی وضع شده بر چگونگی مدیریت فراداده ها مورد انتقاد است قبل از این که شروع به جمع آوری کنید و نقشی در اهداف مجموعه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خاطر داشته باشید خالق اثر ممکن نیست بخواهد که اثرش تغییر کند و احتمالاً آن را جزء مدارکش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بالقوه پیشنهادهای فراوانی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محتوا و منابع جزئی در یک ویدیو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چسب گذاران ممکن است پیوندهای عمیقی را در لحظات خاص در یک ویدیو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ممکن است در سطحی مجزا از هم شرح داده شوند که کتاب داران منابعی برای ایجاد آن ها ندارند</w:t>
      </w:r>
      <w:r>
        <w:rPr>
          <w:rFonts w:eastAsia="IRNazanin" w:cs="IRNazanin"/>
          <w:color w:val="111111"/>
          <w:sz w:val="28"/>
          <w:szCs w:val="28"/>
          <w:rtl w:val="true"/>
          <w:lang w:bidi="fa-IR"/>
        </w:rPr>
        <w:t>.</w:t>
      </w:r>
    </w:p>
    <w:p>
      <w:pPr>
        <w:pStyle w:val="Heading3"/>
        <w:numPr>
          <w:ilvl w:val="2"/>
          <w:numId w:val="1"/>
        </w:numPr>
        <w:rPr/>
      </w:pPr>
      <w:bookmarkStart w:id="615" w:name="__RefHeading___Toc7825657_2870459653"/>
      <w:bookmarkStart w:id="616" w:name="_Toc223"/>
      <w:bookmarkEnd w:id="615"/>
      <w:r>
        <w:rPr>
          <w:rtl w:val="true"/>
        </w:rPr>
        <w:t xml:space="preserve">دوام و پایداری </w:t>
      </w:r>
      <w:r>
        <w:rPr>
          <w:rtl w:val="true"/>
        </w:rPr>
        <w:t>(</w:t>
      </w:r>
      <w:r>
        <w:rPr>
          <w:rtl w:val="true"/>
        </w:rPr>
        <w:t>مجموعه</w:t>
      </w:r>
      <w:r>
        <w:rPr>
          <w:rtl w:val="true"/>
        </w:rPr>
        <w:t>)</w:t>
      </w:r>
      <w:bookmarkEnd w:id="61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پس از این که منابع را شناسایی کردید، مسائل حقوقی را حل نمودید، در صورت لزوم با نویسنده تماس برقرار کردید و در نظام خود مرحله ی جمع آوری را انجام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بایست چه کنید؟ لازم است که این مسئله که مسئولیت شما در قبال حفاظت و نگهداری دائمی این محتوا یا منبع، یا برخی مسؤولیت هایی که بر دوش خالق اثر است را مورد توجه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سؤالات کلیشه ای در </w:t>
      </w:r>
      <w:bookmarkStart w:id="617" w:name="pg9659_94055"/>
    </w:p>
    <w:p>
      <w:pPr>
        <w:pStyle w:val="BookText"/>
        <w:rPr/>
      </w:pPr>
      <w:bookmarkEnd w:id="617"/>
      <w:r>
        <w:rPr>
          <w:rFonts w:ascii="IRNazanin" w:hAnsi="IRNazanin" w:eastAsia="IRNazanin"/>
          <w:color w:val="111111"/>
          <w:sz w:val="28"/>
          <w:sz w:val="28"/>
          <w:szCs w:val="28"/>
          <w:rtl w:val="true"/>
          <w:lang w:bidi="fa-IR"/>
        </w:rPr>
        <w:t>مورد گسترش مجموعه پیش می آید که آیا به همان شکل اولیه محتوا، بکار رود یا رویکرد جدیدی مورد نیاز است؟</w:t>
      </w:r>
    </w:p>
    <w:p>
      <w:pPr>
        <w:pStyle w:val="BookText"/>
        <w:rPr/>
      </w:pPr>
      <w:r>
        <w:rPr>
          <w:rFonts w:ascii="IRNazanin" w:hAnsi="IRNazanin" w:eastAsia="IRNazanin"/>
          <w:color w:val="111111"/>
          <w:sz w:val="28"/>
          <w:sz w:val="28"/>
          <w:szCs w:val="28"/>
          <w:rtl w:val="true"/>
          <w:lang w:bidi="fa-IR"/>
        </w:rPr>
        <w:t>شیوه هایی که برای جمع آوری به کار برده اید را قبل از شروع تعریف نمایید، این امر در پاسخگویی به سؤال فوق شما را یاری و راهنمایی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داشته باشید که اگر چنان چه اشکال مختلف متنوعی را گردآوری کنید ممکن است نیاز داشته باشید جهت نگهداری و حفاظت منابع درباره ی ایجاد نرم افزارهایی با قابلیت خواندن این اشکال، اطلاعات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این است که منابع منتخب را برای افزایش دوام آن ها به شکل استاندارد تبدیل کرد، گرچه ممکن است این کار باعث آسیب رساندن به ماده ی اصلی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و بازیابی منابع از طریق خدمات موجود به بسیاری از استانداردها برای اندازه و شکل پوشه کمک می کند؛ به عبارت دیگر در این مرحله است که می توانید از خدماتی که خالقان محتوا انجام دادند بهره جویید</w:t>
      </w:r>
      <w:r>
        <w:rPr>
          <w:rFonts w:eastAsia="IRNazanin" w:cs="IRNazanin"/>
          <w:color w:val="111111"/>
          <w:sz w:val="28"/>
          <w:szCs w:val="28"/>
          <w:rtl w:val="true"/>
          <w:lang w:bidi="fa-IR"/>
        </w:rPr>
        <w:t>.</w:t>
      </w:r>
    </w:p>
    <w:p>
      <w:pPr>
        <w:pStyle w:val="Heading3"/>
        <w:numPr>
          <w:ilvl w:val="2"/>
          <w:numId w:val="1"/>
        </w:numPr>
        <w:rPr/>
      </w:pPr>
      <w:bookmarkStart w:id="618" w:name="__RefHeading___Toc7825659_2870459653"/>
      <w:bookmarkStart w:id="619" w:name="_Toc224"/>
      <w:bookmarkEnd w:id="618"/>
      <w:r>
        <w:rPr>
          <w:rtl w:val="true"/>
        </w:rPr>
        <w:t>سیاه هی مقابله برای جمع آوری منابع</w:t>
      </w:r>
      <w:bookmarkEnd w:id="619"/>
    </w:p>
    <w:p>
      <w:pPr>
        <w:pStyle w:val="BookText"/>
        <w:rPr/>
      </w:pPr>
      <w:r>
        <w:rPr>
          <w:rFonts w:ascii="IRNazanin" w:hAnsi="IRNazanin" w:eastAsia="IRNazanin"/>
          <w:color w:val="111111"/>
          <w:sz w:val="28"/>
          <w:sz w:val="28"/>
          <w:szCs w:val="28"/>
          <w:rtl w:val="true"/>
          <w:lang w:bidi="fa-IR"/>
        </w:rPr>
        <w:t>این سیاهه وارسی و مقابله وسیله ای است که به شما ایده هایی ارائه می دهد جهت راهنمایی و ارائه دستورالعملی بنیادی و اصولی به منظور ایجاد مجموعه ای موفق از منابع و فراداده هایی که توسط کاربران ایجاد شده است</w:t>
      </w:r>
      <w:r>
        <w:rPr>
          <w:rFonts w:eastAsia="IRNazanin" w:cs="IRNazanin"/>
          <w:color w:val="111111"/>
          <w:sz w:val="28"/>
          <w:szCs w:val="28"/>
          <w:rtl w:val="true"/>
          <w:lang w:bidi="fa-IR"/>
        </w:rPr>
        <w:t>.</w:t>
      </w:r>
    </w:p>
    <w:p>
      <w:pPr>
        <w:pStyle w:val="Heading3"/>
        <w:numPr>
          <w:ilvl w:val="2"/>
          <w:numId w:val="1"/>
        </w:numPr>
        <w:rPr/>
      </w:pPr>
      <w:bookmarkStart w:id="620" w:name="__RefHeading___Toc7825661_2870459653"/>
      <w:bookmarkStart w:id="621" w:name="_Toc225"/>
      <w:bookmarkEnd w:id="620"/>
      <w:r>
        <w:rPr>
          <w:rtl w:val="true"/>
        </w:rPr>
        <w:t>گزینش داده ها از وب گاه های مختلف و قرار دادن در وب گاه مرکزی جهت نمایه سازی</w:t>
      </w:r>
      <w:bookmarkEnd w:id="621"/>
    </w:p>
    <w:p>
      <w:pPr>
        <w:pStyle w:val="BookText"/>
        <w:rPr/>
      </w:pPr>
      <w:r>
        <w:rPr>
          <w:rFonts w:ascii="IRNazanin" w:hAnsi="IRNazanin" w:eastAsia="IRNazanin"/>
          <w:color w:val="111111"/>
          <w:sz w:val="28"/>
          <w:sz w:val="28"/>
          <w:szCs w:val="28"/>
          <w:rtl w:val="true"/>
          <w:lang w:bidi="fa-IR"/>
        </w:rPr>
        <w:t>انتخاب موضوعات یا رویدادها جهت بررسی و کاوش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 هدف قرار دادن وب گاه های منابع دسترسی آزاد و شبکه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 مورد فرم و اشکال منابع انتخابی</w:t>
      </w:r>
      <w:r>
        <w:rPr>
          <w:rFonts w:eastAsia="IRNazanin" w:cs="IRNazanin"/>
          <w:color w:val="111111"/>
          <w:sz w:val="28"/>
          <w:szCs w:val="28"/>
          <w:rtl w:val="true"/>
          <w:lang w:bidi="fa-IR"/>
        </w:rPr>
        <w:t>.</w:t>
      </w:r>
    </w:p>
    <w:p>
      <w:pPr>
        <w:pStyle w:val="Heading3"/>
        <w:numPr>
          <w:ilvl w:val="2"/>
          <w:numId w:val="1"/>
        </w:numPr>
        <w:rPr/>
      </w:pPr>
      <w:bookmarkStart w:id="622" w:name="__RefHeading___Toc7825663_2870459653"/>
      <w:bookmarkStart w:id="623" w:name="_Toc226"/>
      <w:bookmarkEnd w:id="622"/>
      <w:r>
        <w:rPr>
          <w:rtl w:val="true"/>
        </w:rPr>
        <w:t>واسپاری</w:t>
      </w:r>
      <w:bookmarkEnd w:id="623"/>
    </w:p>
    <w:p>
      <w:pPr>
        <w:pStyle w:val="BookText"/>
        <w:rPr/>
      </w:pPr>
      <w:r>
        <w:rPr>
          <w:rFonts w:ascii="IRNazanin" w:hAnsi="IRNazanin" w:eastAsia="IRNazanin"/>
          <w:color w:val="111111"/>
          <w:sz w:val="28"/>
          <w:sz w:val="28"/>
          <w:szCs w:val="28"/>
          <w:rtl w:val="true"/>
          <w:lang w:bidi="fa-IR"/>
        </w:rPr>
        <w:t>انتخاب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قابلیت ها و محدودیت های نظام منتخب</w:t>
      </w:r>
      <w:r>
        <w:rPr>
          <w:rFonts w:eastAsia="IRNazanin" w:cs="IRNazanin"/>
          <w:color w:val="111111"/>
          <w:sz w:val="28"/>
          <w:szCs w:val="28"/>
          <w:rtl w:val="true"/>
          <w:lang w:bidi="fa-IR"/>
        </w:rPr>
        <w:t>.</w:t>
      </w:r>
    </w:p>
    <w:p>
      <w:pPr>
        <w:pStyle w:val="Heading3"/>
        <w:numPr>
          <w:ilvl w:val="2"/>
          <w:numId w:val="1"/>
        </w:numPr>
        <w:rPr/>
      </w:pPr>
      <w:bookmarkStart w:id="624" w:name="__RefHeading___Toc7825665_2870459653"/>
      <w:bookmarkStart w:id="625" w:name="_Toc227"/>
      <w:bookmarkEnd w:id="624"/>
      <w:r>
        <w:rPr>
          <w:rtl w:val="true"/>
        </w:rPr>
        <w:t>سوالات حقوقی</w:t>
      </w:r>
      <w:bookmarkEnd w:id="62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گیری در مورد شروط و محدودیت های حقوقی که توان مدیریت آن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 مورد ادامه ی تماس با نویسنده یا عدم تماس به دلیل صراحت حقوق</w:t>
      </w:r>
      <w:r>
        <w:rPr>
          <w:rFonts w:eastAsia="IRNazanin" w:cs="IRNazanin"/>
          <w:color w:val="111111"/>
          <w:sz w:val="28"/>
          <w:szCs w:val="28"/>
          <w:rtl w:val="true"/>
          <w:lang w:bidi="fa-IR"/>
        </w:rPr>
        <w:t xml:space="preserve">. </w:t>
      </w:r>
      <w:bookmarkStart w:id="626" w:name="pg9659_94056"/>
    </w:p>
    <w:p>
      <w:pPr>
        <w:pStyle w:val="Heading3"/>
        <w:numPr>
          <w:ilvl w:val="2"/>
          <w:numId w:val="1"/>
        </w:numPr>
        <w:rPr/>
      </w:pPr>
      <w:bookmarkStart w:id="627" w:name="__RefHeading___Toc7825667_2870459653"/>
      <w:bookmarkStart w:id="628" w:name="_Toc228"/>
      <w:bookmarkEnd w:id="626"/>
      <w:bookmarkEnd w:id="627"/>
      <w:r>
        <w:rPr>
          <w:rtl w:val="true"/>
        </w:rPr>
        <w:t>فراداده</w:t>
      </w:r>
      <w:bookmarkEnd w:id="628"/>
    </w:p>
    <w:p>
      <w:pPr>
        <w:pStyle w:val="BookText"/>
        <w:rPr/>
      </w:pPr>
      <w:r>
        <w:rPr>
          <w:rFonts w:ascii="IRNazanin" w:hAnsi="IRNazanin" w:eastAsia="IRNazanin"/>
          <w:color w:val="111111"/>
          <w:sz w:val="28"/>
          <w:sz w:val="28"/>
          <w:szCs w:val="28"/>
          <w:rtl w:val="true"/>
          <w:lang w:bidi="fa-IR"/>
        </w:rPr>
        <w:t>تعریف فراداده هایی که برای هر منبع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که چه منابع و روش هایی برای ویرایش و افزودن فراداده ها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خط مشی ویرایش برای فراداده هایی که توسط کاربران ایجاد شده است</w:t>
      </w:r>
      <w:r>
        <w:rPr>
          <w:rFonts w:eastAsia="IRNazanin" w:cs="IRNazanin"/>
          <w:color w:val="111111"/>
          <w:sz w:val="28"/>
          <w:szCs w:val="28"/>
          <w:rtl w:val="true"/>
          <w:lang w:bidi="fa-IR"/>
        </w:rPr>
        <w:t>.</w:t>
      </w:r>
    </w:p>
    <w:p>
      <w:pPr>
        <w:pStyle w:val="Heading3"/>
        <w:numPr>
          <w:ilvl w:val="2"/>
          <w:numId w:val="1"/>
        </w:numPr>
        <w:rPr/>
      </w:pPr>
      <w:bookmarkStart w:id="629" w:name="__RefHeading___Toc7825669_2870459653"/>
      <w:bookmarkStart w:id="630" w:name="_Toc229"/>
      <w:bookmarkEnd w:id="629"/>
      <w:r>
        <w:rPr>
          <w:rtl w:val="true"/>
        </w:rPr>
        <w:t>تعهد</w:t>
      </w:r>
      <w:bookmarkEnd w:id="630"/>
    </w:p>
    <w:p>
      <w:pPr>
        <w:pStyle w:val="BookText"/>
        <w:rPr/>
      </w:pPr>
      <w:r>
        <w:rPr>
          <w:rFonts w:ascii="IRNazanin" w:hAnsi="IRNazanin" w:eastAsia="IRNazanin"/>
          <w:color w:val="111111"/>
          <w:sz w:val="28"/>
          <w:sz w:val="28"/>
          <w:szCs w:val="28"/>
          <w:rtl w:val="true"/>
          <w:lang w:bidi="fa-IR"/>
        </w:rPr>
        <w:t>تصمیم گیری در مورد یک قسمت یا فردی بر روی وب گاه جهت افزودن نشانه ها و پیوندها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در مورد ویرایش نظراتی که کاربران بر روی وب گاه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متن استاندارد برای کاربرانی که نظراتشان را قرار می دهند جهت امضای حقوقی به منظور کاربرد و ویرایش آن چه به اشتراک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داده های کاربردی</w:t>
      </w:r>
      <w:r>
        <w:rPr>
          <w:rFonts w:eastAsia="IRNazanin" w:cs="IRNazanin"/>
          <w:color w:val="111111"/>
          <w:sz w:val="28"/>
          <w:szCs w:val="28"/>
          <w:rtl w:val="true"/>
          <w:lang w:bidi="fa-IR"/>
        </w:rPr>
        <w:t>.</w:t>
      </w:r>
    </w:p>
    <w:p>
      <w:pPr>
        <w:pStyle w:val="Heading2"/>
        <w:numPr>
          <w:ilvl w:val="1"/>
          <w:numId w:val="1"/>
        </w:numPr>
        <w:rPr/>
      </w:pPr>
      <w:bookmarkStart w:id="631" w:name="__RefHeading___Toc7825671_2870459653"/>
      <w:bookmarkStart w:id="632" w:name="_Toc230"/>
      <w:bookmarkEnd w:id="631"/>
      <w:r>
        <w:rPr>
          <w:rtl w:val="true"/>
        </w:rPr>
        <w:t>نتیجه</w:t>
      </w:r>
      <w:bookmarkEnd w:id="632"/>
    </w:p>
    <w:p>
      <w:pPr>
        <w:pStyle w:val="Heading3"/>
        <w:numPr>
          <w:ilvl w:val="2"/>
          <w:numId w:val="1"/>
        </w:numPr>
        <w:rPr/>
      </w:pPr>
      <w:bookmarkStart w:id="633" w:name="__RefHeading___Toc7825673_2870459653"/>
      <w:bookmarkStart w:id="634" w:name="_Toc231"/>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برای استفاده ی فراداده ها به عنوان درگاهی برای ایجاد مجموعه های کامل تر و به روز و پویا امکانات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 و آرشیوها می توانند متون جدیدی را برای مجموعه شان فراهم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و دخالت کاربران هرگز مانند گذشته نیست و فایدهی آن برای کاربر جاری این است که تقابل خود را با آرشیو جهت ثبت تاریخ و تحقیقات آینده برای دسترسی به ثبت آنی وقایع،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کاربرانی را انتخاب کرده و برای محققان پیشینه های غنی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فراداده ها تنها متعلق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کتابداران و آرشیویست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امروزه اکثر کاربران نیز توانایی ایجاد فراداده دارند و این امکان را به ما می دهند که با کمک آن ها پیشینه های بهتری را جهت استفاده ایجاد کنیم</w:t>
      </w:r>
      <w:r>
        <w:rPr>
          <w:rFonts w:eastAsia="IRNazanin" w:cs="IRNazanin"/>
          <w:color w:val="111111"/>
          <w:sz w:val="28"/>
          <w:szCs w:val="28"/>
          <w:rtl w:val="true"/>
          <w:lang w:bidi="fa-IR"/>
        </w:rPr>
        <w:t>.</w:t>
      </w:r>
    </w:p>
    <w:p>
      <w:pPr>
        <w:pStyle w:val="Heading3"/>
        <w:numPr>
          <w:ilvl w:val="2"/>
          <w:numId w:val="1"/>
        </w:numPr>
        <w:rPr/>
      </w:pPr>
      <w:bookmarkStart w:id="635" w:name="__RefHeading___Toc7825675_2870459653"/>
      <w:bookmarkStart w:id="636" w:name="_Toc232"/>
      <w:bookmarkEnd w:id="635"/>
      <w:r>
        <w:rPr>
          <w:rtl w:val="true"/>
        </w:rPr>
        <w:t>منابع</w:t>
      </w:r>
      <w:bookmarkEnd w:id="63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Bullen, Andrew. "The 'Long Tale': Using Web 2.0 Concepts to Enhance Digital Collections." Computer in Libraries [Online], 28.9 (2008): 31-35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Web. 27 Apr. 2014</w:t>
      </w:r>
    </w:p>
    <w:p>
      <w:pPr>
        <w:pStyle w:val="BookText"/>
        <w:rPr/>
      </w:pPr>
      <w:r>
        <w:rPr>
          <w:rFonts w:eastAsia="Times New Roman" w:cs="Times New Roman" w:ascii="Times New Roman" w:hAnsi="Times New Roman"/>
          <w:color w:val="111111"/>
          <w:sz w:val="28"/>
          <w:szCs w:val="28"/>
          <w:lang w:val="en-US" w:bidi="en-US"/>
        </w:rPr>
        <w:t>Gorzalski, Matt. "Examining User-Created Description in the Archival Profession." Journal</w:t>
      </w:r>
    </w:p>
    <w:p>
      <w:pPr>
        <w:pStyle w:val="BookText"/>
        <w:rPr/>
      </w:pPr>
      <w:r>
        <w:rPr>
          <w:rFonts w:eastAsia="Times New Roman" w:cs="Times New Roman" w:ascii="Times New Roman" w:hAnsi="Times New Roman"/>
          <w:color w:val="111111"/>
          <w:sz w:val="28"/>
          <w:szCs w:val="28"/>
          <w:lang w:val="en-US" w:bidi="en-US"/>
        </w:rPr>
        <w:t>of Archival Organization [Online] 11.1-2 (2013): 1-22. Web. 27 April 2014</w:t>
      </w:r>
    </w:p>
    <w:p>
      <w:pPr>
        <w:pStyle w:val="BookText"/>
        <w:rPr/>
      </w:pPr>
      <w:r>
        <w:rPr>
          <w:rFonts w:eastAsia="Times New Roman" w:cs="Times New Roman" w:ascii="Times New Roman" w:hAnsi="Times New Roman"/>
          <w:color w:val="111111"/>
          <w:sz w:val="28"/>
          <w:szCs w:val="28"/>
          <w:lang w:val="en-US" w:bidi="en-US"/>
        </w:rPr>
        <w:t>Jett, Jacob, Megan Senseney, &amp; Carole L. Palmer. "A Model for Providing Web 2.0 Servicesto Cultural Heritage Institutions: The IMLS DCC Flickr Feasibility Study." D-Lib Magazine[Online], 19.5/6 (2013). web. 27 Apr. 2014</w:t>
      </w:r>
    </w:p>
    <w:p>
      <w:pPr>
        <w:pStyle w:val="BookText"/>
        <w:rPr/>
      </w:pPr>
      <w:r>
        <w:rPr>
          <w:rFonts w:eastAsia="Times New Roman" w:cs="Times New Roman" w:ascii="Times New Roman" w:hAnsi="Times New Roman"/>
          <w:color w:val="111111"/>
          <w:sz w:val="28"/>
          <w:szCs w:val="28"/>
          <w:lang w:val="en-US" w:bidi="en-US"/>
        </w:rPr>
        <w:t>Lampert, Cory, &amp; Su Kim Chung. "Strategic Planning for Sustaining User-Generated Contentin Digital Collections." Journal of Library Innovation [Online], 2.2 (2011): 74-93. Web. 27Apr. 2014</w:t>
      </w:r>
    </w:p>
    <w:p>
      <w:pPr>
        <w:pStyle w:val="BookText"/>
        <w:rPr/>
      </w:pPr>
      <w:r>
        <w:rPr>
          <w:rFonts w:eastAsia="Times New Roman" w:cs="Times New Roman" w:ascii="Times New Roman" w:hAnsi="Times New Roman"/>
          <w:color w:val="111111"/>
          <w:sz w:val="28"/>
          <w:szCs w:val="28"/>
          <w:lang w:val="en-US" w:bidi="en-US"/>
        </w:rPr>
        <w:t>Madden, Amy, Ian Ruthven, &amp; David McMenemy. "A classification scheme for content analyses of YouTube video comments." Journal of Documentation [Online], 69.5(2013):.693-714. Web. 27 Apr. 2014</w:t>
      </w:r>
    </w:p>
    <w:p>
      <w:pPr>
        <w:pStyle w:val="BookText"/>
        <w:rPr/>
      </w:pPr>
      <w:r>
        <w:rPr>
          <w:rFonts w:eastAsia="Times New Roman" w:cs="Times New Roman" w:ascii="Times New Roman" w:hAnsi="Times New Roman"/>
          <w:color w:val="111111"/>
          <w:sz w:val="28"/>
          <w:szCs w:val="28"/>
          <w:lang w:val="en-US" w:bidi="en-US"/>
        </w:rPr>
        <w:t>Stvilia, Besiki &amp; Corinne Jörgensen. "User-generated collection level metadata in an onlinephoto-sharing system." Library &amp; Information Science Research [Online], 31.1 (2009): 54-65. Web. 27 Apr. 2014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Van Hooland, Seth, Eva Mendez Rodriguez &amp; Isabelle Boydens. "Between Commodificationand Engagement: On the Double-Edged Impact of user-Generated Metadata within the Cultural Heritage Sector." Library Trends [Online], 59.4 (2011): 707-720. Web. 27 Apr. 2014</w:t>
      </w:r>
      <w:r>
        <w:rPr>
          <w:rFonts w:eastAsia="Times New Roman" w:cs="Times New Roman" w:ascii="Times New Roman" w:hAnsi="Times New Roman"/>
          <w:color w:val="111111"/>
          <w:sz w:val="28"/>
          <w:szCs w:val="28"/>
          <w:rtl w:val="true"/>
          <w:lang w:val="en-US" w:bidi="en-US"/>
        </w:rPr>
        <w:t xml:space="preserve"> </w:t>
      </w:r>
      <w:bookmarkStart w:id="637" w:name="pg9659_94058"/>
    </w:p>
    <w:p>
      <w:pPr>
        <w:pStyle w:val="Heading2"/>
        <w:numPr>
          <w:ilvl w:val="1"/>
          <w:numId w:val="1"/>
        </w:numPr>
        <w:rPr/>
      </w:pPr>
      <w:bookmarkStart w:id="638" w:name="__RefHeading___Toc7825677_2870459653"/>
      <w:bookmarkStart w:id="639" w:name="_Toc233"/>
      <w:bookmarkEnd w:id="637"/>
      <w:bookmarkEnd w:id="638"/>
      <w:r>
        <w:rPr>
          <w:rtl w:val="true"/>
        </w:rPr>
        <w:t>چکیده</w:t>
      </w:r>
      <w:bookmarkEnd w:id="639"/>
    </w:p>
    <w:p>
      <w:pPr>
        <w:pStyle w:val="BookText"/>
        <w:rPr/>
      </w:pPr>
      <w:r>
        <w:rPr>
          <w:rFonts w:ascii="IRNazanin" w:hAnsi="IRNazanin" w:eastAsia="IRNazanin"/>
          <w:color w:val="111111"/>
          <w:sz w:val="28"/>
          <w:sz w:val="28"/>
          <w:szCs w:val="28"/>
          <w:rtl w:val="true"/>
          <w:lang w:bidi="fa-IR"/>
        </w:rPr>
        <w:t>تغییر و تحولاتی در میزان توجه و اهمیت به کتاب خانه های مدارس در کشور سوئد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زمان طولانی در قانون کتاب خانه </w:t>
      </w:r>
      <w:r>
        <w:rPr>
          <w:rStyle w:val="FootnoteAnchor"/>
          <w:rtl w:val="true"/>
        </w:rPr>
        <w:footnoteReference w:id="758"/>
      </w:r>
      <w:r>
        <w:rPr>
          <w:rFonts w:ascii="IRNazanin" w:hAnsi="IRNazanin" w:eastAsia="IRNazanin"/>
          <w:color w:val="111111"/>
          <w:sz w:val="28"/>
          <w:sz w:val="28"/>
          <w:szCs w:val="28"/>
          <w:rtl w:val="true"/>
          <w:lang w:bidi="fa-IR"/>
        </w:rPr>
        <w:t>از آن ها نام برده شده است؛ اما اجباری در این زمینه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سهامداران برجسته در طول دهه پیش تلاش هایی در جهت تغییر قانون گذاری 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آموزش سوئد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دسترسی به کتاب خانه های مدارس را در تمام انواع مدارس اجباری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های حامیان و مدافعان سبب شکل گیری این تغییرات در قانون گذاری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ضرورت حمایت ها برای ارائه تعریفی برای توسعه ها و اصلاحات قوانین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آموزش می تواند مبنایی برای بررسی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متعدد در مدافعان و حامیان در دستور جلسه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شبکه در این جا برجسته به نظر می رسد، شاید از نظر ساختاری متفاوت و بی نظیر باشد، در حالی که سهامداران به ایجاد توسعه در کتاب خانه های مدارس تمایل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کتاب خانه ملی مدارس </w:t>
      </w:r>
      <w:r>
        <w:rPr>
          <w:rStyle w:val="FootnoteAnchor"/>
          <w:rtl w:val="true"/>
        </w:rPr>
        <w:footnoteReference w:id="759"/>
      </w:r>
      <w:r>
        <w:rPr>
          <w:rFonts w:ascii="IRNazanin" w:hAnsi="IRNazanin" w:eastAsia="IRNazanin"/>
          <w:color w:val="111111"/>
          <w:sz w:val="28"/>
          <w:sz w:val="28"/>
          <w:szCs w:val="28"/>
          <w:rtl w:val="true"/>
          <w:lang w:bidi="fa-IR"/>
        </w:rPr>
        <w:t xml:space="preserve">، تأسیس شده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و گروه لابی کتاب خانه برگزیده سال مدرسه سوئد را انتخاب می کنند، بروشورها را چاپ می کنند، فراهمایی ها را ساماندهی می کنند و گروه مرجع خوبی برای سیاست ها و قوانین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تشکیل می شود تعدادی از این غیر دولتی ها </w:t>
      </w:r>
      <w:r>
        <w:rPr>
          <w:rStyle w:val="FootnoteAnchor"/>
          <w:rtl w:val="true"/>
        </w:rPr>
        <w:footnoteReference w:id="760"/>
      </w:r>
      <w:r>
        <w:rPr>
          <w:rFonts w:ascii="IRNazanin" w:hAnsi="IRNazanin" w:eastAsia="IRNazanin"/>
          <w:color w:val="111111"/>
          <w:sz w:val="28"/>
          <w:sz w:val="28"/>
          <w:szCs w:val="28"/>
          <w:rtl w:val="true"/>
          <w:lang w:bidi="fa-IR"/>
        </w:rPr>
        <w:t>، اتحادیه های اصناف، انجمن های منطقه ای و انجمن کتاب خانه سوئد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سازمان های دولتی و اخیراً کتاب خانه ملی در این جا آورده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بازرسان مدارس کشور کنترل استانداردهای مدارس را به عهده دارند و این به نوبه خود نقشی مهم در اجرای قوانین جدید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در حال حاضر در سوئد به برخی مدارس اجازه تأسیس کتاب خانه به دلیل نداشتن برنامه های مناسب برای کتاب خانه ها در مدارس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ملی آموزش و پرورش سوئد </w:t>
      </w:r>
      <w:r>
        <w:rPr>
          <w:rStyle w:val="FootnoteAnchor"/>
          <w:rtl w:val="true"/>
        </w:rPr>
        <w:footnoteReference w:id="761"/>
      </w:r>
      <w:r>
        <w:rPr>
          <w:rFonts w:ascii="IRNazanin" w:hAnsi="IRNazanin" w:eastAsia="IRNazanin"/>
          <w:color w:val="111111"/>
          <w:sz w:val="28"/>
          <w:sz w:val="28"/>
          <w:szCs w:val="28"/>
          <w:rtl w:val="true"/>
          <w:lang w:bidi="fa-IR"/>
        </w:rPr>
        <w:t>و بسیاری از ذینفعان دیگر در برنامه توسعه کتاب خانه ها فعالیت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در تلاش برای برنامه ریزی مناسب برای کتابداران و مدرسان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کنندگان شهرداری یا منطقه ای کتاب خانه های مدارس تلاش در جهت بالا بردن کیفیت کتاب خانه های مدارس دارند و از این اقدام حمایت و پشتیبانی می نمایند حال باید مسئولیت تأمین و برآورده ساختن نیازها و ضروریات قوانین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گیریم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های مدارس، قانون گذاری، مدافعه، ذینفعان، سوئد </w:t>
      </w:r>
      <w:bookmarkStart w:id="640" w:name="pg9659_94059"/>
    </w:p>
    <w:p>
      <w:pPr>
        <w:pStyle w:val="Heading2"/>
        <w:numPr>
          <w:ilvl w:val="1"/>
          <w:numId w:val="1"/>
        </w:numPr>
        <w:rPr/>
      </w:pPr>
      <w:bookmarkStart w:id="641" w:name="__RefHeading___Toc7825679_2870459653"/>
      <w:bookmarkStart w:id="642" w:name="_Toc234"/>
      <w:bookmarkEnd w:id="640"/>
      <w:bookmarkEnd w:id="641"/>
      <w:r>
        <w:rPr>
          <w:rtl w:val="true"/>
        </w:rPr>
        <w:t>همکاری با هدف قانون گذاری در کتاب خانه مدارس و توسعه کتاب خانه مدارس در کشور سوئد</w:t>
      </w:r>
      <w:bookmarkEnd w:id="642"/>
    </w:p>
    <w:p>
      <w:pPr>
        <w:pStyle w:val="Heading3"/>
        <w:numPr>
          <w:ilvl w:val="2"/>
          <w:numId w:val="1"/>
        </w:numPr>
        <w:rPr/>
      </w:pPr>
      <w:bookmarkStart w:id="643" w:name="__RefHeading___Toc7825681_2870459653"/>
      <w:bookmarkStart w:id="644" w:name="_Toc235"/>
      <w:bookmarkEnd w:id="643"/>
      <w:r>
        <w:rPr>
          <w:rtl w:val="true"/>
        </w:rPr>
        <w:t>اشاره</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همکاری با هدف قانون گذاری در کتاب خانه مدارس و توسعه کتاب خانه مدارس در کشور سوئد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نوشته مود هِل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عارف ریاحی </w:t>
      </w:r>
      <w:r>
        <w:rPr>
          <w:rStyle w:val="FootnoteAnchor"/>
          <w:rtl w:val="true"/>
        </w:rPr>
        <w:footnoteReference w:id="764"/>
      </w:r>
    </w:p>
    <w:p>
      <w:pPr>
        <w:pStyle w:val="Heading3"/>
        <w:numPr>
          <w:ilvl w:val="2"/>
          <w:numId w:val="1"/>
        </w:numPr>
        <w:rPr/>
      </w:pPr>
      <w:bookmarkStart w:id="645" w:name="__RefHeading___Toc7825683_2870459653"/>
      <w:bookmarkStart w:id="646" w:name="_Toc236"/>
      <w:bookmarkEnd w:id="645"/>
      <w:r>
        <w:rPr>
          <w:rtl w:val="true"/>
        </w:rPr>
        <w:t>مقدمه</w:t>
      </w:r>
      <w:bookmarkEnd w:id="64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آموزش سوئد دسترسی دانش آموزان به کتاب خانه های مدارس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مدارس را اجباری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ذینفعان برجسته در دهه گذشته در ایجاد تغییر در قوانین همکاری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مدافعات و طرفداران سبب شکل گیری این نوع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ضرورت مدافعات احساس می شود با این وجود افزایش دانش و آگاهی و ارائه تعریفی برای توسعه ها برای به وجود آوردن آگاهی هوشیاری در میان افراد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قوانین به چه چیز منجر شد؟ کتاب خانه های مدارس بیش از پیش به چشم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متعدد در جریان حقوقی و دعوی ها در صورت کار قرار گرفته اند و هم کاری بین انجمن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در حکومت و قدرت مرکزی و شهرداری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گروه متخصص کار و اعمال نفوذ، هم کاری با مدیریت مدارس و یا هم کاری با کتاب خانه 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نیز در حال اجرا باهدف تغییر متون حقوقی قوانین می باشند تا بتوانند از این طریق دستورال عمل های کارکنان کتاب خانه های مدارس را شامل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مطرح شده در این راستا در مصوبات مجلس حزب های متعدد سیاسی آورده شده است</w:t>
      </w:r>
      <w:r>
        <w:rPr>
          <w:rFonts w:eastAsia="IRNazanin" w:cs="IRNazanin"/>
          <w:color w:val="111111"/>
          <w:sz w:val="28"/>
          <w:szCs w:val="28"/>
          <w:rtl w:val="true"/>
          <w:lang w:bidi="fa-IR"/>
        </w:rPr>
        <w:t xml:space="preserve">. </w:t>
      </w:r>
      <w:bookmarkStart w:id="647" w:name="pg9659_94060"/>
    </w:p>
    <w:p>
      <w:pPr>
        <w:pStyle w:val="Heading3"/>
        <w:numPr>
          <w:ilvl w:val="2"/>
          <w:numId w:val="1"/>
        </w:numPr>
        <w:rPr/>
      </w:pPr>
      <w:bookmarkStart w:id="648" w:name="__RefHeading___Toc7825685_2870459653"/>
      <w:bookmarkStart w:id="649" w:name="_Toc237"/>
      <w:bookmarkEnd w:id="647"/>
      <w:bookmarkEnd w:id="648"/>
      <w:r>
        <w:rPr>
          <w:rtl w:val="true"/>
        </w:rPr>
        <w:t>پیشینه تحقیق</w:t>
      </w:r>
      <w:bookmarkEnd w:id="649"/>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عمومی و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در مدارس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محلی از نظر مالی از کتاب خانه های عمومی و کتاب خانه های مدارس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شهرداری در موضوعات مرتبط با کتاب خانه ها، مدارس اجباری، مقطع دبیرستان و پیش دبستانی تصمیم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مختاری یا خود سازمانی محلی در سوئد از زمان های بسیار دور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محلی نهادهایی مستقل هستند و در محدوده ای خاص در اتخاذ تصمیمات خود از آزادی عمل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سوئد از پایه اول تا نهم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شش ساله در سوئد می توانند به پیش دبستانی بروند اما رفتن به پیش دبستانی برای کودکان اجباری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کتاب خانه در مدارس در سوئد در طول زمان با تغییراتی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زمانی طولانی تنها در قانون کتاب خانه در مورد آنان صحبت می شد اما اجباری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 اطلاعات به دست آمده از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تقریباً نیمی از دانش آموزان در سوئد در مدارس به کتاب خانه ها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اما نه همیشه مدارس دوره متوسطه دسترسی بیشتری به کتاب خانه ها در مقایسه با مدارس ابتدایی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وظایفی جدید به مقامات محلی محول می شود باید به حقوق آن ها در خود مختاری ها و تصمیم گیری های آزادانه شان توجه نشان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زمانی به وجود می آید که مکانی که در آن مقامات محلی داوطلبانه خدماتی را فراهم آورده اند، همانند کتاب خانه ها، به ناگاه قوانینی در مورد آن ها وضع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این قوانین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اغلب قانون گذاری ها با جزئیات آورده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مسؤولین مدارس از مقامات محلی در مورد تصمیم گیری برای چگونگی مخارج و چگونگی اجرا و رعایت قوانین دستور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مدیران و شهرداری های سوئد باید در حال حاضر کتاب خانه های مدارس را مدیریت و سازماندهی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ملی سوئد مسئولیت هماهنگی در حمایت و پشتیبانی از تمام کتاب خانه ها را به عهده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منطقه ای و محلی در بخش کتاب خانه عمومی وجود دارند و این ها باید افراد را به هم کاری با یک دیگر و ایجاد توسعه در طرح هایی همانند ارتقای مطالعه و خواندن، توسعه خدمات کتاب خانه ای برای گروه های سنی متعدد و یادگیری مادام العمر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کتاب خانه می گوید، کتاب خانه های منطقه ای مجبور نخواهند بود کتاب خانه هایی در مدارس به وجود آورند، اما می توانند با کتاب خانه های مدارس در مناطق خود هم 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نمایندگانی در شبکه اِن اِس جی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کتاب خانه مدارس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bookmarkStart w:id="650" w:name="pg9659_94061"/>
    </w:p>
    <w:p>
      <w:pPr>
        <w:pStyle w:val="Heading3"/>
        <w:numPr>
          <w:ilvl w:val="2"/>
          <w:numId w:val="1"/>
        </w:numPr>
        <w:rPr/>
      </w:pPr>
      <w:bookmarkStart w:id="651" w:name="__RefHeading___Toc7825687_2870459653"/>
      <w:bookmarkStart w:id="652" w:name="_Toc238"/>
      <w:bookmarkEnd w:id="650"/>
      <w:bookmarkEnd w:id="651"/>
      <w:r>
        <w:rPr>
          <w:rtl w:val="true"/>
        </w:rPr>
        <w:t>حمایت از قوانین در حال تغییر و تحول</w:t>
      </w:r>
      <w:bookmarkEnd w:id="652"/>
    </w:p>
    <w:p>
      <w:pPr>
        <w:pStyle w:val="BookText"/>
        <w:rPr/>
      </w:pPr>
      <w:r>
        <w:rPr>
          <w:rFonts w:ascii="IRNazanin" w:hAnsi="IRNazanin" w:eastAsia="IRNazanin"/>
          <w:color w:val="111111"/>
          <w:sz w:val="28"/>
          <w:sz w:val="28"/>
          <w:szCs w:val="28"/>
          <w:rtl w:val="true"/>
          <w:lang w:bidi="fa-IR"/>
        </w:rPr>
        <w:t>کتاب خانه خوب در مدرسه باید چه ویژگی هایی داشته باشد؟ از متن قانون آموزش به دلیل ذکر نکردن مجهز شدن با کارمند انتقاد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عدم بررسی برنامه های خوب آموزشی و تخصیص بودجه به کتاب خانه های مدارس در قانون آموزش مهم ترین موضوع قابل بررسی در این 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کتاب خانه های مدارس کتاب دارانی متخصص و حرفه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مدرسان یا یکی از کارکنان مدارس بدون داشتن کوچک ترین مطالعه و اطلاعاتی در مورد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آی ای</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و آموزش در این زمینه مدیریت کتاب خانه های مدارس را، البته برای مدت زمانی بسیار محدود،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مدارس تعدادی از کتابداران آموزگار آموزش کتاب داری دیده اند یا با کتابداران همکاری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دسترسی بیشتر دانش آموزان به کتاب خانه های مجهز با کارکنان خبره و متخصص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سوئد برنام های خاص برای آموزش کتابداران مدارس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برنامه های آموزشی متناسب با کتابداران و مدرسان تدوین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حاضر کتابداران مدارس همان دروس و پیش نیازهای سایر کتابداران را می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یا ارشد مطالعات کتاب خانه ها یا مطالعات انجام شده در مورد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دانشگاه در سوئد دوره هایی کوتاه تر برای افراد علاقه مند به فعالیت در کتاب خانه ها دارند</w:t>
      </w:r>
      <w:r>
        <w:rPr>
          <w:rFonts w:eastAsia="IRNazanin" w:cs="IRNazanin"/>
          <w:color w:val="111111"/>
          <w:sz w:val="28"/>
          <w:szCs w:val="28"/>
          <w:rtl w:val="true"/>
          <w:lang w:bidi="fa-IR"/>
        </w:rPr>
        <w:t>.</w:t>
      </w:r>
    </w:p>
    <w:p>
      <w:pPr>
        <w:pStyle w:val="Heading3"/>
        <w:numPr>
          <w:ilvl w:val="2"/>
          <w:numId w:val="1"/>
        </w:numPr>
        <w:rPr/>
      </w:pPr>
      <w:bookmarkStart w:id="653" w:name="__RefHeading___Toc7825689_2870459653"/>
      <w:bookmarkStart w:id="654" w:name="_Toc239"/>
      <w:bookmarkEnd w:id="653"/>
      <w:r>
        <w:rPr>
          <w:rtl w:val="true"/>
        </w:rPr>
        <w:t>ذینفعان</w:t>
      </w:r>
      <w:bookmarkEnd w:id="654"/>
    </w:p>
    <w:p>
      <w:pPr>
        <w:pStyle w:val="BookText"/>
        <w:rPr/>
      </w:pPr>
      <w:r>
        <w:rPr>
          <w:rFonts w:ascii="IRNazanin" w:hAnsi="IRNazanin" w:eastAsia="IRNazanin"/>
          <w:color w:val="111111"/>
          <w:sz w:val="28"/>
          <w:sz w:val="28"/>
          <w:szCs w:val="28"/>
          <w:rtl w:val="true"/>
          <w:lang w:bidi="fa-IR"/>
        </w:rPr>
        <w:t>در این مقاله قصد دارم به بررسی هم کاری های ذینفعان و انجمن ها در حمایت های مرتبط با توسعه کتاب خانه مدارس و قوانین حاکم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 متعددی به بررسی نیازها و ضرورت های اکثر گروه های ذینفعان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یک شبکه برجسته به نظر می رسد، شاید از نظر ساختاری کاملاً متفاوت و بی نظیر باشد، از ذینفعان علاقه مند به توسعه کتاب خانه در مدارس تشکیل می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کتاب خانه ملی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به شهرداری ها به دلیل کاهش تعداد کتاب خانه ها، اغلب در مدارس،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آموزشی مسئولیت کتاب خانه ها را به مدیر هر مدرسه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مقالات مناظره ای در روزنامه ها نوشتند و کتاب خانه 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گروه ان اس جی گسترش یافت و به گروهی متخصص برای مبارزه و تشویق با توسعه کتاب خانه های مدارس با هدف افزایش علاقه دانش آموزان به مطالعه و بهبود و پیشرفت آن ها تبدیل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امروزه این گروه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عضو دارد، این انجمن ها تلاش می کنند با همکاری با یک دیگر نتایجی بسیار مفید و مؤثر در کتاب خانه های مدارس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 ها ان جی اُ، اتحادیه اصناف، انجمن های منطقه ای و انجمن کتاب خانه سوئد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سازمان های دولتی و اخیراً کتاب خانه ملی سوئد به این تعداد اضافه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 جی مسئولیت آگاه ساختن افسران مسئول و سیاستمداران از نقش و مسئولیت کتاب خانه مدارس در برنامه های آموزشی مدارس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مدیران، مؤسسات تربیت معلم، سازمان های دولتی و سایر ذینفعان گروه های هدف حمایت ان اس جی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کتاب خانه برگزیده سال مدارس در سوئد یکی از وظایف اصلی ان اس 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جایزه از یک اثر هنری و بازدید نویسنده از دانش آموزان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مدرسه جایزه را از آن خود می کند کتاب دار مدرسه اغلب سخنرانی و بازدیدی از سایر مدارس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 جی، همانند بسیاری از اعضایش، بروشورهایی چاپ می کند، سازمان دهی و مدیریت فراهمایی ها را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سالانه در نمایشگاه مدرسه و نمایشگاه کتاب خانه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مرجع برای سیاست ها و قوانین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زمان ملاقات با سیاستمداران و افسران والامقام ملی مرتبط با آموزش یکی دیگر از کارهای ان اس 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در طول سال با وزرای متعدد آموزش و پرورش به صورت تلفنی صحبت می کنند و با سیاستمداران علاقه مند به فرهنگ و کتاب خانه ها قرار ملاقات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 متعدد در ان اس جی در نهایت توانستند به درک درست تر از مسائل مدافعه و حمایت از کتاب خانه های مدارس و شاید به درک درست تر و بهتری از یک دیگر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صحبت با افسران را یاد گرفتند و تأثیراتی نیز بر مسائل مرتبط با کتاب خانه های مدارس داشتند و در مجلس ها و سازمان های آموزشی دولتی در مورد آن صحبت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 جی و انجمن کتاب خانه سوئد با تأسیس قانون جدید آموزش به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اطلاعاتی گسترده ای با هدف شناخته شدن قوانین به تمام مدیران در سوئد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تبلیغات از معیارهای تعیین شده توسط هیئت بازرسان مدارس ملی </w:t>
      </w:r>
      <w:r>
        <w:rPr>
          <w:rStyle w:val="FootnoteAnchor"/>
          <w:rtl w:val="true"/>
        </w:rPr>
        <w:footnoteReference w:id="768"/>
      </w:r>
      <w:r>
        <w:rPr>
          <w:rFonts w:ascii="IRNazanin" w:hAnsi="IRNazanin" w:eastAsia="IRNazanin"/>
          <w:color w:val="111111"/>
          <w:sz w:val="28"/>
          <w:sz w:val="28"/>
          <w:szCs w:val="28"/>
          <w:rtl w:val="true"/>
          <w:lang w:bidi="fa-IR"/>
        </w:rPr>
        <w:t>برای بازرسان خودشان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بازرسان می گوید دانش آموزان باید شرایط و معیارهایی داشته باشند تا بتوانند به کتاب خانه های مدارس دسترسی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آموزان در واحدهای مرتبط در مدرسه به کتاب خانه مدرسه دسترسی دارند، یا با فاصله ای منطقی و قابل قبول از زمان مدارس که امکان استفاده مستمر از کتاب خانه را برای برنامه آموزشی</w:t>
      </w:r>
    </w:p>
    <w:p>
      <w:pPr>
        <w:pStyle w:val="BookText"/>
        <w:rPr/>
      </w:pPr>
      <w:r>
        <w:rPr>
          <w:rFonts w:ascii="IRNazanin" w:hAnsi="IRNazanin" w:eastAsia="IRNazanin"/>
          <w:color w:val="111111"/>
          <w:sz w:val="28"/>
          <w:sz w:val="28"/>
          <w:szCs w:val="28"/>
          <w:rtl w:val="true"/>
          <w:lang w:bidi="fa-IR"/>
        </w:rPr>
        <w:t>دانش آموزان فراهم می آورد تا بتوانند در دستیابی به اهداف مورد نظر مساعدت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خانه شامل کتاب ها، داستانی و غیرداستانی، فناوری اطلاعات و سایر رسانه 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خانه سازگار با نیازها و ضرورت های دانش آموزان از نظر ارتقای توسعه زبان و تشویق به مطالعه و خواندن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شده در یِنسینگِر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دپارتمان عالی آژانس ملی آموزش سوئد </w:t>
      </w:r>
      <w:r>
        <w:rPr>
          <w:rStyle w:val="FootnoteAnchor"/>
          <w:rtl w:val="true"/>
        </w:rPr>
        <w:footnoteReference w:id="770"/>
      </w:r>
      <w:r>
        <w:rPr>
          <w:rFonts w:ascii="IRNazanin" w:hAnsi="IRNazanin" w:eastAsia="IRNazanin"/>
          <w:color w:val="111111"/>
          <w:sz w:val="28"/>
          <w:sz w:val="28"/>
          <w:szCs w:val="28"/>
          <w:rtl w:val="true"/>
          <w:lang w:bidi="fa-IR"/>
        </w:rPr>
        <w:t>با کتاب خانه های مدارس هم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آژانس گروهی مرجع برای مسائل و موضوعات کتاب خانه مدارس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این آژانس مدیریت لیست بحث و گفتگوی کتاب خانه های مدارس را به عهده دارد، مقالات اینترنتی ژورنال آموزنده ای در مورد بهترین اقدامات و رویه های کتاب خانه های مدارس دارد و وب سایتی با نام منبع را چک کن </w:t>
      </w:r>
      <w:r>
        <w:rPr>
          <w:rStyle w:val="FootnoteAnchor"/>
          <w:rtl w:val="true"/>
        </w:rPr>
        <w:footnoteReference w:id="771"/>
      </w:r>
      <w:r>
        <w:rPr>
          <w:rFonts w:ascii="IRNazanin" w:hAnsi="IRNazanin" w:eastAsia="IRNazanin"/>
          <w:color w:val="111111"/>
          <w:sz w:val="28"/>
          <w:sz w:val="28"/>
          <w:szCs w:val="28"/>
          <w:rtl w:val="true"/>
          <w:lang w:bidi="fa-IR"/>
        </w:rPr>
        <w:t>در مورد سواد اطلاعاتی، آگاهی انتقادی، بهره گیری از رسانه های اجتماعی و ابزارهای وب سایتی برای تکلیف روزانه مدرسه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آژانس تعریفی از کتاب خانه مدارس در کتاب چه راهنمای هیئت بازرسان مدارس ملی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به اشتراک گذاشته شده و به خوبی تنظیم شده شامل رسانه ها و اطلاعات در اختیار دانش آموزان و مدرسان با کمک کارکنان متخصص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مدارس بخشی از فعالیت های آموزشی مدارس با مسئولیت حمایت از یادگیری دانش 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مدارس می تواند تا حدودی منبعی مطالعاتی یا به عبارتی بخشی از وسایل کمک آموزشی مدارس و سایر ابزارها در نظر گرفته شود و تا حدودی عمل کردی کمک کننده به ارتقا و توسعه دانش و اطلاعات و با مسئولیت خدماتی معین در نظر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شده در یِنسینگِر،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بازرسان مدارس ملی </w:t>
      </w:r>
      <w:r>
        <w:rPr>
          <w:rStyle w:val="FootnoteAnchor"/>
          <w:rtl w:val="true"/>
        </w:rPr>
        <w:footnoteReference w:id="772"/>
      </w:r>
      <w:r>
        <w:rPr>
          <w:rFonts w:ascii="IRNazanin" w:hAnsi="IRNazanin" w:eastAsia="IRNazanin"/>
          <w:color w:val="111111"/>
          <w:sz w:val="28"/>
          <w:sz w:val="28"/>
          <w:szCs w:val="28"/>
          <w:rtl w:val="true"/>
          <w:lang w:bidi="fa-IR"/>
        </w:rPr>
        <w:t>کنترل استانداردهای مدارس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مهم در اجرای قوانین جدید کتاب خانه مدارس در چارچوب بازرسان، کنترل کیفیت و پردازش برنامه های کاربردی مجوزها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مدارس اجازه فعالیت در این زمینه ندارند زیرا برنامه هایی برای کتاب خانه های مدارس بر اساس قوانین جدید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جدید در سوئد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این قانون به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شکایاتی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حسابرسی در مورد کتاب خانه مدارس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 ها مدارس متوسطه مستقلی بوده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کتاب خانه سوئد، اِس اِل ای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بندی، طرفداری، تولید مواد و تشویق و ترغیب به </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نقشی مهم تحت عنوان گروه فشار دارد و نقشی بسیار فعالانه در ارتقای قوانین کتاب خانه ها و هموار کردن مسیر برای دستیابی به نظام جامع کتاب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گفتگوهایی مستمر با سیاستمداران و سایر تصمیم گیرنده 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اس ال ای شبکه ای برای متخصصان کتاب خانه مدارس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از انجمن با حضور فعال در توسعه اس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موجود در این انجمن جلساتی برای به بحث گذاردن و گفتگو در مورد مسائل جاری بسیار مهم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 ال ای مطالعات و پیش زمینه های سیاست های کتاب خانه های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مشاوران ارشد در کتاب خانه ملی سوئد، باربرو توماس </w:t>
      </w:r>
      <w:r>
        <w:rPr>
          <w:rStyle w:val="FootnoteAnchor"/>
          <w:rtl w:val="true"/>
        </w:rPr>
        <w:footnoteReference w:id="774"/>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این نتیجه دست یافت که از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هایی در مورد ارزش کتاب خانه های مدارس و نقش مهم آنان در آموزش و افزایش میزان علاقه دانش آموزان به مطالعه در سوئد دست یافتند؛ اما انتقاداتی از ضعف های موجود در استانداردهای کتاب خانه های مدارس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مطرح شده برای ایجاد پیشرفت به این موارد اضافه شده است و اغلب نتایجی بسیار ضعیف و کم رنگ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پیشرفت تناسبی با علاقه و اشتیاق در کتاب خانه های مدارس آورده شده در نوشته ها و سخنرانی 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 از طرف دولت به ساخت کتاب خانه های مدارس تخصیص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ها و مدیران می توانستند از بودجه مدارس در دیگر زمینه ها بهره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کسب اطلاعات بیشتر در مورد بودجه مدرسه سوئد به وزارت آموزش و پژوهش رجوع کنید،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در حالی که تأسیس کتاب خانه در مدارس اجباری است زمان آن است همان مدرسه ای را داشته باشیم که قانون آموزش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بتوانیم کتاب خانه هایی معادل در زمانی عقلانی در مدارس داشته باشیم لازم است تلاش بیشتری از خود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باربرو توماس پیشنهادهایی را مطرح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اهدافی کاملاً مشخص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بیانیه کتاب خانه مدارس یونسکو</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محرک هایی احساس می شود، برای مثال از طریق کمک های مالی با اهداف از پیش تعیین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حضور کارکنان به تعداد کافی و با دانش و اطلاعات مؤثر احساس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تلاش های صورت گرفته در جهت آشکار ساختن نقش ها و وظایف کتاب خانه های مدارس مهم ترین وظیفه انجمن کتاب خانه سوئد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افراد بیشتری به اهمیت کتاب خانه ها در </w:t>
      </w:r>
      <w:bookmarkStart w:id="655" w:name="pg9659_94065"/>
    </w:p>
    <w:p>
      <w:pPr>
        <w:pStyle w:val="BookText"/>
        <w:rPr/>
      </w:pPr>
      <w:bookmarkEnd w:id="655"/>
      <w:r>
        <w:rPr>
          <w:rFonts w:ascii="IRNazanin" w:hAnsi="IRNazanin" w:eastAsia="IRNazanin"/>
          <w:color w:val="111111"/>
          <w:sz w:val="28"/>
          <w:sz w:val="28"/>
          <w:szCs w:val="28"/>
          <w:rtl w:val="true"/>
          <w:lang w:bidi="fa-IR"/>
        </w:rPr>
        <w:t>مدارس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حمایت بیشتری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ال ای توانست با همکاری دی آی کی مفهوم کتاب خانه مدرسه در سطح جهانی را گسترش دهند، جایگاهی والا که مدارس می توانند به آن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دی آی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اطلاعات، فرهنگ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اتحادیه اصناف برای فارغ التحصیلان کتاب داری و اطلاع رسانی و سایر متخصصان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در سال های اخیر حضوری فعال تر داشته است هم چنین نقشی بسیار مهم در بحث و مباحثه های کتاب خانه ها و حمایت از کتاب خانه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آی کی برای چندین سال کیفیت را معیار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برگزیده مدرسه در سطح جهانی</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برنده می توانستند علامتی برجسته را در وب سایت خود داشته باشند و رسانه های متعدد آن ها را نشان می دادند، مطبوعات محلی توجهی خاص به این موضوع نشان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پاداش سبب شد توجه تمایلی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عمل کرد در کتاب خانه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و مقالاتی متعدد در این زمینه نوشته شد، حتی گاهی سبب ایجاد حسادت در میان والدین به دلیل نداشتن یک کتاب خانه خوب در مدارس فرزندانشان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مادران که خود عضو کتاب خانه است وبلاگی را شروع کرد و وارد یک گروه فیس بوک شد تا بتواند از این طریق بر شهرداری منطقه اش تأثیر گذارد و بدین گونه اطمینان حاصل شود کتاب خانه هایی در تمام مدارس راه اندازی خواهد شد</w:t>
      </w:r>
      <w:r>
        <w:rPr>
          <w:rFonts w:eastAsia="IRNazanin" w:cs="IRNazanin"/>
          <w:color w:val="111111"/>
          <w:sz w:val="28"/>
          <w:szCs w:val="28"/>
          <w:rtl w:val="true"/>
          <w:lang w:bidi="fa-IR"/>
        </w:rPr>
        <w:t>.</w:t>
      </w:r>
    </w:p>
    <w:p>
      <w:pPr>
        <w:pStyle w:val="Heading3"/>
        <w:numPr>
          <w:ilvl w:val="2"/>
          <w:numId w:val="1"/>
        </w:numPr>
        <w:rPr/>
      </w:pPr>
      <w:bookmarkStart w:id="656" w:name="__RefHeading___Toc7825691_2870459653"/>
      <w:bookmarkStart w:id="657" w:name="_Toc240"/>
      <w:bookmarkEnd w:id="656"/>
      <w:r>
        <w:rPr>
          <w:rtl w:val="true"/>
        </w:rPr>
        <w:t>انتشار طرح های پژوهشی و حرفه ای</w:t>
      </w:r>
      <w:bookmarkEnd w:id="657"/>
    </w:p>
    <w:p>
      <w:pPr>
        <w:pStyle w:val="BookText"/>
        <w:rPr/>
      </w:pPr>
      <w:r>
        <w:rPr>
          <w:rFonts w:ascii="IRNazanin" w:hAnsi="IRNazanin" w:eastAsia="IRNazanin"/>
          <w:color w:val="111111"/>
          <w:sz w:val="28"/>
          <w:sz w:val="28"/>
          <w:szCs w:val="28"/>
          <w:rtl w:val="true"/>
          <w:lang w:bidi="fa-IR"/>
        </w:rPr>
        <w:t xml:space="preserve">هِل بارت و بی بی اریکسون </w:t>
      </w:r>
      <w:r>
        <w:rPr>
          <w:rStyle w:val="FootnoteAnchor"/>
          <w:rtl w:val="true"/>
        </w:rPr>
        <w:footnoteReference w:id="778"/>
      </w:r>
      <w:r>
        <w:rPr>
          <w:rFonts w:ascii="Amiri" w:hAnsi="Amiri" w:eastAsia="Amiri" w:cs="Amiri"/>
          <w:color w:val="111111"/>
          <w:sz w:val="28"/>
          <w:sz w:val="28"/>
          <w:szCs w:val="28"/>
          <w:rtl w:val="true"/>
          <w:lang w:bidi="ar-SA"/>
        </w:rPr>
        <w:t xml:space="preserve">در مقاله آی اِی اِس اِل ایفلا </w:t>
      </w:r>
      <w:r>
        <w:rPr>
          <w:rStyle w:val="FootnoteAnchor"/>
          <w:rtl w:val="true"/>
        </w:rPr>
        <w:footnoteReference w:id="779"/>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دستور حکومت به کتاب خانه های مدارس در سوئد </w:t>
      </w:r>
      <w:r>
        <w:rPr>
          <w:rStyle w:val="FootnoteAnchor"/>
          <w:rtl w:val="true"/>
        </w:rPr>
        <w:footnoteReference w:id="780"/>
      </w:r>
      <w:r>
        <w:rPr>
          <w:rFonts w:ascii="IRNazanin" w:hAnsi="IRNazanin" w:eastAsia="IRNazanin"/>
          <w:color w:val="111111"/>
          <w:sz w:val="28"/>
          <w:sz w:val="28"/>
          <w:szCs w:val="28"/>
          <w:rtl w:val="true"/>
          <w:lang w:bidi="fa-IR"/>
        </w:rPr>
        <w:t>، دیدگاهی جامع در مورد توسعه کتاب خانه مدارس در سوئد علی الخصوص از دیدگاه تعدادی از مطالعات و طرح ها با بودجه دولتی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داشتند پژوهش صورت گرفته توسط دکتر لوئیس لیمبرگ </w:t>
      </w:r>
      <w:r>
        <w:rPr>
          <w:rStyle w:val="FootnoteAnchor"/>
          <w:rtl w:val="true"/>
        </w:rPr>
        <w:footnoteReference w:id="781"/>
      </w:r>
      <w:r>
        <w:rPr>
          <w:rFonts w:ascii="IRNazanin" w:hAnsi="IRNazanin" w:eastAsia="IRNazanin"/>
          <w:color w:val="111111"/>
          <w:sz w:val="28"/>
          <w:sz w:val="28"/>
          <w:szCs w:val="28"/>
          <w:rtl w:val="true"/>
          <w:lang w:bidi="fa-IR"/>
        </w:rPr>
        <w:t>و دیگران سبب شد به درک عمیق تری از نقش کتاب خانه مدارس در توسعه مدارس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اشاره دارد هم کاری بین آموزگاران و کتاب داران دانش آموز مشاهده نشده است هم چنین مدیران در این امر دخالتی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لیمبرگ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جدید کتابداران مدارس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استفاده کاربردی از اطلاعات</w:t>
      </w:r>
      <w:bookmarkStart w:id="658" w:name="pg9659_94066"/>
    </w:p>
    <w:p>
      <w:pPr>
        <w:pStyle w:val="BookText"/>
        <w:rPr/>
      </w:pPr>
      <w:bookmarkEnd w:id="6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منابعی بی شمار برای تکالیف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با آموزگاران برای توسعه آموزش در جهت تجزیه و تحلیل محتوای دانش به جای پرداختن به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چندین متخصص بین المللی، از جمله دکتر کارول کولتاو و دکتر رز تاد </w:t>
      </w:r>
      <w:r>
        <w:rPr>
          <w:rStyle w:val="FootnoteAnchor"/>
          <w:rtl w:val="true"/>
        </w:rPr>
        <w:footnoteReference w:id="782"/>
      </w:r>
      <w:r>
        <w:rPr>
          <w:rFonts w:ascii="IRNazanin" w:hAnsi="IRNazanin" w:eastAsia="IRNazanin"/>
          <w:color w:val="111111"/>
          <w:sz w:val="28"/>
          <w:sz w:val="28"/>
          <w:szCs w:val="28"/>
          <w:rtl w:val="true"/>
          <w:lang w:bidi="fa-IR"/>
        </w:rPr>
        <w:t>، برای صحبت در مورد تجربیات حرفه ای و پژوهشی شان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تأثیری عظیم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پژوهش زمان بر است</w:t>
      </w:r>
      <w:r>
        <w:rPr>
          <w:rFonts w:eastAsia="IRNazanin" w:cs="IRNazanin"/>
          <w:color w:val="111111"/>
          <w:sz w:val="28"/>
          <w:szCs w:val="28"/>
          <w:rtl w:val="true"/>
          <w:lang w:bidi="fa-IR"/>
        </w:rPr>
        <w:t>.</w:t>
      </w:r>
    </w:p>
    <w:p>
      <w:pPr>
        <w:pStyle w:val="Heading3"/>
        <w:numPr>
          <w:ilvl w:val="2"/>
          <w:numId w:val="1"/>
        </w:numPr>
        <w:rPr/>
      </w:pPr>
      <w:bookmarkStart w:id="659" w:name="__RefHeading___Toc7825693_2870459653"/>
      <w:bookmarkStart w:id="660" w:name="_Toc241"/>
      <w:bookmarkEnd w:id="659"/>
      <w:r>
        <w:rPr>
          <w:rtl w:val="true"/>
        </w:rPr>
        <w:t>فراهمایی ها</w:t>
      </w:r>
      <w:bookmarkEnd w:id="660"/>
    </w:p>
    <w:p>
      <w:pPr>
        <w:pStyle w:val="BookText"/>
        <w:rPr/>
      </w:pPr>
      <w:r>
        <w:rPr>
          <w:rFonts w:ascii="IRNazanin" w:hAnsi="IRNazanin" w:eastAsia="IRNazanin"/>
          <w:color w:val="111111"/>
          <w:sz w:val="28"/>
          <w:sz w:val="28"/>
          <w:szCs w:val="28"/>
          <w:rtl w:val="true"/>
          <w:lang w:bidi="fa-IR"/>
        </w:rPr>
        <w:t>دانش و اطلاعات به دست آمده از پژوهش ها و طرح های تخصصی در یک دوره زمانی طولانی در فراهمایی ها در اکثر بخش های سوئد مطرح شدند و حتی امروزه امکان دسترسی به اکثر آن ها در گزارش های نوشته شده و ضبط های رقومی فراهم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می توانند در همکاری با یوآر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انتقال و توزیع آموزش سوئد، هم چنین در حال حاضر یکی از اعضای ان اس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زمانی طولانی در وب سایت ها مشاهده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شیوه ای بسیار مؤثر برای ادامه تحصیل، انتقال در رسانه های اجتماعی از جمله برچسب های در هم برای گزارش های فراهمایی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مدیران و سیاستمداران در فراهمایی های برگزار شده در مورد کتاب خانه های مدارس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بسیار مهم در حمایت از شناخت مزایای دخالت کتاب خانه مدارس در آموزش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رجوع کنید به مقاله ی اخیر نوشته شده توسط یک مدیر در فصل نامه کتاب خانه اسکاندیناوی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یِنسینگِر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سیاستمداران در نهایت منجر به مطرح شدن پیشنهادهایی آگاهانه و قانون جدید آموزش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فراهمایی اخیر در مارس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کتاب خانه مدارس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سخنرانان رئیس انجمن مدیران مدرسه و مسؤولین آموزش سوئد </w:t>
      </w:r>
      <w:r>
        <w:rPr>
          <w:rStyle w:val="FootnoteAnchor"/>
          <w:rtl w:val="true"/>
        </w:rPr>
        <w:footnoteReference w:id="785"/>
      </w:r>
      <w:r>
        <w:rPr>
          <w:rFonts w:ascii="IRNazanin" w:hAnsi="IRNazanin" w:eastAsia="IRNazanin"/>
          <w:color w:val="111111"/>
          <w:sz w:val="28"/>
          <w:sz w:val="28"/>
          <w:szCs w:val="28"/>
          <w:rtl w:val="true"/>
          <w:lang w:bidi="fa-IR"/>
        </w:rPr>
        <w:t>و پیش تر رئیس آموزش مالمو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مجدد حاصل کردن از این که چگونه همکاری مدرسه با کتاب خانه مدرسه سبب افزایش میزان سواد خواندن و نوشتن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تجربیاتش در مورد نابرابری در آموزش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تحت تأثیر مطالعات لوئیس لیمبرگ قرار گرفته است و در واقع وی سبب شد مسائلی را درک کند که پیش تر نمی توانست تعریفی برای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w:t>
      </w:r>
      <w:bookmarkStart w:id="661" w:name="pg9659_94067"/>
    </w:p>
    <w:p>
      <w:pPr>
        <w:pStyle w:val="BookText"/>
        <w:rPr/>
      </w:pPr>
      <w:bookmarkEnd w:id="661"/>
      <w:r>
        <w:rPr>
          <w:rFonts w:ascii="IRNazanin" w:hAnsi="IRNazanin" w:eastAsia="IRNazanin"/>
          <w:color w:val="111111"/>
          <w:sz w:val="28"/>
          <w:sz w:val="28"/>
          <w:szCs w:val="28"/>
          <w:rtl w:val="true"/>
          <w:lang w:bidi="fa-IR"/>
        </w:rPr>
        <w:t xml:space="preserve">گزارش حکومت به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فرهنگ مطالعه </w:t>
      </w:r>
      <w:r>
        <w:rPr>
          <w:rStyle w:val="FootnoteAnchor"/>
          <w:rtl w:val="true"/>
        </w:rPr>
        <w:footnoteReference w:id="786"/>
      </w:r>
      <w:r>
        <w:rPr>
          <w:rFonts w:ascii="IRNazanin" w:hAnsi="IRNazanin" w:eastAsia="IRNazanin"/>
          <w:color w:val="111111"/>
          <w:sz w:val="28"/>
          <w:sz w:val="28"/>
          <w:szCs w:val="28"/>
          <w:rtl w:val="true"/>
          <w:lang w:bidi="fa-IR"/>
        </w:rPr>
        <w:t>، آورده شده است وی می اندیشد کتاب داران مدارس باید مشمول قوانین کتاب خانه های مدارس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تأکید کرد تمام افراد حاضر در مدرسه مسئولیت نتایج پیزا </w:t>
      </w:r>
      <w:r>
        <w:rPr>
          <w:rStyle w:val="FootnoteAnchor"/>
          <w:rtl w:val="true"/>
        </w:rPr>
        <w:footnoteReference w:id="787"/>
      </w:r>
      <w:r>
        <w:rPr>
          <w:rFonts w:ascii="IRNazanin" w:hAnsi="IRNazanin" w:eastAsia="IRNazanin"/>
          <w:color w:val="111111"/>
          <w:sz w:val="28"/>
          <w:sz w:val="28"/>
          <w:szCs w:val="28"/>
          <w:rtl w:val="true"/>
          <w:lang w:bidi="fa-IR"/>
        </w:rPr>
        <w:t xml:space="preserve">، آمار نشان دهنده میزان کاهش در مهارت های مطالعه و درک مطلب در سوئد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باید با یک دیگر هم کاری داشته باشند، بر تجربیات و تخصص های یک دیگر تأثیر گذارند تا از این طریق دانش آموزان دریابند یادگیری امری بسیار ضروری است و فرایندی است که در تمام طول زندگی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مدارس موفق در ارتقای میزان عملکردشان با تمام کارکنان از جمله کتابداران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کتاب خانه مدرسه را برای کسب پاداش کتاب خانه برگزیده مدرسه سال در ان اس جی آماده می کرد به خوبی واقف بود مدارس برنده مدیرانی دارند که کتاب داران و آموزگاران را تشویق و ترغیب می کند و به مهارت های آن ها اطمینان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مدرسه باید فرهنگ مدارس سنتی را به چالش بکشد، با وظایف پیچیده تر نقش آموزشی آن ها را تقویت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کتاب خانه ای و تحقیقات گسترده تر و بیشتر در زمینه آموزش آموزگاران و کتابداران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مدارس باید همانند دیگر حرفه های انفرادی در مدارس توانایی سازمان دهی فعالیت مورد نظر را داشته باشند زیرا نمی توانند در همه جا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منابع مدارس باید با یک دیگر ادغام شوند و تعامل داشته باشند</w:t>
      </w:r>
      <w:r>
        <w:rPr>
          <w:rFonts w:eastAsia="IRNazanin" w:cs="IRNazanin"/>
          <w:color w:val="111111"/>
          <w:sz w:val="28"/>
          <w:szCs w:val="28"/>
          <w:rtl w:val="true"/>
          <w:lang w:bidi="fa-IR"/>
        </w:rPr>
        <w:t>.</w:t>
      </w:r>
    </w:p>
    <w:p>
      <w:pPr>
        <w:pStyle w:val="Heading3"/>
        <w:numPr>
          <w:ilvl w:val="2"/>
          <w:numId w:val="1"/>
        </w:numPr>
        <w:rPr/>
      </w:pPr>
      <w:bookmarkStart w:id="662" w:name="__RefHeading___Toc7825695_2870459653"/>
      <w:bookmarkStart w:id="663" w:name="_Toc242"/>
      <w:bookmarkEnd w:id="662"/>
      <w:r>
        <w:rPr>
          <w:rtl w:val="true"/>
        </w:rPr>
        <w:t>آمار، بخشی از حمایت و مدافعه</w:t>
      </w:r>
      <w:bookmarkEnd w:id="663"/>
    </w:p>
    <w:p>
      <w:pPr>
        <w:pStyle w:val="BookText"/>
        <w:rPr/>
      </w:pPr>
      <w:r>
        <w:rPr>
          <w:rFonts w:ascii="IRNazanin" w:hAnsi="IRNazanin" w:eastAsia="IRNazanin"/>
          <w:color w:val="111111"/>
          <w:sz w:val="28"/>
          <w:sz w:val="28"/>
          <w:szCs w:val="28"/>
          <w:rtl w:val="true"/>
          <w:lang w:bidi="fa-IR"/>
        </w:rPr>
        <w:t>هیئت بازرسان مدارس ملی مطالعه ای بسیار اجمالی و نه شناخته شده در سطح عمومی، با همکاری وزیر آموزش و پرورش آن زمان انجام دادند، تعدادی از مدارس و کتاب خانه های آن مدارس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بسیار تأسف برانگیز و ناراحت کننده بود و سبب شد تعدادی از افراد در کتاب خانه های مدارس در جهان به پا خیزند و نابرابری استانداردها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آمار به دست آمده از کتاب خانه مدارس رسمی بسیار کم بود و آن چنان مفید واقع نشد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بی</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در انجمن هنر مسؤولیت های ایجاد هم کاری، هماهنگی و آمار در کتاب خانه های سرمایه گذاری شده توسط حکومت ها به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بی، برای ایجاد اطمینان از گفتگو در بخش کتاب خانه، تأثیرات کمیته مشاوره و گروه های متخصص را مطرح </w:t>
      </w:r>
      <w:bookmarkStart w:id="664" w:name="pg9659_94068"/>
    </w:p>
    <w:p>
      <w:pPr>
        <w:pStyle w:val="BookText"/>
        <w:rPr/>
      </w:pPr>
      <w:bookmarkEnd w:id="664"/>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مورد ارتقای کیفیت کتاب خانه های مدارس در اولویت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خاص برای بررسی کتاب خانه ای مدارس و گردآوری اطلاعات آماری کتاب خانه ها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 کی بی مقاله ای در مورد کتاب خانه های مدارس سوئد در فصل نامه کتاب خانه اسکاندیناوی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از ایجاد توسعه در کتاب خانه های مدارس مطرح شد هم چنین سایر اعضای بخش کتاب خانه برای مثال تحریر بروشورهایی با توصیه هایی برای هم کاری بین کتاب خانه های عمومی و مدارس بر اهمیت عقد موافقت نامه هایی کاملاً صادقانه و رسمی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کیفیت یکی دیگر از موضوعات مهم مطرح شده در این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مورد چگونگی تأثیر برنامه کتاب خانه های مدارس بر دانش آموزان در رسیدن به اهدافشان در یادگیری</w:t>
      </w:r>
      <w:r>
        <w:rPr>
          <w:rFonts w:eastAsia="IRNazanin" w:cs="IRNazanin"/>
          <w:color w:val="111111"/>
          <w:sz w:val="28"/>
          <w:szCs w:val="28"/>
          <w:rtl w:val="true"/>
          <w:lang w:bidi="fa-IR"/>
        </w:rPr>
        <w:t>.</w:t>
      </w:r>
    </w:p>
    <w:p>
      <w:pPr>
        <w:pStyle w:val="Heading3"/>
        <w:numPr>
          <w:ilvl w:val="2"/>
          <w:numId w:val="1"/>
        </w:numPr>
        <w:rPr/>
      </w:pPr>
      <w:bookmarkStart w:id="665" w:name="__RefHeading___Toc7825697_2870459653"/>
      <w:bookmarkStart w:id="666" w:name="_Toc243"/>
      <w:bookmarkEnd w:id="665"/>
      <w:r>
        <w:rPr>
          <w:rtl w:val="true"/>
        </w:rPr>
        <w:t>همکاری سازماندهی شده توسط مقامات محلی مدارس</w:t>
      </w:r>
      <w:bookmarkEnd w:id="666"/>
    </w:p>
    <w:p>
      <w:pPr>
        <w:pStyle w:val="BookText"/>
        <w:rPr/>
      </w:pPr>
      <w:r>
        <w:rPr>
          <w:rFonts w:ascii="IRNazanin" w:hAnsi="IRNazanin" w:eastAsia="IRNazanin"/>
          <w:color w:val="111111"/>
          <w:sz w:val="28"/>
          <w:sz w:val="28"/>
          <w:szCs w:val="28"/>
          <w:rtl w:val="true"/>
          <w:lang w:bidi="fa-IR"/>
        </w:rPr>
        <w:t xml:space="preserve">تعدادی از شهرداری ها مراکز رسانه ای </w:t>
      </w:r>
      <w:r>
        <w:rPr>
          <w:rStyle w:val="FootnoteAnchor"/>
          <w:rtl w:val="true"/>
        </w:rPr>
        <w:footnoteReference w:id="789"/>
      </w:r>
      <w:r>
        <w:rPr>
          <w:rFonts w:ascii="IRNazanin" w:hAnsi="IRNazanin" w:eastAsia="IRNazanin"/>
          <w:color w:val="111111"/>
          <w:sz w:val="28"/>
          <w:sz w:val="28"/>
          <w:szCs w:val="28"/>
          <w:rtl w:val="true"/>
          <w:lang w:bidi="fa-IR"/>
        </w:rPr>
        <w:t>و کتاب خانه هایی در مدارس دارند، با کتاب خانه های مدارس و مسؤولین مدارس هم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مراکز به بررسی آموزش، توزیع اطلاعات و شیوه های جدید فعالیت، طرح هایی در مورد مطالعه و کتاب خوانی، درک مطلب و هم کاری با کتاب خانه های مدارس، آی سی تی </w:t>
      </w:r>
      <w:r>
        <w:rPr>
          <w:rStyle w:val="FootnoteAnchor"/>
          <w:rtl w:val="true"/>
        </w:rPr>
        <w:footnoteReference w:id="790"/>
      </w:r>
      <w:r>
        <w:rPr>
          <w:rFonts w:ascii="IRNazanin" w:hAnsi="IRNazanin" w:eastAsia="IRNazanin"/>
          <w:color w:val="111111"/>
          <w:sz w:val="28"/>
          <w:sz w:val="28"/>
          <w:szCs w:val="28"/>
          <w:rtl w:val="true"/>
          <w:lang w:bidi="fa-IR"/>
        </w:rPr>
        <w:t>و سواد اطلاعاتی و رسانه ای در تمام مسائل آموزشی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 هایی آموزشی برای تمام افراد علاقه مند به کتاب خانه های مدارس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در مقالات تجزیه و تحلیلی و بسیار مفید به بهترین شیوه برای چگونگی عمل کرد کتاب خانه های مدارس و طرح های توسعه دست یابید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کتاب خانه مدرسه شهرداری لاند از طریق کتاب خانه عمومی لاند هم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شهرداری کوچک تر وَكسجو </w:t>
      </w:r>
      <w:r>
        <w:rPr>
          <w:rStyle w:val="FootnoteAnchor"/>
          <w:rtl w:val="true"/>
        </w:rPr>
        <w:footnoteReference w:id="791"/>
      </w:r>
      <w:r>
        <w:rPr>
          <w:rFonts w:ascii="IRNazanin" w:hAnsi="IRNazanin" w:eastAsia="IRNazanin"/>
          <w:color w:val="111111"/>
          <w:sz w:val="28"/>
          <w:sz w:val="28"/>
          <w:szCs w:val="28"/>
          <w:rtl w:val="true"/>
          <w:lang w:bidi="fa-IR"/>
        </w:rPr>
        <w:t>، دو کتاب دار شاغل در مدرسه به صورت نیمه وقت با کتاب خانه های مدارس همکاری دارند تا حدودی با هم کاری، آموزش و توسعه کتاب خانه مدارس، حمایت از فعالیتشان از طریق وب سایت ها و وبلاگ ها، در جایی که ایده های بهره گیری از آی سی تی و تشویق دانش آموزان به فعالیت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سابق مدرسه در وَکسجو، همان فردی که کتاب خانه های مدارس را بخشی مهم در آموزش و یادگیری معرفی کرد، به شهری دیگر، لینکوپینگ، نقل مکان کرد و در آن جا در نقش مدیر آموزشگاهی دیگر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لینکوپینگ </w:t>
      </w:r>
      <w:r>
        <w:rPr>
          <w:rStyle w:val="FootnoteAnchor"/>
          <w:rtl w:val="true"/>
        </w:rPr>
        <w:footnoteReference w:id="792"/>
      </w:r>
      <w:r>
        <w:rPr>
          <w:rFonts w:ascii="IRNazanin" w:hAnsi="IRNazanin" w:eastAsia="IRNazanin"/>
          <w:color w:val="111111"/>
          <w:sz w:val="28"/>
          <w:sz w:val="28"/>
          <w:szCs w:val="28"/>
          <w:rtl w:val="true"/>
          <w:lang w:bidi="fa-IR"/>
        </w:rPr>
        <w:t>رویکردی کل نگر و طولانی مدت برای توسعه کتاب خانه های مدارس از طریق ایجاد کتاب خانه های کانونی و مرکزی در مدارس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 مدرسه و معلم کتاب خانه در مدارس کتاب خانه کانونی با نقش ها و نگرش هایی </w:t>
      </w:r>
      <w:bookmarkStart w:id="667" w:name="pg9659_94069"/>
    </w:p>
    <w:p>
      <w:pPr>
        <w:pStyle w:val="BookText"/>
        <w:rPr/>
      </w:pPr>
      <w:bookmarkEnd w:id="667"/>
      <w:r>
        <w:rPr>
          <w:rFonts w:ascii="IRNazanin" w:hAnsi="IRNazanin" w:eastAsia="IRNazanin"/>
          <w:color w:val="111111"/>
          <w:sz w:val="28"/>
          <w:sz w:val="28"/>
          <w:szCs w:val="28"/>
          <w:rtl w:val="true"/>
          <w:lang w:bidi="fa-IR"/>
        </w:rPr>
        <w:t>متفاوت با یک دیگر هم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آموزگارانی 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کتاب خانه را به عهده دارند مسئولیت حمایت از برنامه های کتاب خانه را به عهده خواهند داشت و در واقع نمایندگان رسمی کتاب خانه مدرسه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افراد باید دوران آموزشی خاص را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قانون جدید آموزش تصویب شده است ذینفعان مسئولیت پذیر باید فعالیت داشته باشند تا اطمینان حاصل شود ضرورت ها و شروط قوانین را برآورده ساخته اند</w:t>
      </w:r>
      <w:r>
        <w:rPr>
          <w:rFonts w:eastAsia="IRNazanin" w:cs="IRNazanin"/>
          <w:color w:val="111111"/>
          <w:sz w:val="28"/>
          <w:szCs w:val="28"/>
          <w:rtl w:val="true"/>
          <w:lang w:bidi="fa-IR"/>
        </w:rPr>
        <w:t>.</w:t>
      </w:r>
    </w:p>
    <w:p>
      <w:pPr>
        <w:pStyle w:val="Heading3"/>
        <w:numPr>
          <w:ilvl w:val="2"/>
          <w:numId w:val="1"/>
        </w:numPr>
        <w:rPr/>
      </w:pPr>
      <w:bookmarkStart w:id="668" w:name="__RefHeading___Toc7825699_2870459653"/>
      <w:bookmarkStart w:id="669" w:name="_Toc244"/>
      <w:bookmarkEnd w:id="668"/>
      <w:r>
        <w:rPr>
          <w:rtl w:val="true"/>
        </w:rPr>
        <w:t>نکات اصلی حمایت</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آموزشی و سرمایه گذاری ها موضوعاتی بسیار مهم در حمایت می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ذینفعانی که در یک شبکه فعالیت دارند از یک دیگر یاد می گیرند و در واقع شیوه ای مؤثر برای فعالیت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حمایت از سطوح مختلف سیاسی، حکومتی و غیره آگاه باشید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آگاهی و انتقال آمار به دست آمده در کتاب خانه های مدرسه امری بسیار مهم تلقی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ها و فراهمایی ها شیوه هایی برای توزیع و انتقال علم و دانش در مورد کتاب خانه های مدارس می باشند</w:t>
      </w:r>
    </w:p>
    <w:p>
      <w:pPr>
        <w:pStyle w:val="Heading3"/>
        <w:numPr>
          <w:ilvl w:val="2"/>
          <w:numId w:val="1"/>
        </w:numPr>
        <w:rPr/>
      </w:pPr>
      <w:bookmarkStart w:id="670" w:name="__RefHeading___Toc7825701_2870459653"/>
      <w:bookmarkStart w:id="671" w:name="_Toc245"/>
      <w:bookmarkEnd w:id="670"/>
      <w:r>
        <w:rPr>
          <w:rtl w:val="true"/>
        </w:rPr>
        <w:t>منابع</w:t>
      </w:r>
      <w:bookmarkEnd w:id="671"/>
    </w:p>
    <w:p>
      <w:pPr>
        <w:pStyle w:val="BookText"/>
        <w:rPr/>
      </w:pPr>
      <w:r>
        <w:rPr>
          <w:rFonts w:eastAsia="Times New Roman" w:cs="Times New Roman" w:ascii="Times New Roman" w:hAnsi="Times New Roman"/>
          <w:color w:val="111111"/>
          <w:sz w:val="28"/>
          <w:szCs w:val="28"/>
          <w:lang w:val="en-US" w:bidi="en-US"/>
        </w:rPr>
        <w:t>Barrett, H., &amp; Eriksson, B. (2013) A government mandate for school libraries in Sweden Available at http://www.ifla.org/node/7926</w:t>
      </w:r>
    </w:p>
    <w:p>
      <w:pPr>
        <w:pStyle w:val="BookText"/>
        <w:rPr/>
      </w:pPr>
      <w:r>
        <w:rPr>
          <w:rFonts w:eastAsia="Times New Roman" w:cs="Times New Roman" w:ascii="Times New Roman" w:hAnsi="Times New Roman"/>
          <w:color w:val="111111"/>
          <w:sz w:val="28"/>
          <w:szCs w:val="28"/>
          <w:lang w:val="en-US" w:bidi="en-US"/>
        </w:rPr>
        <w:t>Blogs. (2014). e.g. Stockholm: http://pedagogstockholmblogg.se/skolbiblioteksbloggen/and /Malmö: http://webapps2.malmo.se/pedagogmalmo/category/skolbibliotek</w:t>
      </w:r>
    </w:p>
    <w:p>
      <w:pPr>
        <w:pStyle w:val="BookText"/>
        <w:rPr/>
      </w:pPr>
      <w:r>
        <w:rPr>
          <w:rFonts w:eastAsia="Times New Roman" w:cs="Times New Roman" w:ascii="Times New Roman" w:hAnsi="Times New Roman"/>
          <w:color w:val="111111"/>
          <w:sz w:val="28"/>
          <w:szCs w:val="28"/>
          <w:lang w:val="en-US" w:bidi="en-US"/>
        </w:rPr>
        <w:t>Jensinger, Edward. (2014). Headmaster's view of the school library. Scandinavian Library Quarterly, 46(1). Available at http://slq nu/?article-volume-46-no-1-2013-7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Lucassi, Elin. (2013). School libraries a must! Scandinavian Library Quarterly, 46(1). Available at http://slq.nu/?article-volume-46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no-1-2013-9</w:t>
      </w:r>
    </w:p>
    <w:p>
      <w:pPr>
        <w:pStyle w:val="BookText"/>
        <w:rPr/>
      </w:pPr>
      <w:r>
        <w:rPr>
          <w:rFonts w:eastAsia="Times New Roman" w:cs="Times New Roman" w:ascii="Times New Roman" w:hAnsi="Times New Roman"/>
          <w:color w:val="111111"/>
          <w:sz w:val="28"/>
          <w:szCs w:val="28"/>
          <w:lang w:val="en-US" w:bidi="en-US"/>
        </w:rPr>
        <w:t>Ministry of Education and Research. (2008). Funding the Swedish school system. Available at http://www.swedenabroad.com/ SelectImageX/165193/Funding-the-swedish-school-system-080403[1].pdf</w:t>
      </w:r>
    </w:p>
    <w:p>
      <w:pPr>
        <w:pStyle w:val="BookText"/>
        <w:rPr/>
      </w:pPr>
      <w:r>
        <w:rPr>
          <w:rFonts w:eastAsia="Times New Roman" w:cs="Times New Roman" w:ascii="Times New Roman" w:hAnsi="Times New Roman"/>
          <w:color w:val="111111"/>
          <w:sz w:val="28"/>
          <w:szCs w:val="28"/>
          <w:lang w:val="en-US" w:bidi="en-US"/>
        </w:rPr>
        <w:t>Ministry of Finance. (2004). Local authorities. Available at http://www. government.se/sb/d/2102/a/20611</w:t>
      </w:r>
    </w:p>
    <w:p>
      <w:pPr>
        <w:pStyle w:val="BookText"/>
        <w:rPr/>
      </w:pPr>
      <w:r>
        <w:rPr>
          <w:rFonts w:eastAsia="Times New Roman" w:cs="Times New Roman" w:ascii="Times New Roman" w:hAnsi="Times New Roman"/>
          <w:color w:val="111111"/>
          <w:sz w:val="28"/>
          <w:szCs w:val="28"/>
          <w:lang w:val="en-US" w:bidi="en-US"/>
        </w:rPr>
        <w:t>tio available at http://slq.nu/?artcle=volumw-46-no-1-2013-7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 اس ال </w:t>
      </w:r>
      <w:r>
        <w:rPr>
          <w:rFonts w:eastAsia="Times New Roman" w:cs="Times New Roman" w:ascii="Times New Roman" w:hAnsi="Times New Roman"/>
          <w:color w:val="111111"/>
          <w:sz w:val="28"/>
          <w:szCs w:val="28"/>
          <w:lang w:val="en-US" w:bidi="en-US"/>
        </w:rPr>
        <w:t>tion available at http://slq.nu/?article-volume-46-no-1-2013-7</w:t>
      </w:r>
    </w:p>
    <w:p>
      <w:pPr>
        <w:pStyle w:val="BookText"/>
        <w:rPr/>
      </w:pPr>
      <w:r>
        <w:rPr>
          <w:rFonts w:eastAsia="Times New Roman" w:cs="Times New Roman" w:ascii="Times New Roman" w:hAnsi="Times New Roman"/>
          <w:color w:val="111111"/>
          <w:sz w:val="28"/>
          <w:szCs w:val="28"/>
          <w:lang w:val="en-US" w:bidi="en-US"/>
        </w:rPr>
        <w:t>Nationella skolbiblioteksgruppen, website available at http:// skolbiblioteksgruppen.se/kontakt.htm</w:t>
      </w:r>
    </w:p>
    <w:p>
      <w:pPr>
        <w:pStyle w:val="BookText"/>
        <w:rPr/>
      </w:pPr>
      <w:r>
        <w:rPr>
          <w:rFonts w:eastAsia="Times New Roman" w:cs="Times New Roman" w:ascii="Times New Roman" w:hAnsi="Times New Roman"/>
          <w:color w:val="111111"/>
          <w:sz w:val="28"/>
          <w:szCs w:val="28"/>
          <w:lang w:val="en-US" w:bidi="en-US"/>
        </w:rPr>
        <w:t>Nilsson, Matz. (2014). [How to reassure a schoolworking with the school library to enhance literacy?] Conference recording in Swedish Available at http://urplay.se/Produkter/182431-UR-Samtiden-Skolbibliotek-2014-Jamlik-lasutveckling</w:t>
      </w:r>
    </w:p>
    <w:p>
      <w:pPr>
        <w:pStyle w:val="BookText"/>
        <w:rPr/>
      </w:pPr>
      <w:r>
        <w:rPr>
          <w:rFonts w:eastAsia="Times New Roman" w:cs="Times New Roman" w:ascii="Times New Roman" w:hAnsi="Times New Roman"/>
          <w:color w:val="111111"/>
          <w:sz w:val="28"/>
          <w:szCs w:val="28"/>
          <w:lang w:val="en-US" w:bidi="en-US"/>
        </w:rPr>
        <w:t>School library definition. Trane Jtion available at http://slq. nu/?article-volume-46-no-1-2013-7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Swedish Association of School Principals and Directors of Education website. Available at http://www.skolledarna.se/In-English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Thomas, Barbro. (2013). Alla elever ska ha tillgång till ett skolbibliotek–en skolbibliotekspolitisk översikt. Available at http://www biblioteksforeningen.org/wp-content/uploads/2013/05/Webb-Slutversion-SKOLBIBLIOTEK-2013-WEB2.pdf</w:t>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9659_94072"/>
      <w:bookmarkStart w:id="673" w:name="pg9659_94072"/>
      <w:bookmarkEnd w:id="673"/>
    </w:p>
    <w:p>
      <w:pPr>
        <w:pStyle w:val="Heading2"/>
        <w:numPr>
          <w:ilvl w:val="1"/>
          <w:numId w:val="1"/>
        </w:numPr>
        <w:rPr/>
      </w:pPr>
      <w:bookmarkStart w:id="674" w:name="pg9659_94072"/>
      <w:bookmarkStart w:id="675" w:name="__RefHeading___Toc7825703_2870459653"/>
      <w:bookmarkStart w:id="676" w:name="_Toc246"/>
      <w:bookmarkEnd w:id="674"/>
      <w:bookmarkEnd w:id="675"/>
      <w:r>
        <w:rPr>
          <w:rtl w:val="true"/>
        </w:rPr>
        <w:t>چکیده</w:t>
      </w:r>
      <w:r>
        <w:rPr>
          <w:rtl w:val="true"/>
        </w:rPr>
        <w:t>:</w:t>
      </w:r>
      <w:bookmarkEnd w:id="676"/>
    </w:p>
    <w:p>
      <w:pPr>
        <w:pStyle w:val="BookText"/>
        <w:rPr/>
      </w:pPr>
      <w:r>
        <w:rPr>
          <w:rFonts w:ascii="IRNazanin" w:hAnsi="IRNazanin" w:eastAsia="IRNazanin"/>
          <w:color w:val="111111"/>
          <w:sz w:val="28"/>
          <w:sz w:val="28"/>
          <w:szCs w:val="28"/>
          <w:rtl w:val="true"/>
          <w:lang w:bidi="fa-IR"/>
        </w:rPr>
        <w:t>کتاب خانه ها، هر روز به جمع آوری داده برای پاسخ به پرسش ها، ساخت دانش یا حل مشکلات مشتریانشان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فعالیت پژوهشی و یافتن حقایق به سمت حل مسائل سازمانی سوق داده نشود؟ سازمان هایی مانند کتاب خانه ها به گنجینه ای از داده دسترسی و تملک دارند که به وسیله آن می توان به شفاف سازی نیازها و علائق مشتریان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تخمینی از جمعیت خدمت گیر </w:t>
      </w:r>
      <w:r>
        <w:rPr>
          <w:rStyle w:val="FootnoteAnchor"/>
          <w:rtl w:val="true"/>
        </w:rPr>
        <w:footnoteReference w:id="793"/>
      </w:r>
      <w:r>
        <w:rPr>
          <w:rFonts w:ascii="IRNazanin" w:hAnsi="IRNazanin" w:eastAsia="IRNazanin"/>
          <w:color w:val="111111"/>
          <w:sz w:val="28"/>
          <w:sz w:val="28"/>
          <w:szCs w:val="28"/>
          <w:rtl w:val="true"/>
          <w:lang w:bidi="fa-IR"/>
        </w:rPr>
        <w:t xml:space="preserve">بر اساس ناحیه جغرافیایی بازار </w:t>
      </w:r>
      <w:r>
        <w:rPr>
          <w:rStyle w:val="FootnoteAnchor"/>
          <w:rtl w:val="true"/>
        </w:rPr>
        <w:footnoteReference w:id="794"/>
      </w:r>
      <w:r>
        <w:rPr>
          <w:rFonts w:ascii="IRNazanin" w:hAnsi="IRNazanin" w:eastAsia="IRNazanin"/>
          <w:color w:val="111111"/>
          <w:sz w:val="28"/>
          <w:sz w:val="28"/>
          <w:szCs w:val="28"/>
          <w:rtl w:val="true"/>
          <w:lang w:bidi="fa-IR"/>
        </w:rPr>
        <w:t>، مبنای دقیقی برای ایجاد دامنه وسیعی از داده های ارزشمند مشتریان را فراهم می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 جمعیت خدمت گیر، داده ها یارزشمند </w:t>
      </w:r>
      <w:bookmarkStart w:id="677" w:name="pg9659_94073"/>
    </w:p>
    <w:p>
      <w:pPr>
        <w:pStyle w:val="Heading2"/>
        <w:numPr>
          <w:ilvl w:val="1"/>
          <w:numId w:val="1"/>
        </w:numPr>
        <w:rPr/>
      </w:pPr>
      <w:bookmarkStart w:id="678" w:name="__RefHeading___Toc7825705_2870459653"/>
      <w:bookmarkStart w:id="679" w:name="_Toc247"/>
      <w:bookmarkEnd w:id="677"/>
      <w:bookmarkEnd w:id="678"/>
      <w:r>
        <w:rPr>
          <w:rtl w:val="true"/>
        </w:rPr>
        <w:t>استفاده از داده های موجود برای ایجاد داده های جدید به منظور تصمیمات جدید</w:t>
      </w:r>
      <w:bookmarkEnd w:id="679"/>
    </w:p>
    <w:p>
      <w:pPr>
        <w:pStyle w:val="Heading3"/>
        <w:numPr>
          <w:ilvl w:val="2"/>
          <w:numId w:val="1"/>
        </w:numPr>
        <w:rPr/>
      </w:pPr>
      <w:bookmarkStart w:id="680" w:name="__RefHeading___Toc7825707_2870459653"/>
      <w:bookmarkStart w:id="681" w:name="_Toc248"/>
      <w:bookmarkEnd w:id="680"/>
      <w:r>
        <w:rPr>
          <w:rtl w:val="true"/>
        </w:rPr>
        <w:t>اشاره</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داده های موجود برای ایجاد داده های جدید به منظور تصمیمات جدید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نوشته کریستی کونتس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فاطمه زارع زاده </w:t>
      </w:r>
      <w:r>
        <w:rPr>
          <w:rStyle w:val="FootnoteAnchor"/>
          <w:rtl w:val="true"/>
        </w:rPr>
        <w:footnoteReference w:id="797"/>
      </w:r>
    </w:p>
    <w:p>
      <w:pPr>
        <w:pStyle w:val="Heading3"/>
        <w:numPr>
          <w:ilvl w:val="2"/>
          <w:numId w:val="1"/>
        </w:numPr>
        <w:rPr/>
      </w:pPr>
      <w:bookmarkStart w:id="682" w:name="__RefHeading___Toc7825709_2870459653"/>
      <w:bookmarkStart w:id="683" w:name="_Toc249"/>
      <w:bookmarkEnd w:id="682"/>
      <w:r>
        <w:rPr>
          <w:rtl w:val="true"/>
        </w:rPr>
        <w:t>مقدمه</w:t>
      </w:r>
      <w:bookmarkEnd w:id="68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کتاب داران هر روز در حال جمع آوری داده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سازمان دهی و انتخاب داده از هر نوعی برای حل هر نوع مشکلی از مشتریان را به صورت عالی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هوای این روزها باید این مهارت ها را به سمت خودمان تغییر جهت بدهیم تا بتوانیم مدیریت بهتری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کتاب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مؤسسات غیر 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برای موفق بودن و قابل رقابت باقی ماندن نیازمند اطلاعات درباره مشتریانشان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سازمانی که با رقابت مواجه باشد باید مجموعه داده های مشتریانش را در اولویت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مشتریان به مدیران اجازه داشتن یک بازار موفق را می دهد برای مثال تهیه محصول با بهترین قیمت در بهترین مکان با بهترین ارتباطات برای تبلیغ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خصوصیات مشتریان و نیازهای اطلاعاتی ایشان باید هرازگاهی مورد شناسایی قرار بگیرد و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مداوم و پویا برای ایجاد خدمات کتاب خانه ای و تهیه مواد لازم برای نیازهای پیچیده در جوامعی که دائم در حال تغییر هستند ضروری است</w:t>
      </w:r>
      <w:r>
        <w:rPr>
          <w:rFonts w:eastAsia="IRNazanin" w:cs="IRNazanin"/>
          <w:color w:val="111111"/>
          <w:sz w:val="28"/>
          <w:szCs w:val="28"/>
          <w:rtl w:val="true"/>
          <w:lang w:bidi="fa-IR"/>
        </w:rPr>
        <w:t xml:space="preserve">. </w:t>
      </w:r>
      <w:bookmarkStart w:id="684" w:name="pg9659_94074"/>
    </w:p>
    <w:p>
      <w:pPr>
        <w:pStyle w:val="Heading3"/>
        <w:numPr>
          <w:ilvl w:val="2"/>
          <w:numId w:val="1"/>
        </w:numPr>
        <w:rPr/>
      </w:pPr>
      <w:bookmarkStart w:id="685" w:name="__RefHeading___Toc7825711_2870459653"/>
      <w:bookmarkStart w:id="686" w:name="_Toc250"/>
      <w:bookmarkEnd w:id="684"/>
      <w:bookmarkEnd w:id="685"/>
      <w:r>
        <w:rPr>
          <w:rtl w:val="true"/>
        </w:rPr>
        <w:t>فقدان داده ضروری مشتری در اغلب اوقات</w:t>
      </w:r>
      <w:bookmarkEnd w:id="686"/>
    </w:p>
    <w:p>
      <w:pPr>
        <w:pStyle w:val="BookText"/>
        <w:rPr/>
      </w:pPr>
      <w:r>
        <w:rPr>
          <w:rFonts w:ascii="IRNazanin" w:hAnsi="IRNazanin" w:eastAsia="IRNazanin"/>
          <w:color w:val="111111"/>
          <w:sz w:val="28"/>
          <w:sz w:val="28"/>
          <w:szCs w:val="28"/>
          <w:rtl w:val="true"/>
          <w:lang w:bidi="fa-IR"/>
        </w:rPr>
        <w:t xml:space="preserve">با وجود نیاز ضروری، بسیاری از مدیران کتاب خانه آمریکا ممکن است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داده مرتبط مشتری مواجه شوند که به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الزام قانونی برای جمع آوری انواع خاص داده مشتریان است که در نتیجه کارمندان کم تری بدین امر اختصاص داده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متضاد مدارس، خدمات اورژانس و آتش نشانی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میلی ذاتی و سنتی به دلیل مسائل خصوصی مشتریان؛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آموزش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خصوص پرسش از داده های موجود مربوط به مشتریان برای ادارات تصمیم گیرنده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جمع آوری داده برای بسیاری از کتاب داران نیاز به تلاش، تمرکز و گاهی سرمایه گذاری 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نکته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داده و تحلیل آن گران ترین فعالیت در فرایند تحقیقات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نیاز به افزایش پاسخ گویی و جنگ های بودجه ای در میان نهادهای عمومی شدیدتر می شود، دسترسی به داده های موجود مقرون به صرفه تر و کار آمد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ارجحیت دادن به این که به چه داده ای دسترسی حاصل شود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آماری که در خصوص بهره وری کتاب خانه باید دانسته شود تخمین جمعیت خدمت گیر </w:t>
      </w:r>
      <w:r>
        <w:rPr>
          <w:rStyle w:val="FootnoteAnchor"/>
          <w:rtl w:val="true"/>
        </w:rPr>
        <w:footnoteReference w:id="7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اداره آمار جمعیت آمریکا در بسیاری از ادارات دولتی موجود و ارزان و آسان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این آمار و سایر آمار وابسته که در دسترس بوده برای توسعه و بهینه سازی گزارش و برنامه ریزی و تصمیم گیری ها می توانند بکار بروند، مورد تشریح قرار می گیرند</w:t>
      </w:r>
      <w:r>
        <w:rPr>
          <w:rFonts w:eastAsia="IRNazanin" w:cs="IRNazanin"/>
          <w:color w:val="111111"/>
          <w:sz w:val="28"/>
          <w:szCs w:val="28"/>
          <w:rtl w:val="true"/>
          <w:lang w:bidi="fa-IR"/>
        </w:rPr>
        <w:t>.</w:t>
      </w:r>
    </w:p>
    <w:p>
      <w:pPr>
        <w:pStyle w:val="Heading3"/>
        <w:numPr>
          <w:ilvl w:val="2"/>
          <w:numId w:val="1"/>
        </w:numPr>
        <w:rPr/>
      </w:pPr>
      <w:bookmarkStart w:id="687" w:name="__RefHeading___Toc7825713_2870459653"/>
      <w:bookmarkStart w:id="688" w:name="_Toc251"/>
      <w:bookmarkEnd w:id="687"/>
      <w:r>
        <w:rPr>
          <w:rtl w:val="true"/>
        </w:rPr>
        <w:t>استفاده از داده جمعیت خدمت گیر برای تعریف ناحیه بازار</w:t>
      </w:r>
      <w:bookmarkEnd w:id="6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تمایز کلیدی در تعیین ارزش آمار جمعیت خدمت گیر آن است که آیا تخمینی از ناحیه جغرافیایی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ام ای</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است که به عنوان ناحیه جغرافیایی واقعی تعریف شده و مشتریان بالقوه از آن جا کسب می شوند یا از ناحیه خدمات قانونی </w:t>
      </w:r>
      <w:r>
        <w:rPr>
          <w:rStyle w:val="FootnoteAnchor"/>
          <w:rtl w:val="true"/>
        </w:rPr>
        <w:footnoteReference w:id="800"/>
      </w:r>
      <w:r>
        <w:rPr>
          <w:rFonts w:ascii="IRNazanin" w:hAnsi="IRNazanin" w:eastAsia="IRNazanin"/>
          <w:color w:val="111111"/>
          <w:sz w:val="28"/>
          <w:sz w:val="28"/>
          <w:szCs w:val="28"/>
          <w:rtl w:val="true"/>
          <w:lang w:bidi="fa-IR"/>
        </w:rPr>
        <w:t>سنتی که به عنوان ناحیه جغرافیایی منتسب به کتاب خانه تخصیص داده می شود برای مثال یک بخش شهر، ناحیه آموزش پرورش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کلیه آمار کتاب خانه های عمومی دولت فدرال آمریکا یک جا شده و توسط ناحیه خدمات قانونی بازگو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منجر به آمار غیر دقیق برای استفاده در یک بخش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شبیه به حق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بگذارید بگوییم نظام کتاب خانه الف ناحیه خدمات قانونی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دارد که جمعیت </w:t>
      </w:r>
    </w:p>
    <w:p>
      <w:pPr>
        <w:pStyle w:val="BookText"/>
        <w:rPr/>
      </w:pP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بودجه کتاب خانه را بخش می دهد بنابراین مرزهای بخش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کتاب خانه الف دارای هفت شعبه است، با این وجود هیچ گونه ناحیه بازاری برای هیچ یک از هفت شعبه مشخص نشده است؛ بنابراین این قسمت ها به صورت کلی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شیوه ای برای تفکیک یا تشخیص نحوه کار شعب به جز تخمین میزان جامعه خدمت 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داده تخمین جی ام ای، محاسبه نشده و در اکثر کتاب خانه های آمریکا نیز به کار نمی رود و دلیل آن مقبولیت گسترده ناحیه خدمات قانونی به جای جمعیت خدمت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تعیین و نقشه مرزهای ناحیه جغرافیایی بازار کتاب خانه اولین قدم هایی است که دریافتن جمعیت خدمت گیر و پاسخ به سؤالات مهم پژوهش بازاریابی برداشته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ما چه کسانی هستند، چه خدماتی می خواهند و بهترین قیمتی که می توانیم خدمات را در قبالش بدان ها ارائه دهیم چیست و این خدمات و مواد از چه جاهایی بهتر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آسانی وجود دارد که می تواند برای تخمین ناحیه بازار برای به دست آوردن آمار عمل کرد یک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ایده آل همان طور که قبلاً ذکر شد، ناحیه جغرافیایی بازار باید ناحیه ای باشد که کتاب خانه از آن ناحیه اکثر مشتریان خود را به دست می آورد نه یک ناحیه تعیین شده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تشخیص مرزهای جغرافیایی صحیح مشتریان به دلیل حقایق تشریح شده در بالا که در خصوص جمع آوری داده به صورت عام ذکر شد بسیار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مدیران کتاب خانه عمومی تاکنون درخواست یا اقدامی در زمینه شیوه های موجود یا فناوری تحقیق و تعیین محل سکونت مشتری نداشته اند و علاقه زیادی هم به حرکت علیه شیوه مورد قبول نواحی قانونی ارائه خدمات به عنوان ناحیه بازار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روش دقیق که توسط خرده فروشان به کار می رود تهیه طرح نشانی های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از اطلاعات ثبت نام یا امانت به دست بیاید تا پراکندگی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شیوه های دانستن نواحی بازار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لوازم خاص سرشماری از خروجی های کتاب خانه؛ استفاده از قطب های موجود برنامه ریزی دولت محلی؛ طراحی یک شعاع ساده به عنوان تخمین کاربران خدمت گیر کتاب خانه؛ یا استفاده از توصیه های تخصصی کارمندان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روش ها یکی این است که مردم ممکن است از نواحی سرشماری خارج شده و از مرز</w:t>
      </w:r>
    </w:p>
    <w:p>
      <w:pPr>
        <w:pStyle w:val="BookText"/>
        <w:rPr/>
      </w:pPr>
      <w:r>
        <w:rPr>
          <w:rFonts w:ascii="IRNazanin" w:hAnsi="IRNazanin" w:eastAsia="IRNazanin"/>
          <w:color w:val="111111"/>
          <w:sz w:val="28"/>
          <w:sz w:val="28"/>
          <w:szCs w:val="28"/>
          <w:rtl w:val="true"/>
          <w:lang w:bidi="fa-IR"/>
        </w:rPr>
        <w:t xml:space="preserve">قطب های تعیین شده بیرون بروند و هر کتاب خانه ای را که دوست دارند بکار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 یک فرضیه ضعیف شکل می گیرند که اکثر کاربران که در ناحیه تعیین شده زندگی می کنند، کتاب خانه را به کار بگیرند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ناحیه جغرافیایی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اکنون شامل تعیین کاربران از راه دور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کارگیری هر فعالیت پژوهشی بازاریابی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 به صورت ساده، چگونه یک کتاب خانه می تواند خدمات سرانه برای یک شعبه در داخل نظام کتاب خانه است که در بالا مطرح شد را محاسبه کند؟ </w:t>
      </w:r>
      <w:bookmarkStart w:id="689" w:name="pg9659_94076"/>
    </w:p>
    <w:p>
      <w:pPr>
        <w:pStyle w:val="BookText"/>
        <w:rPr/>
      </w:pPr>
      <w:bookmarkEnd w:id="689"/>
      <w:r>
        <w:rPr>
          <w:rFonts w:ascii="IRNazanin" w:hAnsi="IRNazanin" w:eastAsia="IRNazanin"/>
          <w:color w:val="111111"/>
          <w:sz w:val="28"/>
          <w:sz w:val="28"/>
          <w:szCs w:val="28"/>
          <w:rtl w:val="true"/>
          <w:lang w:bidi="fa-IR"/>
        </w:rPr>
        <w:t xml:space="preserve">برای حرکت به سوی خدماتی مانند غذای فوری </w:t>
      </w:r>
      <w:r>
        <w:rPr>
          <w:rStyle w:val="FootnoteAnchor"/>
          <w:rtl w:val="true"/>
        </w:rPr>
        <w:footnoteReference w:id="801"/>
      </w:r>
      <w:r>
        <w:rPr>
          <w:rFonts w:ascii="IRNazanin" w:hAnsi="IRNazanin" w:eastAsia="IRNazanin"/>
          <w:color w:val="111111"/>
          <w:sz w:val="28"/>
          <w:sz w:val="28"/>
          <w:szCs w:val="28"/>
          <w:rtl w:val="true"/>
          <w:lang w:bidi="fa-IR"/>
        </w:rPr>
        <w:t>یا کتاب خانه، تخمین و ثبت اطلاعات ناحیه جغرافیایی بازار پایه ای محکم برای تعیین خصوصیات مشتریان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مک دونالد </w:t>
      </w:r>
      <w:r>
        <w:rPr>
          <w:rStyle w:val="FootnoteAnchor"/>
          <w:rtl w:val="true"/>
        </w:rPr>
        <w:footnoteReference w:id="802"/>
      </w:r>
      <w:r>
        <w:rPr>
          <w:rFonts w:ascii="IRNazanin" w:hAnsi="IRNazanin" w:eastAsia="IRNazanin"/>
          <w:color w:val="111111"/>
          <w:sz w:val="28"/>
          <w:sz w:val="28"/>
          <w:szCs w:val="28"/>
          <w:rtl w:val="true"/>
          <w:lang w:bidi="fa-IR"/>
        </w:rPr>
        <w:t xml:space="preserve">که نمی تواند استفاده افراد یک ناحیه جمعیتی که توسط مدیریت مک دونالد انتخاب شده اند را حدس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داران نیز نمی توانند مشتریانی که از کتاب خانه استفاده خواهند کرد را به وسیله آن چه توسط مدیریت کتاب خانه یا دولت محلی مقرر شده است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داده های به طور گسترده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 شود، اکثر آن قابل دسترسی است</w:t>
      </w:r>
      <w:r>
        <w:rPr>
          <w:rFonts w:eastAsia="IRNazanin" w:cs="IRNazanin"/>
          <w:color w:val="111111"/>
          <w:sz w:val="28"/>
          <w:szCs w:val="28"/>
          <w:rtl w:val="true"/>
          <w:lang w:bidi="fa-IR"/>
        </w:rPr>
        <w:t>.</w:t>
      </w:r>
    </w:p>
    <w:p>
      <w:pPr>
        <w:pStyle w:val="Heading3"/>
        <w:numPr>
          <w:ilvl w:val="2"/>
          <w:numId w:val="1"/>
        </w:numPr>
        <w:rPr/>
      </w:pPr>
      <w:bookmarkStart w:id="690" w:name="__RefHeading___Toc7825715_2870459653"/>
      <w:bookmarkStart w:id="691" w:name="_Toc252"/>
      <w:bookmarkEnd w:id="690"/>
      <w:r>
        <w:rPr>
          <w:rtl w:val="true"/>
        </w:rPr>
        <w:t>منابع داده بیرونی</w:t>
      </w:r>
      <w:r>
        <w:rPr>
          <w:rtl w:val="true"/>
        </w:rPr>
        <w:t>:</w:t>
      </w:r>
      <w:bookmarkEnd w:id="691"/>
    </w:p>
    <w:p>
      <w:pPr>
        <w:pStyle w:val="BookText"/>
        <w:rPr/>
      </w:pPr>
      <w:r>
        <w:rPr>
          <w:rFonts w:ascii="IRNazanin" w:hAnsi="IRNazanin" w:eastAsia="IRNazanin"/>
          <w:color w:val="111111"/>
          <w:sz w:val="28"/>
          <w:sz w:val="28"/>
          <w:szCs w:val="28"/>
          <w:rtl w:val="true"/>
          <w:lang w:bidi="fa-IR"/>
        </w:rPr>
        <w:t xml:space="preserve">با در دست داشتن آمار جمعیت خدمت گیر، بعضی از بهترین داده های بیرونی مربوط به مشتریان توضیحات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خدمت گیر است که می تواند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جمعیت مرتبط با استفاده از کتاب خانه عمومی ممکن است شامل دسته بندی هایی مانند سن، وضعیت حیات چرخه خانواده قومیت یا نژاد و سطوح تحصیلات و انزوای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مزیت برای مدیران کتاب خانه آمریکا که مشتاق جمع آوری اطلاعات جمعیتی هستند این است که این اواخر آمار سرشماری جمعیت آمریکا </w:t>
      </w:r>
      <w:r>
        <w:rPr>
          <w:rStyle w:val="FootnoteAnchor"/>
          <w:rtl w:val="true"/>
        </w:rPr>
        <w:footnoteReference w:id="803"/>
      </w:r>
      <w:r>
        <w:rPr>
          <w:rFonts w:ascii="IRNazanin" w:hAnsi="IRNazanin" w:eastAsia="IRNazanin"/>
          <w:color w:val="111111"/>
          <w:sz w:val="28"/>
          <w:sz w:val="28"/>
          <w:szCs w:val="28"/>
          <w:rtl w:val="true"/>
          <w:lang w:bidi="fa-IR"/>
        </w:rPr>
        <w:t>به صورت گسترده موجود و قابل دسترس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سازمان هایی که تصمیمات محلی می گیرند این داده را برای ادارات عمومی مشابه به کتاب خانه های عمومی دسترس پذیر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جمعیت شناسی به صورت مساوی خدمات تدارکی کتاب خانه را با تسهیل کشف مشتریان بالقوه و یا محروم از خدمات و بهره مند از خدمات، در نهایت موجب افزایش کیفیت زندگی افراد و جامعه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جمعیت با داده های استفاده شده در کتاب خانه یک جا شده و دیدگاه های ارزشمندی را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گروه های خاص مانند سالمندان، جوانان، اقشار کم درآمد یا اقلیت ها یا گروه های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را در مسیر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موردی بسیار واضح مانند فاصله یا کمبود حمل و نقل می تواند یک عامل منع کننده استفاده از کتاب خانه باشد، بلکه هم چنین موانع محیلانه تر فرهنگی نیز می تواند تشخیص داده شود، مانند شروع یا خاتمه همسایگی، مشاهده شده بعضی گروه ها از این خطوط نامرئی به بیرون قدم نمی گذارند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مهمی که نیاز داریم ممکن است درست در نوک دماغمان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منابع دست دوم </w:t>
      </w:r>
      <w:bookmarkStart w:id="692" w:name="pg9659_94077"/>
    </w:p>
    <w:p>
      <w:pPr>
        <w:pStyle w:val="BookText"/>
        <w:rPr/>
      </w:pPr>
      <w:bookmarkEnd w:id="692"/>
      <w:r>
        <w:rPr>
          <w:rFonts w:ascii="IRNazanin" w:hAnsi="IRNazanin" w:eastAsia="IRNazanin"/>
          <w:color w:val="111111"/>
          <w:sz w:val="28"/>
          <w:sz w:val="28"/>
          <w:szCs w:val="28"/>
          <w:rtl w:val="true"/>
          <w:lang w:bidi="fa-IR"/>
        </w:rPr>
        <w:t xml:space="preserve">موجود از طریق کتاب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یا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پژوهشی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فدرال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آمار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تجاری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عمومی مشاغل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مجله و روزنامه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سالانه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های رایانه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اتحادیه ها</w:t>
      </w:r>
    </w:p>
    <w:p>
      <w:pPr>
        <w:pStyle w:val="Heading3"/>
        <w:numPr>
          <w:ilvl w:val="2"/>
          <w:numId w:val="1"/>
        </w:numPr>
        <w:rPr/>
      </w:pPr>
      <w:bookmarkStart w:id="693" w:name="__RefHeading___Toc7825717_2870459653"/>
      <w:bookmarkStart w:id="694" w:name="_Toc253"/>
      <w:bookmarkEnd w:id="693"/>
      <w:r>
        <w:rPr>
          <w:rtl w:val="true"/>
        </w:rPr>
        <w:t>داده داخلی کتاب خانه عمومی</w:t>
      </w:r>
      <w:bookmarkEnd w:id="694"/>
    </w:p>
    <w:p>
      <w:pPr>
        <w:pStyle w:val="BookText"/>
        <w:rPr/>
      </w:pPr>
      <w:r>
        <w:rPr>
          <w:rFonts w:ascii="IRNazanin" w:hAnsi="IRNazanin" w:eastAsia="IRNazanin"/>
          <w:color w:val="111111"/>
          <w:sz w:val="28"/>
          <w:sz w:val="28"/>
          <w:szCs w:val="28"/>
          <w:rtl w:val="true"/>
          <w:lang w:bidi="fa-IR"/>
        </w:rPr>
        <w:t>موازی با تحلیل داده مشتریان و مجموعه از بیرون کتاب خانه عمومی، مدیر کتاب خانه صاحب یک معدن طلای مدارک داخلی است که ممکن است شامل اطلاعات نشانی یا کدپستی و خصوصیات اصلی جمعیت و همین طور نوع و سطح استفاده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کتاب خانه که بستگی به گزارش ها امانات داخلی دارد مثال رقم ابتدایی چرخه گردش مواد، تعداد و انواع مواد از لحاظ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مدارک داده داخلی شامل تعداد کارمندان، ساعات کار، تعداد ثبت نام، تعداد پایانه رایانه، متر مکعب مساحت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سنتی این ها تنها محاسباتی بودند که برای دسترس به موفقیت کتاب خانه به کار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اوایل دهه هشتاد بود که شغل کتاب داری توسعه یافت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های بیرونی</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اجرا شد، گاه به جای آن که به سادگی توضیح دهد که چه چیزی در کتاب خانه است، حالا عمل کرد کتاب خانه را در قبال مردم خارج از آن می سنجد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عموم مردم، دولت محلی، کتاب خانه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مقادیر بیرونی اکثر شامل سرانه امانت، تراکنش های مرجع، تحویل مدرک، مراجعات، استفاده های داخل کتاب خانه ای و اخیراً بازدیدهای وب تعداد ساعات دسترسی اینترنت و تراکنش های مرجع الکترونیکی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سرانه </w:t>
      </w:r>
      <w:r>
        <w:rPr>
          <w:rStyle w:val="FootnoteAnchor"/>
          <w:rtl w:val="true"/>
        </w:rPr>
        <w:footnoteReference w:id="805"/>
      </w:r>
      <w:r>
        <w:rPr>
          <w:rFonts w:ascii="IRNazanin" w:hAnsi="IRNazanin" w:eastAsia="IRNazanin"/>
          <w:color w:val="111111"/>
          <w:sz w:val="28"/>
          <w:sz w:val="28"/>
          <w:szCs w:val="28"/>
          <w:rtl w:val="true"/>
          <w:lang w:bidi="fa-IR"/>
        </w:rPr>
        <w:t>بود اگر بر اساس تخمین جمعیت خدمت گیر ناحیه بازار باشد دقیق خواهد – نه بر اساس خدمات قانونی</w:t>
      </w:r>
      <w:r>
        <w:rPr>
          <w:rFonts w:eastAsia="IRNazanin" w:cs="IRNazanin"/>
          <w:color w:val="111111"/>
          <w:sz w:val="28"/>
          <w:szCs w:val="28"/>
          <w:rtl w:val="true"/>
          <w:lang w:bidi="fa-IR"/>
        </w:rPr>
        <w:t xml:space="preserve">. </w:t>
      </w:r>
      <w:bookmarkStart w:id="695" w:name="pg9659_94078"/>
    </w:p>
    <w:p>
      <w:pPr>
        <w:pStyle w:val="Heading3"/>
        <w:numPr>
          <w:ilvl w:val="2"/>
          <w:numId w:val="1"/>
        </w:numPr>
        <w:rPr/>
      </w:pPr>
      <w:bookmarkStart w:id="696" w:name="__RefHeading___Toc7825719_2870459653"/>
      <w:bookmarkStart w:id="697" w:name="_Toc254"/>
      <w:bookmarkEnd w:id="695"/>
      <w:bookmarkEnd w:id="696"/>
      <w:r>
        <w:rPr>
          <w:rtl w:val="true"/>
        </w:rPr>
        <w:t>شمارش کلیه استفاده های کتاب خانه</w:t>
      </w:r>
      <w:bookmarkEnd w:id="697"/>
    </w:p>
    <w:p>
      <w:pPr>
        <w:pStyle w:val="BookText"/>
        <w:rPr/>
      </w:pPr>
      <w:r>
        <w:rPr>
          <w:rFonts w:ascii="IRNazanin" w:hAnsi="IRNazanin" w:eastAsia="IRNazanin"/>
          <w:color w:val="111111"/>
          <w:sz w:val="28"/>
          <w:sz w:val="28"/>
          <w:szCs w:val="28"/>
          <w:rtl w:val="true"/>
          <w:lang w:bidi="fa-IR"/>
        </w:rPr>
        <w:t xml:space="preserve">هر زمانی که شمارش استفاده های اصلی و مهم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اغلب بستگی به اجازه نرم افزار دارد و آن چه مورد نیاز مدیریت کتاب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کتاب خانه اغلب این آمار را در گزارش استفاده حذف می کند و تنها به امانت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کتاب خانه با امانت بالا کم تر احتمال قطع بودجه دارد چراکه آمار امانت طبق نمودارهای سنتی نمایانگر استفاده زیاد توسط مشتریان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مقایسه کتاب خانه های با چرخش مواد و امانت پایین و سطوح بالاتری از استفاده های شمرده نشده، مانند استفاده های درون کتاب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استفاده از 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که کم استفاده به نظر بیایند و بنابراین بیشتر در خطر قطع بودجه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 که، تحقیقات نشان می دهند که کتاب خانه ها در مناطق درآمد کم تر و بازارهای اکثریت و اقلیت اغلب دارای شمارش کم تری از چرخش مواد و امانت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مسئله به صورت روز افزون مهم می شود، چرا که این بازارهای اقلیت دارای تعدد بیشتری در آمریکا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کتاب خانه های آمریکا باید کلیه استفاده ها را بشمارند تا از کلیه نیازهای مشتریان آگاه شده و آن ها را برآورده کنند و مشخصات دقیق استفاده مشتریان به صورت مجزا در خروجی هر کتاب خانه موجود باشد حتی به صورت 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مانند مک دونالد که فقط شمارش فروش همبرگرها در پنجره های فروش به اتومبیل ها را مد نظر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همبرگرهایی را که در رستوران هایش مصرف شده اند را از فروش کل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یک کتاب خانه عمومی نمی تواند فقط به شمارش کتاب هایی که در چرخش امانت هستند توجه کند چرا که این امر باعث می شود تا شمارش استفاده های مهم مانند مواد دیگر موارد استفاده در کتاب خانه، کمک کتاب داران در شکل گیری متون و طرح های علمی و دستورالعمل رایانه ها کاهش یابد؛ بنابراین با در دست داشتن جی ام ای می توانید میزان استفاده سرانه از هر رایانه را بدانید</w:t>
      </w:r>
      <w:r>
        <w:rPr>
          <w:rFonts w:eastAsia="IRNazanin" w:cs="IRNazanin"/>
          <w:color w:val="111111"/>
          <w:sz w:val="28"/>
          <w:szCs w:val="28"/>
          <w:rtl w:val="true"/>
          <w:lang w:bidi="fa-IR"/>
        </w:rPr>
        <w:t>.</w:t>
      </w:r>
    </w:p>
    <w:p>
      <w:pPr>
        <w:pStyle w:val="Heading3"/>
        <w:numPr>
          <w:ilvl w:val="2"/>
          <w:numId w:val="1"/>
        </w:numPr>
        <w:rPr/>
      </w:pPr>
      <w:bookmarkStart w:id="698" w:name="__RefHeading___Toc7825721_2870459653"/>
      <w:bookmarkStart w:id="699" w:name="_Toc255"/>
      <w:bookmarkEnd w:id="698"/>
      <w:r>
        <w:rPr>
          <w:rtl w:val="true"/>
        </w:rPr>
        <w:t>داده های مشتریان از شبکه وب و رسانه های اجتماعی</w:t>
      </w:r>
      <w:bookmarkEnd w:id="69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مطالعه اخیر در آمریکا درباره کتاب خانه ها عمومی بیان می کند که مراجعات فیزیکی به ساختمان کتاب خانه نسبت به سال قبلی در طی ده سال گذشته برای اولین بار کاهش یافته است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مراجعات هنوز فراوان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در کل ده سال همراه است به علاوه، مراجعه متوسط آمریکایی ها به کتاب خانه عمومی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در طی سال است که نشان دهنده افزایش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طی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رایانه ها در کتاب خانه عمومی به صورت مداوم یکی از سریع ترین </w:t>
      </w:r>
    </w:p>
    <w:p>
      <w:pPr>
        <w:pStyle w:val="BookText"/>
        <w:rPr/>
      </w:pPr>
      <w:r>
        <w:rPr>
          <w:rFonts w:ascii="IRNazanin" w:hAnsi="IRNazanin" w:eastAsia="IRNazanin"/>
          <w:color w:val="111111"/>
          <w:sz w:val="28"/>
          <w:sz w:val="28"/>
          <w:szCs w:val="28"/>
          <w:rtl w:val="true"/>
          <w:lang w:bidi="fa-IR"/>
        </w:rPr>
        <w:t xml:space="preserve">رشدها در خدمات کتاب خانه عمومی است با این حال، می دانیم که مشتریان نه فقط به مکان های فیزیکی کتاب خانه های ما مراجعه می کنند، بلکه هم چنان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از طریق وب گاه و رسانه های مجازی در تعامل اند برای بعضی کاربران، پایگاه داده های آنلاین و مجموعه ها به صورت عادی به کار می روند و شاید تنها شیوه تعامل آن ها با سازمان کتاب خانه در طی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سازمان می تواند ناحیه جغرافیایی بازار خود را تعیین کند، یا سایر اطلاعات جمعیت شناسی مشتریان خود را که تنها از طریق آنلاین به سازمان مراجعه می کنند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کنندگان وب گاه سازمان ها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پای</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مجازی در داده های دست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رسان وب به جای می گذارند که مسیرهای الکترونیکی مراجعات و سفرهای مجازی آن ها را در وب گاه سازمان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که کاربر چگونه وارد سایت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صفحه ارجاع یا موتور جستجو، کلید واژه های مورد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سایر جزئیات مانند نوع مرورگر وب آن ها یا استفاده از تلفن همراه برای این کار داده های جغرافیایی نیز از طریق نشانی پروتکل اینترنتی کاربر </w:t>
      </w:r>
      <w:r>
        <w:rPr>
          <w:rStyle w:val="FootnoteAnchor"/>
          <w:rtl w:val="true"/>
        </w:rPr>
        <w:footnoteReference w:id="808"/>
      </w:r>
      <w:r>
        <w:rPr>
          <w:rFonts w:ascii="IRNazanin" w:hAnsi="IRNazanin" w:eastAsia="IRNazanin"/>
          <w:color w:val="111111"/>
          <w:sz w:val="28"/>
          <w:sz w:val="28"/>
          <w:szCs w:val="28"/>
          <w:rtl w:val="true"/>
          <w:lang w:bidi="fa-IR"/>
        </w:rPr>
        <w:t>که یک سری</w:t>
      </w:r>
    </w:p>
    <w:p>
      <w:pPr>
        <w:pStyle w:val="BookText"/>
        <w:rPr/>
      </w:pPr>
      <w:r>
        <w:rPr>
          <w:rFonts w:ascii="IRNazanin" w:hAnsi="IRNazanin" w:eastAsia="IRNazanin"/>
          <w:color w:val="111111"/>
          <w:sz w:val="28"/>
          <w:sz w:val="28"/>
          <w:szCs w:val="28"/>
          <w:rtl w:val="true"/>
          <w:lang w:bidi="fa-IR"/>
        </w:rPr>
        <w:t>اعداد شناسایی است که می تواد کد گذاری جغرافیایی مکانی که رایانه کاربر یا ارائه دهنده خدمات اینترنت قرار دارد را نیز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ها نشانی های پروتکل اینترنتی کد گذاری جغرافیایی شده را از لاگ های خدمت رسان در دست دارند و آن ها برای کشف برای مثال، این که چه زمان هایی کاربران به خدمات چت مرجع مجازی دسترسی دارند و این دسترسی از رایانه های یک ساختمان مخصوص داخل ساختمان دانشگاه مانند خوابگاه، رایانه های آزمایشگاه و ادارات دانشگاه یا حتی از ایستگاه های کاری رایانه های عمومی داخل خود کتاب خانه است،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اطلاعات جغرافیایی از کاربران مجازی می توانند در طراحی نقشه ناحیه بازار مشتری برای کاربران آنلاین سازمان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نرم افزار منبع باز مجانی و هم قابل خریداری برای ردیابی و تحلیل داده های لاگ خدمت رسانی 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سازمان میزبانی وب گاه خود را ندارد و قادر نیست تا داده لاگ خدمت رسانی را از ارائه دهنده خدمات اینترنت خود به دست بیاورد، شیوه های جایگزینی نیز وجود دارد مانند استفاده از تحلیل گر گوگل </w:t>
      </w:r>
      <w:r>
        <w:rPr>
          <w:rStyle w:val="FootnoteAnchor"/>
          <w:rtl w:val="true"/>
        </w:rPr>
        <w:footnoteReference w:id="809"/>
      </w:r>
      <w:r>
        <w:rPr>
          <w:rFonts w:ascii="IRNazanin" w:hAnsi="IRNazanin" w:eastAsia="IRNazanin"/>
          <w:color w:val="111111"/>
          <w:sz w:val="28"/>
          <w:sz w:val="28"/>
          <w:szCs w:val="28"/>
          <w:rtl w:val="true"/>
          <w:lang w:bidi="fa-IR"/>
        </w:rPr>
        <w:t>که برای دریافت و دسترسی به چگونگی تعامل کاربران با وب گاه سازمان ترافیک وبلاگ ها به کار می رود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سازمان از سایت های رسانه های اجتماعی مانند فیس بوک برای تعامل با عموم هستند استفاد </w:t>
      </w:r>
      <w:bookmarkStart w:id="700" w:name="pg9659_94080"/>
    </w:p>
    <w:p>
      <w:pPr>
        <w:pStyle w:val="BookText"/>
        <w:rPr/>
      </w:pPr>
      <w:bookmarkEnd w:id="700"/>
      <w:r>
        <w:rPr>
          <w:rFonts w:ascii="IRNazanin" w:hAnsi="IRNazanin" w:eastAsia="IRNazanin"/>
          <w:color w:val="111111"/>
          <w:sz w:val="28"/>
          <w:sz w:val="28"/>
          <w:szCs w:val="28"/>
          <w:rtl w:val="true"/>
          <w:lang w:bidi="fa-IR"/>
        </w:rPr>
        <w:t>می کند، انواع دیگری از داده های جمعیت شناسی و جغرافیایی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منابع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شبکه و سایت های رسانه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محدودیت هستند که کارمندان برای دستیابی به نتایج باید مدنظر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امکان انعکاس کلیه فعالیت های احتمالی کاربر را ندارند بلکه فقط بعضی فعالیت ها در یک دوره زمانی محدود را نشان می دهند؛ هم چنین، کلیه کسانی که با کتاب خانه به صورت فیزیکی و مجازی ارتباط برقرار می کنند، لزوماً مشتری و کاربر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ممکن است سایر شرکا مانند رقیبان، کارگزاران، کارمندان و همکاران در جامعه تخصصی بزرگ تر باشند</w:t>
      </w:r>
      <w:r>
        <w:rPr>
          <w:rFonts w:eastAsia="IRNazanin" w:cs="IRNazanin"/>
          <w:color w:val="111111"/>
          <w:sz w:val="28"/>
          <w:szCs w:val="28"/>
          <w:rtl w:val="true"/>
          <w:lang w:bidi="fa-IR"/>
        </w:rPr>
        <w:t>.</w:t>
      </w:r>
    </w:p>
    <w:p>
      <w:pPr>
        <w:pStyle w:val="Heading3"/>
        <w:numPr>
          <w:ilvl w:val="2"/>
          <w:numId w:val="1"/>
        </w:numPr>
        <w:rPr/>
      </w:pPr>
      <w:bookmarkStart w:id="701" w:name="__RefHeading___Toc7825723_2870459653"/>
      <w:bookmarkStart w:id="702" w:name="_Toc256"/>
      <w:bookmarkEnd w:id="701"/>
      <w:r>
        <w:rPr>
          <w:rtl w:val="true"/>
        </w:rPr>
        <w:t>تحقیق در عمل</w:t>
      </w:r>
      <w:bookmarkEnd w:id="702"/>
    </w:p>
    <w:p>
      <w:pPr>
        <w:pStyle w:val="BookText"/>
        <w:rPr/>
      </w:pPr>
      <w:r>
        <w:rPr>
          <w:rFonts w:ascii="IRNazanin" w:hAnsi="IRNazanin" w:eastAsia="IRNazanin"/>
          <w:color w:val="111111"/>
          <w:sz w:val="28"/>
          <w:sz w:val="28"/>
          <w:szCs w:val="28"/>
          <w:rtl w:val="true"/>
          <w:lang w:bidi="fa-IR"/>
        </w:rPr>
        <w:t>در طی دو دهه گذشته دو طرح ملی آمریکا برای ارائه دو پایگاه داده مجانی و قابل دسترس عمومی برای کتاب خانه های عمومی به منظور توسعه ناحیه جغرافیایی بازار مشتریان و توصیف گرهای جمعیت شناسی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شامل طرح پایگاه داده کتاب خانه عمومی آمریکا </w:t>
      </w:r>
      <w:r>
        <w:rPr>
          <w:rStyle w:val="FootnoteAnchor"/>
          <w:rtl w:val="true"/>
        </w:rPr>
        <w:footnoteReference w:id="810"/>
      </w:r>
      <w:r>
        <w:rPr>
          <w:rFonts w:ascii="IRNazanin" w:hAnsi="IRNazanin" w:eastAsia="IRNazanin"/>
          <w:color w:val="111111"/>
          <w:sz w:val="28"/>
          <w:sz w:val="28"/>
          <w:szCs w:val="28"/>
          <w:rtl w:val="true"/>
          <w:lang w:bidi="fa-IR"/>
        </w:rPr>
        <w:t xml:space="preserve">واقع در آدرس زیر </w:t>
      </w:r>
      <w:r>
        <w:rPr>
          <w:rStyle w:val="FootnoteAnchor"/>
          <w:rtl w:val="true"/>
        </w:rPr>
        <w:footnoteReference w:id="811"/>
      </w:r>
      <w:r>
        <w:rPr>
          <w:rFonts w:ascii="IRNazanin" w:hAnsi="IRNazanin" w:eastAsia="IRNazanin"/>
          <w:color w:val="111111"/>
          <w:sz w:val="28"/>
          <w:sz w:val="28"/>
          <w:szCs w:val="28"/>
          <w:rtl w:val="true"/>
          <w:lang w:bidi="fa-IR"/>
        </w:rPr>
        <w:t>و طرح اخیر نقشه الکترونیکی کتاب خانه ها واقع در نشانی زیر هستند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مورد دوم در جنگی برای نجات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از بسته شدن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کتاب خانه عمومی میامی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دی پی ال اس</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در فلوریدا با بحران ناگهانی بودجه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و بخشدار پیشنهاد بستن نیمی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عمومی نظام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های جامعه میامی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مورد از دست دادن بیش از نیمی از کتاب خانه های عمومی محلی شان به طرح سؤال پرداختند که منابع، برنامه ها و خدماتی که این شعبه های محلی ارائه می دهند از دست خواهد رفت و همین طور تأثیر بالقوه ای این بسته شدن ها بر روی زندگی مردم اطراف این کتاب خانه ها خواهد داشت را طرح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 با این خبر فوری از دست رفتن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محلی در میامی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طرح نقشه الکترونیکی کتاب خانه ها </w:t>
      </w:r>
      <w:r>
        <w:rPr>
          <w:rStyle w:val="FootnoteAnchor"/>
          <w:rtl w:val="true"/>
        </w:rPr>
        <w:footnoteReference w:id="814"/>
      </w:r>
      <w:r>
        <w:rPr>
          <w:rFonts w:ascii="IRNazanin" w:hAnsi="IRNazanin" w:eastAsia="IRNazanin"/>
          <w:color w:val="111111"/>
          <w:sz w:val="28"/>
          <w:sz w:val="28"/>
          <w:szCs w:val="28"/>
          <w:rtl w:val="true"/>
          <w:lang w:bidi="fa-IR"/>
        </w:rPr>
        <w:t xml:space="preserve">به ارائه نقشه جی ام ای تخمینی برای هر شعبه کتاب خانه عمومی درم پی ال اس با شعاع یک مایل و دو مایل برای هر شعبه کتاب خانه پرداخت شعاع یک مایل و دو مایل بدین دلیل بکار رفت که به صورت سنتی ناحیه خدمت رسانی کتاب خانه بین یک مایل و دو مایل به عنوان حداکثر </w:t>
      </w:r>
    </w:p>
    <w:p>
      <w:pPr>
        <w:pStyle w:val="BookText"/>
        <w:rPr/>
      </w:pPr>
      <w:r>
        <w:rPr>
          <w:rFonts w:ascii="IRNazanin" w:hAnsi="IRNazanin" w:eastAsia="IRNazanin"/>
          <w:color w:val="111111"/>
          <w:sz w:val="28"/>
          <w:sz w:val="28"/>
          <w:szCs w:val="28"/>
          <w:rtl w:val="true"/>
          <w:lang w:bidi="fa-IR"/>
        </w:rPr>
        <w:t>فاصله فرضی است که مردم ترجیح می دهند تا طی کرده و به کتاب خانه محلی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یک شیوه نقشه کشیدن جی ام ای برای اهداف برنامه ریزی است، همان طور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بیان شد 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های جمعیت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ام دی پی ال اس توسعه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اجتماعی مانند فیس بوک، تویی تر و لینکداین نیز برای اشتراک تعاریف ناحیه بازار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رسانه های کتاب خانه های عمومی ام دی پی ال اس به جوامع محلی اکثریت،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سیاه پوست در ناحیه بازار نزدیک خدمت رسانی می کردند و این در حالی بود که در جی ام ای های کتاب خانه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اسپانیایی بودند؛ دو عدد از کتاب خانه هایی که بسته می شدند، به نواحی از میامی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خدمت رسانی می کردند که جامعه های هائیتیایی از لحاظ زبانی منزوی بالاترین سطح خانوار ساکن را در میان سایر خانوارهای بخش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زبانی شامل کسانی است که در خانه به زبانی به غیر از انگلیسی صحبت می کنند و هم چنین کسانی که خودشان گزارش دادند که انگلیسی را خوب صحبت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برای این جوامع محلی دسترسی مجانی به منابع با زبان خودشان و همین طور منابعی برای یادگیری زبان انگلیسی و برای نقل و انتقال فرهنگی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تحلیل داده جی ام ای با کاربرد طراحی نقشه اماکن کتاب خانه ها همراه با داده های سرشماری جمعیت مردم در جوامع اطراف کتاب خانه ها با گفتن داستان چگونگی تأثیر کتاب خانه بر زندگی مردم زمانی که با گزارش ها داده استفاده خاص خود کتاب خانه ترکیب شود، حتی قدرتمندتر هم می 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مطالعه نمونه در دنیای واقعی چگونگی ترکیب و یک پارچه سازی داده ناحیه جغرافیایی بازار را برای هر شعبه کتاب خانه با داده سرشماری جمعیت مردمی که در هر ناحیه زندگی می کنند را به تصویر می کشد و شامل داده استفاده هر شعبه کتاب خانه برای آن است که نشان دهد چگونه مردم در حقیقت از منابع کتاب خانه، برنامه ها و خدمات هر شعبه محلی کتاب خانه استفاده کرده و این موارد ارزشمند و قدرتمند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ترکیب تلاش های دفاعی با داده های سخت که تأثیر کتاب خانه ها را بر زندگی مردم نشان می دهند، می تواند حتی ارزشمندتر و مفیدتر برای ادارات رسمی عمومی، رهبران ایده، تصمیم گیرندگان و جامعه باشد، مخصوص اگر این داده ها بتواند به صورت گسترده در یک فاصله زمانی قطعی از طریق وبلاگ یا رسانه اجتماعی منتشر و توزیع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های عموم برای کتاب خانه ضروری است، چرا که عمل کرد اکثر کتاب خانه های آمریکا بر اساس کمک های مالی محلی تهیه شده توسط مالیات دهندگان جامعه تأمین می شود</w:t>
      </w:r>
      <w:r>
        <w:rPr>
          <w:rFonts w:eastAsia="IRNazanin" w:cs="IRNazanin"/>
          <w:color w:val="111111"/>
          <w:sz w:val="28"/>
          <w:szCs w:val="28"/>
          <w:rtl w:val="true"/>
          <w:lang w:bidi="fa-IR"/>
        </w:rPr>
        <w:t xml:space="preserve">. </w:t>
      </w:r>
      <w:bookmarkStart w:id="703" w:name="pg9659_94082"/>
    </w:p>
    <w:p>
      <w:pPr>
        <w:pStyle w:val="Heading3"/>
        <w:numPr>
          <w:ilvl w:val="2"/>
          <w:numId w:val="1"/>
        </w:numPr>
        <w:rPr/>
      </w:pPr>
      <w:bookmarkStart w:id="704" w:name="__RefHeading___Toc7825725_2870459653"/>
      <w:bookmarkStart w:id="705" w:name="_Toc257"/>
      <w:bookmarkEnd w:id="703"/>
      <w:bookmarkEnd w:id="704"/>
      <w:r>
        <w:rPr>
          <w:rtl w:val="true"/>
        </w:rPr>
        <w:t>خلاصه</w:t>
      </w:r>
      <w:bookmarkEnd w:id="705"/>
    </w:p>
    <w:p>
      <w:pPr>
        <w:pStyle w:val="Heading3"/>
        <w:numPr>
          <w:ilvl w:val="2"/>
          <w:numId w:val="1"/>
        </w:numPr>
        <w:rPr/>
      </w:pPr>
      <w:bookmarkStart w:id="706" w:name="__RefHeading___Toc7825727_2870459653"/>
      <w:bookmarkStart w:id="707" w:name="_Toc258"/>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کتاب خانه ها، به صورت روزانه به جمع آوری داده برای ارائه پاسخ، ساخت دانش یا حل مشکلات مشتریان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روند پژوهش و حقیقت یابی را به سمت حل مشکلات سازمانی سوق ندهیم؟ سازمان هایی هم چون کتاب خانه مالک و دارای دسترسی به ثروتی از داده هستند که می تواند نیازها و علائق مشتریان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تخمینی از جمعیت خدمت گیر بر اساس ناحیه جغرافیایی بازار، می توان به ایجاد پایه محکمی برای ایجاد داده ارزشمند مشتریان در دامنه ای وسیع پرداخت</w:t>
      </w:r>
      <w:r>
        <w:rPr>
          <w:rFonts w:eastAsia="IRNazanin" w:cs="IRNazanin"/>
          <w:color w:val="111111"/>
          <w:sz w:val="28"/>
          <w:szCs w:val="28"/>
          <w:rtl w:val="true"/>
          <w:lang w:bidi="fa-IR"/>
        </w:rPr>
        <w:t>.</w:t>
      </w:r>
    </w:p>
    <w:p>
      <w:pPr>
        <w:pStyle w:val="Heading3"/>
        <w:numPr>
          <w:ilvl w:val="2"/>
          <w:numId w:val="1"/>
        </w:numPr>
        <w:rPr/>
      </w:pPr>
      <w:bookmarkStart w:id="708" w:name="__RefHeading___Toc7825729_2870459653"/>
      <w:bookmarkStart w:id="709" w:name="_Toc259"/>
      <w:bookmarkEnd w:id="708"/>
      <w:r>
        <w:rPr>
          <w:rtl w:val="true"/>
        </w:rPr>
        <w:t>منابع</w:t>
      </w:r>
      <w:bookmarkEnd w:id="709"/>
    </w:p>
    <w:p>
      <w:pPr>
        <w:pStyle w:val="BookText"/>
        <w:rPr/>
      </w:pPr>
      <w:r>
        <w:rPr>
          <w:rFonts w:eastAsia="Times New Roman" w:cs="Times New Roman" w:ascii="Times New Roman" w:hAnsi="Times New Roman"/>
          <w:color w:val="111111"/>
          <w:sz w:val="28"/>
          <w:szCs w:val="28"/>
          <w:lang w:val="en-US" w:bidi="en-US"/>
        </w:rPr>
        <w:t>Marketprofs.com, “Topic: Research Metrics, http://www.marketing- profs.com/ea/qst_question.asp?qstid=8292</w:t>
      </w:r>
    </w:p>
    <w:p>
      <w:pPr>
        <w:pStyle w:val="BookText"/>
        <w:rPr/>
      </w:pPr>
      <w:r>
        <w:rPr>
          <w:rFonts w:eastAsia="Times New Roman" w:cs="Times New Roman" w:ascii="Times New Roman" w:hAnsi="Times New Roman"/>
          <w:color w:val="111111"/>
          <w:sz w:val="28"/>
          <w:szCs w:val="28"/>
          <w:lang w:val="en-US" w:bidi="en-US"/>
        </w:rPr>
        <w:t>Christie Koontz and Lorri Mon, Marketing and Social Media: a Guide for Libraries, Archives and Museums, (Lanham, MD): Rowman and Little-field, 2014), 81-82 .Ibid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Christie M. Koontz, Library Facility Siting and Location Handbook (Westport, CT: Greenwood Press, 1997), 31-61</w:t>
      </w:r>
    </w:p>
    <w:p>
      <w:pPr>
        <w:pStyle w:val="BookText"/>
        <w:rPr/>
      </w:pPr>
      <w:r>
        <w:rPr>
          <w:rFonts w:eastAsia="Times New Roman" w:cs="Times New Roman" w:ascii="Times New Roman" w:hAnsi="Times New Roman"/>
          <w:color w:val="111111"/>
          <w:sz w:val="28"/>
          <w:szCs w:val="28"/>
          <w:lang w:val="en-US" w:bidi="en-US"/>
        </w:rPr>
        <w:t>Serving Non-English Speakers in US Public Libraries: 2007 Analysis of Library Demographics, Services, and Programs, ALA Office for Re-search and Statistics, Office for Literacy and Outreach Services Office for Diversity, Public Programs Office, http://www.ala.org/offices/olos/nonen- glishspeakers</w:t>
      </w:r>
    </w:p>
    <w:p>
      <w:pPr>
        <w:pStyle w:val="BookText"/>
        <w:rPr/>
      </w:pPr>
      <w:r>
        <w:rPr>
          <w:rFonts w:eastAsia="Times New Roman" w:cs="Times New Roman" w:ascii="Times New Roman" w:hAnsi="Times New Roman"/>
          <w:color w:val="111111"/>
          <w:sz w:val="28"/>
          <w:szCs w:val="28"/>
          <w:lang w:val="en-US" w:bidi="en-US"/>
        </w:rPr>
        <w:t>2010Census Data Product Descriptions." U.S. Census.gov, http:// www.census.gov/2010census/news/pdf/data_products_2010_census2.pdf</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Koontz, "Library Facility..." 31-52. "Research Using Secondary Data Sources," Steppingstones Part- nership, Inc, December 2004, http://www.steppingstones.ca/index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php?option=com_content&amp;view=article&amp;id=64:secondary-research&amp;-catid=17:research .Koontz and Mon, "Marketing..." 79</w:t>
      </w:r>
    </w:p>
    <w:p>
      <w:pPr>
        <w:pStyle w:val="BookText"/>
        <w:rPr/>
      </w:pPr>
      <w:r>
        <w:rPr>
          <w:rFonts w:eastAsia="Times New Roman" w:cs="Times New Roman" w:ascii="Times New Roman" w:hAnsi="Times New Roman"/>
          <w:color w:val="111111"/>
          <w:sz w:val="28"/>
          <w:szCs w:val="28"/>
          <w:lang w:val="en-US" w:bidi="en-US"/>
        </w:rPr>
        <w:t>Christie Koontz, Dean K. Jue, and Keith Curry Lance, "Neighbor-hood-Based In-Library Use Performance Measures for Public Libraries: A Nationwide Study of Majority Minority White/Low Income Markets Us-ing Personal Digital Data Collectors," Library and Information Science Research 27 (2005): 28-50</w:t>
      </w:r>
    </w:p>
    <w:p>
      <w:pPr>
        <w:pStyle w:val="BookText"/>
        <w:rPr/>
      </w:pPr>
      <w:r>
        <w:rPr>
          <w:rFonts w:eastAsia="Times New Roman" w:cs="Times New Roman" w:ascii="Times New Roman" w:hAnsi="Times New Roman"/>
          <w:color w:val="111111"/>
          <w:sz w:val="28"/>
          <w:szCs w:val="28"/>
          <w:lang w:val="en-US" w:bidi="en-US"/>
        </w:rPr>
        <w:t>IMLS Issues Public Libraries in the United States Survey FY 2010" http://www.examiner.com/article/imls-issues-public-libraries-the-united-states-survey-fy-2010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Koontz and Mon, "Marketing..." 86-88.9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Lorri M. Mon, Bradley Wade Bishop, J. McGilvray, L. Most, T. Milas, and J. T. Snead, "Geography of Virtual Questioning," Library Quarterly 79 (9): 393-420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Judy Ruttenberg and Heather Tunender, "Mapping Virtual Reference Using Geographic Information Systems (GIS)," http://web.archive.org/ web/20100610103542/http://helios.lib.uci.edu/question/GIS-ALA2004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Piwik Liberating Web Analytics," http://piwik.org/. "Google Analytics," Google.com, http://www.google.com/analytics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Koontz and Mon, "Marketing..." 86-88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Christie Koontz, Dean K. Jue, Lorri Mon, "PLUS+Maps: Improving Data Services for Public Libraries A White Paper for the Institute of Mu-seum and Library Services Submitted 19 December 2013 in Partial Fulfill-ment of IMLS Project No. LG-61-12-0714-12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Cole, K. J. and A.C. Gatrell. 1986. "Public libraries in Salford: a geographical analysis of provision and access," Environment and Planning 18(2): 253 - 268; Koontz, C.M. D. K. Jue, and K.C. Lance. 2005</w:t>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Neighborhood-Based In-Library Use Performance Measures for Public Libraries: A Nationwide Study of Majority Minority White / Low Income Markets Using Personal Digital Data Collectors. Library and Information Science Research 27(1): 28-50; Sin, S. J. 2011. Neighborhood disparities in access to information resources: Measuring and mapping U.S. Public libraries' funding and service landscape. Library and Information Science Research 33(1): 41 – 53</w:t>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9659_94086"/>
      <w:bookmarkStart w:id="711" w:name="pg9659_94086"/>
      <w:bookmarkEnd w:id="711"/>
    </w:p>
    <w:p>
      <w:pPr>
        <w:pStyle w:val="Heading2"/>
        <w:numPr>
          <w:ilvl w:val="1"/>
          <w:numId w:val="1"/>
        </w:numPr>
        <w:rPr/>
      </w:pPr>
      <w:bookmarkStart w:id="712" w:name="pg9659_94086"/>
      <w:bookmarkStart w:id="713" w:name="__RefHeading___Toc7825731_2870459653"/>
      <w:bookmarkStart w:id="714" w:name="_Toc260"/>
      <w:bookmarkEnd w:id="712"/>
      <w:bookmarkEnd w:id="713"/>
      <w:r>
        <w:rPr>
          <w:rtl w:val="true"/>
        </w:rPr>
        <w:t>چکیده</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 کی</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در ادامه مأموریت خود برای گردآوری تولیدات حوزه نشر و نگهداری از این تولیدات، نظام کتاب خانه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کتاب رقومی، دی بوک</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برای تمام انواع تک نگاشت های </w:t>
      </w:r>
      <w:r>
        <w:rPr>
          <w:rStyle w:val="FootnoteAnchor"/>
          <w:rtl w:val="true"/>
        </w:rPr>
        <w:footnoteReference w:id="817"/>
      </w:r>
      <w:r>
        <w:rPr>
          <w:rFonts w:ascii="IRNazanin" w:hAnsi="IRNazanin" w:eastAsia="IRNazanin"/>
          <w:color w:val="111111"/>
          <w:sz w:val="28"/>
          <w:sz w:val="28"/>
          <w:szCs w:val="28"/>
          <w:rtl w:val="true"/>
          <w:lang w:bidi="fa-IR"/>
        </w:rPr>
        <w:t xml:space="preserve">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رقومی شده </w:t>
      </w:r>
      <w:r>
        <w:rPr>
          <w:rStyle w:val="FootnoteAnchor"/>
          <w:rtl w:val="true"/>
        </w:rPr>
        <w:footnoteReference w:id="818"/>
      </w:r>
      <w:r>
        <w:rPr>
          <w:rFonts w:ascii="IRNazanin" w:hAnsi="IRNazanin" w:eastAsia="IRNazanin"/>
          <w:color w:val="111111"/>
          <w:sz w:val="28"/>
          <w:sz w:val="28"/>
          <w:szCs w:val="28"/>
          <w:rtl w:val="true"/>
          <w:lang w:bidi="fa-IR"/>
        </w:rPr>
        <w:t xml:space="preserve">و رقومی زاد </w:t>
      </w:r>
      <w:r>
        <w:rPr>
          <w:rStyle w:val="FootnoteAnchor"/>
          <w:rtl w:val="true"/>
        </w:rPr>
        <w:footnoteReference w:id="819"/>
      </w:r>
      <w:r>
        <w:rPr>
          <w:rFonts w:ascii="IRNazanin" w:hAnsi="IRNazanin" w:eastAsia="IRNazanin"/>
          <w:color w:val="111111"/>
          <w:sz w:val="28"/>
          <w:sz w:val="28"/>
          <w:szCs w:val="28"/>
          <w:rtl w:val="true"/>
          <w:lang w:bidi="fa-IR"/>
        </w:rPr>
        <w:t xml:space="preserve">، کتاب های صوتی رقومی و نسخهٔ اصلی پی دی اف </w:t>
      </w:r>
      <w:r>
        <w:rPr>
          <w:rStyle w:val="FootnoteAnchor"/>
          <w:rtl w:val="true"/>
        </w:rPr>
        <w:footnoteReference w:id="820"/>
      </w:r>
      <w:r>
        <w:rPr>
          <w:rFonts w:ascii="IRNazanin" w:hAnsi="IRNazanin" w:eastAsia="IRNazanin"/>
          <w:color w:val="111111"/>
          <w:sz w:val="28"/>
          <w:sz w:val="28"/>
          <w:szCs w:val="28"/>
          <w:rtl w:val="true"/>
          <w:lang w:bidi="fa-IR"/>
        </w:rPr>
        <w:t>کتاب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کتاب های الکترونیکی در کتاب خانه ها مسائل گوناگونی مانند تعریف کتاب الکترونیکی در کتاب خانه و بخش انتشارات و توسعه زیرساخت و دستیابی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فنی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قانون واسپاری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کتاب خانه،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خانه ملی و</w:t>
      </w:r>
    </w:p>
    <w:p>
      <w:pPr>
        <w:pStyle w:val="BookText"/>
        <w:rPr/>
      </w:pPr>
      <w:r>
        <w:rPr>
          <w:rFonts w:ascii="IRNazanin" w:hAnsi="IRNazanin" w:eastAsia="IRNazanin"/>
          <w:color w:val="111111"/>
          <w:sz w:val="28"/>
          <w:sz w:val="28"/>
          <w:szCs w:val="28"/>
          <w:rtl w:val="true"/>
          <w:lang w:bidi="fa-IR"/>
        </w:rPr>
        <w:t xml:space="preserve">دانشگاهی زاگرب مکلف به گردآوری انتشارات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منابع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همگام با ایجاد انباره ای برای منابع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وب کرواسی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ای دبلیو</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توسعه زیر ساخت رقومی شروع شد و با ساخت نظام های اختصاصی دیگر برای مدیریت نشریات رقومی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ها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الکترونیکی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فعالیت های کتاب خانه را برای ساخت ماژول جدیدی به منظور دریافت محتوای تولید شده به وسیلهٔ تولید کنندگان محتوای رقومی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قابلیت های زیر توضیح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فراداده، دریافت اشیاء رقومی، خط مشی حفاظت و 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طرح، کتاب خانه قصد دارد، با ایجاد فرآیند کامل تحویل فراداده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از جمله تخصیص شناسگر، فهرست نویسی انتشارات و حفاظت از نسخه های اصلی پی دی اف کتاب رقومی، هم کاری خود را با ناشرین کروات را گسترش 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و دانشگاهی کرواسی، کتاب های الکترونیکی، حفاظت رقومی </w:t>
      </w:r>
      <w:bookmarkStart w:id="715" w:name="pg9659_94087"/>
    </w:p>
    <w:p>
      <w:pPr>
        <w:pStyle w:val="Heading2"/>
        <w:numPr>
          <w:ilvl w:val="1"/>
          <w:numId w:val="1"/>
        </w:numPr>
        <w:rPr/>
      </w:pPr>
      <w:bookmarkStart w:id="716" w:name="__RefHeading___Toc7825733_2870459653"/>
      <w:bookmarkStart w:id="717" w:name="_Toc261"/>
      <w:bookmarkEnd w:id="715"/>
      <w:bookmarkEnd w:id="716"/>
      <w:r>
        <w:rPr>
          <w:rtl w:val="true"/>
        </w:rPr>
        <w:t>ماژول دریافت کتاب الکترونیکی در کتاب خانه ملی و دانشگاهی زاگرب</w:t>
      </w:r>
      <w:bookmarkEnd w:id="717"/>
    </w:p>
    <w:p>
      <w:pPr>
        <w:pStyle w:val="Heading3"/>
        <w:numPr>
          <w:ilvl w:val="2"/>
          <w:numId w:val="1"/>
        </w:numPr>
        <w:rPr/>
      </w:pPr>
      <w:bookmarkStart w:id="718" w:name="__RefHeading___Toc7825735_2870459653"/>
      <w:bookmarkStart w:id="719" w:name="_Toc262"/>
      <w:bookmarkEnd w:id="718"/>
      <w:r>
        <w:rPr>
          <w:rtl w:val="true"/>
        </w:rPr>
        <w:t>اشاره</w:t>
      </w:r>
      <w:bookmarkEnd w:id="7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ماژول دریافت کتاب الکترونیکی در کتاب خانه ملی و دانشگاهی زاگرب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سوفیا کلارین زادرویچ </w:t>
      </w:r>
      <w:r>
        <w:rPr>
          <w:rStyle w:val="FootnoteAnchor"/>
          <w:rtl w:val="true"/>
        </w:rPr>
        <w:footnoteReference w:id="822"/>
      </w:r>
      <w:r>
        <w:rPr>
          <w:rFonts w:ascii="IRNazanin" w:hAnsi="IRNazanin" w:eastAsia="IRNazanin"/>
          <w:color w:val="111111"/>
          <w:sz w:val="28"/>
          <w:sz w:val="28"/>
          <w:szCs w:val="28"/>
          <w:rtl w:val="true"/>
          <w:lang w:bidi="fa-IR"/>
        </w:rPr>
        <w:t xml:space="preserve">، تانیا بوزینا </w:t>
      </w:r>
      <w:r>
        <w:rPr>
          <w:rStyle w:val="FootnoteAnchor"/>
          <w:rtl w:val="true"/>
        </w:rPr>
        <w:footnoteReference w:id="823"/>
      </w:r>
      <w:r>
        <w:rPr>
          <w:rFonts w:ascii="IRNazanin" w:hAnsi="IRNazanin" w:eastAsia="IRNazanin"/>
          <w:color w:val="111111"/>
          <w:sz w:val="28"/>
          <w:sz w:val="28"/>
          <w:szCs w:val="28"/>
          <w:rtl w:val="true"/>
          <w:lang w:bidi="fa-IR"/>
        </w:rPr>
        <w:t xml:space="preserve">و دونیا سریتر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اسورکو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میترا صمیعیه </w:t>
      </w:r>
      <w:r>
        <w:rPr>
          <w:rStyle w:val="FootnoteAnchor"/>
          <w:rtl w:val="true"/>
        </w:rPr>
        <w:footnoteReference w:id="825"/>
      </w:r>
    </w:p>
    <w:p>
      <w:pPr>
        <w:pStyle w:val="Heading3"/>
        <w:numPr>
          <w:ilvl w:val="2"/>
          <w:numId w:val="1"/>
        </w:numPr>
        <w:rPr/>
      </w:pPr>
      <w:bookmarkStart w:id="720" w:name="__RefHeading___Toc7825737_2870459653"/>
      <w:bookmarkStart w:id="721" w:name="_Toc263"/>
      <w:bookmarkEnd w:id="720"/>
      <w:r>
        <w:rPr/>
        <w:t>1</w:t>
      </w:r>
      <w:r>
        <w:rPr>
          <w:rtl w:val="true"/>
        </w:rPr>
        <w:t xml:space="preserve">. </w:t>
      </w:r>
      <w:r>
        <w:rPr>
          <w:rtl w:val="true"/>
        </w:rPr>
        <w:t>مقدمه</w:t>
      </w:r>
      <w:bookmarkEnd w:id="721"/>
    </w:p>
    <w:p>
      <w:pPr>
        <w:pStyle w:val="BookText"/>
        <w:rPr/>
      </w:pPr>
      <w:r>
        <w:rPr>
          <w:rFonts w:ascii="IRNazanin" w:hAnsi="IRNazanin" w:eastAsia="IRNazanin"/>
          <w:color w:val="111111"/>
          <w:sz w:val="28"/>
          <w:sz w:val="28"/>
          <w:szCs w:val="28"/>
          <w:rtl w:val="true"/>
          <w:lang w:bidi="fa-IR"/>
        </w:rPr>
        <w:t xml:space="preserve">بر طبق قانون واسپاری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کتاب خانه،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است انتشارات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منابع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آوری و از آن ها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کمبود بودجه، لازم بود که در مرحله نخست طرح، فقط تک نگاشت ها در نظام ذخیره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طرح طراحی ماژولی برای دریافت کتاب الکترونیکی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ارائه دهندگان محتوای کروات بتوانند نسخه هایی از تک نگاشت های گوناگون را به کتاب خانه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این نظام را وزارت فرهنگ جمهوری کرواسی </w:t>
      </w:r>
      <w:r>
        <w:rPr>
          <w:rStyle w:val="FootnoteAnchor"/>
          <w:rtl w:val="true"/>
        </w:rPr>
        <w:footnoteReference w:id="827"/>
      </w:r>
      <w:r>
        <w:rPr>
          <w:rFonts w:ascii="IRNazanin" w:hAnsi="IRNazanin" w:eastAsia="IRNazanin"/>
          <w:color w:val="111111"/>
          <w:sz w:val="28"/>
          <w:sz w:val="28"/>
          <w:szCs w:val="28"/>
          <w:rtl w:val="true"/>
          <w:lang w:bidi="fa-IR"/>
        </w:rPr>
        <w:t>تأمین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ساخت ماژول دریافت نسخه های واسپاری شده، لازم بود که محتوای نظام، تعداد بازیگران نظام و نقششان، الگوداده، روش های دریافت فراداده و غیره تعیین شود؛ بنابراین، بازار کتاب الکترونیک در جمهوری کرواسی به منظور تعیین تعداد و نوع تولیدکنندگان محتوا و نوع محتوا تحلیل شد</w:t>
      </w:r>
      <w:r>
        <w:rPr>
          <w:rFonts w:eastAsia="IRNazanin" w:cs="IRNazanin"/>
          <w:color w:val="111111"/>
          <w:sz w:val="28"/>
          <w:szCs w:val="28"/>
          <w:rtl w:val="true"/>
          <w:lang w:bidi="fa-IR"/>
        </w:rPr>
        <w:t xml:space="preserve">. </w:t>
      </w:r>
      <w:bookmarkStart w:id="722" w:name="pg9659_94088"/>
    </w:p>
    <w:p>
      <w:pPr>
        <w:pStyle w:val="Heading3"/>
        <w:numPr>
          <w:ilvl w:val="2"/>
          <w:numId w:val="1"/>
        </w:numPr>
        <w:rPr/>
      </w:pPr>
      <w:bookmarkStart w:id="723" w:name="__RefHeading___Toc7825739_2870459653"/>
      <w:bookmarkStart w:id="724" w:name="_Toc264"/>
      <w:bookmarkEnd w:id="722"/>
      <w:bookmarkEnd w:id="723"/>
      <w:r>
        <w:rPr/>
        <w:t>2</w:t>
      </w:r>
      <w:r>
        <w:rPr>
          <w:rtl w:val="true"/>
        </w:rPr>
        <w:t xml:space="preserve">. </w:t>
      </w:r>
      <w:r>
        <w:rPr>
          <w:rtl w:val="true"/>
        </w:rPr>
        <w:t>كتاب الکترونیکی چیست؟</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رقومی کتاب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در عصر رقومی زندگی می کنیم،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جای سؤال دارد</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هم چنین، معنای اصطلاح کتاب الکترونیک مدام در حال تغییر است و با ارتقای سطح فنی محتوای رقومی، برداشت های جدیدی از آن به وجود می آید؛ بنابراین، در زیر، تعاریف مصداقی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با توجه به اشیایی که بر طبق مقالات این حوزه، مشمول تعریف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معنای این اصطلاح را از دیدگاه های گوناگون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آنالوگ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در شکل رقومی، غالباً نسخه الکترونیکی کتاب چاپی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آپشال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در شکل رقومی، نسخه رقومی کتاب های چاپی سنتی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اُدلیس</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تولید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شده یا تبدیل شده به قالب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اِبلیدا</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آنالوگ به رقومی و رقومی به آنالوگ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فیلیمویچ،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یا محصول فرعی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رقومی شده، کتاب رقومی زاد، نسخه اصلی پی 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رقومی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های تولید محتوای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های الکترونیکی، کتاب های الکترونیکی </w:t>
      </w:r>
    </w:p>
    <w:p>
      <w:pPr>
        <w:pStyle w:val="BookText"/>
        <w:rPr/>
      </w:pPr>
      <w:r>
        <w:rPr>
          <w:rFonts w:ascii="IRNazanin" w:hAnsi="IRNazanin" w:eastAsia="IRNazanin"/>
          <w:color w:val="111111"/>
          <w:sz w:val="28"/>
          <w:sz w:val="28"/>
          <w:szCs w:val="28"/>
          <w:rtl w:val="true"/>
          <w:lang w:bidi="fa-IR"/>
        </w:rPr>
        <w:t>ارتقاء یافته و اپلیکیشن ها یا کاربردها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سندی با ویژگی های تک نگاشت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زیوکویچ،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ای تک شماره ای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انتشاراتی غیر از نشریه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آی اس بی ان</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دسترس عموم به شکل برخط یا به شکل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زیوکویچ،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روی حامل های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نوارهای قابل خواندن توسط ماشین دیسکت ها، یا سی دی 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مکتوب به شکل رقومی </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های الکترونیکی، کتاب های الکترونیکی ارتقاء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الکترونیکی ارتقاء یافته با قابلیت های تعاملی و چند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اپلیکیشن ها یا کاربردها </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های درسی الکترونیکی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اپلیکیشن ها یا کاربردها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الکترونیکی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رقومی کتاب با قابلیت علامت گذاری نکات مهم و یادداشت برداری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الکترونیکی با قابلیت 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درسی با ویژگی های اضافی مانند </w:t>
      </w:r>
    </w:p>
    <w:p>
      <w:pPr>
        <w:pStyle w:val="BookText"/>
        <w:rPr/>
      </w:pPr>
      <w:r>
        <w:rPr>
          <w:rFonts w:ascii="IRNazanin" w:hAnsi="IRNazanin" w:eastAsia="IRNazanin"/>
          <w:color w:val="111111"/>
          <w:sz w:val="28"/>
          <w:sz w:val="28"/>
          <w:szCs w:val="28"/>
          <w:rtl w:val="true"/>
          <w:lang w:bidi="fa-IR"/>
        </w:rPr>
        <w:t>ویدئو، الگوهای سه بعدی چرخان، فلش کارت های خودکار، مطالعه مجلات و یادداشت برداری همراه با دیگر دانشجویان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لسلی،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صوتی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فنی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خوانده شدن روی کامپیوتر شخصی یا کتاب خوان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اُدلیس</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روی کامپیوتر شخصی میز کار، یا دستگاه دستی مانند کتاب خوان کتاب الکترونیکی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آپشال،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حقوق رقومی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رایگان بدون مدیریت حقوق رقومی به کار گرفته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الکترونیک تجاری، کتاب های الکترونیک مشمول مدیریت حقوق رقومی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انتشار و قالب فایل</w:t>
      </w:r>
    </w:p>
    <w:p>
      <w:pPr>
        <w:pStyle w:val="BookText"/>
        <w:rPr/>
      </w:pPr>
      <w:r>
        <w:rPr>
          <w:rFonts w:ascii="IRNazanin" w:hAnsi="IRNazanin" w:eastAsia="IRNazanin"/>
          <w:color w:val="111111"/>
          <w:sz w:val="28"/>
          <w:sz w:val="28"/>
          <w:szCs w:val="28"/>
          <w:rtl w:val="true"/>
          <w:lang w:bidi="fa-IR"/>
        </w:rPr>
        <w:t xml:space="preserve">نوع انتشار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اُنیکس برای کتاب ها،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شناسگرها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آی اس بی 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زیوکویچ،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آی اس بی ان</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مطلب منتشره باید شناسگر خودش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آی اس بی ان</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شناسگر منحصر به فرد برای آثار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آی اس تی سی</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پس کتاب الکترونیکی چیست؟ به گفته بعضی نویسندگان کتاب الکترونیکی کتاب محسوب نمی شود</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کتاب الکترونیکی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فایل های الکترونیک روی نمایشگرهای رقومی است</w:t>
      </w:r>
      <w:r>
        <w:rPr>
          <w:rFonts w:eastAsia="IRNazanin" w:cs="IRNazanin"/>
          <w:color w:val="111111"/>
          <w:sz w:val="28"/>
          <w:szCs w:val="28"/>
          <w:rtl w:val="true"/>
          <w:lang w:bidi="fa-IR"/>
        </w:rPr>
        <w:t xml:space="preserve">»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محتوای کتاب الکترونیک جزء مطالب کتاب خانه ای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اشتاین </w:t>
      </w:r>
      <w:r>
        <w:rPr>
          <w:rStyle w:val="FootnoteAnchor"/>
          <w:rtl w:val="true"/>
        </w:rPr>
        <w:footnoteReference w:id="850"/>
      </w:r>
      <w:r>
        <w:rPr>
          <w:rFonts w:ascii="IRNazanin" w:hAnsi="IRNazanin" w:eastAsia="IRNazanin"/>
          <w:color w:val="111111"/>
          <w:sz w:val="28"/>
          <w:sz w:val="28"/>
          <w:szCs w:val="28"/>
          <w:rtl w:val="true"/>
          <w:lang w:bidi="fa-IR"/>
        </w:rPr>
        <w:t xml:space="preserve">با بررسی گسترش کتاب و آینده مطالعه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کتاب ها را براساس مؤلفه های فیزیکی شان تعریف نمی کنیم، بلکه بر اساس نحوه استفاده از آن ها تعریف می کنیم</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گرچه، کتاب های الکترونیک شامل اشکال گوناگونی از تک نگاشت های رقومی اند،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کتاب الکترونیک را روی دیسکت یا سی دی بخرند، اما محبوب ترین روش برای گرفتن کتاب الکترونیک خرید فایل دانلود کتاب الکترونیک از وب و مطالعه آن روی کامیپوتر یا دستگاه کتاب خوان کاربر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Margaret. What is 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رجوع کنید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http://searchmobilecomputing.techtarget.com/definition/eBook</w:t>
      </w:r>
    </w:p>
    <w:p>
      <w:pPr>
        <w:pStyle w:val="BookText"/>
        <w:rPr/>
      </w:pPr>
      <w:r>
        <w:rPr>
          <w:rFonts w:ascii="IRNazanin" w:hAnsi="IRNazanin" w:eastAsia="IRNazanin"/>
          <w:color w:val="111111"/>
          <w:sz w:val="28"/>
          <w:sz w:val="28"/>
          <w:szCs w:val="28"/>
          <w:rtl w:val="true"/>
          <w:lang w:bidi="fa-IR"/>
        </w:rPr>
        <w:t>حس می کنیم که کاربران، ناشرین و حتی کتاب داران اصطلاح کتاب های الکترونیک را فقط به کتاب های الکترونیکی اطلاق می کنند که می توان آن ها را روی دستگاه خاصی، به ویژه دستگاه تلفن همراه،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گفته می شود که کتاب</w:t>
      </w:r>
    </w:p>
    <w:p>
      <w:pPr>
        <w:pStyle w:val="BookText"/>
        <w:rPr/>
      </w:pPr>
      <w:r>
        <w:rPr>
          <w:rFonts w:ascii="IRNazanin" w:hAnsi="IRNazanin" w:eastAsia="IRNazanin"/>
          <w:color w:val="111111"/>
          <w:sz w:val="28"/>
          <w:sz w:val="28"/>
          <w:szCs w:val="28"/>
          <w:rtl w:val="true"/>
          <w:lang w:bidi="fa-IR"/>
        </w:rPr>
        <w:t xml:space="preserve">الکترونیکی محصول خاص منظوره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الکترونیکی هیچ نسخه چاپی یا ارتقاء یافته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محصولات فرعی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رقومی کتاب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آنالوگ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اکنون زمان تعریف واژه جدیدی برای کتاب الکترونیکی فرا رسیده است؟ به تازگی، درباره پیشنهاد جایگزینی واژه کدکس </w:t>
      </w:r>
      <w:r>
        <w:rPr>
          <w:rStyle w:val="FootnoteAnchor"/>
          <w:rtl w:val="true"/>
        </w:rPr>
        <w:footnoteReference w:id="853"/>
      </w:r>
      <w:r>
        <w:rPr>
          <w:rFonts w:ascii="IRNazanin" w:hAnsi="IRNazanin" w:eastAsia="IRNazanin"/>
          <w:color w:val="111111"/>
          <w:sz w:val="28"/>
          <w:sz w:val="28"/>
          <w:szCs w:val="28"/>
          <w:rtl w:val="true"/>
          <w:lang w:bidi="fa-IR"/>
        </w:rPr>
        <w:t>به جای کتاب الکترونیک مطلبی نوشته ایم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کتاب های الکترونیک با مطالعه سنتی تفاوت فراوانی دارد، بنابراین به واژه جدیدی در این زمینه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فین، اسچریچ،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اما نظرات كاملاً متضادی در این باره وجود دارد</w:t>
      </w:r>
      <w:r>
        <w:rPr>
          <w:rFonts w:eastAsia="IRNazanin" w:cs="IRNazanin"/>
          <w:color w:val="111111"/>
          <w:sz w:val="28"/>
          <w:szCs w:val="28"/>
          <w:rtl w:val="true"/>
          <w:lang w:bidi="fa-IR"/>
        </w:rPr>
        <w:t xml:space="preserve">. </w:t>
      </w:r>
      <w:r>
        <w:rPr>
          <w:rStyle w:val="FootnoteAnchor"/>
          <w:rtl w:val="true"/>
        </w:rPr>
        <w:footnoteReference w:id="855"/>
      </w:r>
      <w:bookmarkStart w:id="725" w:name="pg9659_94092"/>
    </w:p>
    <w:p>
      <w:pPr>
        <w:pStyle w:val="BookText"/>
        <w:rPr/>
      </w:pPr>
      <w:bookmarkEnd w:id="725"/>
      <w:r>
        <w:rPr>
          <w:rFonts w:ascii="IRNazanin" w:hAnsi="IRNazanin" w:eastAsia="IRNazanin"/>
          <w:color w:val="111111"/>
          <w:sz w:val="28"/>
          <w:sz w:val="28"/>
          <w:szCs w:val="28"/>
          <w:rtl w:val="true"/>
          <w:lang w:bidi="fa-IR"/>
        </w:rPr>
        <w:t xml:space="preserve">در بافت طرح ما و برای تسهیل ارتباط با ناشرین، از اصطلاح کتاب رقومی برای تمام انواع تک نگاشت های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رسانه ملموس کتاب های رقومی </w:t>
      </w:r>
      <w:r>
        <w:rPr>
          <w:rStyle w:val="FootnoteAnchor"/>
          <w:rtl w:val="true"/>
        </w:rPr>
        <w:footnoteReference w:id="856"/>
      </w:r>
      <w:r>
        <w:rPr>
          <w:rFonts w:ascii="IRNazanin" w:hAnsi="IRNazanin" w:eastAsia="IRNazanin"/>
          <w:color w:val="111111"/>
          <w:sz w:val="28"/>
          <w:sz w:val="28"/>
          <w:szCs w:val="28"/>
          <w:rtl w:val="true"/>
          <w:lang w:bidi="fa-IR"/>
        </w:rPr>
        <w:t xml:space="preserve">، کتاب های رقومی شده، کتاب های صوتی رقومی </w:t>
      </w:r>
      <w:r>
        <w:rPr>
          <w:rStyle w:val="FootnoteAnchor"/>
          <w:rtl w:val="true"/>
        </w:rPr>
        <w:footnoteReference w:id="857"/>
      </w:r>
      <w:r>
        <w:rPr>
          <w:rFonts w:ascii="IRNazanin" w:hAnsi="IRNazanin" w:eastAsia="IRNazanin"/>
          <w:color w:val="111111"/>
          <w:sz w:val="28"/>
          <w:sz w:val="28"/>
          <w:szCs w:val="28"/>
          <w:rtl w:val="true"/>
          <w:lang w:bidi="fa-IR"/>
        </w:rPr>
        <w:t xml:space="preserve">و مطالب منتشره به شکل پی دی اف که به وسیله آرشیو وب کرواسی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اصطلاح کتاب الکترونیک برای کتاب های الکترونیکِ تجاری استفاده کردیم که می توان روی رایانه شخصی، یا دستگاه دستی مانند کتاب خوان کتاب الکترونیکی خواند</w:t>
      </w:r>
    </w:p>
    <w:p>
      <w:pPr>
        <w:pStyle w:val="Heading3"/>
        <w:numPr>
          <w:ilvl w:val="2"/>
          <w:numId w:val="1"/>
        </w:numPr>
        <w:rPr/>
      </w:pPr>
      <w:bookmarkStart w:id="726" w:name="__RefHeading___Toc7825741_2870459653"/>
      <w:bookmarkStart w:id="727" w:name="_Toc265"/>
      <w:bookmarkEnd w:id="726"/>
      <w:r>
        <w:rPr/>
        <w:t>3</w:t>
      </w:r>
      <w:r>
        <w:rPr>
          <w:rtl w:val="true"/>
        </w:rPr>
        <w:t xml:space="preserve">. </w:t>
      </w:r>
      <w:r>
        <w:rPr>
          <w:rtl w:val="true"/>
        </w:rPr>
        <w:t>تحلیل مطالب انتشارات رقومی تک شماره ای و ناشران شان</w:t>
      </w:r>
      <w:bookmarkEnd w:id="727"/>
    </w:p>
    <w:p>
      <w:pPr>
        <w:pStyle w:val="BookText"/>
        <w:rPr/>
      </w:pPr>
      <w:r>
        <w:rPr>
          <w:rFonts w:ascii="IRNazanin" w:hAnsi="IRNazanin" w:eastAsia="IRNazanin"/>
          <w:color w:val="111111"/>
          <w:sz w:val="28"/>
          <w:sz w:val="28"/>
          <w:szCs w:val="28"/>
          <w:rtl w:val="true"/>
          <w:lang w:bidi="fa-IR"/>
        </w:rPr>
        <w:t xml:space="preserve">گر چه، کتاب های الکترونیکِ دارای مدیریت حقوق رقومی بیشترین مسائل را برای کتاب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ایفای نقش مدیر دارایی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آورند، در تحلیل بازار کتاب الکترونیک کرواسی، تلاش کردیم انواع مختلف تک نگاشت های رقومی و ناشرانشان را بررسی کنیم</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بازار کتاب الکترونیک کرواسی به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ولاگیچ و پهار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وب سایت کتاب های الکترونیکی را گردآوری می کنند </w:t>
      </w:r>
      <w:r>
        <w:rPr>
          <w:rStyle w:val="FootnoteAnchor"/>
          <w:rtl w:val="true"/>
        </w:rPr>
        <w:footnoteReference w:id="860"/>
      </w:r>
      <w:r>
        <w:rPr>
          <w:rFonts w:ascii="IRNazanin" w:hAnsi="IRNazanin" w:eastAsia="IRNazanin"/>
          <w:color w:val="111111"/>
          <w:sz w:val="28"/>
          <w:sz w:val="28"/>
          <w:szCs w:val="28"/>
          <w:rtl w:val="true"/>
          <w:lang w:bidi="fa-IR"/>
        </w:rPr>
        <w:t>، اما تعداد ناشرین کتاب های الکترونیکی در کرواسی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داده های سازمان آی اس بی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کرواسی،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در جمهوری کرواسی اعلام کرده اند که کتاب های الکترونیکی تولید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کتاب الکترونیکی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سکوهای تجاری گوناگونی در دسترس است، اما تعداد کتاب های الکترونیکی دارای مدیریت حقوق رقومی کم تر از کتاب های الکترونیکی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پیشین درباره انتشارات الکترونیک در کرواسی نشان می دهد که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الکترونیک یعنی حدود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منحصر به فرد دارای مدیریت حقوق رقومی 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ولاگیچ، بهار،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دیگر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قالب الکترونیک</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پیدا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گلدستاین، سیکیچ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تحقیق دیگری قصد داشت که گونه ها و ویژگی های تک نگاشت های رقومی را در کرواسی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داده های فهرست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کرواسی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داده های آماری سازمان آی اس بی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کرواسی و تحقیقات انجام شده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کرواسی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نسخه های واسپاری شده تحلیل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تک نگاشت های رقومی در کرواسی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28" w:name="pg9659_94094"/>
    </w:p>
    <w:p>
      <w:pPr>
        <w:pStyle w:val="BookText"/>
        <w:rPr/>
      </w:pPr>
      <w:bookmarkEnd w:id="728"/>
      <w:r>
        <w:rPr>
          <w:rFonts w:ascii="IRNazanin" w:hAnsi="IRNazanin" w:eastAsia="IRNazanin"/>
          <w:color w:val="111111"/>
          <w:sz w:val="28"/>
          <w:sz w:val="28"/>
          <w:szCs w:val="28"/>
          <w:rtl w:val="true"/>
          <w:lang w:bidi="fa-IR"/>
        </w:rPr>
        <w:t>در قیاس با سایر بازارهای کتاب الکترونیکی، تعداد کتاب های الکترونیکی تجاری کم است، اما خودانتشاری و نشر الکترونیک دانشگاهی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تحقیق نشان می دهد که کتاب های ارتقاء یافته و کتاب های الکترونیک در کرواسی غالباً جزء محصولات فرعی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منبع آنالوگ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عدم توسعه انتشارات الکترونیک، کتاب خانه ملی و دانشگاهی زاگرب اندکی زمان دارد تا ماژول دریافت نسخه های واسپاری شده را به درستی ایجاد کند</w:t>
      </w:r>
      <w:r>
        <w:rPr>
          <w:rFonts w:eastAsia="IRNazanin" w:cs="IRNazanin"/>
          <w:color w:val="111111"/>
          <w:sz w:val="28"/>
          <w:szCs w:val="28"/>
          <w:rtl w:val="true"/>
          <w:lang w:bidi="fa-IR"/>
        </w:rPr>
        <w:t>.</w:t>
      </w:r>
    </w:p>
    <w:p>
      <w:pPr>
        <w:pStyle w:val="Heading3"/>
        <w:numPr>
          <w:ilvl w:val="2"/>
          <w:numId w:val="1"/>
        </w:numPr>
        <w:rPr/>
      </w:pPr>
      <w:bookmarkStart w:id="729" w:name="__RefHeading___Toc7825743_2870459653"/>
      <w:bookmarkStart w:id="730" w:name="_Toc266"/>
      <w:bookmarkEnd w:id="729"/>
      <w:r>
        <w:rPr/>
        <w:t>4</w:t>
      </w:r>
      <w:r>
        <w:rPr>
          <w:rtl w:val="true"/>
        </w:rPr>
        <w:t xml:space="preserve">. </w:t>
      </w:r>
      <w:r>
        <w:rPr>
          <w:rtl w:val="true"/>
        </w:rPr>
        <w:t xml:space="preserve">تجربه های پیشینِ </w:t>
      </w:r>
      <w:r>
        <w:rPr>
          <w:rtl w:val="true"/>
        </w:rPr>
        <w:t>«</w:t>
      </w:r>
      <w:r>
        <w:rPr>
          <w:rtl w:val="true"/>
        </w:rPr>
        <w:t>کتاب خانه ملی و دانشگاهی زاگرب</w:t>
      </w:r>
      <w:r>
        <w:rPr>
          <w:rtl w:val="true"/>
        </w:rPr>
        <w:t xml:space="preserve">» </w:t>
      </w:r>
      <w:r>
        <w:rPr>
          <w:rtl w:val="true"/>
        </w:rPr>
        <w:t>از مدیریت دارایی رقومی</w:t>
      </w:r>
      <w:bookmarkEnd w:id="730"/>
    </w:p>
    <w:p>
      <w:pPr>
        <w:pStyle w:val="Heading4"/>
        <w:numPr>
          <w:ilvl w:val="3"/>
          <w:numId w:val="1"/>
        </w:numPr>
        <w:rPr/>
      </w:pPr>
      <w:bookmarkStart w:id="731" w:name="__RefHeading___Toc7825745_2870459653"/>
      <w:bookmarkStart w:id="732" w:name="_Toc267"/>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با توجه به اجرای قانون کتاب خانه که براساس آن کتاب خانه ها نسخه های واسپاری شده را گردآوری و آرشیو می کنند و مکلف اند انتشارات الکترونیک را به دو شکل رسانه ملموس و برخط در بلندمدت در دسترس عموم قرار دهند، کتاب خانه ملی و دانشگاهی زاگرب تجربیاتی درباره مدیریت دارایی های رقومی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الکترونیک جزء موارد مشمول این قانون ذکر نشده است، اما می توان آن را در دسته انتشارات الکترونیک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محتوا، کتاب الکترونیک قطعاً بخشی از میراث فرهنگی کشور است و باید از آن محافظت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نظام ماژولی برای کتاب خانه رقومی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شامل نظام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وب کرواسی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انباره دانشگاهی رقومی</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کتاب رقومی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رقومی شده روزنامه ها و مجلات تاریخی کرواسی</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و چند نظام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انواع گوناگون محتوای رقومی است و رابط های کاربر بازیابی و دستیابی مناسب را ارائه می کند</w:t>
      </w:r>
      <w:r>
        <w:rPr>
          <w:rFonts w:eastAsia="IRNazanin" w:cs="IRNazanin"/>
          <w:color w:val="111111"/>
          <w:sz w:val="28"/>
          <w:szCs w:val="28"/>
          <w:rtl w:val="true"/>
          <w:lang w:bidi="fa-IR"/>
        </w:rPr>
        <w:t>.</w:t>
      </w:r>
    </w:p>
    <w:p>
      <w:pPr>
        <w:pStyle w:val="Heading4"/>
        <w:numPr>
          <w:ilvl w:val="3"/>
          <w:numId w:val="1"/>
        </w:numPr>
        <w:rPr/>
      </w:pPr>
      <w:bookmarkStart w:id="733" w:name="__RefHeading___Toc7825747_2870459653"/>
      <w:bookmarkStart w:id="734" w:name="_Toc268"/>
      <w:bookmarkEnd w:id="733"/>
      <w:r>
        <w:rPr/>
        <w:t>1.4</w:t>
      </w:r>
      <w:r>
        <w:rPr>
          <w:rtl w:val="true"/>
        </w:rPr>
        <w:t xml:space="preserve">. </w:t>
      </w:r>
      <w:r>
        <w:rPr>
          <w:rtl w:val="true"/>
        </w:rPr>
        <w:t>انتشارات الکترونیک روی رسانه ملموس</w:t>
      </w:r>
      <w:bookmarkEnd w:id="73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های ملموس انتشارات الکترونیک 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شده اند و فرآیند حفاظتشان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bookmarkStart w:id="735" w:name="pg9659_94095"/>
    </w:p>
    <w:p>
      <w:pPr>
        <w:pStyle w:val="BookText"/>
        <w:rPr/>
      </w:pPr>
      <w:bookmarkEnd w:id="735"/>
      <w:r>
        <w:rPr>
          <w:rFonts w:ascii="IRNazanin" w:hAnsi="IRNazanin" w:eastAsia="IRNazanin"/>
          <w:color w:val="111111"/>
          <w:sz w:val="28"/>
          <w:sz w:val="28"/>
          <w:szCs w:val="28"/>
          <w:rtl w:val="true"/>
          <w:lang w:bidi="fa-IR"/>
        </w:rPr>
        <w:t xml:space="preserve">نخستین نسخه الکترونیک در کنار کتاب های چاپ شده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کلارین،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ملموس تک نگاشت های الکترونیک، به خاطر محتوای پیچیده شان، مستلزم مراقبت بیشتر برای حفاظت بلند مدت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 نگاشت ها، به علت ویژگی های خاصشان، باید قطعاً بخشی از نظام مدیریت کتاب های رقومی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w:t>
      </w:r>
      <w:r>
        <w:rPr>
          <w:rFonts w:eastAsia="IRNazanin" w:cs="IRNazanin"/>
          <w:color w:val="111111"/>
          <w:sz w:val="28"/>
          <w:szCs w:val="28"/>
          <w:rtl w:val="true"/>
          <w:lang w:bidi="fa-IR"/>
        </w:rPr>
        <w:t>(</w:t>
      </w:r>
      <w:r>
        <w:rPr>
          <w:rFonts w:eastAsia="IRNazanin" w:cs="IRNazanin"/>
          <w:color w:val="111111"/>
          <w:sz w:val="28"/>
          <w:szCs w:val="28"/>
          <w:lang w:bidi="fa-IR"/>
        </w:rPr>
        <w:t>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منابع الکترونیکی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w:t>
      </w:r>
    </w:p>
    <w:p>
      <w:pPr>
        <w:pStyle w:val="Heading4"/>
        <w:numPr>
          <w:ilvl w:val="3"/>
          <w:numId w:val="1"/>
        </w:numPr>
        <w:rPr/>
      </w:pPr>
      <w:bookmarkStart w:id="736" w:name="__RefHeading___Toc7825749_2870459653"/>
      <w:bookmarkStart w:id="737" w:name="_Toc269"/>
      <w:bookmarkEnd w:id="736"/>
      <w:r>
        <w:rPr/>
        <w:t>2/4</w:t>
      </w:r>
      <w:r>
        <w:rPr>
          <w:rtl w:val="true"/>
        </w:rPr>
        <w:t xml:space="preserve">. </w:t>
      </w:r>
      <w:r>
        <w:rPr>
          <w:rtl w:val="true"/>
        </w:rPr>
        <w:t xml:space="preserve">منابع وب </w:t>
      </w:r>
      <w:r>
        <w:rPr>
          <w:rtl w:val="true"/>
        </w:rPr>
        <w:t>(«</w:t>
      </w:r>
      <w:r>
        <w:rPr>
          <w:rtl w:val="true"/>
        </w:rPr>
        <w:t>ارشیو وب کروانی</w:t>
      </w:r>
      <w:r>
        <w:rPr>
          <w:rtl w:val="true"/>
        </w:rPr>
        <w:t xml:space="preserve">» </w:t>
      </w:r>
      <w:r>
        <w:rPr>
          <w:rtl w:val="true"/>
        </w:rPr>
        <w:t>ایچ ای تبلیو</w:t>
      </w:r>
      <w:r>
        <w:rPr>
          <w:rtl w:val="true"/>
        </w:rPr>
        <w:t>)</w:t>
      </w:r>
      <w:bookmarkEnd w:id="73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اساسی قانون واسپاری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هنگام راه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ارشیو وب کرواسی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برخط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وب گزینش شده فهرست نویسی می شوند و در فهرست یک پارچه کتاب خانه قابل بازیابی اند و در این فهرست، پیوند نسخه های اصلی موجود در وب و </w:t>
      </w:r>
    </w:p>
    <w:p>
      <w:pPr>
        <w:pStyle w:val="BookText"/>
        <w:rPr/>
      </w:pPr>
      <w:r>
        <w:rPr>
          <w:rFonts w:ascii="IRNazanin" w:hAnsi="IRNazanin" w:eastAsia="IRNazanin"/>
          <w:color w:val="111111"/>
          <w:sz w:val="28"/>
          <w:sz w:val="28"/>
          <w:szCs w:val="28"/>
          <w:rtl w:val="true"/>
          <w:lang w:bidi="fa-IR"/>
        </w:rPr>
        <w:t xml:space="preserve">صفحه های آرشیو شده 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وب کرواسی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افزایش میزان انتشارات وی که آرشیو می شوند و جامع تر کردن مجموعه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روانِیکا</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مطالب دامنه ملی را درطی سال 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تمام محتوای در دسترین عموم، در چارچوب زمانی مشخص، از دامنه های فعالِ اچ آر،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آر، فرام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وب کرواسی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گردآوری کتاب های برخط ادامه می دهد، اما این کتاب ها همراه با دیگر انواع انتشارات تک شمارهای رقومی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آرشيو وب کرواسی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آرشیو کتاب هایی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کرواسی</w:t>
      </w:r>
      <w:r>
        <w:rPr>
          <w:rFonts w:eastAsia="IRNazanin" w:cs="IRNazanin"/>
          <w:color w:val="111111"/>
          <w:sz w:val="28"/>
          <w:szCs w:val="28"/>
          <w:rtl w:val="true"/>
          <w:lang w:bidi="fa-IR"/>
        </w:rPr>
        <w:t xml:space="preserve">» </w:t>
      </w:r>
      <w:bookmarkStart w:id="738" w:name="pg9659_94097"/>
    </w:p>
    <w:p>
      <w:pPr>
        <w:pStyle w:val="Heading4"/>
        <w:numPr>
          <w:ilvl w:val="3"/>
          <w:numId w:val="1"/>
        </w:numPr>
        <w:rPr/>
      </w:pPr>
      <w:bookmarkStart w:id="739" w:name="__RefHeading___Toc7825751_2870459653"/>
      <w:bookmarkStart w:id="740" w:name="_Toc270"/>
      <w:bookmarkEnd w:id="738"/>
      <w:bookmarkEnd w:id="739"/>
      <w:r>
        <w:rPr/>
        <w:t>3/4</w:t>
      </w:r>
      <w:r>
        <w:rPr>
          <w:rtl w:val="true"/>
        </w:rPr>
        <w:t xml:space="preserve">. </w:t>
      </w:r>
      <w:r>
        <w:rPr>
          <w:rtl w:val="true"/>
        </w:rPr>
        <w:t xml:space="preserve">رساله ها و پایان نامه های رقومی </w:t>
      </w:r>
      <w:r>
        <w:rPr>
          <w:rtl w:val="true"/>
        </w:rPr>
        <w:t>(</w:t>
      </w:r>
      <w:r>
        <w:rPr>
          <w:rtl w:val="true"/>
        </w:rPr>
        <w:t>انباره دانشگاهی رقومی</w:t>
      </w:r>
      <w:r>
        <w:rPr>
          <w:rtl w:val="true"/>
        </w:rPr>
        <w:t>)</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ها و پایان نامه های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انباره دانشگاهی رقومی</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طبق قانون تحصیلات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جولای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پایان نامه ها و رساله های الکترونیکی را آرشیو کند و در دسترس عموم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این كتاب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انباره دانشگاهی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منظور گردآوری و آرشیو رساله های رقومی دانشگاه زاگرب و دیگر دانشگاه های کرواسی و دستیابی عموم به آن ها در قالب انباره ای واحد راه اندازی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ها شامل رساله های رقومی شده و منتقل شده و ساله های برگرفته از وب و برخط و رساله هایی بود که نویسندگان شبان ارسال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انباره دانشگاهی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الگو داده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انباره دانشگاهی رقومی</w:t>
      </w:r>
      <w:r>
        <w:rPr>
          <w:rFonts w:eastAsia="IRNazanin" w:cs="IRNazanin"/>
          <w:color w:val="111111"/>
          <w:sz w:val="28"/>
          <w:szCs w:val="28"/>
          <w:rtl w:val="true"/>
          <w:lang w:bidi="fa-IR"/>
        </w:rPr>
        <w:t xml:space="preserve">» </w:t>
      </w:r>
      <w:bookmarkStart w:id="741" w:name="pg9659_94098"/>
    </w:p>
    <w:p>
      <w:pPr>
        <w:pStyle w:val="Heading4"/>
        <w:numPr>
          <w:ilvl w:val="3"/>
          <w:numId w:val="1"/>
        </w:numPr>
        <w:rPr/>
      </w:pPr>
      <w:bookmarkStart w:id="742" w:name="__RefHeading___Toc7825753_2870459653"/>
      <w:bookmarkStart w:id="743" w:name="_Toc271"/>
      <w:bookmarkEnd w:id="741"/>
      <w:bookmarkEnd w:id="742"/>
      <w:r>
        <w:rPr/>
        <w:t>4/4</w:t>
      </w:r>
      <w:r>
        <w:rPr>
          <w:rtl w:val="true"/>
        </w:rPr>
        <w:t xml:space="preserve">. </w:t>
      </w:r>
      <w:r>
        <w:rPr>
          <w:rtl w:val="true"/>
        </w:rPr>
        <w:t xml:space="preserve">کتاب های رقومی شده </w:t>
      </w:r>
      <w:r>
        <w:rPr>
          <w:rtl w:val="true"/>
        </w:rPr>
        <w:t>(</w:t>
      </w:r>
      <w:r>
        <w:rPr>
          <w:rtl w:val="true"/>
        </w:rPr>
        <w:t>نظام دی بوک</w:t>
      </w:r>
      <w:r>
        <w:rPr>
          <w:rtl w:val="true"/>
        </w:rPr>
        <w:t>)</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مدیریت کتاب رقومی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دی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رقومی کردن میراث فرهنگی کرواسی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 های مالی و فقدان زیر ساخت مناسب برای مدیریت محتوای رقومی در کتاب خانه های کرواسی، تعداد کتاب های رقومی شده نسبتاً کم بود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تا آن جا که می دانیم، کتاب های رقومی شده بخش مهمی از انتشارات الکترونیک کرواسی اند، اما به درستی شناسایی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شماره بین المللی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اس بی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های رقومی شده از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موازات ایجاد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کتاب های رقومی شده</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در نظام دی بوک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بخش نخستین گام به سوی تهیه فهرست کتاب های الکترونیکی رقومی شده در نهادهای میراث فرهنگی کرواسی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واسپاری کتاب های رقومی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انتشارات رقومی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تغییرات اعلام شده در قانون واسپاری کرواسی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توسعه، کتاب های رقومی شده و کتاب های صوتی رقومی به نظام دی بوک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صوتی رقومی غالباً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نابینایان کرواسی</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به قالب دیزی </w:t>
      </w:r>
      <w:r>
        <w:rPr>
          <w:rStyle w:val="FootnoteAnchor"/>
          <w:rtl w:val="true"/>
        </w:rPr>
        <w:footnoteReference w:id="875"/>
      </w:r>
      <w:r>
        <w:rPr>
          <w:rFonts w:ascii="IRNazanin" w:hAnsi="IRNazanin" w:eastAsia="IRNazanin"/>
          <w:color w:val="111111"/>
          <w:sz w:val="28"/>
          <w:sz w:val="28"/>
          <w:szCs w:val="28"/>
          <w:rtl w:val="true"/>
          <w:lang w:bidi="fa-IR"/>
        </w:rPr>
        <w:t>روی رسانه ملموس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که بخشی از نظام دی بوک هستند و مدیریت حقوق دستیابی را ممکن می کنند، برای گروه کاربران هدف در دسترس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جدید نظام دی بوک تمام انواع دیگر محتوای رقومی تک نگاشت، از جمله تک نگاشت های فاقد مدیریت حقوق رقومی که در وب منتشر شده اند، کتاب های الکترونیکی تجاری و نسخه اصلی پی دی اف کتاب های رقومی را گردآوری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دی بوک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به شرکت فناوری اطلاعات آرچیو پرو </w:t>
      </w:r>
      <w:r>
        <w:rPr>
          <w:rStyle w:val="FootnoteAnchor"/>
          <w:rtl w:val="true"/>
        </w:rPr>
        <w:footnoteReference w:id="876"/>
      </w:r>
      <w:r>
        <w:rPr>
          <w:rFonts w:ascii="IRNazanin" w:hAnsi="IRNazanin" w:eastAsia="IRNazanin"/>
          <w:color w:val="111111"/>
          <w:sz w:val="28"/>
          <w:sz w:val="28"/>
          <w:szCs w:val="28"/>
          <w:rtl w:val="true"/>
          <w:lang w:bidi="fa-IR"/>
        </w:rPr>
        <w:t>برون سپاری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برای مدیریت دارایی های رقومی استفاده می شود و الگو فراداده ترکیبی را به کار می گیرد که استفاده از الگوهای داده استاندارد گوناگون را ممکن می سازد و ماژول های یک پارچهٔ آن ارتباط، تبدیل و صدور داده ها را به هر نظام دیگری را ممکن می 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الگو داده، هم چنین می توان منابع رقومی و اصل آن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به فراداده </w:t>
      </w:r>
    </w:p>
    <w:p>
      <w:pPr>
        <w:pStyle w:val="BookText"/>
        <w:rPr/>
      </w:pPr>
      <w:r>
        <w:rPr>
          <w:rFonts w:ascii="IRNazanin" w:hAnsi="IRNazanin" w:eastAsia="IRNazanin"/>
          <w:color w:val="111111"/>
          <w:sz w:val="28"/>
          <w:sz w:val="28"/>
          <w:szCs w:val="28"/>
          <w:rtl w:val="true"/>
          <w:lang w:bidi="fa-IR"/>
        </w:rPr>
        <w:t>نسخه اصلی موجود در فهرست کتاب خانه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تجربیات حاصل از طرح پیشینمان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خانه رقومی روزنامه ها و مجلات تاریخی،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توصیفاتی در سطح مجموعه به الگو داده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توصیفات، می توان ارتباط فراداده شیء رقومی را با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تولید کنندگان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نویسندگان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كاربرد الگو رویدان محور باعث می شود بتوانیم طرح رقومی بازی را توصیف کنیم و دیگر اقداماتی که روی شیء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طرح ریز فیلم، مرمت، یا حفاظت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جدیدی برای تمام انواع انتشارات تک شماره ای </w:t>
      </w:r>
      <w:bookmarkStart w:id="744" w:name="pg9659_94100"/>
    </w:p>
    <w:p>
      <w:pPr>
        <w:pStyle w:val="BookText"/>
        <w:rPr/>
      </w:pPr>
      <w:bookmarkEnd w:id="744"/>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گر جاوانکربهت </w:t>
      </w:r>
      <w:r>
        <w:rPr>
          <w:rStyle w:val="FootnoteAnchor"/>
          <w:rtl w:val="true"/>
        </w:rPr>
        <w:footnoteReference w:id="877"/>
      </w:r>
      <w:r>
        <w:rPr>
          <w:rFonts w:ascii="IRNazanin" w:hAnsi="IRNazanin" w:eastAsia="IRNazanin"/>
          <w:color w:val="111111"/>
          <w:sz w:val="28"/>
          <w:sz w:val="28"/>
          <w:szCs w:val="28"/>
          <w:rtl w:val="true"/>
          <w:lang w:bidi="fa-IR"/>
        </w:rPr>
        <w:t>نظام دی بوک</w:t>
      </w:r>
    </w:p>
    <w:p>
      <w:pPr>
        <w:pStyle w:val="Heading3"/>
        <w:numPr>
          <w:ilvl w:val="2"/>
          <w:numId w:val="1"/>
        </w:numPr>
        <w:rPr/>
      </w:pPr>
      <w:bookmarkStart w:id="745" w:name="__RefHeading___Toc7825755_2870459653"/>
      <w:bookmarkStart w:id="746" w:name="_Toc272"/>
      <w:bookmarkEnd w:id="745"/>
      <w:r>
        <w:rPr/>
        <w:t>5</w:t>
      </w:r>
      <w:r>
        <w:rPr>
          <w:rtl w:val="true"/>
        </w:rPr>
        <w:t xml:space="preserve">. </w:t>
      </w:r>
      <w:r>
        <w:rPr>
          <w:rtl w:val="true"/>
        </w:rPr>
        <w:t>ماژول دریافت کتاب های الکترونیک</w:t>
      </w:r>
      <w:bookmarkEnd w:id="746"/>
    </w:p>
    <w:p>
      <w:pPr>
        <w:pStyle w:val="Heading4"/>
        <w:numPr>
          <w:ilvl w:val="3"/>
          <w:numId w:val="1"/>
        </w:numPr>
        <w:rPr/>
      </w:pPr>
      <w:bookmarkStart w:id="747" w:name="__RefHeading___Toc7825757_2870459653"/>
      <w:bookmarkStart w:id="748" w:name="_Toc273"/>
      <w:bookmarkEnd w:id="747"/>
      <w:r>
        <w:rPr>
          <w:rtl w:val="true"/>
        </w:rPr>
        <w:t>اشاره</w:t>
      </w:r>
      <w:bookmarkEnd w:id="7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بهبود میان کنش پذیری </w:t>
      </w:r>
      <w:r>
        <w:rPr>
          <w:rStyle w:val="FootnoteAnchor"/>
          <w:rtl w:val="true"/>
        </w:rPr>
        <w:footnoteReference w:id="878"/>
      </w:r>
      <w:r>
        <w:rPr>
          <w:rFonts w:ascii="IRNazanin" w:hAnsi="IRNazanin" w:eastAsia="IRNazanin"/>
          <w:color w:val="111111"/>
          <w:sz w:val="28"/>
          <w:sz w:val="28"/>
          <w:szCs w:val="28"/>
          <w:rtl w:val="true"/>
          <w:lang w:bidi="fa-IR"/>
        </w:rPr>
        <w:t xml:space="preserve">بین نظام های کتاب خانه رقومی موجود و ایجاد فرآیند تجاری جدید برای ارتباط با ناشرین محتوای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 ماژول دریافت جدیدی برای تحویل محتوای رقومی تک نگاشت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ماژول روی همان سکوی نظام دی بوک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دریافت کتاب الکترونیک برای استفاده ارائه دهندگان محتوای رقومی ساخته شده است تا بتوانند کتاب های الکترونیک و قراداده این کتاب ها را به کتاب خانه تحویل دهند</w:t>
      </w:r>
      <w:r>
        <w:rPr>
          <w:rFonts w:eastAsia="IRNazanin" w:cs="IRNazanin"/>
          <w:color w:val="111111"/>
          <w:sz w:val="28"/>
          <w:szCs w:val="28"/>
          <w:rtl w:val="true"/>
          <w:lang w:bidi="fa-IR"/>
        </w:rPr>
        <w:t xml:space="preserve">. </w:t>
      </w:r>
      <w:bookmarkStart w:id="749" w:name="pg9659_94101"/>
    </w:p>
    <w:p>
      <w:pPr>
        <w:pStyle w:val="Heading4"/>
        <w:numPr>
          <w:ilvl w:val="3"/>
          <w:numId w:val="1"/>
        </w:numPr>
        <w:rPr/>
      </w:pPr>
      <w:bookmarkStart w:id="750" w:name="__RefHeading___Toc7825759_2870459653"/>
      <w:bookmarkStart w:id="751" w:name="_Toc274"/>
      <w:bookmarkEnd w:id="749"/>
      <w:bookmarkEnd w:id="750"/>
      <w:r>
        <w:rPr/>
        <w:t>1.5</w:t>
      </w:r>
      <w:r>
        <w:rPr>
          <w:rtl w:val="true"/>
        </w:rPr>
        <w:t xml:space="preserve">. </w:t>
      </w:r>
      <w:r>
        <w:rPr>
          <w:rtl w:val="true"/>
        </w:rPr>
        <w:t>قابلیت های نظام کتاب الکترونیک</w:t>
      </w:r>
      <w:bookmarkEnd w:id="751"/>
    </w:p>
    <w:p>
      <w:pPr>
        <w:pStyle w:val="BookText"/>
        <w:rPr/>
      </w:pPr>
      <w:r>
        <w:rPr>
          <w:rFonts w:ascii="IRNazanin" w:hAnsi="IRNazanin" w:eastAsia="IRNazanin"/>
          <w:color w:val="111111"/>
          <w:sz w:val="28"/>
          <w:sz w:val="28"/>
          <w:szCs w:val="28"/>
          <w:rtl w:val="true"/>
          <w:lang w:bidi="fa-IR"/>
        </w:rPr>
        <w:t xml:space="preserve">فرآیند تحویل محتوا شامل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فراداده، مدیریت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دریافت می رقومی، وارسی، آرشیوسازی، دستیابی، به محتوای رقومی و بازیابی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کتاب الکترونیک</w:t>
      </w:r>
    </w:p>
    <w:p>
      <w:pPr>
        <w:pStyle w:val="Heading4"/>
        <w:numPr>
          <w:ilvl w:val="3"/>
          <w:numId w:val="1"/>
        </w:numPr>
        <w:rPr/>
      </w:pPr>
      <w:bookmarkStart w:id="752" w:name="__RefHeading___Toc7825761_2870459653"/>
      <w:bookmarkStart w:id="753" w:name="_Toc275"/>
      <w:bookmarkEnd w:id="752"/>
      <w:r>
        <w:rPr/>
        <w:t>2.5</w:t>
      </w:r>
      <w:r>
        <w:rPr>
          <w:rtl w:val="true"/>
        </w:rPr>
        <w:t xml:space="preserve">. </w:t>
      </w:r>
      <w:r>
        <w:rPr>
          <w:rtl w:val="true"/>
        </w:rPr>
        <w:t>دریافت فراداده و اشیاء رقومی</w:t>
      </w:r>
      <w:bookmarkEnd w:id="75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توانمندی های فنی ارائه دهندگان محتوا، گزینه هایی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نسخه های اصلی، فهرست نویسی نسخه های کپی با ورود رکورد فهرست موجود منابع، با تحویل فراداده در قالب ایکس ام ال </w:t>
      </w:r>
      <w:r>
        <w:rPr>
          <w:rStyle w:val="FootnoteAnchor"/>
          <w:rtl w:val="true"/>
        </w:rPr>
        <w:footnoteReference w:id="879"/>
      </w:r>
      <w:r>
        <w:rPr>
          <w:rFonts w:ascii="IRNazanin" w:hAnsi="IRNazanin" w:eastAsia="IRNazanin"/>
          <w:color w:val="111111"/>
          <w:sz w:val="28"/>
          <w:sz w:val="28"/>
          <w:szCs w:val="28"/>
          <w:rtl w:val="true"/>
          <w:lang w:bidi="fa-IR"/>
        </w:rPr>
        <w:t>، دیگر انواع قراداده مانند قراداده حقوقی، قراداده قنی و قراداده مدیریتی نیز اضافه شدند تا ویژگی های قتی قابل های رقومی و تمام اقدامات دیگری که روی اشیاء رقومی انجام می شود مستند شوند</w:t>
      </w:r>
      <w:r>
        <w:rPr>
          <w:rFonts w:eastAsia="IRNazanin" w:cs="IRNazanin"/>
          <w:color w:val="111111"/>
          <w:sz w:val="28"/>
          <w:szCs w:val="28"/>
          <w:rtl w:val="true"/>
          <w:lang w:bidi="fa-IR"/>
        </w:rPr>
        <w:t xml:space="preserve">. </w:t>
      </w:r>
      <w:bookmarkStart w:id="754" w:name="pg9659_94102"/>
    </w:p>
    <w:p>
      <w:pPr>
        <w:pStyle w:val="BookText"/>
        <w:rPr/>
      </w:pPr>
      <w:bookmarkEnd w:id="754"/>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یک فراداده توصیفی</w:t>
      </w:r>
    </w:p>
    <w:p>
      <w:pPr>
        <w:pStyle w:val="BookText"/>
        <w:rPr/>
      </w:pPr>
      <w:r>
        <w:rPr>
          <w:rFonts w:ascii="IRNazanin" w:hAnsi="IRNazanin" w:eastAsia="IRNazanin"/>
          <w:color w:val="111111"/>
          <w:sz w:val="28"/>
          <w:sz w:val="28"/>
          <w:szCs w:val="28"/>
          <w:rtl w:val="true"/>
          <w:lang w:bidi="fa-IR"/>
        </w:rPr>
        <w:t xml:space="preserve">در مرحله نخستِ توسعه نظام، ارائه دهندگان محتوا مجازند قالب های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دی اف، جی پی ایی جی، ایی پاب و ام پی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ناشرین باید کتاب های الکترونیکی را به قالب های میان کنش پذیر تحویل دهند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پرسش این جاست که این رویکرد چگونه می تواند بینشی واقعی از تولیدات حوزه نشر به دست دهد و کتاب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چگونه اطلاعاتی درباره نسخه های دیگری که نمی توان به علت محدودیت های فنی و مالی ذخیره کرد ارائه کنند</w:t>
      </w:r>
      <w:r>
        <w:rPr>
          <w:rFonts w:eastAsia="IRNazanin" w:cs="IRNazanin"/>
          <w:color w:val="111111"/>
          <w:sz w:val="28"/>
          <w:szCs w:val="28"/>
          <w:rtl w:val="true"/>
          <w:lang w:bidi="fa-IR"/>
        </w:rPr>
        <w:t xml:space="preserve">. </w:t>
      </w:r>
      <w:r>
        <w:rPr>
          <w:rStyle w:val="FootnoteAnchor"/>
          <w:rtl w:val="true"/>
        </w:rPr>
        <w:footnoteReference w:id="881"/>
      </w:r>
    </w:p>
    <w:p>
      <w:pPr>
        <w:pStyle w:val="Heading4"/>
        <w:numPr>
          <w:ilvl w:val="3"/>
          <w:numId w:val="1"/>
        </w:numPr>
        <w:rPr/>
      </w:pPr>
      <w:bookmarkStart w:id="755" w:name="__RefHeading___Toc7825763_2870459653"/>
      <w:bookmarkStart w:id="756" w:name="_Toc276"/>
      <w:bookmarkEnd w:id="755"/>
      <w:r>
        <w:rPr/>
        <w:t>3.5</w:t>
      </w:r>
      <w:r>
        <w:rPr>
          <w:rtl w:val="true"/>
        </w:rPr>
        <w:t xml:space="preserve">. </w:t>
      </w:r>
      <w:r>
        <w:rPr>
          <w:rtl w:val="true"/>
        </w:rPr>
        <w:t>سیاست دستیابی</w:t>
      </w:r>
      <w:bookmarkEnd w:id="75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های ملی فقط مکلف به ذخیره سازی و مستندسازی تولیدات حوزه نشر در کشور نیستند، بلکه مسئول استفاده و حداقل استفاده تحقیقاتی، از این تولیدات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خانه ملی و دانشگاهی </w:t>
      </w:r>
      <w:bookmarkStart w:id="757" w:name="pg9659_94103"/>
    </w:p>
    <w:p>
      <w:pPr>
        <w:pStyle w:val="BookText"/>
        <w:rPr/>
      </w:pPr>
      <w:bookmarkEnd w:id="757"/>
      <w:r>
        <w:rPr>
          <w:rFonts w:ascii="IRNazanin" w:hAnsi="IRNazanin" w:eastAsia="IRNazanin"/>
          <w:color w:val="111111"/>
          <w:sz w:val="28"/>
          <w:sz w:val="28"/>
          <w:szCs w:val="28"/>
          <w:rtl w:val="true"/>
          <w:lang w:bidi="fa-IR"/>
        </w:rPr>
        <w:t>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واسپاری شده را گردآوری می کند، ارائه خدمات استفاده از کتاب های الکترونیکی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ترجمهٔ کتاب های خارجی و دستیابی به آن ها احتمالاً بزرگ ترین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مذاکراتی با ناشرین و ارائه دهندگان کتاب های الکترونیکی تجاری شروع کرده است تا منافع نویسندگان، ناشرین و کاربران کتاب خانه ها را به بهترین شکل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خانه ایده دستیابی رایگان به کتاب های الکترونیکی در کتاب خانه های عمومی را مطابق با دستورالعمل های ایفلا </w:t>
      </w:r>
      <w:r>
        <w:rPr>
          <w:rStyle w:val="FootnoteAnchor"/>
          <w:rtl w:val="true"/>
        </w:rPr>
        <w:footnoteReference w:id="882"/>
      </w:r>
      <w:r>
        <w:rPr>
          <w:rFonts w:ascii="IRNazanin" w:hAnsi="IRNazanin" w:eastAsia="IRNazanin"/>
          <w:color w:val="111111"/>
          <w:sz w:val="28"/>
          <w:sz w:val="28"/>
          <w:szCs w:val="28"/>
          <w:rtl w:val="true"/>
          <w:lang w:bidi="fa-IR"/>
        </w:rPr>
        <w:t xml:space="preserve">و دستورالعمل های ابِلیدا </w:t>
      </w:r>
      <w:r>
        <w:rPr>
          <w:rStyle w:val="FootnoteAnchor"/>
          <w:rtl w:val="true"/>
        </w:rPr>
        <w:footnoteReference w:id="883"/>
      </w:r>
      <w:r>
        <w:rPr>
          <w:rFonts w:ascii="IRNazanin" w:hAnsi="IRNazanin" w:eastAsia="IRNazanin"/>
          <w:color w:val="111111"/>
          <w:sz w:val="28"/>
          <w:sz w:val="28"/>
          <w:szCs w:val="28"/>
          <w:rtl w:val="true"/>
          <w:lang w:bidi="fa-IR"/>
        </w:rPr>
        <w:t>پذیرفته است، اما واقعیت این است که دستیابی به نسخه های واسپاری شده باید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ماژول دریافت شامل گزینه های دستیابی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رایگان؛ دستیابی رایگان به بخشی از نسخهٔ اصلی رقومی و دکمه خرید که کاربر را به وب سایت ناشر هدایت می کند؛ دستیابی کنترل شده به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نقطه دستیابی، یک فایل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دستیابی کنترل شده به دیگر کتاب خانه های واسپاری کرواسی؛ محدودیت در تعداد صفحات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خانه محدودیتی درباره مدت زمان نگهداری نمی پذیرد، اما درباره دستیابی از راه دور و امانت بین کتاب خانه ای با ناشرین مذاکره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ناشرین توصیه می شود با آرشیو نسخه های اصلی از آن ها نگهداری کنند و محصولات خود را با ارائه دستیابی رایگان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عنوان، فهرست مطالب، فصلی از کتاب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 کتاب تبلیغ کنند</w:t>
      </w:r>
      <w:r>
        <w:rPr>
          <w:rFonts w:eastAsia="IRNazanin" w:cs="IRNazanin"/>
          <w:color w:val="111111"/>
          <w:sz w:val="28"/>
          <w:szCs w:val="28"/>
          <w:rtl w:val="true"/>
          <w:lang w:bidi="fa-IR"/>
        </w:rPr>
        <w:t>.</w:t>
      </w:r>
    </w:p>
    <w:p>
      <w:pPr>
        <w:pStyle w:val="Heading3"/>
        <w:numPr>
          <w:ilvl w:val="2"/>
          <w:numId w:val="1"/>
        </w:numPr>
        <w:rPr/>
      </w:pPr>
      <w:bookmarkStart w:id="758" w:name="__RefHeading___Toc7825765_2870459653"/>
      <w:bookmarkStart w:id="759" w:name="_Toc277"/>
      <w:bookmarkEnd w:id="758"/>
      <w:r>
        <w:rPr/>
        <w:t>6</w:t>
      </w:r>
      <w:r>
        <w:rPr>
          <w:rtl w:val="true"/>
        </w:rPr>
        <w:t xml:space="preserve">. </w:t>
      </w:r>
      <w:r>
        <w:rPr>
          <w:rtl w:val="true"/>
        </w:rPr>
        <w:t>طرح های آتی</w:t>
      </w:r>
      <w:bookmarkEnd w:id="7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ملی و دانشگاهی زاگرب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های گردش کار نظام واسپاری و هم چنین دستورالعمل های ایجاد فراداده را برای ارائه دهندگان محتوای رقومی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های گوناگونی برای مسئولین کتاب خانه و ناشرین سازماندهی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کتاب خانه طرح های خود برای افزایش همکاری با ناشرین کروات به وسیلهٔ ایجاد کل فرآیند تجاری در نظام دی 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شناسگرها، فهرست نویسی انتشارات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 کند</w:t>
      </w:r>
      <w:r>
        <w:rPr>
          <w:rFonts w:eastAsia="IRNazanin" w:cs="IRNazanin"/>
          <w:color w:val="111111"/>
          <w:sz w:val="28"/>
          <w:szCs w:val="28"/>
          <w:rtl w:val="true"/>
          <w:lang w:bidi="fa-IR"/>
        </w:rPr>
        <w:t xml:space="preserve">. </w:t>
      </w:r>
      <w:bookmarkStart w:id="760" w:name="pg9659_94104"/>
    </w:p>
    <w:p>
      <w:pPr>
        <w:pStyle w:val="Heading3"/>
        <w:numPr>
          <w:ilvl w:val="2"/>
          <w:numId w:val="1"/>
        </w:numPr>
        <w:rPr/>
      </w:pPr>
      <w:bookmarkStart w:id="761" w:name="__RefHeading___Toc7825767_2870459653"/>
      <w:bookmarkStart w:id="762" w:name="_Toc278"/>
      <w:bookmarkEnd w:id="760"/>
      <w:bookmarkEnd w:id="761"/>
      <w:r>
        <w:rPr>
          <w:rtl w:val="true"/>
        </w:rPr>
        <w:t>منابع</w:t>
      </w:r>
      <w:r>
        <w:rPr>
          <w:rtl w:val="true"/>
        </w:rPr>
        <w:t>:</w:t>
      </w:r>
      <w:bookmarkEnd w:id="7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BISG Policy Statement POL-1101: Best Practices for Identifying Digital Products. The Books Industry Study Group Inc., cop. 2013, 4. Available at.https://www.bisg.org/docs/BISG_Policy_1101.pdf Croatian Library Law.Avilable (only in Croatian) at: http:// narodnenovine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nn.hr/clanci/sluzbeni/267274.html Croatian Web Archive (HAW). Available at: http://haw.nsk.hr/ Digital Academic Repository (DAR). Available at: http://dar.nsk.hr/ Digital Book World. Some Differences BetweenEbooks, Enhanced Ebooks, And Apps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Available at: http://www.digitalbookworld.com/2014/some-differences-between-ebooksenhanced-ebooks-and-apps</w:t>
      </w:r>
    </w:p>
    <w:p>
      <w:pPr>
        <w:pStyle w:val="BookText"/>
        <w:rPr/>
      </w:pPr>
      <w:r>
        <w:rPr>
          <w:rFonts w:eastAsia="Times New Roman" w:cs="Times New Roman" w:ascii="Times New Roman" w:hAnsi="Times New Roman"/>
          <w:color w:val="111111"/>
          <w:sz w:val="28"/>
          <w:szCs w:val="28"/>
          <w:lang w:val="en-US" w:bidi="en-US"/>
        </w:rPr>
        <w:t>EBLIDA Key principles on the acquisition of and access to e-books by libraries. Available at: http://www.eblida.org/Special%20Events/Key-principles-acquistion-eBooks-November2012/GB_English%20 Version%20Key%20Principles.pdf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Filimowicz, Michael. Digital and Analog: some refinements and new semiotic directions. Available at</w:t>
      </w:r>
    </w:p>
    <w:p>
      <w:pPr>
        <w:pStyle w:val="BookText"/>
        <w:rPr/>
      </w:pPr>
      <w:r>
        <w:rPr>
          <w:rFonts w:eastAsia="Times New Roman" w:cs="Times New Roman" w:ascii="Times New Roman" w:hAnsi="Times New Roman"/>
          <w:color w:val="111111"/>
          <w:sz w:val="28"/>
          <w:szCs w:val="28"/>
          <w:lang w:val="en-US" w:bidi="en-US"/>
        </w:rPr>
        <w:t>https://www.academia.edu/6955470/Digital and Analog some refinements_and_new_semio tic_directions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Finn, Ed; Joey Eschrich. The Word E-Book Should Be Replaced With Codex: E-books are so different from traditional reading that they need a new word. // Future Tense. Available at _http://www.slate.com/articles/technology/future_tense/2013/10/we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need_a_new_word_for_e_book_here_s_one_idea_beyondthebook.html Girard, Adam. E-books are not books. Available at</w:t>
      </w:r>
    </w:p>
    <w:p>
      <w:pPr>
        <w:pStyle w:val="BookText"/>
        <w:rPr/>
      </w:pPr>
      <w:r>
        <w:rPr>
          <w:rFonts w:eastAsia="Times New Roman" w:cs="Times New Roman" w:ascii="Times New Roman" w:hAnsi="Times New Roman"/>
          <w:color w:val="111111"/>
          <w:sz w:val="28"/>
          <w:szCs w:val="28"/>
          <w:lang w:val="en-US" w:bidi="en-US"/>
        </w:rPr>
        <w:t>http://express.ifla.org/sites/default/files/files/de-gruyter-saur-ifla-research-award-2012-girard.pdf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Goldstein, Simona; .iki, Anita. An overview of the Ebooks business in Croatia. Available at: http://www.digitalbookworld.com/2013/an-overview-of-the-ebooks-business-in-croatia</w:t>
      </w:r>
    </w:p>
    <w:p>
      <w:pPr>
        <w:pStyle w:val="BookText"/>
        <w:rPr/>
      </w:pPr>
      <w:r>
        <w:rPr>
          <w:rFonts w:eastAsia="Times New Roman" w:cs="Times New Roman" w:ascii="Times New Roman" w:hAnsi="Times New Roman"/>
          <w:color w:val="111111"/>
          <w:sz w:val="28"/>
          <w:szCs w:val="28"/>
          <w:lang w:val="en-US" w:bidi="en-US"/>
        </w:rPr>
        <w:t>Hoffelder, Nate. Do We Really Need a New Term for eBook? Available at: http://www.thedigital-reader.com/2013/10/17/really-need-new-term-ebook/.U3IgHIF_uv9</w:t>
      </w:r>
    </w:p>
    <w:p>
      <w:pPr>
        <w:pStyle w:val="BookText"/>
        <w:rPr/>
      </w:pPr>
      <w:r>
        <w:rPr>
          <w:rFonts w:eastAsia="Times New Roman" w:cs="Times New Roman" w:ascii="Times New Roman" w:hAnsi="Times New Roman"/>
          <w:color w:val="111111"/>
          <w:sz w:val="28"/>
          <w:szCs w:val="28"/>
          <w:lang w:val="en-US" w:bidi="en-US"/>
        </w:rPr>
        <w:t>IFLA principles for library e-lending. Available at: http://www.ifla.org/files/assets/hq/topics/e-lending/ifla-principles-for-elending.pdf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Internatonal ISBN Agency.Guidelines for assignment to e-books. Available at https://www.isbn-international.org/content/guidelines-assignment-e-books /International ISTC Agency. Available at: http://www.istc-international.org/html</w:t>
      </w:r>
    </w:p>
    <w:p>
      <w:pPr>
        <w:pStyle w:val="BookText"/>
        <w:rPr/>
      </w:pPr>
      <w:r>
        <w:rPr>
          <w:rFonts w:eastAsia="Times New Roman" w:cs="Times New Roman" w:ascii="Times New Roman" w:hAnsi="Times New Roman"/>
          <w:color w:val="111111"/>
          <w:sz w:val="28"/>
          <w:szCs w:val="28"/>
          <w:lang w:val="en-US" w:bidi="en-US"/>
        </w:rPr>
        <w:t>Klarin, Sofija. Projektiza.titeprijenosnihdigitalnihmedija u knji nicama = Tangible digital media preservation projects in libraries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2seminarArhivi, knji.nice, muzeji: mogu_nosti suradnje u kru. enjuglobalneinformacijskeinfrastrukture: zbornikradova / uredilaSanjica FaletarTanackovi_. Zagreb :Hrvatskoknji.ni_arskodru.tvo, 2009 Available at</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https://www.academia.edu/4285305/Projekti_zastite prijenosnih digitalnih_medija_u_knjizni cama_Tangible _Digital_Media_Preservation_Projects_in_Libraries_Sofija_Klarin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Meredith, Leslie. What Are E-Textbooks? Available at: http://www. technewsdaily.com/4723-what-are-e-textbooks.html</w:t>
      </w:r>
    </w:p>
    <w:p>
      <w:pPr>
        <w:pStyle w:val="BookText"/>
        <w:rPr/>
      </w:pPr>
      <w:r>
        <w:rPr>
          <w:rFonts w:eastAsia="Times New Roman" w:cs="Times New Roman" w:ascii="Times New Roman" w:hAnsi="Times New Roman"/>
          <w:color w:val="111111"/>
          <w:sz w:val="28"/>
          <w:szCs w:val="28"/>
          <w:lang w:val="en-US" w:bidi="en-US"/>
        </w:rPr>
        <w:t>ODLIS. Available at http://www.abc-clio.com/ODLIS/odlis_e. aspxelectronicbook</w:t>
      </w:r>
    </w:p>
    <w:p>
      <w:pPr>
        <w:pStyle w:val="BookText"/>
        <w:rPr/>
      </w:pPr>
      <w:r>
        <w:rPr>
          <w:rFonts w:eastAsia="Times New Roman" w:cs="Times New Roman" w:ascii="Times New Roman" w:hAnsi="Times New Roman"/>
          <w:color w:val="111111"/>
          <w:sz w:val="28"/>
          <w:szCs w:val="28"/>
          <w:lang w:val="en-US" w:bidi="en-US"/>
        </w:rPr>
        <w:t>ONIX for Books.Epublication type code. Available at:http://www.editeur.org/files/ONIX%20for%20books%20%20 code%20lists/ONIX BookProduct Codelists Current.html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Romano, Frank. E-books and challenge of presentation. Available at: http://www.clir.org/pubs/reports/pub106/ebooks.html Rouse, Margaret. What is eBook? Available at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http://searchmobilecomputing.techtarget.com/definition/eBook Stein, Bob. The future of publishing will be shaped by a more dynamic social reading experience. // The Impact of Social Sciences blog Available at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http://blogs.lse.ac.uk/impactofsocialsciences/2013/04/08/the-future-of-the-book-is-the-futureof-soc</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Upshall, Michael. Content licencing: buying and selling digital resources. Oxford :Chandos Publishing, 2009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Velagi, Zoran;Pehar, Franjo. An overview of e-book market in Croatia. Available at /http://projectebooks.wordpress.com/2013/02/28/an-overview-of-e-book-market-in-croatia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Zakon o izmjenama i dopunama Zakona o znanstvenojdjelatnosti i visokomobrazovanju</w:t>
      </w:r>
    </w:p>
    <w:p>
      <w:pPr>
        <w:pStyle w:val="BookText"/>
        <w:rPr/>
      </w:pPr>
      <w:r>
        <w:rPr>
          <w:rFonts w:eastAsia="Times New Roman" w:cs="Times New Roman" w:ascii="Times New Roman" w:hAnsi="Times New Roman"/>
          <w:color w:val="111111"/>
          <w:sz w:val="28"/>
          <w:szCs w:val="28"/>
          <w:lang w:val="en-US" w:bidi="en-US"/>
        </w:rPr>
        <w:t>Avilable at: http://narodne-novine.nn.hr/clanci sluzbeni/2013_07_94_2132.html</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ivkovi, Daniela. The Electronic Book: Evolution or Revolution? Available at http://eprints.relis.org/11419/1/1-19.pdf</w:t>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9659_94108"/>
      <w:bookmarkStart w:id="764" w:name="pg9659_94108"/>
      <w:bookmarkEnd w:id="764"/>
    </w:p>
    <w:p>
      <w:pPr>
        <w:pStyle w:val="Heading2"/>
        <w:numPr>
          <w:ilvl w:val="1"/>
          <w:numId w:val="1"/>
        </w:numPr>
        <w:rPr/>
      </w:pPr>
      <w:bookmarkStart w:id="765" w:name="pg9659_94108"/>
      <w:bookmarkStart w:id="766" w:name="__RefHeading___Toc7825769_2870459653"/>
      <w:bookmarkStart w:id="767" w:name="_Toc279"/>
      <w:bookmarkEnd w:id="765"/>
      <w:bookmarkEnd w:id="766"/>
      <w:r>
        <w:rPr>
          <w:rtl w:val="true"/>
        </w:rPr>
        <w:t>چکیده</w:t>
      </w:r>
      <w:bookmarkEnd w:id="76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قانونی در ژوئیه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الحاقیه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کتاب خانه شورای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 اِل</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حق 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ثبت انتشارات برخط در بخش خصوصی را برای اِن دی اِل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 انتشارات خصوصی متعهد به ارسال فایل های رقومی به اِن دی اِل از طریق اینترنت یا دادن اجازه به اِن دی اِل برای گردآوری آن ها از طریق اینترنت است، به طوری که دارای ویژگی های زیر باشند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فایل از نوع پی دی اف </w:t>
      </w:r>
      <w:r>
        <w:rPr>
          <w:rStyle w:val="FootnoteAnchor"/>
          <w:rtl w:val="true"/>
        </w:rPr>
        <w:footnoteReference w:id="885"/>
      </w:r>
      <w:r>
        <w:rPr>
          <w:rFonts w:ascii="IRNazanin" w:hAnsi="IRNazanin" w:eastAsia="IRNazanin"/>
          <w:color w:val="111111"/>
          <w:sz w:val="28"/>
          <w:sz w:val="28"/>
          <w:szCs w:val="28"/>
          <w:rtl w:val="true"/>
          <w:lang w:bidi="fa-IR"/>
        </w:rPr>
        <w:t xml:space="preserve">، ای پاب </w:t>
      </w:r>
      <w:r>
        <w:rPr>
          <w:rStyle w:val="FootnoteAnchor"/>
          <w:rtl w:val="true"/>
        </w:rPr>
        <w:footnoteReference w:id="886"/>
      </w:r>
      <w:r>
        <w:rPr>
          <w:rFonts w:ascii="IRNazanin" w:hAnsi="IRNazanin" w:eastAsia="IRNazanin"/>
          <w:color w:val="111111"/>
          <w:sz w:val="28"/>
          <w:sz w:val="28"/>
          <w:szCs w:val="28"/>
          <w:rtl w:val="true"/>
          <w:lang w:bidi="fa-IR"/>
        </w:rPr>
        <w:t xml:space="preserve">، و دیزی </w:t>
      </w:r>
      <w:r>
        <w:rPr>
          <w:rStyle w:val="FootnoteAnchor"/>
          <w:rtl w:val="true"/>
        </w:rPr>
        <w:footnoteReference w:id="8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اس بی ان </w:t>
      </w:r>
      <w:r>
        <w:rPr>
          <w:rStyle w:val="FootnoteAnchor"/>
          <w:rtl w:val="true"/>
        </w:rPr>
        <w:footnoteReference w:id="888"/>
      </w:r>
      <w:r>
        <w:rPr>
          <w:rFonts w:ascii="IRNazanin" w:hAnsi="IRNazanin" w:eastAsia="IRNazanin"/>
          <w:color w:val="111111"/>
          <w:sz w:val="28"/>
          <w:sz w:val="28"/>
          <w:szCs w:val="28"/>
          <w:rtl w:val="true"/>
          <w:lang w:bidi="fa-IR"/>
        </w:rPr>
        <w:t xml:space="preserve">، آی اس اس ان </w:t>
      </w:r>
      <w:r>
        <w:rPr>
          <w:rStyle w:val="FootnoteAnchor"/>
          <w:rtl w:val="true"/>
        </w:rPr>
        <w:footnoteReference w:id="889"/>
      </w:r>
      <w:r>
        <w:rPr>
          <w:rFonts w:ascii="IRNazanin" w:hAnsi="IRNazanin" w:eastAsia="IRNazanin"/>
          <w:color w:val="111111"/>
          <w:sz w:val="28"/>
          <w:sz w:val="28"/>
          <w:szCs w:val="28"/>
          <w:rtl w:val="true"/>
          <w:lang w:bidi="fa-IR"/>
        </w:rPr>
        <w:t xml:space="preserve">، و دی او آی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دى اِل فقط می تواند انتشاراتی را گردآوری کند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باشند؛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توافقی بین اِن دی اِل، ناشران، و مؤلفان حاصل نشده باشد،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حقوق رقومی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 آر اِم</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حفاظت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مشکل اساسی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قفل دی آر اِم برای نمایش بلند مدت، و پرداخت هزینه ذخیره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 کند تا مشکلات حقوقی، فنی، و سازمانی قبل از آغاز ذخیره سازی قانونی مؤثر وب سایت های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از جمله فایل های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 دی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شرکت های دولتی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گردآوری انتشارات برخط حفاظت شده یا کارمزدی که چند ذینفع دارند، زمان آماده سازی کافی و مناسبات پیشرفته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امسال اِن دی اِل با بعضی از ناشران تعاونی عمده قرارداد می بندد تا موقتاً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برخط خود را برای طراحی یک نظام ذخیره سازی قانونی موثر در ژاپن، در کتاب خانه ملی قرار دهند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برخط، نظام ذخیره سازی قانونی، کتاب خانه ملی، ژاپن</w:t>
      </w:r>
      <w:r>
        <w:rPr>
          <w:rFonts w:eastAsia="IRNazanin" w:cs="IRNazanin"/>
          <w:color w:val="111111"/>
          <w:sz w:val="28"/>
          <w:szCs w:val="28"/>
          <w:rtl w:val="true"/>
          <w:lang w:bidi="fa-IR"/>
        </w:rPr>
        <w:t xml:space="preserve">. </w:t>
      </w:r>
      <w:bookmarkStart w:id="768" w:name="pg9659_94109"/>
    </w:p>
    <w:p>
      <w:pPr>
        <w:pStyle w:val="Heading2"/>
        <w:numPr>
          <w:ilvl w:val="1"/>
          <w:numId w:val="1"/>
        </w:numPr>
        <w:rPr/>
      </w:pPr>
      <w:bookmarkStart w:id="769" w:name="__RefHeading___Toc7825771_2870459653"/>
      <w:bookmarkStart w:id="770" w:name="_Toc280"/>
      <w:bookmarkEnd w:id="768"/>
      <w:bookmarkEnd w:id="769"/>
      <w:r>
        <w:rPr>
          <w:rtl w:val="true"/>
        </w:rPr>
        <w:t>منازعات کتاب خانه شورای ملی بر سر گردآوری انتشارات برخط در ژاپن</w:t>
      </w:r>
      <w:bookmarkEnd w:id="770"/>
    </w:p>
    <w:p>
      <w:pPr>
        <w:pStyle w:val="Heading3"/>
        <w:numPr>
          <w:ilvl w:val="2"/>
          <w:numId w:val="1"/>
        </w:numPr>
        <w:rPr/>
      </w:pPr>
      <w:bookmarkStart w:id="771" w:name="__RefHeading___Toc7825773_2870459653"/>
      <w:bookmarkStart w:id="772" w:name="_Toc281"/>
      <w:bookmarkEnd w:id="771"/>
      <w:r>
        <w:rPr>
          <w:rtl w:val="true"/>
        </w:rPr>
        <w:t>اشاره</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منازعات کتاب خانه شورای ملی بر سر گردآوری انتشارات برخط در ژاپن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نوشته تاتسومو آکی یاما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زهراسادات عالمی </w:t>
      </w:r>
      <w:r>
        <w:rPr>
          <w:rStyle w:val="FootnoteAnchor"/>
          <w:rtl w:val="true"/>
        </w:rPr>
        <w:footnoteReference w:id="894"/>
      </w:r>
    </w:p>
    <w:p>
      <w:pPr>
        <w:pStyle w:val="Heading3"/>
        <w:numPr>
          <w:ilvl w:val="2"/>
          <w:numId w:val="1"/>
        </w:numPr>
        <w:rPr/>
      </w:pPr>
      <w:bookmarkStart w:id="773" w:name="__RefHeading___Toc7825775_2870459653"/>
      <w:bookmarkStart w:id="774" w:name="_Toc282"/>
      <w:bookmarkEnd w:id="773"/>
      <w:r>
        <w:rPr/>
        <w:t>1</w:t>
      </w:r>
      <w:r>
        <w:rPr>
          <w:rtl w:val="true"/>
        </w:rPr>
        <w:t xml:space="preserve">. </w:t>
      </w:r>
      <w:r>
        <w:rPr>
          <w:rtl w:val="true"/>
        </w:rPr>
        <w:t>تاریخچه مختصر گردآوری مطالب الکترونیک در اِن دی اِل</w:t>
      </w:r>
      <w:bookmarkEnd w:id="774"/>
    </w:p>
    <w:p>
      <w:pPr>
        <w:pStyle w:val="BookText"/>
        <w:rPr/>
      </w:pPr>
      <w:r>
        <w:rPr>
          <w:rFonts w:ascii="IRNazanin" w:hAnsi="IRNazanin" w:eastAsia="IRNazanin"/>
          <w:color w:val="111111"/>
          <w:sz w:val="28"/>
          <w:sz w:val="28"/>
          <w:szCs w:val="28"/>
          <w:rtl w:val="true"/>
          <w:lang w:bidi="fa-IR"/>
        </w:rPr>
        <w:t xml:space="preserve">اِن دی اِل یک برنامه گردآوری انتشارات الکترونیک در جراید از طریق اینترنت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کتاب ها و نشریات رفته رفته روی اینترنت یا برخط منتشر می شوند، یک هدف نظام ذخیره سازی قانونی، استفاده و گردآوری اموال فرهنگی ملی است، که یکی از مأموریت های اصلی اِن دی 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تعداد کتاب های الکترونیکی تجاری منتشر شده در فروشگاه های اینترنتی به حدود </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گردآوری اطلاعات الکترونیک شبکه ای برخط به شرح زیر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گردآوری منتخب مطالب اینترنتی با اجازه صاحبان وب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دولتی، دانشگاه ها، و سازمان های فرهنگی و بین المللی در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گردآوری تشکیلاتي مطابق قانون اِن دى اِل مطالب اینترنتی تولید شده توسط سازمان های دولتی یا ملی؛ </w:t>
      </w:r>
      <w:bookmarkStart w:id="775" w:name="pg9659_94110"/>
    </w:p>
    <w:p>
      <w:pPr>
        <w:pStyle w:val="BookText"/>
        <w:rPr/>
      </w:pPr>
      <w:bookmarkEnd w:id="775"/>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گردآوری تشکیلاتی مطابق قانون اِن دی اِل انتشارات برخط در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انتشارات حفاظت شده بادی آر اِم یا کارمزدی</w:t>
      </w:r>
      <w:r>
        <w:rPr>
          <w:rFonts w:eastAsia="IRNazanin" w:cs="IRNazanin"/>
          <w:color w:val="111111"/>
          <w:sz w:val="28"/>
          <w:szCs w:val="28"/>
          <w:rtl w:val="true"/>
          <w:lang w:bidi="fa-IR"/>
        </w:rPr>
        <w:t>).</w:t>
      </w:r>
    </w:p>
    <w:p>
      <w:pPr>
        <w:pStyle w:val="Heading3"/>
        <w:numPr>
          <w:ilvl w:val="2"/>
          <w:numId w:val="1"/>
        </w:numPr>
        <w:rPr/>
      </w:pPr>
      <w:bookmarkStart w:id="776" w:name="__RefHeading___Toc7825777_2870459653"/>
      <w:bookmarkStart w:id="777" w:name="_Toc283"/>
      <w:bookmarkEnd w:id="776"/>
      <w:r>
        <w:rPr/>
        <w:t>2</w:t>
      </w:r>
      <w:r>
        <w:rPr>
          <w:rtl w:val="true"/>
        </w:rPr>
        <w:t xml:space="preserve">. </w:t>
      </w:r>
      <w:r>
        <w:rPr>
          <w:rtl w:val="true"/>
        </w:rPr>
        <w:t>سابقه گردآوری انتشارات الکترونیک شبکه ای</w:t>
      </w:r>
      <w:r>
        <w:rPr>
          <w:rtl w:val="true"/>
        </w:rPr>
        <w:t>:</w:t>
      </w:r>
      <w:bookmarkEnd w:id="7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مطالب الکترونیکی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آرشیو وب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دارای مجوز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نظام ذخیره سازی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نظام مالکیت انتشارات الکترونیک شبکه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 دی اِل اصلاح شد تا مالکیت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اینترنتی تولید شده توسط دولت های محلی و ملی و مؤسسات وابسته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نظام ذخیره سازی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نظام مالکیت انتشارات الکترونیک شبکه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شورا یک گزارش میانی درباره طرح پرداخت در مارس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 دی اِل مجدداً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اصلاحیه در رابطه با انتشارات خصوصی برخط رایگان و بدون دی آر اِم در ژوئیه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انتشارات برخط رایگان و بدون دی آر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تشکیلاتی مطالب کارمزدی یا دارای دی آر اِم توسط شورای نظام ذخیره سازی قانونی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آزمایشی ذخیره سازی موقت مطالب کارمزدی یا دارای دی آر اِمتوسط ناشران تجاری عمده در شرف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اصلاحیه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 دی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ذخیره سازی قانونی را تعریف کرد و قانون حق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انتشارات برخط توسط اِن دی اِل مستلزم مجوز صاحبان سایت بود، اما در عمل انعقاد قرارداد با تعداد بی شمار صاحبان سایت برای اِن دی اِل و ذخیره سازان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اصلاحیه قانون حق مولف اجازه تکثیر انتشارات برخط بدون اجازه به منظور گردآوری این آثار در اِن دی اِل را صادر می کرد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نظام ذخیره سازی قانونی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مشاوره کارشناسان خارجی، بعد از سازماندهی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تحقیقات نظام ذخیره سازی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شورا، </w:t>
      </w:r>
      <w:bookmarkStart w:id="778" w:name="pg9659_94111"/>
    </w:p>
    <w:p>
      <w:pPr>
        <w:pStyle w:val="BookText"/>
        <w:rPr/>
      </w:pPr>
      <w:bookmarkEnd w:id="778"/>
      <w:r>
        <w:rPr>
          <w:rFonts w:ascii="IRNazanin" w:hAnsi="IRNazanin" w:eastAsia="IRNazanin"/>
          <w:color w:val="111111"/>
          <w:sz w:val="28"/>
          <w:sz w:val="28"/>
          <w:szCs w:val="28"/>
          <w:rtl w:val="true"/>
          <w:lang w:bidi="fa-IR"/>
        </w:rPr>
        <w:t>مشارکت در بهبود و مدیریت صحیح نظام ذخیره سازی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متشکل از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اساتید دانشگاه در حقوق اموال معنوی، قانون اداری، تحقیقات فرهنگی، و نمایندگانی از انجمن های عمده مؤلفان، ناشران، و روزنامه نگاران، صنعت ضبط موسیقی، و غیره مربوط به نظام ذخیره سازی قانونی با مسئولیت کتاب دار ارشد اِن دی 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چند گزارش مهم برای کتابدار ارشد در باب مالکیت تشکیلاتی مطالب الکترونیک از ناشرانر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از کتاب، نشریات، فیلم ها، برنامه ها، بازی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w:t>
      </w:r>
    </w:p>
    <w:p>
      <w:pPr>
        <w:pStyle w:val="Heading3"/>
        <w:numPr>
          <w:ilvl w:val="2"/>
          <w:numId w:val="1"/>
        </w:numPr>
        <w:rPr/>
      </w:pPr>
      <w:bookmarkStart w:id="779" w:name="__RefHeading___Toc7825779_2870459653"/>
      <w:bookmarkStart w:id="780" w:name="_Toc284"/>
      <w:bookmarkEnd w:id="779"/>
      <w:r>
        <w:rPr/>
        <w:t>3</w:t>
      </w:r>
      <w:r>
        <w:rPr>
          <w:rtl w:val="true"/>
        </w:rPr>
        <w:t xml:space="preserve">. </w:t>
      </w:r>
      <w:r>
        <w:rPr>
          <w:rtl w:val="true"/>
        </w:rPr>
        <w:t>تعریف انتشارات برخط در قانون اِن دی اِل</w:t>
      </w:r>
      <w:bookmarkEnd w:id="78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 دى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انتشارات برخط عبارت اند از متن، تصویر، صدا، یا برنامه ضبط شده توسط ابزارهای الکترونیکی، مغناطیسی، یا غیره که از طریق اینترنت و سایر شبکه های ارتباطی پیشرفته در اختیار عموم قرار می گیرد، و توسط کتاب دار ارشد به عنوان متناظر با کتاب یا نشریه مشخص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مطالب محرمانه، فرم های خالی، صفحات نمونه، و سایر انتشارات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متناظر با کتاب یا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به معنی وب سایت ها و وب لاگ هایی است که توسط هیچ متولی برای بلندمدت بازسازی یا ذخیره نمی شود، غیر از پخش یا توزیع 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بلند مدت، تمامی وب سایت ها به عنوان اموال معنوی ملی باید توسط اِن دی اِل ثبت شوند، اما در حال حاضر، این کار به واسطه مسائل مربوط به هزینه، ترس عمومی از انبار انبوه وب سایت هایی که شامل افکار و اعتقادات فردی هستند، و بعضی مشکلات فنی،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الزامات قوانین یارانه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برخط چنین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برخط دارای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اس بی ان، آی اس اس ان، و دی او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پاب و پی دی اف، 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انتشارات برخط تهیه شده توسط مؤسسات تحقیقاتی، دانشگاه ها و غیره که دارای طرح بصری ثابت هستند و انتشارات چاپی، از نقطه نظر اجتناب از هم پوشانی سرمایه گذاری، مستثنی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اِن دی اِل انتشارات برخط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کارمزدی 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شده با دی آر اِم را مستثنی کرده تا زمانی که درک متقابل ذخیره سازی قانونی بین ذینفعان، به ویژه بین اِن دی اِل و ذخیره سازان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دی اِل مشغول گردآوری انتشارات برخط از قبیل گزارش های سالیانه کتاب سال فهرست ها، مجلات روابط عمومی و سازمان های داخلی، بولتن، مقالات، مجلات فرهنگی، خبرنامه، چکیده های </w:t>
      </w:r>
      <w:bookmarkStart w:id="781" w:name="pg9659_94112"/>
    </w:p>
    <w:p>
      <w:pPr>
        <w:pStyle w:val="BookText"/>
        <w:rPr/>
      </w:pPr>
      <w:bookmarkEnd w:id="781"/>
      <w:r>
        <w:rPr>
          <w:rFonts w:ascii="IRNazanin" w:hAnsi="IRNazanin" w:eastAsia="IRNazanin"/>
          <w:color w:val="111111"/>
          <w:sz w:val="28"/>
          <w:sz w:val="28"/>
          <w:szCs w:val="28"/>
          <w:rtl w:val="true"/>
          <w:lang w:bidi="fa-IR"/>
        </w:rPr>
        <w:t xml:space="preserve">سازمان های فرهنگی، گزارشات تجاری، مجلات فنی، گزارشات سی اِس آر، سوابق شرکتی، آمار و سایر مطالب مرتبط به کتاب و نشریات منتشر شده بعد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مالکیت تشکیلاتی مطالب الکترونیک شبکه ای</w:t>
      </w:r>
    </w:p>
    <w:p>
      <w:pPr>
        <w:pStyle w:val="Heading3"/>
        <w:numPr>
          <w:ilvl w:val="2"/>
          <w:numId w:val="1"/>
        </w:numPr>
        <w:rPr/>
      </w:pPr>
      <w:bookmarkStart w:id="782" w:name="__RefHeading___Toc7825781_2870459653"/>
      <w:bookmarkStart w:id="783" w:name="_Toc285"/>
      <w:bookmarkEnd w:id="782"/>
      <w:r>
        <w:rPr/>
        <w:t>4</w:t>
      </w:r>
      <w:r>
        <w:rPr>
          <w:rtl w:val="true"/>
        </w:rPr>
        <w:t xml:space="preserve">. </w:t>
      </w:r>
      <w:r>
        <w:rPr>
          <w:rtl w:val="true"/>
        </w:rPr>
        <w:t>مسائل بحرانی مالکیت انتشارات برخط کارمزدی یا حفاظت شده با دی آر اِم</w:t>
      </w:r>
      <w:bookmarkEnd w:id="783"/>
    </w:p>
    <w:p>
      <w:pPr>
        <w:pStyle w:val="BookText"/>
        <w:rPr/>
      </w:pPr>
      <w:r>
        <w:rPr>
          <w:rFonts w:ascii="IRNazanin" w:hAnsi="IRNazanin" w:eastAsia="IRNazanin"/>
          <w:color w:val="111111"/>
          <w:sz w:val="28"/>
          <w:sz w:val="28"/>
          <w:szCs w:val="28"/>
          <w:rtl w:val="true"/>
          <w:lang w:bidi="fa-IR"/>
        </w:rPr>
        <w:t xml:space="preserve">در بخش خصوصی، تعداد زیادی مطالب فکاهی، ادبی، و غیره به صورت برخط منتشر می شود که تعداد آن ها تا پایان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به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بازار در حدود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دى اِل و ذينفعان انتشارات برخط به اتفاق آرا توافق می کنند که مطالب به صورت بلند مدت در اِن دی اِل برای نسل های آینده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 مهم بحث با ناشران حول پرداخت انتشارات کارمزدی و مشکلات فنی از قبیل دی آر اِم و سایر مسائل مؤثر بر قالب انتشارات برخط در زمان ذخیره سازی می باشد</w:t>
      </w:r>
      <w:r>
        <w:rPr>
          <w:rFonts w:eastAsia="IRNazanin" w:cs="IRNazanin"/>
          <w:color w:val="111111"/>
          <w:sz w:val="28"/>
          <w:szCs w:val="28"/>
          <w:rtl w:val="true"/>
          <w:lang w:bidi="fa-IR"/>
        </w:rPr>
        <w:t>.</w:t>
      </w:r>
    </w:p>
    <w:p>
      <w:pPr>
        <w:pStyle w:val="Heading3"/>
        <w:numPr>
          <w:ilvl w:val="2"/>
          <w:numId w:val="1"/>
        </w:numPr>
        <w:rPr/>
      </w:pPr>
      <w:bookmarkStart w:id="784" w:name="__RefHeading___Toc7825783_2870459653"/>
      <w:bookmarkStart w:id="785" w:name="_Toc286"/>
      <w:bookmarkEnd w:id="784"/>
      <w:r>
        <w:rPr>
          <w:rtl w:val="true"/>
        </w:rPr>
        <w:t>پرداخت غرامت</w:t>
      </w:r>
      <w:bookmarkEnd w:id="78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نظام ذخیره سازی قانونی فعلی، اِن دی اِل غرامتی معادل هزینه لازم برای صدور و ذخیره سازی </w:t>
      </w:r>
      <w:bookmarkStart w:id="786" w:name="pg9659_94113"/>
    </w:p>
    <w:p>
      <w:pPr>
        <w:pStyle w:val="BookText"/>
        <w:rPr/>
      </w:pPr>
      <w:bookmarkEnd w:id="786"/>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بازاری</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به ذخیره سازان خصوصی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ایجاد نظام ذخیره سازی قانونی 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از نظر بسیاری از ناشران به عنوان ابزاری برای سانسور شناخته شد، که در دوره قبل از جنگ زبانزد همه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ناپایدار بعد از پایان جنگ جهانی دوم، انگیزه چندانی برای ذخیره سازی انتشارات در کتاب شناسی ملی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 دی اِل از طریق این نظام توانست انتشارات اندکی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اِن دی اِل را واداشت تا این رویه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اِن دی اِل با ناشران خصوصی و کتاب فروشان و غیره مذاکره کرد و یک سیاست تشویق و تهدید را معرفی کرد، یعنی این که ذخیره سازان بابت ذخیره سازی غرامت دریافت می کنند و در صورت امتناع باید جریمه ای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قیمت خرده فروشی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گزارش شورا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نظام مالکیت برای انتشارات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 که به واسطه وجود اختلاف بین انتشارات برخط و کتب و نشریات سنتی، اتخاذ معیارهای یکسان برای پرداخت غرامت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برخط فرایند چاپ و صحافی را طی نمی کنند، تعداد اولیه چاپ را ندارند، قیمت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بهای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مشابه، که معرف هزینه اولیه تولید کتاب های سنتی است،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 سازی رایگان انتشارات برخط باعث ناخشنودی ناشران و مؤلفان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اصرار داشتند که انتشارات برخط رایگان نیستند، نیاز به سرمایه گذاری عظیم دارند، و اگر محتوای آن ها کاغذ برخط منتشر شود، غیر منصفانه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مؤلفان در ژاپن، حق تألیف یک کتاب بر اساس تعداد نسخ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نسخ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شود، که در مورد انتشارات برخط، متناسب با تعداد نسخ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رایگان برای بسیاری از مؤلفان غیر قابل قبول است</w:t>
      </w:r>
      <w:r>
        <w:rPr>
          <w:rFonts w:eastAsia="IRNazanin" w:cs="IRNazanin"/>
          <w:color w:val="111111"/>
          <w:sz w:val="28"/>
          <w:szCs w:val="28"/>
          <w:rtl w:val="true"/>
          <w:lang w:bidi="fa-IR"/>
        </w:rPr>
        <w:t>.</w:t>
      </w:r>
    </w:p>
    <w:p>
      <w:pPr>
        <w:pStyle w:val="Heading3"/>
        <w:numPr>
          <w:ilvl w:val="2"/>
          <w:numId w:val="1"/>
        </w:numPr>
        <w:rPr/>
      </w:pPr>
      <w:bookmarkStart w:id="787" w:name="__RefHeading___Toc7825785_2870459653"/>
      <w:bookmarkStart w:id="788" w:name="_Toc287"/>
      <w:bookmarkEnd w:id="787"/>
      <w:r>
        <w:rPr>
          <w:rtl w:val="true"/>
        </w:rPr>
        <w:t>مشکلات فنی</w:t>
      </w:r>
      <w:bookmarkEnd w:id="788"/>
    </w:p>
    <w:p>
      <w:pPr>
        <w:pStyle w:val="BookText"/>
        <w:rPr/>
      </w:pPr>
      <w:r>
        <w:rPr>
          <w:rFonts w:ascii="IRNazanin" w:hAnsi="IRNazanin" w:eastAsia="IRNazanin"/>
          <w:color w:val="111111"/>
          <w:sz w:val="28"/>
          <w:sz w:val="28"/>
          <w:szCs w:val="28"/>
          <w:rtl w:val="true"/>
          <w:lang w:bidi="fa-IR"/>
        </w:rPr>
        <w:t>انتشارات فنی دارای مشکلات فنی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 آر اِم مانع بزرگی برای گردآوری انتشارات برخط در نظام ذخیره سازی قانونی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برخط در فروشگاه های الکترونیکی با قالب خاصی با دی آر اِم فروخته می شوند و نمی توان آن ها را توسط غیر از نرم افزار و سخت افزار مربوطه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کتاب اینترنتی وجود دارد که با هم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فروشگاه اینترنتی به طور بی امان در پی </w:t>
      </w:r>
      <w:bookmarkStart w:id="789" w:name="pg9659_94114"/>
    </w:p>
    <w:p>
      <w:pPr>
        <w:pStyle w:val="BookText"/>
        <w:rPr/>
      </w:pPr>
      <w:bookmarkEnd w:id="789"/>
      <w:r>
        <w:rPr>
          <w:rFonts w:ascii="IRNazanin" w:hAnsi="IRNazanin" w:eastAsia="IRNazanin"/>
          <w:color w:val="111111"/>
          <w:sz w:val="28"/>
          <w:sz w:val="28"/>
          <w:szCs w:val="28"/>
          <w:rtl w:val="true"/>
          <w:lang w:bidi="fa-IR"/>
        </w:rPr>
        <w:t>حفظ مشتریان خود در محیط مطالعه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فناوری اطلاعات سریع متروک می شود و در آینده نزدیک، بسیاری از نشریات توسط فروشگاه های اینترنتی خاصی فروخته می شوند که برای خوانندگانی که پول پرداخت کرده اند، قابل خواندن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مؤلفان و ویراستاران علاقه زیادی به نحوه نمایش آثار خود روی کریستال مایع دارند تا توسط دستگاه ها به نمایش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ژاپن، نوشتجات ستونی و یاقوت و 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هایی با تلفظ 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این مسئله وضعیت را مشکل تر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ناشران از طریق شرکت های چاپ الکترونیک، انتشاراتی برای کتاب فروشی های متعدد تولید می کنند؛ بنابراین، ناشران به عنوان ذخیره ساز بدون دی آر اِم مالک انتشار برخط نخواهند بود، که اِن دی اِل نیازمند حفظ و تبدیل آن ها به قالب جاری است تا بتواند به نسل آینده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ناشران از این می ترسند که اِن دی اِل در نهایت نشریات برخط گردآوری شده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محتوایر قومیانتقال خدمات به کتاب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که در 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 دی اِل راه اندازی شده، در اختیار عموم قرار دهند، بنابراین ناشران عموماً از تهیه اصلیفایل برای ذخیره سازی نگرانند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دی اِل سعی دارد به جای دسترسی محدود به محتوای ذخیره شده در سرور ناشران و مطالب حفاظت شده، خودش مالک اصلیفایل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شرط ذخیره سازی نهادینه شود، قانون اِن دی اِل می بایست اصلاح گردد</w:t>
      </w:r>
      <w:r>
        <w:rPr>
          <w:rFonts w:eastAsia="IRNazanin" w:cs="IRNazanin"/>
          <w:color w:val="111111"/>
          <w:sz w:val="28"/>
          <w:szCs w:val="28"/>
          <w:rtl w:val="true"/>
          <w:lang w:bidi="fa-IR"/>
        </w:rPr>
        <w:t>.</w:t>
      </w:r>
    </w:p>
    <w:p>
      <w:pPr>
        <w:pStyle w:val="Heading3"/>
        <w:numPr>
          <w:ilvl w:val="2"/>
          <w:numId w:val="1"/>
        </w:numPr>
        <w:rPr/>
      </w:pPr>
      <w:bookmarkStart w:id="790" w:name="__RefHeading___Toc7825787_2870459653"/>
      <w:bookmarkStart w:id="791" w:name="_Toc288"/>
      <w:bookmarkEnd w:id="790"/>
      <w:r>
        <w:rPr>
          <w:rtl w:val="true"/>
        </w:rPr>
        <w:t>طرح ذخیره سازی موقت انتشارات برخط کارمزدی</w:t>
      </w:r>
      <w:bookmarkEnd w:id="79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برنامه های اِن دی اِل به منظور حل این مشکلات با دست اندرکاران بدین صورت بود که بعضی از آن ها تصمیم گرفتند انتشارات موقتاً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دی اِل ذخیره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ذخیره سازی موقت انتشارات برخط کارمزدی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اِن دی 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ناشران کتاب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ناشران مجلات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ناشران کتاب الکترونیک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مجلات فکاهیر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مالک انتشارات پیشرو و کتب و مجلات تجاری هستند، همکاری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دى اِل و شرکت کنندگان باید با تمام دارندگان حق انتشارات برخط قرارداد ببندند تا بتوانند انتشارات آن ها را برای این طرح، گردآوری و تکثیر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طرح آزمایشی ذخیره سازی موقت انتشارات برخط کارمزدی</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ذخیره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برخط با یا بدون دی آر اِم در فرایند تولید کدام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و چگونه می توان آن را مشخص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 قابل قبول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ذخیره سازی چقدر است؟ آیا باید پول پرداخت شود؟ برای چه چیزی باید پرداخت شود، برای هزینه تولید، کارمزد انجام جابه جایی کارمزد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سرور ذخیره سازی اِن دی اِل باید چقدر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 دی اِل فایل اصلی را در برابر خطر سرقت یا خرابی حفاظت می کند؟</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صاحبان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ذخیره سازی برای مؤلفان و ناشران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خدماتی به عنوان مشوق غیر تجاری برای ذینفعان محسوب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حقوقی برای محرمانگی کاربر و ذینفعان مفید و ماندگار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 اِل چه خدماتی باید برای کاربران فراهم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 دی اِل باید خدمات را به عموم ارائه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کتاب نامه در اِن دی اِل اُپک برای عموم مجاز و مفید است؟ آیا این دکمه مشوقی برای ناشران است تا نشریات خود را ذخیره سازی کنند؟</w:t>
      </w:r>
    </w:p>
    <w:p>
      <w:pPr>
        <w:pStyle w:val="BookText"/>
        <w:rPr/>
      </w:pPr>
      <w:r>
        <w:rPr>
          <w:rFonts w:ascii="IRNazanin" w:hAnsi="IRNazanin" w:eastAsia="IRNazanin"/>
          <w:color w:val="111111"/>
          <w:sz w:val="28"/>
          <w:sz w:val="28"/>
          <w:szCs w:val="28"/>
          <w:rtl w:val="true"/>
          <w:lang w:bidi="fa-IR"/>
        </w:rPr>
        <w:t>ذخیره سازی مؤثر انتشارات برخط نیازمند سازمان هایی است که انتشاراتی را که قرار است ذخیره شوند انتخاب و گردآوری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ذخیره سازی کتب چاپی، اِن دی 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عمده فروشان انتشارات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می بندد تا آن ها را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دی اِل هزینه جابه جایی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قلم به این انجمن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مالی به ناشران و دارندگان حق و نظام ذخیره سازی، یک مکانیزم مفید برای گردآوری انتشارات در اِن دی اِل است، به طوری که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جدید را در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به روی هر ناشری که به آن علاقه مند باشد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شرکت کنندگان بیشتر باشند، علاقه به نظام ذخیره سازی قانونی الکترونیکی در اِن دی اِل بیشتر می شود، که هدف نهایی این طرح است</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9659_94118"/>
      <w:bookmarkStart w:id="793" w:name="pg9659_94118"/>
      <w:bookmarkEnd w:id="793"/>
    </w:p>
    <w:p>
      <w:pPr>
        <w:pStyle w:val="Heading2"/>
        <w:numPr>
          <w:ilvl w:val="1"/>
          <w:numId w:val="1"/>
        </w:numPr>
        <w:rPr/>
      </w:pPr>
      <w:bookmarkStart w:id="794" w:name="pg9659_94118"/>
      <w:bookmarkStart w:id="795" w:name="__RefHeading___Toc7825789_2870459653"/>
      <w:bookmarkStart w:id="796" w:name="_Toc289"/>
      <w:bookmarkEnd w:id="794"/>
      <w:bookmarkEnd w:id="795"/>
      <w:r>
        <w:rPr>
          <w:rtl w:val="true"/>
        </w:rPr>
        <w:t>چکیده</w:t>
      </w:r>
      <w:bookmarkEnd w:id="796"/>
    </w:p>
    <w:p>
      <w:pPr>
        <w:pStyle w:val="BookText"/>
        <w:rPr/>
      </w:pPr>
      <w:r>
        <w:rPr>
          <w:rFonts w:ascii="IRNazanin" w:hAnsi="IRNazanin" w:eastAsia="IRNazanin"/>
          <w:color w:val="111111"/>
          <w:sz w:val="28"/>
          <w:sz w:val="28"/>
          <w:szCs w:val="28"/>
          <w:rtl w:val="true"/>
          <w:lang w:bidi="fa-IR"/>
        </w:rPr>
        <w:t xml:space="preserve">هم کاری کتاب خانه های بدون مرز با کمیساریای عالی سازمان ملل متحد در امور پناهندگان </w:t>
      </w:r>
      <w:r>
        <w:rPr>
          <w:rStyle w:val="FootnoteAnchor"/>
          <w:rtl w:val="true"/>
        </w:rPr>
        <w:footnoteReference w:id="897"/>
      </w:r>
      <w:r>
        <w:rPr>
          <w:rFonts w:ascii="IRNazanin" w:hAnsi="IRNazanin" w:eastAsia="IRNazanin"/>
          <w:color w:val="111111"/>
          <w:sz w:val="28"/>
          <w:sz w:val="28"/>
          <w:szCs w:val="28"/>
          <w:rtl w:val="true"/>
          <w:lang w:bidi="fa-IR"/>
        </w:rPr>
        <w:t xml:space="preserve">و طراح مفهوم تمهیدات ابتکاری فیلیپ استارک </w:t>
      </w:r>
      <w:r>
        <w:rPr>
          <w:rStyle w:val="FootnoteAnchor"/>
          <w:rtl w:val="true"/>
        </w:rPr>
        <w:footnoteReference w:id="898"/>
      </w:r>
      <w:r>
        <w:rPr>
          <w:rFonts w:ascii="IRNazanin" w:hAnsi="IRNazanin" w:eastAsia="IRNazanin"/>
          <w:color w:val="111111"/>
          <w:sz w:val="28"/>
          <w:sz w:val="28"/>
          <w:szCs w:val="28"/>
          <w:rtl w:val="true"/>
          <w:lang w:bidi="fa-IR"/>
        </w:rPr>
        <w:t xml:space="preserve">جهت دستیابی به اطلاعات، آموزش و ساختارهای فرهنگی برای مردم جوامعی که تحت بحران های انسانی شکل گرفته اند از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نیاز فوری به غذا، سرپناه، مراقبت های بهداشتی و پوشاک دارند؛ اما یکی از اولویت هایی که باید در مرتبه نخست برآورده شود، نیاز آن ها به برقراری پیوندهای اجتماعی، بازسازی جامعه مدنی آگاه و افزایش انعطاف پذیری در مقابل درگیری های غیر قابل اجتنابی است که پیشرو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اندیشه </w:t>
      </w:r>
      <w:r>
        <w:rPr>
          <w:rStyle w:val="FootnoteAnchor"/>
          <w:rtl w:val="true"/>
        </w:rPr>
        <w:footnoteReference w:id="899"/>
      </w:r>
      <w:r>
        <w:rPr>
          <w:rFonts w:ascii="IRNazanin" w:hAnsi="IRNazanin" w:eastAsia="IRNazanin"/>
          <w:color w:val="111111"/>
          <w:sz w:val="28"/>
          <w:sz w:val="28"/>
          <w:szCs w:val="28"/>
          <w:rtl w:val="true"/>
          <w:lang w:bidi="fa-IR"/>
        </w:rPr>
        <w:t>، مشتاق پر کردن فضاهای خالی در فعالیت های مربوط به پناهندگان جهت فراهم آوردن راهی برای مردمی است که به سبب اغتشاش ها بیرون رانده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دریچه ای به سوی مطالعه، نوشتن و برقراری ارتباط برای این مردم پناهنده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از طریق دسترسی به اینترنت، رایانه، کتاب، منابع آموزشی، تئاتر و فیلم افراد را توانمند ساخته و ابزارهای مهمی را فراهم می آورد که در جهت بازسازی آن چیزی است که در این جوامع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به ارائه ابتکار تشکیل کتاب خانه های سیار می پردازد که ابتدا برای پناهندگان کنگو و سوریه ای انجام شد و توسعه بالقوه آن در کشورهای آسیایی و اقیانوسیه صورت گرفت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های انسانی، آموزش، اطلاعات، فرهنگ، توانمندسازی و خودباوری</w:t>
      </w:r>
      <w:r>
        <w:rPr>
          <w:rFonts w:eastAsia="IRNazanin" w:cs="IRNazanin"/>
          <w:color w:val="111111"/>
          <w:sz w:val="28"/>
          <w:szCs w:val="28"/>
          <w:rtl w:val="true"/>
          <w:lang w:bidi="fa-IR"/>
        </w:rPr>
        <w:t xml:space="preserve">. </w:t>
      </w:r>
      <w:bookmarkStart w:id="797" w:name="pg9659_94119"/>
    </w:p>
    <w:p>
      <w:pPr>
        <w:pStyle w:val="Heading2"/>
        <w:numPr>
          <w:ilvl w:val="1"/>
          <w:numId w:val="1"/>
        </w:numPr>
        <w:rPr/>
      </w:pPr>
      <w:bookmarkStart w:id="798" w:name="__RefHeading___Toc7825791_2870459653"/>
      <w:bookmarkStart w:id="799" w:name="_Toc290"/>
      <w:bookmarkEnd w:id="797"/>
      <w:bookmarkEnd w:id="798"/>
      <w:r>
        <w:rPr>
          <w:rtl w:val="true"/>
        </w:rPr>
        <w:t>خانه اندیشه</w:t>
      </w:r>
      <w:r>
        <w:rPr>
          <w:rtl w:val="true"/>
        </w:rPr>
        <w:t xml:space="preserve">: </w:t>
      </w:r>
      <w:r>
        <w:rPr>
          <w:rtl w:val="true"/>
        </w:rPr>
        <w:t>پیوند و توانمندسازی جوامع در منطقه آسیا و اقیانوسیه</w:t>
      </w:r>
      <w:bookmarkEnd w:id="799"/>
    </w:p>
    <w:p>
      <w:pPr>
        <w:pStyle w:val="Heading3"/>
        <w:numPr>
          <w:ilvl w:val="2"/>
          <w:numId w:val="1"/>
        </w:numPr>
        <w:rPr/>
      </w:pPr>
      <w:bookmarkStart w:id="800" w:name="__RefHeading___Toc7825793_2870459653"/>
      <w:bookmarkStart w:id="801" w:name="_Toc291"/>
      <w:bookmarkEnd w:id="800"/>
      <w:r>
        <w:rPr>
          <w:rtl w:val="true"/>
        </w:rPr>
        <w:t>اشاره</w:t>
      </w:r>
      <w:bookmarkEnd w:id="8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توانمندسازی جوامع در منطقه آسیا و اقیانوسیه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ژرمی لاشال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نرگس عزیزیان </w:t>
      </w:r>
      <w:r>
        <w:rPr>
          <w:rStyle w:val="FootnoteAnchor"/>
          <w:rtl w:val="true"/>
        </w:rPr>
        <w:footnoteReference w:id="902"/>
      </w:r>
    </w:p>
    <w:p>
      <w:pPr>
        <w:pStyle w:val="Heading3"/>
        <w:numPr>
          <w:ilvl w:val="2"/>
          <w:numId w:val="1"/>
        </w:numPr>
        <w:rPr/>
      </w:pPr>
      <w:bookmarkStart w:id="802" w:name="__RefHeading___Toc7825795_2870459653"/>
      <w:bookmarkStart w:id="803" w:name="_Toc292"/>
      <w:bookmarkEnd w:id="802"/>
      <w:r>
        <w:rPr/>
        <w:t>1</w:t>
      </w:r>
      <w:r>
        <w:rPr>
          <w:rtl w:val="true"/>
        </w:rPr>
        <w:t xml:space="preserve">. </w:t>
      </w:r>
      <w:r>
        <w:rPr>
          <w:rtl w:val="true"/>
        </w:rPr>
        <w:t>مقدمه</w:t>
      </w:r>
      <w:bookmarkEnd w:id="803"/>
    </w:p>
    <w:p>
      <w:pPr>
        <w:pStyle w:val="BookText"/>
        <w:rPr/>
      </w:pPr>
      <w:r>
        <w:rPr>
          <w:rFonts w:ascii="IRNazanin" w:hAnsi="IRNazanin" w:eastAsia="IRNazanin"/>
          <w:color w:val="111111"/>
          <w:sz w:val="28"/>
          <w:sz w:val="28"/>
          <w:szCs w:val="28"/>
          <w:rtl w:val="true"/>
          <w:lang w:bidi="fa-IR"/>
        </w:rPr>
        <w:t xml:space="preserve">طوفان مخرب هایان </w:t>
      </w:r>
      <w:r>
        <w:rPr>
          <w:rStyle w:val="FootnoteAnchor"/>
          <w:rtl w:val="true"/>
        </w:rPr>
        <w:footnoteReference w:id="903"/>
      </w:r>
      <w:r>
        <w:rPr>
          <w:rFonts w:ascii="IRNazanin" w:hAnsi="IRNazanin" w:eastAsia="IRNazanin"/>
          <w:color w:val="111111"/>
          <w:sz w:val="28"/>
          <w:sz w:val="28"/>
          <w:szCs w:val="28"/>
          <w:rtl w:val="true"/>
          <w:lang w:bidi="fa-IR"/>
        </w:rPr>
        <w:t xml:space="preserve">یکی از انواع طوفان های موسمی در کشور فیلیپین بوده که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صدماتی را به این کشور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بعد زلزله ای مهیب به قدرت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ریشتر این کشور را لرزاند که همه چیز را در مسیر خود نابود کرد و در سرتاسر کشور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کشته و بی خانمان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قوی در آن زمان به رشد اقتصادی پرافتخاری دست یافته بود که در جایگاه دوم اقتصادی در آسیا بعد از چین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حوادث آمار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ناپدید شده گزارش شد، در حالی که میلیون ها نفر هم بی خانمان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بالای انسانی با نابودی گسترده خانه ها و دیگر ساختارها و خدمات حیاتی مثل مدارس و بیمارستان ها در این حادثه همراه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فوری جامعه بین الملل به بحران های انسانی در این ابعاد فاجعه بار نشان دهنده تأثیر گذار بودن نیازمندی های نجات بخش فوری همانند غذا، آب آشامیدنی، سرپناه، پوشاک، مسائل بهداشتی </w:t>
      </w:r>
    </w:p>
    <w:p>
      <w:pPr>
        <w:pStyle w:val="BookText"/>
        <w:rPr/>
      </w:pPr>
      <w:r>
        <w:rPr>
          <w:rFonts w:ascii="IRNazanin" w:hAnsi="IRNazanin" w:eastAsia="IRNazanin"/>
          <w:color w:val="111111"/>
          <w:sz w:val="28"/>
          <w:sz w:val="28"/>
          <w:szCs w:val="28"/>
          <w:rtl w:val="true"/>
          <w:lang w:bidi="fa-IR"/>
        </w:rPr>
        <w:t>و خدمات درمانی و کنترل بیماری ها است که برای این مردم آسیب دیده فراهم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اگوئیلر و رتامال </w:t>
      </w:r>
      <w:r>
        <w:rPr>
          <w:rFonts w:eastAsia="IRNazanin" w:cs="IRNazanin"/>
          <w:color w:val="111111"/>
          <w:sz w:val="28"/>
          <w:szCs w:val="28"/>
          <w:lang w:bidi="fa-IR"/>
        </w:rPr>
        <w:t>2009:3</w:t>
      </w:r>
      <w:r>
        <w:rPr>
          <w:rFonts w:ascii="IRNazanin" w:hAnsi="IRNazanin" w:eastAsia="IRNazanin"/>
          <w:color w:val="111111"/>
          <w:sz w:val="28"/>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مداخلات جامعه بین الملل از اولویت های اولیه و مهم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شکل فزاینده ای شاخصه های دیگری در این رویدادها همانند مسائل مربوط به فرهنگ و آموزش مردم بی خانمان و البته فراهم آوردن شرایط رسیدگی به مسائلی هم چون سلامت روحی و روانی و جلوگیری از هجمه مشکلاتی همانند افسردگی، اضطراب و سایر بیماری های روان تنی و مزمنی که با اختلالات حاصل از فشار روانی پس از بحران ها مرتبط اند، مورد توجه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و وُستانیس </w:t>
      </w:r>
      <w:r>
        <w:rPr>
          <w:rStyle w:val="FootnoteAnchor"/>
          <w:rtl w:val="true"/>
        </w:rPr>
        <w:footnoteReference w:id="905"/>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1999:385</w:t>
      </w:r>
      <w:r>
        <w:rPr>
          <w:rFonts w:ascii="IRNazanin" w:hAnsi="IRNazanin" w:eastAsia="IRNazanin"/>
          <w:color w:val="111111"/>
          <w:sz w:val="28"/>
          <w:sz w:val="28"/>
          <w:szCs w:val="28"/>
          <w:rtl w:val="true"/>
          <w:lang w:bidi="fa-IR"/>
        </w:rPr>
        <w:t xml:space="preserve">؛ سینکلر </w:t>
      </w:r>
      <w:r>
        <w:rPr>
          <w:rFonts w:eastAsia="IRNazanin" w:cs="IRNazanin"/>
          <w:color w:val="111111"/>
          <w:sz w:val="28"/>
          <w:szCs w:val="28"/>
          <w:lang w:bidi="fa-IR"/>
        </w:rPr>
        <w:t>2002:33</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مثال، در مصیبت وارد آمده از طوفان در کشور فیلیپین برای ایجاد امنیت و حفظ سلامت روحی کودکان، برای ایجاد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فضای دوستانه کودکانه </w:t>
      </w:r>
      <w:r>
        <w:rPr>
          <w:rStyle w:val="FootnoteAnchor"/>
          <w:rtl w:val="true"/>
        </w:rPr>
        <w:footnoteReference w:id="907"/>
      </w:r>
      <w:r>
        <w:rPr>
          <w:rFonts w:ascii="IRNazanin" w:hAnsi="IRNazanin" w:eastAsia="IRNazanin"/>
          <w:color w:val="111111"/>
          <w:sz w:val="28"/>
          <w:sz w:val="28"/>
          <w:szCs w:val="28"/>
          <w:rtl w:val="true"/>
          <w:lang w:bidi="fa-IR"/>
        </w:rPr>
        <w:t>مساعدت شد که در این فضاها کودکان به بازی با اسباب بازی ها و انجام طرح های هنری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فضاهای دوستانه کودکانه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حفظ و امنیت کودکان با توزیع 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مدرسه متناسب با سن آن ها به همراه كيف هزاران بسته معلم آموزش محور و تجهیزاتی که بتوان برای باز آموزی های آموزشی از آن استفاده کرد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یاریگران با تربیت و مورد حمایت قرار دادن آموزگاران، آن ها را برای کمک به این گونه کودکان آماده کردند تا بتوانند با کودکانی که تحت شرایط تجربه چنین صدماتی قرار گرفته اند کار کنند و آن ها را قادر سازند تا با بحران پیش آمده کنار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کودکان محافظت کن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افزایش دسترسی های گسترده به منابع آموزشی، کتاب ها، رایانه، برنامه های کمک آموزشی، همیاری های قانونی و دیگر ابزارهای اطلاع رسانی نتایج مثبتی برای بی خانمان ها به دست آمد که به این ترتیب از تقویت قوای ذهنی و فکری آن ها حمایت شد و احساس تنهایی و ناامیدی را در آن ها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با این کمک ها عزت نفس و همکاری در تقویت قوای درونی و بالندگی را ارتقا می داد که برای شروع بازسازی زندگی نابود شده آن ها و ارائه آگاهی های لازم درباره جامعه مدنی مورد نیاز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ایجاد محیط امن برای افراد که بتوانند دور هم جمع شده و از طرف دیگر فراهم کردن شرایطی </w:t>
      </w:r>
      <w:bookmarkStart w:id="804" w:name="pg9659_94121"/>
    </w:p>
    <w:p>
      <w:pPr>
        <w:pStyle w:val="BookText"/>
        <w:rPr/>
      </w:pPr>
      <w:bookmarkEnd w:id="804"/>
      <w:r>
        <w:rPr>
          <w:rFonts w:ascii="IRNazanin" w:hAnsi="IRNazanin" w:eastAsia="IRNazanin"/>
          <w:color w:val="111111"/>
          <w:sz w:val="28"/>
          <w:sz w:val="28"/>
          <w:szCs w:val="28"/>
          <w:rtl w:val="true"/>
          <w:lang w:bidi="fa-IR"/>
        </w:rPr>
        <w:t>که از کودکان و بزرگ سالان در برابر خطرات سوء استفاده و استثمارها حمایت کنند، در واقع حمایت از گروه هایی حمایت می شود که در حاشیه قرار می گیرند مانند اقلیت های قومی، معلولین، دختران و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سینکلر، </w:t>
      </w:r>
      <w:r>
        <w:rPr>
          <w:rFonts w:eastAsia="IRNazanin" w:cs="IRNazanin"/>
          <w:color w:val="111111"/>
          <w:sz w:val="28"/>
          <w:szCs w:val="28"/>
          <w:lang w:bidi="fa-IR"/>
        </w:rPr>
        <w:t>2007:53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آموزش نه تنها به عنوان حقوق اولیه بشری ارائه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سی آر سی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مقاله یو دی اچ آر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 چنین می تواند ارزش و چهارچوب لازم را به زندگی انسانی داده و الهام بخش احترام به عدالت، تحمل پذیری و پایداری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اگوئیلر و رتامال، </w:t>
      </w:r>
      <w:r>
        <w:rPr>
          <w:rFonts w:eastAsia="IRNazanin" w:cs="IRNazanin"/>
          <w:color w:val="111111"/>
          <w:sz w:val="28"/>
          <w:szCs w:val="28"/>
          <w:lang w:bidi="fa-IR"/>
        </w:rPr>
        <w:t>2009</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فعالیت های دامنه داری برای مثال در مورد عواقب بعد از حادثه زمین لرزه شیلی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به عمل آمده توسط گروه تحولات فناوری و اجتماعی </w:t>
      </w:r>
      <w:r>
        <w:rPr>
          <w:rStyle w:val="FootnoteAnchor"/>
          <w:rtl w:val="true"/>
        </w:rPr>
        <w:footnoteReference w:id="911"/>
      </w:r>
      <w:r>
        <w:rPr>
          <w:rFonts w:ascii="IRNazanin" w:hAnsi="IRNazanin" w:eastAsia="IRNazanin"/>
          <w:color w:val="111111"/>
          <w:sz w:val="28"/>
          <w:sz w:val="28"/>
          <w:szCs w:val="28"/>
          <w:rtl w:val="true"/>
          <w:lang w:bidi="fa-IR"/>
        </w:rPr>
        <w:t>در دانشکده اطلاعات واشینگتن پس از کسب آگاهی های لازم از وقوع حوادث مخرب مورد آزمون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گردآوری اطلاعاتی لازمه برقراری ارتباطات، فراهم آوردن خدمات به وسیله کتاب خانه ها و مراکز است و این که چطور مدیریت بحران در این شرایط می بایست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دریافتند کتاب خانه ها و پایگاه های اطلاع رسانی با در دسترس قرار دادن اینترنت و همین طور مراکز فعالیت های فیزیکی و اجتماعی نقش مهمی در ترمیم و توسعه پس از وقوع بحران ها ایفا می کنند</w:t>
      </w:r>
      <w:r>
        <w:rPr>
          <w:rFonts w:eastAsia="IRNazanin" w:cs="IRNazanin"/>
          <w:color w:val="111111"/>
          <w:sz w:val="28"/>
          <w:szCs w:val="28"/>
          <w:rtl w:val="true"/>
          <w:lang w:bidi="fa-IR"/>
        </w:rPr>
        <w:t>.</w:t>
      </w:r>
    </w:p>
    <w:p>
      <w:pPr>
        <w:pStyle w:val="Heading3"/>
        <w:numPr>
          <w:ilvl w:val="2"/>
          <w:numId w:val="1"/>
        </w:numPr>
        <w:rPr/>
      </w:pPr>
      <w:bookmarkStart w:id="805" w:name="__RefHeading___Toc7825797_2870459653"/>
      <w:bookmarkStart w:id="806" w:name="_Toc293"/>
      <w:bookmarkEnd w:id="805"/>
      <w:r>
        <w:rPr/>
        <w:t>2</w:t>
      </w:r>
      <w:r>
        <w:rPr>
          <w:rtl w:val="true"/>
        </w:rPr>
        <w:t xml:space="preserve">. </w:t>
      </w:r>
      <w:r>
        <w:rPr>
          <w:rtl w:val="true"/>
        </w:rPr>
        <w:t>نتایج هائیتی و فعالیت های بین المللی</w:t>
      </w:r>
      <w:bookmarkEnd w:id="806"/>
    </w:p>
    <w:p>
      <w:pPr>
        <w:pStyle w:val="Heading4"/>
        <w:numPr>
          <w:ilvl w:val="3"/>
          <w:numId w:val="1"/>
        </w:numPr>
        <w:rPr/>
      </w:pPr>
      <w:bookmarkStart w:id="807" w:name="__RefHeading___Toc7825799_2870459653"/>
      <w:bookmarkStart w:id="808" w:name="_Toc294"/>
      <w:bookmarkEnd w:id="807"/>
      <w:r>
        <w:rPr/>
        <w:t>1.2</w:t>
      </w:r>
      <w:r>
        <w:rPr>
          <w:rtl w:val="true"/>
        </w:rPr>
        <w:t xml:space="preserve">- </w:t>
      </w:r>
      <w:r>
        <w:rPr>
          <w:rtl w:val="true"/>
        </w:rPr>
        <w:t>اقدامات کتاب خانه های بدون مرز در هائیتی</w:t>
      </w:r>
      <w:bookmarkEnd w:id="8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کتاب خانه های بدون مرز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هائیتی</w:t>
      </w:r>
    </w:p>
    <w:p>
      <w:pPr>
        <w:pStyle w:val="BookText"/>
        <w:rPr/>
      </w:pPr>
      <w:r>
        <w:rPr>
          <w:rFonts w:ascii="IRNazanin" w:hAnsi="IRNazanin" w:eastAsia="IRNazanin"/>
          <w:color w:val="111111"/>
          <w:sz w:val="28"/>
          <w:sz w:val="28"/>
          <w:szCs w:val="28"/>
          <w:rtl w:val="true"/>
          <w:lang w:bidi="fa-IR"/>
        </w:rPr>
        <w:t xml:space="preserve">سازمان غیرانتفاعی </w:t>
      </w:r>
      <w:r>
        <w:rPr>
          <w:rStyle w:val="FootnoteAnchor"/>
          <w:rtl w:val="true"/>
        </w:rPr>
        <w:footnoteReference w:id="912"/>
      </w:r>
      <w:r>
        <w:rPr>
          <w:rFonts w:ascii="IRNazanin" w:hAnsi="IRNazanin" w:eastAsia="IRNazanin"/>
          <w:color w:val="111111"/>
          <w:sz w:val="28"/>
          <w:sz w:val="28"/>
          <w:szCs w:val="28"/>
          <w:rtl w:val="true"/>
          <w:lang w:bidi="fa-IR"/>
        </w:rPr>
        <w:t xml:space="preserve">فرانسوی کتاب خانه های بدون مرز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ترویج دسترسی به اطلاعات، آموزش و فرهنگ در سرتاسر دنیا،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اولین شاهد ایجاد فرصت دسترسی با تأثیرات بحران انسانی در هائیتی، پس از زمین لرزه مهیبی بود که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قسمت اعظم کشور را ویران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چنین شرایط بحرانی، با همکاری مساعدت کنندگان اهل هائیتی بیست کتاب خانه بدون مرز موقتی در داخل اردوگاه های پناهندگان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این طرح با برخی از بد بینی ها پذیرفته شد؛ اما در زمینه برپایی کتاب خانه واکنش ها کاملاً متفاوت بود و کتاب خانه ها به مثالی برای دستیابی به موفقیتی غیر قابل باور تبدیل شدند</w:t>
      </w:r>
      <w:r>
        <w:rPr>
          <w:rFonts w:eastAsia="IRNazanin" w:cs="IRNazanin"/>
          <w:color w:val="111111"/>
          <w:sz w:val="28"/>
          <w:szCs w:val="28"/>
          <w:rtl w:val="true"/>
          <w:lang w:bidi="fa-IR"/>
        </w:rPr>
        <w:t xml:space="preserve">. </w:t>
      </w:r>
      <w:bookmarkStart w:id="809" w:name="pg9659_94122"/>
    </w:p>
    <w:p>
      <w:pPr>
        <w:pStyle w:val="BookText"/>
        <w:rPr/>
      </w:pPr>
      <w:bookmarkEnd w:id="809"/>
      <w:r>
        <w:rPr>
          <w:rFonts w:ascii="IRNazanin" w:hAnsi="IRNazanin" w:eastAsia="IRNazanin"/>
          <w:color w:val="111111"/>
          <w:sz w:val="28"/>
          <w:sz w:val="28"/>
          <w:szCs w:val="28"/>
          <w:rtl w:val="true"/>
          <w:lang w:bidi="fa-IR"/>
        </w:rPr>
        <w:t xml:space="preserve">خیلی زود با همکاری یونیسف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مجموعه کتاب خانه ای توسعه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این کتاب خانه ها به مراکز اطلاع رسانی برای پناهندگان در اردوگاه ها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ها مکانی برای گردهمایی و تعاملات افراد شدند که سطحی از امنیت برقراری مجدد حس اجتماعی و رفتارهای طبیعی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امکان روابط جدید، هم کاری و دسترسی به اطلاعات فراهم آمد و کودکان مکانی امن برای بازی داشتند و می توانستند تخیلات خود را برای یک دیگر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ناهنجاری ها و رفتارهای ضد انسانی در اردوگاه ها به حداقل رسید و به نوعی بر صدمات فائق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اگوئیلر و رتامال، </w:t>
      </w:r>
      <w:r>
        <w:rPr>
          <w:rFonts w:eastAsia="IRNazanin" w:cs="IRNazanin"/>
          <w:color w:val="111111"/>
          <w:sz w:val="28"/>
          <w:szCs w:val="28"/>
          <w:lang w:bidi="fa-IR"/>
        </w:rPr>
        <w:t>2009:40</w:t>
      </w:r>
      <w:r>
        <w:rPr>
          <w:rFonts w:eastAsia="IRNazanin" w:cs="IRNazanin"/>
          <w:color w:val="111111"/>
          <w:sz w:val="28"/>
          <w:szCs w:val="28"/>
          <w:rtl w:val="true"/>
          <w:lang w:bidi="fa-IR"/>
        </w:rPr>
        <w:t>).</w:t>
      </w:r>
    </w:p>
    <w:p>
      <w:pPr>
        <w:pStyle w:val="Heading4"/>
        <w:numPr>
          <w:ilvl w:val="3"/>
          <w:numId w:val="1"/>
        </w:numPr>
        <w:rPr/>
      </w:pPr>
      <w:bookmarkStart w:id="810" w:name="__RefHeading___Toc7825801_2870459653"/>
      <w:bookmarkStart w:id="811" w:name="_Toc295"/>
      <w:bookmarkEnd w:id="810"/>
      <w:r>
        <w:rPr/>
        <w:t>2.2</w:t>
      </w:r>
      <w:r>
        <w:rPr>
          <w:rtl w:val="true"/>
        </w:rPr>
        <w:t xml:space="preserve">- </w:t>
      </w:r>
      <w:r>
        <w:rPr>
          <w:rtl w:val="true"/>
        </w:rPr>
        <w:t>فراخوان فوری برای اقدام</w:t>
      </w:r>
      <w:bookmarkEnd w:id="811"/>
    </w:p>
    <w:p>
      <w:pPr>
        <w:pStyle w:val="BookText"/>
        <w:rPr/>
      </w:pPr>
      <w:r>
        <w:rPr>
          <w:rFonts w:ascii="IRNazanin" w:hAnsi="IRNazanin" w:eastAsia="IRNazanin"/>
          <w:color w:val="111111"/>
          <w:sz w:val="28"/>
          <w:sz w:val="28"/>
          <w:szCs w:val="28"/>
          <w:rtl w:val="true"/>
          <w:lang w:bidi="fa-IR"/>
        </w:rPr>
        <w:t xml:space="preserve">با کسب انرژی از این موفقیت اولیه در هائیتی، کتاب خانه های بدون مرز کمپین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فوری</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را در نوامبر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ها از برپایی چنین کمپینی افزایش آگاهی ها نسبت به اهمیت وجود ابعاد فکری و فرهنگی در بحران های انسانی و از طرف دیگر نشان دادن اولویت اهمیت به همکاری های سازمان های بین المللی در مورد دسترسی به کتاب ها، اطلاعات و مواد آموزشی برای زمانی است که رسیدگی به نیازمندی های ضروری انسانی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به نام و متفکرین در سراسر دنیا از جمله برندگان جایزه نوبل در ادبیات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کوتسی </w:t>
      </w:r>
      <w:r>
        <w:rPr>
          <w:rStyle w:val="FootnoteAnchor"/>
          <w:rtl w:val="true"/>
        </w:rPr>
        <w:footnoteReference w:id="915"/>
      </w:r>
      <w:r>
        <w:rPr>
          <w:rFonts w:ascii="IRNazanin" w:hAnsi="IRNazanin" w:eastAsia="IRNazanin"/>
          <w:color w:val="111111"/>
          <w:sz w:val="28"/>
          <w:sz w:val="28"/>
          <w:szCs w:val="28"/>
          <w:rtl w:val="true"/>
          <w:lang w:bidi="fa-IR"/>
        </w:rPr>
        <w:t xml:space="preserve">، تونی موریسون </w:t>
      </w:r>
      <w:r>
        <w:rPr>
          <w:rStyle w:val="FootnoteAnchor"/>
          <w:rtl w:val="true"/>
        </w:rPr>
        <w:footnoteReference w:id="916"/>
      </w:r>
      <w:r>
        <w:rPr>
          <w:rFonts w:ascii="IRNazanin" w:hAnsi="IRNazanin" w:eastAsia="IRNazanin"/>
          <w:color w:val="111111"/>
          <w:sz w:val="28"/>
          <w:sz w:val="28"/>
          <w:szCs w:val="28"/>
          <w:rtl w:val="true"/>
          <w:lang w:bidi="fa-IR"/>
        </w:rPr>
        <w:t xml:space="preserve">؛ دوريس لسینگ </w:t>
      </w:r>
      <w:r>
        <w:rPr>
          <w:rStyle w:val="FootnoteAnchor"/>
          <w:rtl w:val="true"/>
        </w:rPr>
        <w:footnoteReference w:id="917"/>
      </w:r>
      <w:r>
        <w:rPr>
          <w:rFonts w:ascii="IRNazanin" w:hAnsi="IRNazanin" w:eastAsia="IRNazanin"/>
          <w:color w:val="111111"/>
          <w:sz w:val="28"/>
          <w:sz w:val="28"/>
          <w:szCs w:val="28"/>
          <w:rtl w:val="true"/>
          <w:lang w:bidi="fa-IR"/>
        </w:rPr>
        <w:t xml:space="preserve">؛ رمان نویسان ایزابل آلنده </w:t>
      </w:r>
      <w:r>
        <w:rPr>
          <w:rStyle w:val="FootnoteAnchor"/>
          <w:rtl w:val="true"/>
        </w:rPr>
        <w:footnoteReference w:id="918"/>
      </w:r>
      <w:r>
        <w:rPr>
          <w:rFonts w:ascii="IRNazanin" w:hAnsi="IRNazanin" w:eastAsia="IRNazanin"/>
          <w:color w:val="111111"/>
          <w:sz w:val="28"/>
          <w:sz w:val="28"/>
          <w:szCs w:val="28"/>
          <w:rtl w:val="true"/>
          <w:lang w:bidi="fa-IR"/>
        </w:rPr>
        <w:t xml:space="preserve">استیون کینگ </w:t>
      </w:r>
      <w:r>
        <w:rPr>
          <w:rStyle w:val="FootnoteAnchor"/>
          <w:rtl w:val="true"/>
        </w:rPr>
        <w:footnoteReference w:id="919"/>
      </w:r>
      <w:r>
        <w:rPr>
          <w:rFonts w:ascii="IRNazanin" w:hAnsi="IRNazanin" w:eastAsia="IRNazanin"/>
          <w:color w:val="111111"/>
          <w:sz w:val="28"/>
          <w:sz w:val="28"/>
          <w:szCs w:val="28"/>
          <w:rtl w:val="true"/>
          <w:lang w:bidi="fa-IR"/>
        </w:rPr>
        <w:t xml:space="preserve">و سلمان رشدی </w:t>
      </w:r>
      <w:r>
        <w:rPr>
          <w:rStyle w:val="FootnoteAnchor"/>
          <w:rtl w:val="true"/>
        </w:rPr>
        <w:footnoteReference w:id="920"/>
      </w:r>
      <w:r>
        <w:rPr>
          <w:rFonts w:ascii="IRNazanin" w:hAnsi="IRNazanin" w:eastAsia="IRNazanin"/>
          <w:color w:val="111111"/>
          <w:sz w:val="28"/>
          <w:sz w:val="28"/>
          <w:szCs w:val="28"/>
          <w:rtl w:val="true"/>
          <w:lang w:bidi="fa-IR"/>
        </w:rPr>
        <w:t xml:space="preserve">و اساتید دانشگاهی از جمله آنتونی آپیا </w:t>
      </w:r>
      <w:r>
        <w:rPr>
          <w:rStyle w:val="FootnoteAnchor"/>
          <w:rtl w:val="true"/>
        </w:rPr>
        <w:footnoteReference w:id="921"/>
      </w:r>
      <w:r>
        <w:rPr>
          <w:rFonts w:ascii="IRNazanin" w:hAnsi="IRNazanin" w:eastAsia="IRNazanin"/>
          <w:color w:val="111111"/>
          <w:sz w:val="28"/>
          <w:sz w:val="28"/>
          <w:szCs w:val="28"/>
          <w:rtl w:val="true"/>
          <w:lang w:bidi="fa-IR"/>
        </w:rPr>
        <w:t xml:space="preserve">، ناتالی دیویس </w:t>
      </w:r>
      <w:r>
        <w:rPr>
          <w:rStyle w:val="FootnoteAnchor"/>
          <w:rtl w:val="true"/>
        </w:rPr>
        <w:footnoteReference w:id="922"/>
      </w:r>
      <w:r>
        <w:rPr>
          <w:rFonts w:ascii="IRNazanin" w:hAnsi="IRNazanin" w:eastAsia="IRNazanin"/>
          <w:color w:val="111111"/>
          <w:sz w:val="28"/>
          <w:sz w:val="28"/>
          <w:szCs w:val="28"/>
          <w:rtl w:val="true"/>
          <w:lang w:bidi="fa-IR"/>
        </w:rPr>
        <w:t xml:space="preserve">، اوئن فیس </w:t>
      </w:r>
      <w:r>
        <w:rPr>
          <w:rStyle w:val="FootnoteAnchor"/>
          <w:rtl w:val="true"/>
        </w:rPr>
        <w:footnoteReference w:id="923"/>
      </w:r>
      <w:r>
        <w:rPr>
          <w:rFonts w:ascii="IRNazanin" w:hAnsi="IRNazanin" w:eastAsia="IRNazanin"/>
          <w:color w:val="111111"/>
          <w:sz w:val="28"/>
          <w:sz w:val="28"/>
          <w:szCs w:val="28"/>
          <w:rtl w:val="true"/>
          <w:lang w:bidi="fa-IR"/>
        </w:rPr>
        <w:t xml:space="preserve">و ساسکیا ساسن </w:t>
      </w:r>
      <w:r>
        <w:rPr>
          <w:rStyle w:val="FootnoteAnchor"/>
          <w:rtl w:val="true"/>
        </w:rPr>
        <w:footnoteReference w:id="924"/>
      </w:r>
      <w:r>
        <w:rPr>
          <w:rFonts w:ascii="IRNazanin" w:hAnsi="IRNazanin" w:eastAsia="IRNazanin"/>
          <w:color w:val="111111"/>
          <w:sz w:val="28"/>
          <w:sz w:val="28"/>
          <w:szCs w:val="28"/>
          <w:rtl w:val="true"/>
          <w:lang w:bidi="fa-IR"/>
        </w:rPr>
        <w:t>این فراخوان را حمایت کردند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کمپین با حضور پررنگ خود در همایش بین المللی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آمریکای لاتین</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فرانسه در تاریخ اکتبر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بسیار خوش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همایش </w:t>
      </w:r>
      <w:bookmarkStart w:id="812" w:name="pg9659_94123"/>
    </w:p>
    <w:p>
      <w:pPr>
        <w:pStyle w:val="BookText"/>
        <w:rPr/>
      </w:pPr>
      <w:bookmarkEnd w:id="812"/>
      <w:r>
        <w:rPr>
          <w:rFonts w:ascii="IRNazanin" w:hAnsi="IRNazanin" w:eastAsia="IRNazanin"/>
          <w:color w:val="111111"/>
          <w:sz w:val="28"/>
          <w:sz w:val="28"/>
          <w:szCs w:val="28"/>
          <w:rtl w:val="true"/>
          <w:lang w:bidi="fa-IR"/>
        </w:rPr>
        <w:t>گردهمایی تمامی بزرگان در زمینه های فرهنگی، متخصصین اطلاعات، فعالان حقوق بشر و همین طور حامیان و تأمین کنندگان جهت تعاملات و تغییر رویکردها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موضوعات کلیدی و نقش های مورد اشاره اکثر سخنرانان و مشاوران این موضوع مطرح شد که کتاب خانه ها می توانند نقش پیشگیری کننده و پاسخ دهنده به بحران های انسانی داشته باشند؛ موضوع مورد اشاره دیگر این بود که چطور اطلاعات و فناوری های ارتباطی جدید می توانند به صورت فزاینده ای به عنوان ابزارهای کمکی به کار گرفته شوند و این که چطور راهبردهای ارزشمند تأثیر گذار برای سنجش های صحیح تأثیرات طرح های متنوع اجتماعی در موقعیت های ضروری توسعه داده شوند</w:t>
      </w:r>
      <w:r>
        <w:rPr>
          <w:rFonts w:eastAsia="IRNazanin" w:cs="IRNazanin"/>
          <w:color w:val="111111"/>
          <w:sz w:val="28"/>
          <w:szCs w:val="28"/>
          <w:rtl w:val="true"/>
          <w:lang w:bidi="fa-IR"/>
        </w:rPr>
        <w:t>.</w:t>
      </w:r>
    </w:p>
    <w:p>
      <w:pPr>
        <w:pStyle w:val="Heading3"/>
        <w:numPr>
          <w:ilvl w:val="2"/>
          <w:numId w:val="1"/>
        </w:numPr>
        <w:rPr/>
      </w:pPr>
      <w:bookmarkStart w:id="813" w:name="__RefHeading___Toc7825803_2870459653"/>
      <w:bookmarkStart w:id="814" w:name="_Toc296"/>
      <w:bookmarkEnd w:id="813"/>
      <w:r>
        <w:rPr/>
        <w:t>3</w:t>
      </w:r>
      <w:r>
        <w:rPr>
          <w:rtl w:val="true"/>
        </w:rPr>
        <w:t xml:space="preserve">. </w:t>
      </w:r>
      <w:r>
        <w:rPr>
          <w:rtl w:val="true"/>
        </w:rPr>
        <w:t>ارائه پاسخ های جدید</w:t>
      </w:r>
      <w:r>
        <w:rPr>
          <w:rtl w:val="true"/>
        </w:rPr>
        <w:t xml:space="preserve">: </w:t>
      </w:r>
      <w:r>
        <w:rPr>
          <w:rtl w:val="true"/>
        </w:rPr>
        <w:t>طرح خانه اندیشه</w:t>
      </w:r>
      <w:bookmarkEnd w:id="814"/>
    </w:p>
    <w:p>
      <w:pPr>
        <w:pStyle w:val="Heading4"/>
        <w:numPr>
          <w:ilvl w:val="3"/>
          <w:numId w:val="1"/>
        </w:numPr>
        <w:rPr/>
      </w:pPr>
      <w:bookmarkStart w:id="815" w:name="__RefHeading___Toc7825805_2870459653"/>
      <w:bookmarkStart w:id="816" w:name="_Toc297"/>
      <w:bookmarkEnd w:id="815"/>
      <w:r>
        <w:rPr/>
        <w:t>1.3</w:t>
      </w:r>
      <w:r>
        <w:rPr>
          <w:rtl w:val="true"/>
        </w:rPr>
        <w:t xml:space="preserve">. </w:t>
      </w:r>
      <w:r>
        <w:rPr>
          <w:rtl w:val="true"/>
        </w:rPr>
        <w:t>معرفی خانه اندیشه</w:t>
      </w:r>
      <w:bookmarkEnd w:id="816"/>
    </w:p>
    <w:p>
      <w:pPr>
        <w:pStyle w:val="BookText"/>
        <w:rPr/>
      </w:pPr>
      <w:r>
        <w:rPr>
          <w:rFonts w:ascii="IRNazanin" w:hAnsi="IRNazanin" w:eastAsia="IRNazanin"/>
          <w:color w:val="111111"/>
          <w:sz w:val="28"/>
          <w:sz w:val="28"/>
          <w:szCs w:val="28"/>
          <w:rtl w:val="true"/>
          <w:lang w:bidi="fa-IR"/>
        </w:rPr>
        <w:t xml:space="preserve">برداشتی که از چشم انداز این تحقیق به عمل آمده است اشاره می کند کتاب خانه های بدون مرز یک مرکز چندرسانه ای سیار توسعه یافته ای را توسعه دادند که زمینه پیشرفت آن با تنوع ژئومورفولوژی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های بدون مرز در همکاری با کمیساریای عالی سازمان ملل متحد در امور پناهندگان </w:t>
      </w:r>
      <w:r>
        <w:rPr>
          <w:rStyle w:val="FootnoteAnchor"/>
          <w:rtl w:val="true"/>
        </w:rPr>
        <w:footnoteReference w:id="927"/>
      </w:r>
      <w:r>
        <w:rPr>
          <w:rFonts w:ascii="IRNazanin" w:hAnsi="IRNazanin" w:eastAsia="IRNazanin"/>
          <w:color w:val="111111"/>
          <w:sz w:val="28"/>
          <w:sz w:val="28"/>
          <w:szCs w:val="28"/>
          <w:rtl w:val="true"/>
          <w:lang w:bidi="fa-IR"/>
        </w:rPr>
        <w:t>و فیلیپ استارک ابزاری مبتکرانه ایجاد کردند که توانست برای مردمی که با بحران های انسانی روبه رویند دسترسی را فراهم سازد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اندیشه به طور مؤثر، کتاب خانه مجازی و فیزیکی بسیار فشرده ای است که به آسانی می تواند حتى تحت دشوارترین و پرچالش ترین موقعیت ها و زمینه های ژئومورفولوژی قابل انتقال و راه اندازی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ویژگی های این کتاب خانه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اینترنتی از طریق ماهواره،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لپتاپ،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تبلت با صفحه لمسی،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خوان الکترونیکی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لوح های فشرده و تعدادی ابزارهای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هم چنین شامل واحد سینما برای تولید مستندها و گزارش ها؛ بازی های متنوع و بازی های ویدئویی؛ اسباب بازی، عروسک های پارچه ای و کارگاه های تئاتر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فعالیت های آموزشی و شفاف به صورت هدفمند برای ارائه فرصت درک بهتر آن ها از دنیایشان طراحی می شود و تجربه های آن ها از صدمات، قابل درک و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واحدها هم چنین اسباب و وسایلی با رنگ های روشن مانند میز برای رایانه و زیرانداز برای مشاهده فیلم و مطالعه با هم ادغام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دارای میزهای اضافی، قفسه و صندلی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مقررات خانه اندیشه به شکل خاصی جهت بیان نیازمندی های هر دو گروه اطفال و بزرگ سالان پناهنده طراحی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 همه تجهیزات مطابق با اهداف توسعه قابل اجرا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هم چنین ژنراتور و باتری هایی دارد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اندیشه ارائه دهنده نوآوری هایی در ارتباط با دستیابی به اطلاعات و فرهنگ در مواجه با بحران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خانه اندیشه تأمین کننده خدمات و محتویاتی است که برابر با امکانات یک کتاب خانه شهری کوچک و ارائه خدمات حداقل برای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است اما خدمات ارائه شده می تواند در مقیاس های کوچک تر هم به کار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در تأمین احتیاجات یک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اندیشه می تواند به مردمی که در مواجه مستقیم با اغتشاش ها هستند ابزار خواندن، نوشتن، آفریدن و برقراری ارتباط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می تواند به واسطه دسترسی به اینترنت، کتاب ها، منابع آموزشی، تئاتر و فیلم ها، افراد و جوامع را برای شروع بازسازی آن چه از دست رفته است، توانمند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راه اندازی چنین نظامی، همواره خانه اندیشه به حامیان محلی سپرده می شود تا از تداوم اجرای چنین طرحی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دوره ای انتقال به مساعدت کنندگان به تدریج امکان می دهد، همان طور که در حال توسعه فناوری ها و تأمین منابع مالی مورد نیاز برای اجرایی شدن طرح به صورت مستقل هستند مالکیت خانه اندیشه را نیز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خانه اندیشه امکان تداوم در روزرسانی مداوم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مورد اهداف فناورانه، آموزشی، اطلاعات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 در حالی که این به روزرسانی به شکلی صورت می پذیرد که اندازه پایگاه های داده ها فضایی را برای افزودن نرم افزارها و برنامه ها در طول زمان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وسیله به کاربران اجازه می دهد به گسترش یادگیری مستقل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بی </w:t>
      </w:r>
      <w:r>
        <w:rPr>
          <w:rStyle w:val="FootnoteAnchor"/>
          <w:rtl w:val="true"/>
        </w:rPr>
        <w:footnoteReference w:id="928"/>
      </w:r>
      <w:r>
        <w:rPr>
          <w:rFonts w:ascii="IRNazanin" w:hAnsi="IRNazanin" w:eastAsia="IRNazanin"/>
          <w:color w:val="111111"/>
          <w:sz w:val="28"/>
          <w:sz w:val="28"/>
          <w:szCs w:val="28"/>
          <w:rtl w:val="true"/>
          <w:lang w:bidi="fa-IR"/>
        </w:rPr>
        <w:t>حاوی ابزارهایی برای تکمیل آموزش رسمی و تأمین کننده مطالعات غیر رسمی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طبيعتاً زبان و محتویات خانه اندیشه باید مطابق زمینه های خاص موجود در مناطقی باشد که در دسترس قرار می گیرد؛ بنابراین کتاب خانه های بدون مرز با همکاری کنندگان در این زمینه، محتویات مرتبط را انتخاب و گردآوری کرده و واسط ها و راهنمای کاربری استفاده از خانه اندیشه را برای پاسخ گویی به نیازهای محلی، ترجمه می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نکته مهمی که باید در ذهن داشته باشیم این است که در سطح وسیعی بین پناهندگان و جوامع میزبان ترکیب های ناهمگونی از نژادها، مذاهب و گرایش های سیاسی با توجه به مناطق زیستی آن ها وجود دارد؛ بنابراین این مسئله مهمی است که محتویات انتخاب شده با دقت و حساسیت خاصی نسبت به موقعیت مورد نظر تطبیق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می تواند با همکاری سازمان ها و جوامع خیریه </w:t>
      </w:r>
    </w:p>
    <w:p>
      <w:pPr>
        <w:pStyle w:val="BookText"/>
        <w:rPr/>
      </w:pPr>
      <w:r>
        <w:rPr>
          <w:rFonts w:ascii="IRNazanin" w:hAnsi="IRNazanin" w:eastAsia="IRNazanin"/>
          <w:color w:val="111111"/>
          <w:sz w:val="28"/>
          <w:sz w:val="28"/>
          <w:szCs w:val="28"/>
          <w:rtl w:val="true"/>
          <w:lang w:bidi="fa-IR"/>
        </w:rPr>
        <w:t>میزبان بیشترین تأثیر گذاری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داریم خانه اندیشه دارای سه تأثیر مثبت بنیادین در زندگی مردمی باشد که این تدابیر برای آن ها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آموزشی همراه با تحصیل دوباره کودکان و فراهم آوردن امکان دسترسی به اطلاعات آموزشی بدون حضور رسمی در مدرسه به عنوان مرحله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آن جایی که خانه اندیشه یک جعبه ابزار خدمات برای سازمان های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می تواند شماری از کارگاه ها و برنامه های رسمی و غیر رسمی آموزشی برای کودکان و بزرگسالان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مربوط به سوادآموزی و زبان کاربردی یکی از اولویت های مهم در زمینه برنامه های آموزشی پیاده شده در این جعبه ابزار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اطلاعات از طریق دسترسی انتفاعی به اطلاعات از طریق اینترنت، فناوری اطلاعات ارتباطات و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مکانی برای دسترسی به اطلاعات است که صرفاً برای برقراری ارتباط با دنیای بیرون در اختیار ذینفع نیست بلکه هم چنین هماهنگی پاسخ ها به بحران را تسهیل کرده و خطر اطلاعات نادرست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روانی اجتماعی جهت ترمیم زیان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جهت مبارزات فرسایشی و برای تقویت قوا و بالندگی اجتماعی به واسطه بازآفرینی فضاهای طبیعی و امن برای جمعیت های پناهنده که از نزاع ها و دیگر مصیبت های طبیعی و انسانی صدمه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می تواند پیوندهای اجتماعی را از طریق فعالیت های فرهنگی و آموزشی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تأمین کننده ابزارها و ایجاد فضاهای امن برای مردم است تا ارتباط های تازه ای را پایه گذاری کنند و آن ها را تشویق می کند تا با دنیای بیرون از طریق فعالیت های فرهنگی و آموزشی تبادل داشته باشند، از این طریق راهی برای امیدهای تازه برای ساختن آینده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اندوه و بالندگی شکلی از مفاهیم پایهای هستند که نشانگر فعالیت های پیشنهاد شده در خانه اندیشه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زمینه، افزایش تنش بین پناهندگان و میزبان خانه اندیشه هم چنین می تواند گفتمان و روابط اجتماعی بین پناهندگان و جوامع میزبان را تسهیل کرده و روند تحکیم صلح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اندیشه نمی خواهد مدرسه رسمی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هدف، معرفی روش ها و منابع آموزشی جدید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یادگیری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از فرایندهای آموزشی حمایت کرده، کیفیت آموزشی را ارتقا داده و دستاوردهای آموزشی کودکان را تقویت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اندیشه برای بزرگسالان شامل منابع تربیتی متنوعی است و ابزارهای مورد نیاز را برای </w:t>
      </w:r>
      <w:bookmarkStart w:id="817" w:name="pg9659_94126"/>
    </w:p>
    <w:p>
      <w:pPr>
        <w:pStyle w:val="BookText"/>
        <w:rPr/>
      </w:pPr>
      <w:bookmarkEnd w:id="817"/>
      <w:r>
        <w:rPr>
          <w:rFonts w:ascii="IRNazanin" w:hAnsi="IRNazanin" w:eastAsia="IRNazanin"/>
          <w:color w:val="111111"/>
          <w:sz w:val="28"/>
          <w:sz w:val="28"/>
          <w:szCs w:val="28"/>
          <w:rtl w:val="true"/>
          <w:lang w:bidi="fa-IR"/>
        </w:rPr>
        <w:t>کارگاه ها و توسعه توانمندی های حرفه ای تأمین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خانه اندیشه نباید به صورت یک جایگزین برای کتاب خانه های موجود در نظر گرفته شود، اما تحت شرایط فقدان کتاب و نابودی کتاب خانه ها می تواند به صورت کتاب خانه ای واقعی نقش داشته باشد</w:t>
      </w:r>
      <w:r>
        <w:rPr>
          <w:rFonts w:eastAsia="IRNazanin" w:cs="IRNazanin"/>
          <w:color w:val="111111"/>
          <w:sz w:val="28"/>
          <w:szCs w:val="28"/>
          <w:rtl w:val="true"/>
          <w:lang w:bidi="fa-IR"/>
        </w:rPr>
        <w:t>.</w:t>
      </w:r>
    </w:p>
    <w:p>
      <w:pPr>
        <w:pStyle w:val="Heading4"/>
        <w:numPr>
          <w:ilvl w:val="3"/>
          <w:numId w:val="1"/>
        </w:numPr>
        <w:rPr/>
      </w:pPr>
      <w:bookmarkStart w:id="818" w:name="__RefHeading___Toc7825807_2870459653"/>
      <w:bookmarkStart w:id="819" w:name="_Toc298"/>
      <w:bookmarkEnd w:id="818"/>
      <w:r>
        <w:rPr/>
        <w:t>2.3</w:t>
      </w:r>
      <w:r>
        <w:rPr>
          <w:rtl w:val="true"/>
        </w:rPr>
        <w:t xml:space="preserve">- </w:t>
      </w:r>
      <w:r>
        <w:rPr>
          <w:rtl w:val="true"/>
        </w:rPr>
        <w:t>برنامه های اجرایی فعلی در دریاچه های بزرگ آفریقا و خاورمیانه و شمال آفریقا</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های اجرایی فعلی در دریاچه های بزرگ آفریقا و خاورمیانه و شمال آفریقا </w:t>
      </w:r>
      <w:r>
        <w:rPr>
          <w:rStyle w:val="FootnoteAnchor"/>
          <w:rtl w:val="true"/>
        </w:rPr>
        <w:footnoteReference w:id="929"/>
      </w:r>
      <w:r>
        <w:rPr>
          <w:rFonts w:ascii="IRNazanin" w:hAnsi="IRNazanin" w:eastAsia="IRNazanin"/>
          <w:color w:val="111111"/>
          <w:sz w:val="28"/>
          <w:sz w:val="28"/>
          <w:szCs w:val="28"/>
          <w:rtl w:val="true"/>
          <w:lang w:bidi="fa-IR"/>
        </w:rPr>
        <w:t xml:space="preserve">در حال حاضر دو کیت خانه اندیشه در اردوگاه های پناهندگان کاوومو و موساسا </w:t>
      </w:r>
      <w:r>
        <w:rPr>
          <w:rStyle w:val="FootnoteAnchor"/>
          <w:rtl w:val="true"/>
        </w:rPr>
        <w:footnoteReference w:id="930"/>
      </w:r>
      <w:r>
        <w:rPr>
          <w:rFonts w:ascii="IRNazanin" w:hAnsi="IRNazanin" w:eastAsia="IRNazanin"/>
          <w:color w:val="111111"/>
          <w:sz w:val="28"/>
          <w:sz w:val="28"/>
          <w:szCs w:val="28"/>
          <w:rtl w:val="true"/>
          <w:lang w:bidi="fa-IR"/>
        </w:rPr>
        <w:t xml:space="preserve">در بروندی </w:t>
      </w:r>
      <w:r>
        <w:rPr>
          <w:rStyle w:val="FootnoteAnchor"/>
          <w:rtl w:val="true"/>
        </w:rPr>
        <w:footnoteReference w:id="931"/>
      </w:r>
      <w:r>
        <w:rPr>
          <w:rFonts w:ascii="IRNazanin" w:hAnsi="IRNazanin" w:eastAsia="IRNazanin"/>
          <w:color w:val="111111"/>
          <w:sz w:val="28"/>
          <w:sz w:val="28"/>
          <w:szCs w:val="28"/>
          <w:rtl w:val="true"/>
          <w:lang w:bidi="fa-IR"/>
        </w:rPr>
        <w:t>مستقر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اردوگاه ها میزبان جوامع کنگویی هستند، آن ها از خانه های خود به دلیل مناقشات داخلی رانده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سومین خانه اندیشه در چند هفته آینده به بیواگیریزا </w:t>
      </w:r>
      <w:r>
        <w:rPr>
          <w:rStyle w:val="FootnoteAnchor"/>
          <w:rtl w:val="true"/>
        </w:rPr>
        <w:footnoteReference w:id="932"/>
      </w:r>
      <w:r>
        <w:rPr>
          <w:rFonts w:ascii="IRNazanin" w:hAnsi="IRNazanin" w:eastAsia="IRNazanin"/>
          <w:color w:val="111111"/>
          <w:sz w:val="28"/>
          <w:sz w:val="28"/>
          <w:szCs w:val="28"/>
          <w:rtl w:val="true"/>
          <w:lang w:bidi="fa-IR"/>
        </w:rPr>
        <w:t>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بروندی کتاب خانه های بدون مرز با کمیساریای عالی سازمان ملل متحد در امور پناهندگان و رهبران جوامع محلی هم کاری نزدیکی دارند، در این هم کاری ها متناسب ترین نیازهای آموزشی و فرهنگی جمعیت پناهنده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اردوگاه ها با توجه به حضور در پایگاه های خانه اندیشه و درباره انواع فعالیت هایی که به نوبه خود بیشترین همکاری ها و رضایتمندی را به همراه دارد گزارش های مستمر اولیه ارسال می کنند که می تواند مشوق بسیار بزرگی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روزانه به طور میانگین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کاربر به خانه های اندیشه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اندیشه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هفته فعالیت دارند و به این ترتیب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در هفته،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در ماه و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در سال به آن جا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ساعات، عناصر موجود در خانه های اندیشه مورد استفاده قرار می گیرند و فضایی پر از انرژی همکاری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در سنین مختلف، برای مثال بزرگسالان می توانند اغلب از ابزارهای خانه های اندیشه برای آموزش کودکان در یادگیری خواندن و نوشتن و خلق کردن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روزهای خاص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در هر ساعت مراجعه دارند،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تبلت ها استفاده می کنند،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فیلم مشاهده می کنند،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کتاب می خوانند،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بازی می کنند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ابزارها برای خلاقیت های هنری، موسیقی و ویدئوها استفاده می 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برنامه های آموزشی در محدوده خانه های اندیشه اهداف ویژه ای را برای زنان و کودکان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کاوومو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زنان برای شرکت در کارگاه های سواد آموزی نام نویسی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 های زمانی مقیاس کار کتاب خانه های بدون مرز در اردوگاه های کمیساریای عالی سازمان ملل متحد در امور پناهندگان برای این دسته از زنان بر اساس دسته بندی خاصی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جهت پیشبرد و حمایت از آموزش رسمی، معلمان فرصتی را برای افزایش ساعات مدارس در اختیار دارند و هر بار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 آموزان امکان دسترسی به خانه های اندیشه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معمول مدارس برای هر معلم هشتاد دانش آموز در نظر گرفته می شود که حداقل منابع آموزشی و حتی یک دفترچه هم در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داده های کمی و کیفی جمع آوری شده اند، به خصوص در چند ماه اخیر کتاب خانه های بدون مرز قصد دارند جهت انجام ارزیابی های دقیق تر خانه اندیشه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بر اساس کنترل تصادفی آزمون های متمرکز شده بر محور اهداف آموزشی و تطابق های روانی، دسترسی به تأثیرات عمیق و مؤثر خانه اندیشه و امکان بیشتر اجرایی شدن،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تقریباً سه سال شورش و جنگ داخلی در سوریه بیش از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که تقریباً نیمی از آن ها را کودکان تشکیل می دهند به کشورهای همسایه گریخته اند که از طرف کمیساریای عالی سازمان ملل متحد در امور پناهندگان به صورت رسمی به عنوان آواره های پناهنده ثبت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برآوردهای سازمان ملل متحد نشان می دهد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آواره پناهنده تا پایان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لبنان و اردن به عنوان دو کشور همسایه بالاترین تمرکز آواره های پناهنده سوریه ای را به ترتیب تعداد با یک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ششصد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 ان اچ سی آر،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بین بی خانمان های داخلی و جمعیت های پناهندگان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سوریه ای تحت تأثیر این کشمکش ها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یونیسف، کمیساریای عالی سازمان ملل متحد در امور پناهندگان و چندین سازمان غیرانتفاعی </w:t>
      </w:r>
      <w:r>
        <w:rPr>
          <w:rStyle w:val="FootnoteAnchor"/>
          <w:rtl w:val="true"/>
        </w:rPr>
        <w:footnoteReference w:id="933"/>
      </w:r>
      <w:r>
        <w:rPr>
          <w:rFonts w:ascii="IRNazanin" w:hAnsi="IRNazanin" w:eastAsia="IRNazanin"/>
          <w:color w:val="111111"/>
          <w:sz w:val="28"/>
          <w:sz w:val="28"/>
          <w:szCs w:val="28"/>
          <w:rtl w:val="true"/>
          <w:lang w:bidi="fa-IR"/>
        </w:rPr>
        <w:t xml:space="preserve">در همکاری با یک دیگر برای از بین بردن ناامنی، انزوا و کاهش صدمات کودکان سوریه ای اردوگاهی ابتکاری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گمشده نداشته باشیم</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را راه اندازی کردند که راهبرد آن متمرکز بر کار آموزش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کتاب خانه های بدون مرز بر اساس دو برنامه عمل کردی برای گسترش خانه های اندیشه در لبنان و اردن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آزمایشی ارسال سه دستگاه خانه اندیشه به هر دو کشور است بر اساس نتایجی که از طریق سنجش تأثیرات بر پناهندگان و تقاضای آن ها برای دریافت خدمات از طریق مساعدت کنندگان محلی مورد شناسایی قرار می گیرد، افزایش خواهد یافت</w:t>
      </w:r>
      <w:r>
        <w:rPr>
          <w:rFonts w:eastAsia="IRNazanin" w:cs="IRNazanin"/>
          <w:color w:val="111111"/>
          <w:sz w:val="28"/>
          <w:szCs w:val="28"/>
          <w:rtl w:val="true"/>
          <w:lang w:bidi="fa-IR"/>
        </w:rPr>
        <w:t xml:space="preserve">. </w:t>
      </w:r>
      <w:bookmarkStart w:id="820" w:name="pg9659_94128"/>
    </w:p>
    <w:p>
      <w:pPr>
        <w:pStyle w:val="Heading3"/>
        <w:numPr>
          <w:ilvl w:val="2"/>
          <w:numId w:val="1"/>
        </w:numPr>
        <w:rPr/>
      </w:pPr>
      <w:bookmarkStart w:id="821" w:name="__RefHeading___Toc7825809_2870459653"/>
      <w:bookmarkStart w:id="822" w:name="_Toc299"/>
      <w:bookmarkEnd w:id="820"/>
      <w:bookmarkEnd w:id="821"/>
      <w:r>
        <w:rPr/>
        <w:t>4</w:t>
      </w:r>
      <w:r>
        <w:rPr>
          <w:rtl w:val="true"/>
        </w:rPr>
        <w:t xml:space="preserve">. </w:t>
      </w:r>
      <w:r>
        <w:rPr>
          <w:rtl w:val="true"/>
        </w:rPr>
        <w:t>فراسوی مرزها در آسیا و اقیانوسیه از طریق خانه اندیشه</w:t>
      </w:r>
      <w:bookmarkEnd w:id="822"/>
    </w:p>
    <w:p>
      <w:pPr>
        <w:pStyle w:val="Heading4"/>
        <w:numPr>
          <w:ilvl w:val="3"/>
          <w:numId w:val="1"/>
        </w:numPr>
        <w:rPr/>
      </w:pPr>
      <w:bookmarkStart w:id="823" w:name="__RefHeading___Toc7825811_2870459653"/>
      <w:bookmarkStart w:id="824" w:name="_Toc300"/>
      <w:bookmarkEnd w:id="823"/>
      <w:r>
        <w:rPr/>
        <w:t>1.4</w:t>
      </w:r>
      <w:r>
        <w:rPr>
          <w:rtl w:val="true"/>
        </w:rPr>
        <w:t xml:space="preserve">- </w:t>
      </w:r>
      <w:r>
        <w:rPr>
          <w:rtl w:val="true"/>
        </w:rPr>
        <w:t>توسعه از طریق کمک های بشر دوستانه</w:t>
      </w:r>
      <w:bookmarkEnd w:id="824"/>
    </w:p>
    <w:p>
      <w:pPr>
        <w:pStyle w:val="BookText"/>
        <w:rPr/>
      </w:pPr>
      <w:r>
        <w:rPr>
          <w:rFonts w:ascii="IRNazanin" w:hAnsi="IRNazanin" w:eastAsia="IRNazanin"/>
          <w:color w:val="111111"/>
          <w:sz w:val="28"/>
          <w:sz w:val="28"/>
          <w:szCs w:val="28"/>
          <w:rtl w:val="true"/>
          <w:lang w:bidi="fa-IR"/>
        </w:rPr>
        <w:t>در اصل کتاب خانه های بدون مرز به درک و طراحی خانه اندیشه پرداخته اند و این اولین پاسخ به مشکلات خاص و منطبق با تقاضای شرایطی است که به واسطه مصیبت های انسانی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چنین چالشی روبه رو شدیم، به درک و چگونگی کار با این شیوه پرداختیم و دریافتیم این دستگاه بسیار قابل سنجش و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بسیاری دیگر از زمینه های کاربردی جایی که نیاز به دسترسی به اطلاعات، آموزش و حفظ فرهنگ هم برای جهان در حال توسعه و هم برای کشورهای غنی و توسعه یافته یک چالش است، می تواند مفید باشد</w:t>
      </w:r>
      <w:r>
        <w:rPr>
          <w:rFonts w:eastAsia="IRNazanin" w:cs="IRNazanin"/>
          <w:color w:val="111111"/>
          <w:sz w:val="28"/>
          <w:szCs w:val="28"/>
          <w:rtl w:val="true"/>
          <w:lang w:bidi="fa-IR"/>
        </w:rPr>
        <w:t>.</w:t>
      </w:r>
    </w:p>
    <w:p>
      <w:pPr>
        <w:pStyle w:val="Heading4"/>
        <w:numPr>
          <w:ilvl w:val="3"/>
          <w:numId w:val="1"/>
        </w:numPr>
        <w:rPr/>
      </w:pPr>
      <w:bookmarkStart w:id="825" w:name="__RefHeading___Toc7825813_2870459653"/>
      <w:bookmarkStart w:id="826" w:name="_Toc301"/>
      <w:bookmarkEnd w:id="825"/>
      <w:r>
        <w:rPr/>
        <w:t>2.4</w:t>
      </w:r>
      <w:r>
        <w:rPr>
          <w:rtl w:val="true"/>
        </w:rPr>
        <w:t xml:space="preserve">- </w:t>
      </w:r>
      <w:r>
        <w:rPr>
          <w:rtl w:val="true"/>
        </w:rPr>
        <w:t>برقراری ارتباط های اجتماعی در آسیا و اقیانوسیه</w:t>
      </w:r>
      <w:bookmarkEnd w:id="826"/>
    </w:p>
    <w:p>
      <w:pPr>
        <w:pStyle w:val="BookText"/>
        <w:rPr/>
      </w:pPr>
      <w:r>
        <w:rPr>
          <w:rFonts w:ascii="IRNazanin" w:hAnsi="IRNazanin" w:eastAsia="IRNazanin"/>
          <w:color w:val="111111"/>
          <w:sz w:val="28"/>
          <w:sz w:val="28"/>
          <w:szCs w:val="28"/>
          <w:rtl w:val="true"/>
          <w:lang w:bidi="fa-IR"/>
        </w:rPr>
        <w:t>کیت های کیت های خانه اندیشه را می توان به واقع در هر منطقه جغرافیایی در جهان، از جمله آسیا و اقیانوسیه مورد استفاده قرار داد، حتی به منظور رسیدن این کیت ها به دور دست ترین جمعیت ها، چه تحت تأثیر مصیبت های انسانی باشند مثل واقعه اخیر در فیلیپین، یا این که با موانع نظام مند برای دسترسی به اطلاعات، آموزش و پرورش، فرهنگ و برقراری ارتباط روبه رو باشند همانند حومه های فقیر نشین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توان به سادگی تصور کرد در مناطق مختلف کشورهای آسیایی و اقیانوسیه خانه اندیشه گسترش یابد، چه به صورت ثابت چه با قابلیت جابه جایی از مکانی به مکان دیگر هم در مناطق شهری و هم روستایی در نظر گرفته شده باشد، یا جایی که کتاب خانه ای وجود ندارد یا مورد استفاده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خانه ها می توانند طیف گسترده ای از فعالیت ها و خدمات ارائه شده را توسط کتاب خانه های موجود به ویژه از طریق برنامه های خارج از محیط های دانشگاهی که هدف آن پیوند جوامع از طریق خواندن و فرهنگ است، غنی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دیگر فعالیت های کتاب خانه های بدون مرز ایجاد پلتفرم های منحصر به فرد برای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می تواند از طریق کشورهای آسیایی و اقیانوسیه گسترش یابد که به جوامع امکان دسترسی به خانه های اندیشه را می دهد تا محتواهایی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 عکس ها، نوشتار، نقاشی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دیگران در اقصی نقاط دنیا مبادله کند یا به اشتراک بگذارند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 ارائه شده مربوط به استفاده بالقوه متفاوتی است که خانه اندیشه به واسطه آن در مسیر ارزش های فراگیر ما دچار نزول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به بهانه این که برای جمعیت های صدمه دیده فعالیت می کنیم کیفیت کار خود را پایین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معنای تغییر تفکر ما در برقراری رابطه با مساعدت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محکم و پایدار به طرح ها با تأثیرات اجتماعی قوی انسانی</w:t>
      </w:r>
      <w:r>
        <w:rPr>
          <w:rFonts w:eastAsia="IRNazanin" w:cs="IRNazanin"/>
          <w:color w:val="111111"/>
          <w:sz w:val="28"/>
          <w:szCs w:val="28"/>
          <w:rtl w:val="true"/>
          <w:lang w:bidi="fa-IR"/>
        </w:rPr>
        <w:t xml:space="preserve">. </w:t>
      </w:r>
      <w:bookmarkStart w:id="827" w:name="pg9659_94129"/>
    </w:p>
    <w:p>
      <w:pPr>
        <w:pStyle w:val="Heading3"/>
        <w:numPr>
          <w:ilvl w:val="2"/>
          <w:numId w:val="1"/>
        </w:numPr>
        <w:rPr/>
      </w:pPr>
      <w:bookmarkStart w:id="828" w:name="__RefHeading___Toc7825815_2870459653"/>
      <w:bookmarkStart w:id="829" w:name="_Toc302"/>
      <w:bookmarkEnd w:id="827"/>
      <w:bookmarkEnd w:id="828"/>
      <w:r>
        <w:rPr/>
        <w:t>5</w:t>
      </w:r>
      <w:r>
        <w:rPr>
          <w:rtl w:val="true"/>
        </w:rPr>
        <w:t xml:space="preserve">. </w:t>
      </w:r>
      <w:r>
        <w:rPr>
          <w:rtl w:val="true"/>
        </w:rPr>
        <w:t>نتایج</w:t>
      </w:r>
      <w:bookmarkEnd w:id="829"/>
    </w:p>
    <w:p>
      <w:pPr>
        <w:pStyle w:val="BookText"/>
        <w:rPr/>
      </w:pPr>
      <w:r>
        <w:rPr>
          <w:rFonts w:ascii="IRNazanin" w:hAnsi="IRNazanin" w:eastAsia="IRNazanin"/>
          <w:color w:val="111111"/>
          <w:sz w:val="28"/>
          <w:sz w:val="28"/>
          <w:szCs w:val="28"/>
          <w:rtl w:val="true"/>
          <w:lang w:bidi="fa-IR"/>
        </w:rPr>
        <w:t>هدف نهایی کتاب خانه های بدون مرز گسترش مشارکت جهانی است که می تواند در یک شبکه واحد از طریق کتاب خانه ها و دستگاه های خانه اندیشه تغییرات را در تمام جهان ایجاد کرده و آن را به اشتراک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با فراهم آوردن دسترسی ها به ابزارهای جدید و کانال های اطلاعات، به خصوص از طریق اینترنت می تواند شرایطی را برای پناهندگان آواره فراهم بیاورد تا با سایرین در دیگر نقاط دنیا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انزوای آن ها را در هم می شکند و اجازه می دهد صدای بسیاری از مردم مصیبت دیده به گوش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باز و برقراری ارتباط همانند سایر دیگر فعالیت ها به مردم این امکان را می دهد فراسوی مرزهای اردوگاه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این کار اجازه می دهد صدای پناهندگان آواره را سراسر دنیا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هم اکنون یا درگیر کشمکش ها هستند و یا در دیگر کشورها آواره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گرفتاری های آن ها اغلب اوقات فراموش می شود و یک مرتبه موقعیت و ضرورت واقعیت نیازهای آن ها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 ها این شکاف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هدف ما ساخت یک شبکه جهانی کتاب خانه های فیزیکی و مجازی است که قادر باشد از مرزهای بین المللی بگذرد و تا آن جا که امکان دارد قومیت های مختلف را همانند بسیاری از افراد و جوامع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هم کاری ها و گردهمایی هایی مستلزم کمک های آموزشی و مشارکت با دیگر افراد در رابطه با بحران های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فراسوی مشکلات نوسازی و توسعه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اجازه بدهیم آن ها درک بهتری را از شرایط پناهندگان آواره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نوبه خود می تواند درک بیشتر و احترام متقابل را در میان مردم پرورش دهد و برای رسیدن به این هدف لازم است کمک به امنیت بیشتر جوامع باثبات داشته باشیم و صلحی را با پایه های محکم تر بنا کنیم</w:t>
      </w:r>
      <w:r>
        <w:rPr>
          <w:rFonts w:eastAsia="IRNazanin" w:cs="IRNazanin"/>
          <w:color w:val="111111"/>
          <w:sz w:val="28"/>
          <w:szCs w:val="28"/>
          <w:rtl w:val="true"/>
          <w:lang w:bidi="fa-IR"/>
        </w:rPr>
        <w:t>.</w:t>
      </w:r>
    </w:p>
    <w:p>
      <w:pPr>
        <w:pStyle w:val="Heading3"/>
        <w:numPr>
          <w:ilvl w:val="2"/>
          <w:numId w:val="1"/>
        </w:numPr>
        <w:rPr/>
      </w:pPr>
      <w:bookmarkStart w:id="830" w:name="__RefHeading___Toc7825817_2870459653"/>
      <w:bookmarkStart w:id="831" w:name="_Toc303"/>
      <w:bookmarkEnd w:id="830"/>
      <w:r>
        <w:rPr>
          <w:rtl w:val="true"/>
        </w:rPr>
        <w:t>منابع</w:t>
      </w:r>
      <w:bookmarkEnd w:id="8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Aguilar, P. and Retamal, 2009, Protective Environments and Quality Eduacation in Humanitarian contexts. In Intenational Journal of Education, 29, 316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Save the Children Report 2014, Six Months after Typhoon Haiyan: Save the Children Restoring Hope for Children and Families in the Philippines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Sinclair, M. 2002, Planning Education in and after emergencie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Fundamentals of Education Planning, 73; UNESCO, International Institute of Educational Planiing</w:t>
      </w:r>
    </w:p>
    <w:p>
      <w:pPr>
        <w:pStyle w:val="BookText"/>
        <w:rPr/>
      </w:pPr>
      <w:r>
        <w:rPr>
          <w:rFonts w:eastAsia="Times New Roman" w:cs="Times New Roman" w:ascii="Times New Roman" w:hAnsi="Times New Roman"/>
          <w:color w:val="111111"/>
          <w:sz w:val="28"/>
          <w:szCs w:val="28"/>
          <w:lang w:val="en-US" w:bidi="en-US"/>
        </w:rPr>
        <w:t>Sinclair, M. 2007, Education in Emergencies. Commonwealth Education Partnership</w:t>
      </w:r>
    </w:p>
    <w:p>
      <w:pPr>
        <w:pStyle w:val="BookText"/>
        <w:rPr/>
      </w:pPr>
      <w:r>
        <w:rPr>
          <w:rFonts w:eastAsia="Times New Roman" w:cs="Times New Roman" w:ascii="Times New Roman" w:hAnsi="Times New Roman"/>
          <w:color w:val="111111"/>
          <w:sz w:val="28"/>
          <w:szCs w:val="28"/>
          <w:lang w:val="en-US" w:bidi="en-US"/>
        </w:rPr>
        <w:t>Thabet, A.A.M and Vostanis 1999, Post Traumatic Stress Reaction in Children of War. In Journal of Child Psychology and Psychiatric, Vol. 40, No 3, pp 385-391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UNHCR, 2014 Syria Regional Response Plan: Strategic Overview. VV.AA. 2013, The Urgency of Reading. Libraries Without Borders, Paris, France</w:t>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9659_94132"/>
      <w:bookmarkStart w:id="833" w:name="pg9659_94132"/>
      <w:bookmarkEnd w:id="833"/>
    </w:p>
    <w:p>
      <w:pPr>
        <w:pStyle w:val="Heading2"/>
        <w:numPr>
          <w:ilvl w:val="1"/>
          <w:numId w:val="1"/>
        </w:numPr>
        <w:rPr/>
      </w:pPr>
      <w:bookmarkStart w:id="834" w:name="pg9659_94132"/>
      <w:bookmarkStart w:id="835" w:name="__RefHeading___Toc7825819_2870459653"/>
      <w:bookmarkStart w:id="836" w:name="_Toc304"/>
      <w:bookmarkEnd w:id="834"/>
      <w:bookmarkEnd w:id="835"/>
      <w:r>
        <w:rPr>
          <w:rtl w:val="true"/>
        </w:rPr>
        <w:t>چکیده</w:t>
      </w:r>
      <w:bookmarkEnd w:id="836"/>
    </w:p>
    <w:p>
      <w:pPr>
        <w:pStyle w:val="BookText"/>
        <w:rPr/>
      </w:pPr>
      <w:r>
        <w:rPr>
          <w:rFonts w:ascii="IRNazanin" w:hAnsi="IRNazanin" w:eastAsia="IRNazanin"/>
          <w:color w:val="111111"/>
          <w:sz w:val="28"/>
          <w:sz w:val="28"/>
          <w:szCs w:val="28"/>
          <w:rtl w:val="true"/>
          <w:lang w:bidi="fa-IR"/>
        </w:rPr>
        <w:t>سواد خواندن و نوشتن، جنبه تعیین کننده و ضروری در زندگی کودکان در روبرو شدن با چالش ها در عصر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باسواد کسی است که می تواند بخواند و تحصیلات رسمی و غیر رسمی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عادات خواندن در میان کودکان دشوار است به ویژه در زمانی که به وضعیت مراقبت سلامتی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حل ها برای پرورش عادات خواندن در میان بیماران بخش کودکان استفاده از روش و فن کتاب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مدت طولانی در خارج از کشور در درمان بیماران بزرگ سال و کودک به کاربرده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شامل استفاده از کتاب ها یا مطالب خواندنی است تا به حل کردن مسائل و مشکلات و کنار آمدن با تغییرات زندگی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حمدان طهیر </w:t>
      </w:r>
      <w:r>
        <w:rPr>
          <w:rStyle w:val="FootnoteAnchor"/>
          <w:rtl w:val="true"/>
        </w:rPr>
        <w:footnoteReference w:id="935"/>
      </w:r>
      <w:r>
        <w:rPr>
          <w:rFonts w:ascii="IRNazanin" w:hAnsi="IRNazanin" w:eastAsia="IRNazanin"/>
          <w:color w:val="111111"/>
          <w:sz w:val="28"/>
          <w:sz w:val="28"/>
          <w:szCs w:val="28"/>
          <w:rtl w:val="true"/>
          <w:lang w:bidi="fa-IR"/>
        </w:rPr>
        <w:t>با طرح دوستان کتاب در استفاده از کتاب درمانی با بیماران بخش کودکان در بیمارستان دانشگاه سِینز مالزی دست به ابتکاری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طرح این است که انگیزش و روانشناسی بیماران و والدین آن ها را ارتقا بخشد تا عادات خواندن را به جوان ترها و نوباوگان مانند بزرگسالان القاء کند و آگاهی در مورد اهمیت خواندن و کتاب خانه در جامعه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کودکان می تواند از طریق شرکت کردن در فعالیت های</w:t>
      </w:r>
    </w:p>
    <w:p>
      <w:pPr>
        <w:pStyle w:val="BookText"/>
        <w:rPr/>
      </w:pPr>
      <w:r>
        <w:rPr>
          <w:rFonts w:ascii="IRNazanin" w:hAnsi="IRNazanin" w:eastAsia="IRNazanin"/>
          <w:color w:val="111111"/>
          <w:sz w:val="28"/>
          <w:sz w:val="28"/>
          <w:szCs w:val="28"/>
          <w:rtl w:val="true"/>
          <w:lang w:bidi="fa-IR"/>
        </w:rPr>
        <w:t>برگزار شده در کتاب خانه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طرح به طور غیر مستقیم روحیه داوطلب شدن در میان کارکنان کتاب خانه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به کار رفته در این طرح عبارت اند از مشاهده، بحث و درگیری در فعالیت ها، مطالب خواندنی و ارائه فعالیت ها بر پایه وضعیت بیمار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معنوی از همه بیماران مورد نیاز است تا فشار و درد در میان بیماران جوان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فرصتی را برای کتاب خانه فراهم کرده است تا خدمتشان را در بیمارستان و برای گروه های محتاج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کتاب خانه متحرک در طرح های آینده برای خدمات کتاب خانه ای به بیماران بخش کودکان و والدین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کتاب خانه کتابداران در خدمات اجتماعی می تواند یک روش خوب باشد تا اعتبار دانشگاه را بسازد و محیط عمل کرد چند وظیفه ای را در میان کارکنان ایجاد نماید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درمانی، خدمات اجتماعی، بیماران بخش کودکان کتاب خانه </w:t>
      </w:r>
      <w:bookmarkStart w:id="837" w:name="pg9659_94133"/>
    </w:p>
    <w:p>
      <w:pPr>
        <w:pStyle w:val="Heading2"/>
        <w:numPr>
          <w:ilvl w:val="1"/>
          <w:numId w:val="1"/>
        </w:numPr>
        <w:rPr/>
      </w:pPr>
      <w:bookmarkStart w:id="838" w:name="__RefHeading___Toc7825821_2870459653"/>
      <w:bookmarkStart w:id="839" w:name="_Toc305"/>
      <w:bookmarkEnd w:id="837"/>
      <w:bookmarkEnd w:id="838"/>
      <w:r>
        <w:rPr>
          <w:rtl w:val="true"/>
        </w:rPr>
        <w:t>دوستان کتاب</w:t>
      </w:r>
      <w:r>
        <w:rPr>
          <w:rtl w:val="true"/>
        </w:rPr>
        <w:t xml:space="preserve">: </w:t>
      </w:r>
      <w:r>
        <w:rPr>
          <w:rtl w:val="true"/>
        </w:rPr>
        <w:t>پرورش و فرهنگ، عادات خواندن در میان بیماران بخش کودکان و اولیاء در بیمارستان دانشگاه سِینز مالزی</w:t>
      </w:r>
      <w:bookmarkEnd w:id="839"/>
    </w:p>
    <w:p>
      <w:pPr>
        <w:pStyle w:val="Heading3"/>
        <w:numPr>
          <w:ilvl w:val="2"/>
          <w:numId w:val="1"/>
        </w:numPr>
        <w:rPr/>
      </w:pPr>
      <w:bookmarkStart w:id="840" w:name="__RefHeading___Toc7825823_2870459653"/>
      <w:bookmarkStart w:id="841" w:name="_Toc306"/>
      <w:bookmarkEnd w:id="840"/>
      <w:r>
        <w:rPr>
          <w:rtl w:val="true"/>
        </w:rPr>
        <w:t>اشاره</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فرهنگ، عادات خواندن در میان بیماران بخش کودکان و اولیاء در بیمارستان دانشگاه سِینز مالزی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نوشته انِگکو رازیفا اِنگکو چیک </w:t>
      </w:r>
      <w:r>
        <w:rPr>
          <w:rStyle w:val="FootnoteAnchor"/>
          <w:rtl w:val="true"/>
        </w:rPr>
        <w:footnoteReference w:id="937"/>
      </w:r>
      <w:r>
        <w:rPr>
          <w:rFonts w:ascii="IRNazanin" w:hAnsi="IRNazanin" w:eastAsia="IRNazanin"/>
          <w:color w:val="111111"/>
          <w:sz w:val="28"/>
          <w:sz w:val="28"/>
          <w:szCs w:val="28"/>
          <w:rtl w:val="true"/>
          <w:lang w:bidi="fa-IR"/>
        </w:rPr>
        <w:t xml:space="preserve">، نورایدا حسن </w:t>
      </w:r>
      <w:r>
        <w:rPr>
          <w:rStyle w:val="FootnoteAnchor"/>
          <w:rtl w:val="true"/>
        </w:rPr>
        <w:footnoteReference w:id="938"/>
      </w:r>
      <w:r>
        <w:rPr>
          <w:rFonts w:ascii="IRNazanin" w:hAnsi="IRNazanin" w:eastAsia="IRNazanin"/>
          <w:color w:val="111111"/>
          <w:sz w:val="28"/>
          <w:sz w:val="28"/>
          <w:szCs w:val="28"/>
          <w:rtl w:val="true"/>
          <w:lang w:bidi="fa-IR"/>
        </w:rPr>
        <w:t xml:space="preserve">، نورال آزورا موهدرونی </w:t>
      </w:r>
      <w:r>
        <w:rPr>
          <w:rStyle w:val="FootnoteAnchor"/>
          <w:rtl w:val="true"/>
        </w:rPr>
        <w:footnoteReference w:id="939"/>
      </w:r>
      <w:r>
        <w:rPr>
          <w:rFonts w:ascii="IRNazanin" w:hAnsi="IRNazanin" w:eastAsia="IRNazanin"/>
          <w:color w:val="111111"/>
          <w:sz w:val="28"/>
          <w:sz w:val="28"/>
          <w:szCs w:val="28"/>
          <w:rtl w:val="true"/>
          <w:lang w:bidi="fa-IR"/>
        </w:rPr>
        <w:t xml:space="preserve">، رابیاتول آداویا اِی بی مانان </w:t>
      </w:r>
      <w:r>
        <w:rPr>
          <w:rStyle w:val="FootnoteAnchor"/>
          <w:rtl w:val="true"/>
        </w:rPr>
        <w:footnoteReference w:id="940"/>
      </w:r>
      <w:r>
        <w:rPr>
          <w:rFonts w:ascii="IRNazanin" w:hAnsi="IRNazanin" w:eastAsia="IRNazanin"/>
          <w:color w:val="111111"/>
          <w:sz w:val="28"/>
          <w:sz w:val="28"/>
          <w:szCs w:val="28"/>
          <w:rtl w:val="true"/>
          <w:lang w:bidi="fa-IR"/>
        </w:rPr>
        <w:t xml:space="preserve">، هرمان هاریانتو چِهارون </w:t>
      </w:r>
      <w:r>
        <w:rPr>
          <w:rStyle w:val="FootnoteAnchor"/>
          <w:rtl w:val="true"/>
        </w:rPr>
        <w:footnoteReference w:id="941"/>
      </w:r>
      <w:r>
        <w:rPr>
          <w:rFonts w:ascii="IRNazanin" w:hAnsi="IRNazanin" w:eastAsia="IRNazanin"/>
          <w:color w:val="111111"/>
          <w:sz w:val="28"/>
          <w:sz w:val="28"/>
          <w:szCs w:val="28"/>
          <w:rtl w:val="true"/>
          <w:lang w:bidi="fa-IR"/>
        </w:rPr>
        <w:t xml:space="preserve">، امین هانس وان روزنبرگ </w:t>
      </w:r>
      <w:r>
        <w:rPr>
          <w:rStyle w:val="FootnoteAnchor"/>
          <w:rtl w:val="true"/>
        </w:rPr>
        <w:footnoteReference w:id="942"/>
      </w:r>
      <w:r>
        <w:rPr>
          <w:rFonts w:ascii="IRNazanin" w:hAnsi="IRNazanin" w:eastAsia="IRNazanin"/>
          <w:color w:val="111111"/>
          <w:sz w:val="28"/>
          <w:sz w:val="28"/>
          <w:szCs w:val="28"/>
          <w:rtl w:val="true"/>
          <w:lang w:bidi="fa-IR"/>
        </w:rPr>
        <w:t xml:space="preserve">، عزیزه عثمان </w:t>
      </w:r>
      <w:r>
        <w:rPr>
          <w:rStyle w:val="FootnoteAnchor"/>
          <w:rtl w:val="true"/>
        </w:rPr>
        <w:footnoteReference w:id="943"/>
      </w:r>
      <w:r>
        <w:rPr>
          <w:rFonts w:ascii="IRNazanin" w:hAnsi="IRNazanin" w:eastAsia="IRNazanin"/>
          <w:color w:val="111111"/>
          <w:sz w:val="28"/>
          <w:sz w:val="28"/>
          <w:szCs w:val="28"/>
          <w:rtl w:val="true"/>
          <w:lang w:bidi="fa-IR"/>
        </w:rPr>
        <w:t xml:space="preserve">و سورینی یوسف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سعید غفاری </w:t>
      </w:r>
      <w:r>
        <w:rPr>
          <w:rStyle w:val="FootnoteAnchor"/>
          <w:rtl w:val="true"/>
        </w:rPr>
        <w:footnoteReference w:id="945"/>
      </w:r>
    </w:p>
    <w:p>
      <w:pPr>
        <w:pStyle w:val="Heading3"/>
        <w:numPr>
          <w:ilvl w:val="2"/>
          <w:numId w:val="1"/>
        </w:numPr>
        <w:rPr/>
      </w:pPr>
      <w:bookmarkStart w:id="842" w:name="__RefHeading___Toc7825825_2870459653"/>
      <w:bookmarkStart w:id="843" w:name="_Toc307"/>
      <w:bookmarkEnd w:id="842"/>
      <w:r>
        <w:rPr/>
        <w:t>1</w:t>
      </w:r>
      <w:r>
        <w:rPr>
          <w:rtl w:val="true"/>
        </w:rPr>
        <w:t xml:space="preserve">. </w:t>
      </w:r>
      <w:r>
        <w:rPr>
          <w:rtl w:val="true"/>
        </w:rPr>
        <w:t>مقدمه</w:t>
      </w:r>
      <w:bookmarkEnd w:id="84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مرکز منبع و مرجع اطلاعات برای همه بخش های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 خانه ها در عصر جهانی شدن تنها به مشاغل مرتبط با خدمات مرجع، گردش پول، وام ها و برگشت ها،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تنوع کار انجام شده توسط کتاب دارها تبدیل به یک عامل مؤثر در به رسمیت شناخته </w:t>
      </w:r>
      <w:bookmarkStart w:id="844" w:name="pg9659_94134"/>
    </w:p>
    <w:p>
      <w:pPr>
        <w:pStyle w:val="BookText"/>
        <w:rPr/>
      </w:pPr>
      <w:bookmarkEnd w:id="844"/>
      <w:r>
        <w:rPr>
          <w:rFonts w:ascii="IRNazanin" w:hAnsi="IRNazanin" w:eastAsia="IRNazanin"/>
          <w:color w:val="111111"/>
          <w:sz w:val="28"/>
          <w:sz w:val="28"/>
          <w:szCs w:val="28"/>
          <w:rtl w:val="true"/>
          <w:lang w:bidi="fa-IR"/>
        </w:rPr>
        <w:t>شدن فرصت های شغلی در کتاب داری در سراسر جهان به ویژه در مالزی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مستقیم کتاب خانه های تحصیلی در فعالیت های تحقیقاتی و تحصیلی به این کتاب خانه ها فرصت بزرگی داده است تا به جوامع مجاورشان خدمت رسانی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سِینز مالزی یو اِس ام </w:t>
      </w:r>
      <w:r>
        <w:rPr>
          <w:rStyle w:val="FootnoteAnchor"/>
          <w:rtl w:val="true"/>
        </w:rPr>
        <w:footnoteReference w:id="946"/>
      </w:r>
      <w:r>
        <w:rPr>
          <w:rFonts w:ascii="IRNazanin" w:hAnsi="IRNazanin" w:eastAsia="IRNazanin"/>
          <w:color w:val="111111"/>
          <w:sz w:val="28"/>
          <w:sz w:val="28"/>
          <w:szCs w:val="28"/>
          <w:rtl w:val="true"/>
          <w:lang w:bidi="fa-IR"/>
        </w:rPr>
        <w:t>، به عنوان یک مرکز تدریس و یادگیری یک مزیت دارد، زیرا که این بیمارستان مرکز مهمی برای مردم از طفولیت تا سنین پیری است که در جستجوی درمان و خدمات پزشکی هستند؛ بنابراین کتاب خانه حمدان طهیر دست به اقدامی زده است تا در ارائه و کمک کردن به بیماران بخش کودکان که تحت درمان در بیمارستان یو اِس اِم هستند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کودکان و افراد جوان پرورش یابند و هدایت شوند تا نسل بعدی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کردن از انواع منابع در دسترس در کتاب خانه، روش های کتاب درمانی، به کار برده شده اند تا عادت خواندن از سن پایین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درمانی در درمان بیماران مورد استفاده قرار گرفته و مشاوران، روان شناسان و پرستاران نیز در این مورد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ژوبرت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سادی پیترسون دلونی </w:t>
      </w:r>
      <w:r>
        <w:rPr>
          <w:rStyle w:val="FootnoteAnchor"/>
          <w:rtl w:val="true"/>
        </w:rPr>
        <w:footnoteReference w:id="948"/>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 xml:space="preserve">کتاب داری بود که از کتاب درمانی در کمک کردن به بهبود بیماران ذهنی در بیمارستان مدیریت معلولان </w:t>
      </w:r>
      <w:r>
        <w:rPr>
          <w:rStyle w:val="FootnoteAnchor"/>
          <w:rtl w:val="true"/>
        </w:rPr>
        <w:footnoteReference w:id="949"/>
      </w:r>
      <w:r>
        <w:rPr>
          <w:rFonts w:ascii="IRNazanin" w:hAnsi="IRNazanin" w:eastAsia="IRNazanin"/>
          <w:color w:val="111111"/>
          <w:sz w:val="28"/>
          <w:sz w:val="28"/>
          <w:szCs w:val="28"/>
          <w:rtl w:val="true"/>
          <w:lang w:bidi="fa-IR"/>
        </w:rPr>
        <w:t xml:space="preserve">در تاسکیگی آلاباما </w:t>
      </w:r>
      <w:r>
        <w:rPr>
          <w:rStyle w:val="FootnoteAnchor"/>
          <w:rtl w:val="true"/>
        </w:rPr>
        <w:footnoteReference w:id="950"/>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 مداخله توسط کتابداران نشان دهنده فرصت ها برای افزایش دادن نقش کتاب داران است و درک جامعه از شغل کتابداری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والدین نیز از خدمات معرفی شده سود می برند</w:t>
      </w:r>
      <w:r>
        <w:rPr>
          <w:rFonts w:eastAsia="IRNazanin" w:cs="IRNazanin"/>
          <w:color w:val="111111"/>
          <w:sz w:val="28"/>
          <w:szCs w:val="28"/>
          <w:rtl w:val="true"/>
          <w:lang w:bidi="fa-IR"/>
        </w:rPr>
        <w:t>.</w:t>
      </w:r>
    </w:p>
    <w:p>
      <w:pPr>
        <w:pStyle w:val="Heading3"/>
        <w:numPr>
          <w:ilvl w:val="2"/>
          <w:numId w:val="1"/>
        </w:numPr>
        <w:rPr/>
      </w:pPr>
      <w:bookmarkStart w:id="845" w:name="__RefHeading___Toc7825827_2870459653"/>
      <w:bookmarkStart w:id="846" w:name="_Toc308"/>
      <w:bookmarkEnd w:id="845"/>
      <w:r>
        <w:rPr/>
        <w:t>2</w:t>
      </w:r>
      <w:r>
        <w:rPr>
          <w:rtl w:val="true"/>
        </w:rPr>
        <w:t xml:space="preserve">. </w:t>
      </w:r>
      <w:r>
        <w:rPr>
          <w:rtl w:val="true"/>
        </w:rPr>
        <w:t>تاریخچه مطالعه</w:t>
      </w:r>
      <w:r>
        <w:rPr>
          <w:rtl w:val="true"/>
        </w:rPr>
        <w:t>:</w:t>
      </w:r>
      <w:bookmarkEnd w:id="84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بخش کودکان، مدرسه علوم پزشکی، دانشکده بهداشت، فعالیت هفتگی تحت عنوان ریانگ ريا ابو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اجرا قرار دادند که هدف آن فراهم کردن حمایت روانی و روان شناختی از کودکان در 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اساساً توسط دانشجویان پزشکی که در بخش کودکان فعالیت داشتند تسهیل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داوطلبان علاقه مند نیز مشتاق هستند تا در آن شرکت نمایند و به پیشبرد برنامه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هدف دانشگاه برای گسترش دادن برنامه های اجتماعی اش، مدیریت کتاب خانه اقدام به شرکت کردن در طرح از طریق ایجاد یک گروه از داوطلبان نمود تا فعالیت ها را در مرکز ابتکار کودکان بیمارستان یو اِس اِم بر طبق یک برنامه زمان بندی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قصه گویی با کودکان، فعالیت اصلی بود که توسط یک </w:t>
      </w:r>
      <w:bookmarkStart w:id="847" w:name="pg9659_94135"/>
    </w:p>
    <w:p>
      <w:pPr>
        <w:pStyle w:val="BookText"/>
        <w:rPr/>
      </w:pPr>
      <w:bookmarkEnd w:id="847"/>
      <w:r>
        <w:rPr>
          <w:rFonts w:ascii="IRNazanin" w:hAnsi="IRNazanin" w:eastAsia="IRNazanin"/>
          <w:color w:val="111111"/>
          <w:sz w:val="28"/>
          <w:sz w:val="28"/>
          <w:szCs w:val="28"/>
          <w:rtl w:val="true"/>
          <w:lang w:bidi="fa-IR"/>
        </w:rPr>
        <w:t>بخش رنگ آمیزی، حل کردن جورچین های پیچیده و غیره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داوطلبانه سودمند بود و اثر مثبتی بر روی بیماران داشت، بنابراین مدیریت برای به دست آوردن کمک هزینه از بخش صنعت و شبکه اجتماعی، یو اِس اِم به کار گرفته شد تا موفقیت بیشتر این طرح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هزینه ها برای خرید کتاب ها، اسباب بازی ها، کادوها و لوازم التحریر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دلگرم کننده بود و برای قدردانی از کودکانی بود که به طور فعال در همه ی جلسات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هم چنین طرح هم کاری و مساعدت از مؤسسات مختلف مالزیایی </w:t>
      </w:r>
      <w:r>
        <w:rPr>
          <w:rStyle w:val="FootnoteAnchor"/>
          <w:rtl w:val="true"/>
        </w:rPr>
        <w:footnoteReference w:id="952"/>
      </w:r>
      <w:r>
        <w:rPr>
          <w:rFonts w:ascii="IRNazanin" w:hAnsi="IRNazanin" w:eastAsia="IRNazanin"/>
          <w:color w:val="111111"/>
          <w:sz w:val="28"/>
          <w:sz w:val="28"/>
          <w:szCs w:val="28"/>
          <w:rtl w:val="true"/>
          <w:lang w:bidi="fa-IR"/>
        </w:rPr>
        <w:t>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اسباب بازی های اهدایی در مرکزی گردآوری شدند که احساس لذت را به کودکان بیمار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بخش کودکان که در طرح درگیر بودند از اقوام، مذاهب، سطوح تحصیلی و پیشینه خانوادگی متفاوتی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فاصله از مناطق مسکونی شان و نیاز به درمان مستمر، بیماران و مراقبانشان باید در بیمارستان برای یک دوره زمانی می ماندند و نیاز به این بود که زمانی را که در</w:t>
      </w:r>
    </w:p>
    <w:p>
      <w:pPr>
        <w:pStyle w:val="BookText"/>
        <w:rPr/>
      </w:pPr>
      <w:r>
        <w:rPr>
          <w:rFonts w:ascii="IRNazanin" w:hAnsi="IRNazanin" w:eastAsia="IRNazanin"/>
          <w:color w:val="111111"/>
          <w:sz w:val="28"/>
          <w:sz w:val="28"/>
          <w:szCs w:val="28"/>
          <w:rtl w:val="true"/>
          <w:lang w:bidi="fa-IR"/>
        </w:rPr>
        <w:t>بیمارستان در طول مدت نقاهتشان سپری می کنند با چیزهای مفید و سودمند از قبیل خواندن کتاب ها و تماشا کردن ویدیو کلیپ های آموزشی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و والدین بزرگ سال یک نقش فعال در انتخاب مطالب خواندنی به نحوی که با علایق و سطوح خواندن بیماران سازگار باشد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والدین نیز این فرصت را داشتند تا به مطالب خواندنی از قبیل مجلات، رمان و کتاب های انگیزشی برای خودشان دسترسی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زمان در بیمارستان می تواند از طریق خواندن با یک دیگر و حتی تقویت کردن پیوند خانوادگی بین بیماران و والدینشان راحت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هیاهوی مراقبت کردن از کودک بیمار، مراقبت کننده شانسی ندارد که به مطالب خواندنی و فرصت کافی دست یابد؛ بنابراین این خدمت به کمک هر دو گروه بیماران و والدین نیاز دارد تا عادت خواندن بدون محدودیت ها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تمام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بخش کودکان از سنین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والدین آن ها در این طرح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بازخوردهای مثبتی از گروه های مختلف شامل والدین، مراقبت کنندگان پرستاران و بیمارستان ها دریافت شده است</w:t>
      </w:r>
      <w:r>
        <w:rPr>
          <w:rFonts w:eastAsia="IRNazanin" w:cs="IRNazanin"/>
          <w:color w:val="111111"/>
          <w:sz w:val="28"/>
          <w:szCs w:val="28"/>
          <w:rtl w:val="true"/>
          <w:lang w:bidi="fa-IR"/>
        </w:rPr>
        <w:t>.</w:t>
      </w:r>
    </w:p>
    <w:p>
      <w:pPr>
        <w:pStyle w:val="Heading3"/>
        <w:numPr>
          <w:ilvl w:val="2"/>
          <w:numId w:val="1"/>
        </w:numPr>
        <w:rPr/>
      </w:pPr>
      <w:bookmarkStart w:id="848" w:name="__RefHeading___Toc7825829_2870459653"/>
      <w:bookmarkStart w:id="849" w:name="_Toc309"/>
      <w:bookmarkEnd w:id="848"/>
      <w:r>
        <w:rPr/>
        <w:t>3</w:t>
      </w:r>
      <w:r>
        <w:rPr>
          <w:rtl w:val="true"/>
        </w:rPr>
        <w:t xml:space="preserve">- </w:t>
      </w:r>
      <w:r>
        <w:rPr>
          <w:rtl w:val="true"/>
        </w:rPr>
        <w:t>کتاب درمانی</w:t>
      </w:r>
      <w:bookmarkEnd w:id="849"/>
    </w:p>
    <w:p>
      <w:pPr>
        <w:pStyle w:val="Heading4"/>
        <w:numPr>
          <w:ilvl w:val="3"/>
          <w:numId w:val="1"/>
        </w:numPr>
        <w:rPr/>
      </w:pPr>
      <w:bookmarkStart w:id="850" w:name="__RefHeading___Toc7825831_2870459653"/>
      <w:bookmarkStart w:id="851" w:name="_Toc310"/>
      <w:bookmarkEnd w:id="850"/>
      <w:r>
        <w:rPr>
          <w:rtl w:val="true"/>
        </w:rPr>
        <w:t>اشاره</w:t>
      </w:r>
      <w:bookmarkEnd w:id="85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بیبلیون </w:t>
      </w:r>
      <w:r>
        <w:rPr>
          <w:rStyle w:val="FootnoteAnchor"/>
          <w:rtl w:val="true"/>
        </w:rPr>
        <w:footnoteReference w:id="953"/>
      </w:r>
      <w:r>
        <w:rPr>
          <w:rFonts w:ascii="IRNazanin" w:hAnsi="IRNazanin" w:eastAsia="IRNazanin"/>
          <w:color w:val="111111"/>
          <w:sz w:val="28"/>
          <w:sz w:val="28"/>
          <w:szCs w:val="28"/>
          <w:rtl w:val="true"/>
          <w:lang w:bidi="fa-IR"/>
        </w:rPr>
        <w:t xml:space="preserve">که به معنای کتاب ها یا مطالب خواندنی است و تراپی </w:t>
      </w:r>
      <w:r>
        <w:rPr>
          <w:rStyle w:val="FootnoteAnchor"/>
          <w:rtl w:val="true"/>
        </w:rPr>
        <w:footnoteReference w:id="954"/>
      </w:r>
      <w:r>
        <w:rPr>
          <w:rFonts w:ascii="IRNazanin" w:hAnsi="IRNazanin" w:eastAsia="IRNazanin"/>
          <w:color w:val="111111"/>
          <w:sz w:val="28"/>
          <w:sz w:val="28"/>
          <w:szCs w:val="28"/>
          <w:rtl w:val="true"/>
          <w:lang w:bidi="fa-IR"/>
        </w:rPr>
        <w:t>که به معنای درمان و معالجه است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بریستر </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استفاده از مطالب </w:t>
      </w:r>
      <w:bookmarkStart w:id="852" w:name="pg9659_94136"/>
    </w:p>
    <w:p>
      <w:pPr>
        <w:pStyle w:val="BookText"/>
        <w:rPr/>
      </w:pPr>
      <w:bookmarkEnd w:id="852"/>
      <w:r>
        <w:rPr>
          <w:rFonts w:ascii="IRNazanin" w:hAnsi="IRNazanin" w:eastAsia="IRNazanin"/>
          <w:color w:val="111111"/>
          <w:sz w:val="28"/>
          <w:sz w:val="28"/>
          <w:szCs w:val="28"/>
          <w:rtl w:val="true"/>
          <w:lang w:bidi="fa-IR"/>
        </w:rPr>
        <w:t>خواندنی است به منظور این که سلامت ذهنی و فیزیکی بیماران توسط خواندن، مکالمه و فهم درست بازیابی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روزالینا و موهدشاکری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کتاب درمانی به معنی فنونی است که در یک تعامل ساختاری بین پرستاران و بیماران و خواه به صورت انفرادی یا گروه و توسط ائتلاف خواندن با ارائه درمان به بیماران مورد استفاده قرار گرفته است تا مسئله و مشکلی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دافی </w:t>
      </w:r>
      <w:r>
        <w:rPr>
          <w:rStyle w:val="FootnoteAnchor"/>
          <w:rtl w:val="true"/>
        </w:rPr>
        <w:footnoteReference w:id="957"/>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خلاقانه ای، کتاب درمانی </w:t>
      </w:r>
      <w:r>
        <w:rPr>
          <w:rStyle w:val="FootnoteAnchor"/>
          <w:rtl w:val="true"/>
        </w:rPr>
        <w:footnoteReference w:id="958"/>
      </w:r>
      <w:r>
        <w:rPr>
          <w:rFonts w:ascii="IRNazanin" w:hAnsi="IRNazanin" w:eastAsia="IRNazanin"/>
          <w:color w:val="111111"/>
          <w:sz w:val="28"/>
          <w:sz w:val="28"/>
          <w:szCs w:val="28"/>
          <w:rtl w:val="true"/>
          <w:lang w:bidi="fa-IR"/>
        </w:rPr>
        <w:t>را با خواندن کتاب ها، داستان ها و شعرها پیوند می دهند تا بیماران بتوانند احساسات مثبت را در مورد خودشان و دیگران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بر روی یک برنامه خواندن هدایت شده به منظور این که فهم بیماران در مورد خودشان را بهبود بخشد، متمرکز شده است و هم چنین تجربه احساسی آن ها را متنوع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خواندن بیماران الهام می گیرند و مثبت تر و مشتاق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اسلامی، این روش سابقه طولانی دارد از آن جایی که اولین وحی در جایی شروع شد که ندایی در خصوص خواندن آمد و در سوره علق بیان شد</w:t>
      </w:r>
      <w:r>
        <w:rPr>
          <w:rFonts w:eastAsia="IRNazanin" w:cs="IRNazanin"/>
          <w:color w:val="111111"/>
          <w:sz w:val="28"/>
          <w:szCs w:val="28"/>
          <w:rtl w:val="true"/>
          <w:lang w:bidi="fa-IR"/>
        </w:rPr>
        <w:t>.</w:t>
      </w:r>
    </w:p>
    <w:p>
      <w:pPr>
        <w:pStyle w:val="Heading4"/>
        <w:numPr>
          <w:ilvl w:val="3"/>
          <w:numId w:val="1"/>
        </w:numPr>
        <w:rPr/>
      </w:pPr>
      <w:bookmarkStart w:id="853" w:name="__RefHeading___Toc7825833_2870459653"/>
      <w:bookmarkStart w:id="854" w:name="_Toc311"/>
      <w:bookmarkEnd w:id="853"/>
      <w:r>
        <w:rPr/>
        <w:t>1.3</w:t>
      </w:r>
      <w:r>
        <w:rPr>
          <w:rtl w:val="true"/>
        </w:rPr>
        <w:t xml:space="preserve">. </w:t>
      </w:r>
      <w:r>
        <w:rPr>
          <w:rtl w:val="true"/>
        </w:rPr>
        <w:t>انواع کتاب درمانی</w:t>
      </w:r>
      <w:bookmarkEnd w:id="854"/>
    </w:p>
    <w:p>
      <w:pPr>
        <w:pStyle w:val="BookText"/>
        <w:rPr/>
      </w:pPr>
      <w:r>
        <w:rPr>
          <w:rFonts w:ascii="IRNazanin" w:hAnsi="IRNazanin" w:eastAsia="IRNazanin"/>
          <w:color w:val="111111"/>
          <w:sz w:val="28"/>
          <w:sz w:val="28"/>
          <w:szCs w:val="28"/>
          <w:rtl w:val="true"/>
          <w:lang w:bidi="fa-IR"/>
        </w:rPr>
        <w:t xml:space="preserve">بر اساس تقسیم بندی جاناویشن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درمانی به سه دسته و بر پایه اهداف متفاوت فرایند محل به کارگیری آن و هم چنین متخصصانی از قبیل پزشکان، کارمندان اجتماعی، کتابداران و معلمان و کسانی که این روش را به کار می برند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طبقه از بالینی، توان بخشی، آموزشی در رشد و بهبود شخصیت، بالینی به طور مستقیم به درمان بیماری همان طور که توسط یک دکتر صورت می گیرد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درمان بیماری به وسیله فراهم نمودن اقلام و مطالب خواندنی است که بر روی بیمار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مورد نیاز برای خواندن فقط می تواند توسط پزشکان که بیماران را درمان می کنند پیشنهاد و تجویز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بالینی این روش فقط می تواند در مؤسسات طبی انجام شود و کتاب داران تنها می توانند به عنوان یک عضو گروه خدمت رسانی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بخشی متفاوت است و شامل بهبود روش بالینی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درمان بیماری به کار نمی رود اما نسبتاً به فائق آمدن بر بیماری کمک می کند و هم چنین به بیماران در ارتباط با سازگار شدن با محیط در حال تغییر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 ایجاد امید توسط خواندن چیزهایی است که نشان می دهد دیگران چگونه چنین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مشابهی را مدیریت نموده و بر آن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w:t>
      </w:r>
      <w:bookmarkStart w:id="855" w:name="pg9659_94137"/>
    </w:p>
    <w:p>
      <w:pPr>
        <w:pStyle w:val="BookText"/>
        <w:rPr/>
      </w:pPr>
      <w:bookmarkEnd w:id="855"/>
      <w:r>
        <w:rPr>
          <w:rFonts w:ascii="IRNazanin" w:hAnsi="IRNazanin" w:eastAsia="IRNazanin"/>
          <w:color w:val="111111"/>
          <w:sz w:val="28"/>
          <w:sz w:val="28"/>
          <w:szCs w:val="28"/>
          <w:rtl w:val="true"/>
          <w:lang w:bidi="fa-IR"/>
        </w:rPr>
        <w:t>درمان بیماران قادر می شوند که دیدگاه های خود را گسترش دهند و امید و انتظارات مثبت بیشتری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توان بخشی می تواند توسط کتاب داران در همکاری با کارکنان پزشکی ارائه شده و پشتیبانی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کتاب خانه می تواند با دیگر بخش ها از قبیل توان بخشی، کارگران اجتماعی و مؤسسات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آموزشی توسط بسیاری از مؤسسات اجتماعی مورد استفاده قرار می گیرد و هم چنین رابطه نزدیکی با توان بخشی دارد زیرا که شامل رشد شخصیت و سازگاری با محیط در حال تغییر است از طریق این درمان، بیماران ممکن است خلاقیت و شخصیت متوازن تر و متعادل تری را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متخصصانی که در این نوع درمان شرکت دارند آن هایی هستند که خدمات اجتماعی ارائه می دهند مانند معلمان، مشاوران، کارمندان اجتماعی کتاب داران و غیره</w:t>
      </w:r>
      <w:r>
        <w:rPr>
          <w:rFonts w:eastAsia="IRNazanin" w:cs="IRNazanin"/>
          <w:color w:val="111111"/>
          <w:sz w:val="28"/>
          <w:szCs w:val="28"/>
          <w:rtl w:val="true"/>
          <w:lang w:bidi="fa-IR"/>
        </w:rPr>
        <w:t>.</w:t>
      </w:r>
    </w:p>
    <w:p>
      <w:pPr>
        <w:pStyle w:val="Heading4"/>
        <w:numPr>
          <w:ilvl w:val="3"/>
          <w:numId w:val="1"/>
        </w:numPr>
        <w:rPr/>
      </w:pPr>
      <w:bookmarkStart w:id="856" w:name="__RefHeading___Toc7825835_2870459653"/>
      <w:bookmarkStart w:id="857" w:name="_Toc312"/>
      <w:bookmarkEnd w:id="856"/>
      <w:r>
        <w:rPr/>
        <w:t>2.3</w:t>
      </w:r>
      <w:r>
        <w:rPr>
          <w:rtl w:val="true"/>
        </w:rPr>
        <w:t xml:space="preserve">. </w:t>
      </w:r>
      <w:r>
        <w:rPr>
          <w:rtl w:val="true"/>
        </w:rPr>
        <w:t>فرآیند کتاب درمانی</w:t>
      </w:r>
      <w:bookmarkEnd w:id="857"/>
    </w:p>
    <w:p>
      <w:pPr>
        <w:pStyle w:val="BookText"/>
        <w:rPr/>
      </w:pPr>
      <w:r>
        <w:rPr>
          <w:rFonts w:ascii="IRNazanin" w:hAnsi="IRNazanin" w:eastAsia="IRNazanin"/>
          <w:color w:val="111111"/>
          <w:sz w:val="28"/>
          <w:sz w:val="28"/>
          <w:szCs w:val="28"/>
          <w:rtl w:val="true"/>
          <w:lang w:bidi="fa-IR"/>
        </w:rPr>
        <w:t xml:space="preserve">بر اساس نظر پاردِک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یا اجرای آن شامل چهار مرحله اصلی می شود که این مراحل عبارت اند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دادن مسائل و مشکلات بیمار، انتخاب مطالب خواندنی، خواندن مطالب انتخاب شده و تعقیب و پشتیبانی بیمار بعد از عمل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اجرایی این فرآیند مستلزم تشخیص دادن مشکل است تا بتوان به حل مشکل با اقدام درمانی کمک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مشکل می تواند از طریق مصاحبه ها و گفتگوها تشخیص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باید مطالب خواندنی که با مسئله و سناریو بیمار سازگار و منطبق هستند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کتاب داران نقش اصلی را ایفا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خواندن مطالب خواندنی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فوس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کودک نیاز نیست که مطالب را بخواند اما باید در این امر شرکت داده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نهایی، ارزیابی بعد از خواندن است برای این که تشخیص داده شود که آیا خواندن اثر مثبتی بر روی بیمار داشته است</w:t>
      </w:r>
      <w:r>
        <w:rPr>
          <w:rFonts w:eastAsia="IRNazanin" w:cs="IRNazanin"/>
          <w:color w:val="111111"/>
          <w:sz w:val="28"/>
          <w:szCs w:val="28"/>
          <w:rtl w:val="true"/>
          <w:lang w:bidi="fa-IR"/>
        </w:rPr>
        <w:t>.</w:t>
      </w:r>
    </w:p>
    <w:p>
      <w:pPr>
        <w:pStyle w:val="Heading4"/>
        <w:numPr>
          <w:ilvl w:val="3"/>
          <w:numId w:val="1"/>
        </w:numPr>
        <w:rPr/>
      </w:pPr>
      <w:bookmarkStart w:id="858" w:name="__RefHeading___Toc7825837_2870459653"/>
      <w:bookmarkStart w:id="859" w:name="_Toc313"/>
      <w:bookmarkEnd w:id="858"/>
      <w:r>
        <w:rPr/>
        <w:t>3.3</w:t>
      </w:r>
      <w:r>
        <w:rPr>
          <w:rtl w:val="true"/>
        </w:rPr>
        <w:t xml:space="preserve">. </w:t>
      </w:r>
      <w:r>
        <w:rPr>
          <w:rtl w:val="true"/>
        </w:rPr>
        <w:t>روش های کتاب درمانی</w:t>
      </w:r>
      <w:bookmarkEnd w:id="85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مختلفی وجود دارد که می تواند در اجرای این روش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ترین روش استفاده از رمان ها، داستان های کوتاه، افسانه های جن و پری و کتاب های تشریحی و حماسی است چنین مطالبی اثرات مثبتی بر روی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عناوینی که اغلب مورد استفاده هستند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سوپ جوجه برای روح، یک دوست مانند سایمون، داستانی در مورد اوتیسم، درخت کوچک، داستانی برای بچه ها با مشکلات پزشکی جدی، بید نجیب، داستانی برای کودکان در مورد </w:t>
      </w:r>
      <w:bookmarkStart w:id="860" w:name="pg9659_94138"/>
    </w:p>
    <w:p>
      <w:pPr>
        <w:pStyle w:val="BookText"/>
        <w:rPr/>
      </w:pPr>
      <w:bookmarkEnd w:id="860"/>
      <w:r>
        <w:rPr>
          <w:rFonts w:ascii="IRNazanin" w:hAnsi="IRNazanin" w:eastAsia="IRNazanin"/>
          <w:color w:val="111111"/>
          <w:sz w:val="28"/>
          <w:sz w:val="28"/>
          <w:szCs w:val="28"/>
          <w:rtl w:val="true"/>
          <w:lang w:bidi="fa-IR"/>
        </w:rPr>
        <w:t>مرگ و افسانه ی 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قصه گویی با صدای بلند نقش مهمی را از طریق اجاره دادن به داوطلبان بازی می کند تا در ارائه کردن داستانشان خلاق باشند و اثر مثبتی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داستان گویی خلاق و با صدای بلند، هم چنین ویدئو و لوح های فشرده که نمایش دهنده داستان های مختلف هستند می تواند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راحت تر است و می تواند بیمار را جذب کند و علاقه آن ها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کردن سناریوها و طرح های سرگرم کننده تر، می توان از دیگر فعالیت های متقابل از قبیل بازی ها، رنگ آمیزی، نقاشی، پرسش و آزمون و کاردستی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به منظور جذب کردن و سرگرم کردن خوانندگان است و تجربه خواندن با طراوت و جسورانه تر ایجاد می کند</w:t>
      </w:r>
      <w:r>
        <w:rPr>
          <w:rFonts w:eastAsia="IRNazanin" w:cs="IRNazanin"/>
          <w:color w:val="111111"/>
          <w:sz w:val="28"/>
          <w:szCs w:val="28"/>
          <w:rtl w:val="true"/>
          <w:lang w:bidi="fa-IR"/>
        </w:rPr>
        <w:t>.</w:t>
      </w:r>
    </w:p>
    <w:p>
      <w:pPr>
        <w:pStyle w:val="Heading4"/>
        <w:numPr>
          <w:ilvl w:val="3"/>
          <w:numId w:val="1"/>
        </w:numPr>
        <w:rPr/>
      </w:pPr>
      <w:bookmarkStart w:id="861" w:name="__RefHeading___Toc7825839_2870459653"/>
      <w:bookmarkStart w:id="862" w:name="_Toc314"/>
      <w:bookmarkEnd w:id="861"/>
      <w:r>
        <w:rPr/>
        <w:t>4.3</w:t>
      </w:r>
      <w:r>
        <w:rPr>
          <w:rtl w:val="true"/>
        </w:rPr>
        <w:t xml:space="preserve">. </w:t>
      </w:r>
      <w:r>
        <w:rPr>
          <w:rtl w:val="true"/>
        </w:rPr>
        <w:t>مزایا و اشکالات</w:t>
      </w:r>
      <w:bookmarkEnd w:id="862"/>
    </w:p>
    <w:p>
      <w:pPr>
        <w:pStyle w:val="BookText"/>
        <w:rPr/>
      </w:pPr>
      <w:r>
        <w:rPr>
          <w:rFonts w:ascii="IRNazanin" w:hAnsi="IRNazanin" w:eastAsia="IRNazanin"/>
          <w:color w:val="111111"/>
          <w:sz w:val="28"/>
          <w:sz w:val="28"/>
          <w:szCs w:val="28"/>
          <w:rtl w:val="true"/>
          <w:lang w:bidi="fa-IR"/>
        </w:rPr>
        <w:t>روش کتاب درمانی، مزایا و اشکالات زیادی دارد که به عوامل و موقعیت های مختلف بستگی دارد از جمله مزایایی که از طریق این روش می تواند به دست آید افزایش یافتن فهم و توانایی برای کاهش دادن اضطراب بیماران کودک در بخش های بیمارستان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شرایط بخش مواردی هستند که برای کودکان وحشت آور است و ترس یک عامل اساسی است در زمانی که کودکان با افراد غریبه و ابزارهای مختلفی که با تجربه قبلی آن ها متفاوت است روبرو می شوند در این شرایط خواندن یک فرآیند درمانی است که بتواند به رهایی یافتن از اضطراب و کسالت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خواندن می تواند یک راه خروج از تنش باشد که ممکن است موجب خشم، رفتارهای خشونت آمیز و بی حوصلگی ناشی از عدم فعالیت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روش می تواند رشد کودک را مرتباً و به طور سریعی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و بهبود بخشیدن به آگاهی آن ها کمک می نماید و به همان اندازه انگیزش بر روی موضوعات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درمان هنوز اشکالاتی دارد، این روش نمی تواند برای همه بیماران به کار برده شود به این علت که این روش به کسانی محدود می شود که خواندن را دوست دارند و برای فهمیدن اشتیاق دارند و میل به خواندن در آن</w:t>
      </w:r>
    </w:p>
    <w:p>
      <w:pPr>
        <w:pStyle w:val="BookText"/>
        <w:rPr/>
      </w:pPr>
      <w:r>
        <w:rPr>
          <w:rFonts w:ascii="IRNazanin" w:hAnsi="IRNazanin" w:eastAsia="IRNazanin"/>
          <w:color w:val="111111"/>
          <w:sz w:val="28"/>
          <w:sz w:val="28"/>
          <w:szCs w:val="28"/>
          <w:rtl w:val="true"/>
          <w:lang w:bidi="fa-IR"/>
        </w:rPr>
        <w:t>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بخشی و کار آیی این درمان نیازمند یک دوره زمانی ثابت و التزام بیماری است</w:t>
      </w:r>
      <w:r>
        <w:rPr>
          <w:rFonts w:eastAsia="IRNazanin" w:cs="IRNazanin"/>
          <w:color w:val="111111"/>
          <w:sz w:val="28"/>
          <w:szCs w:val="28"/>
          <w:rtl w:val="true"/>
          <w:lang w:bidi="fa-IR"/>
        </w:rPr>
        <w:t>.</w:t>
      </w:r>
    </w:p>
    <w:p>
      <w:pPr>
        <w:pStyle w:val="Heading3"/>
        <w:numPr>
          <w:ilvl w:val="2"/>
          <w:numId w:val="1"/>
        </w:numPr>
        <w:rPr/>
      </w:pPr>
      <w:bookmarkStart w:id="863" w:name="__RefHeading___Toc7825841_2870459653"/>
      <w:bookmarkStart w:id="864" w:name="_Toc315"/>
      <w:bookmarkEnd w:id="863"/>
      <w:r>
        <w:rPr/>
        <w:t>4</w:t>
      </w:r>
      <w:r>
        <w:rPr>
          <w:rtl w:val="true"/>
        </w:rPr>
        <w:t xml:space="preserve">. </w:t>
      </w:r>
      <w:r>
        <w:rPr>
          <w:rtl w:val="true"/>
        </w:rPr>
        <w:t>اهداف</w:t>
      </w:r>
      <w:bookmarkEnd w:id="864"/>
    </w:p>
    <w:p>
      <w:pPr>
        <w:pStyle w:val="Heading4"/>
        <w:numPr>
          <w:ilvl w:val="3"/>
          <w:numId w:val="1"/>
        </w:numPr>
        <w:rPr/>
      </w:pPr>
      <w:bookmarkStart w:id="865" w:name="__RefHeading___Toc7825843_2870459653"/>
      <w:bookmarkStart w:id="866" w:name="_Toc316"/>
      <w:bookmarkEnd w:id="865"/>
      <w:r>
        <w:rPr>
          <w:rtl w:val="true"/>
        </w:rPr>
        <w:t>اشاره</w:t>
      </w:r>
      <w:bookmarkEnd w:id="86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این طرح عبارت اند از بهبود بخشیدن انگیزش و روانشناسی کودک و والدینشان به سمت افکار مثبت تر تا بر بیماری غلبه کنند، عادت به خواندن را در میان بیماران در مرحله اولیه پرورش دهند و فرصت هایی برای اولیا فراهم نمایند تا یک نمونه باشند و نقش های الگو را برای بیماران بازی کنند</w:t>
      </w:r>
      <w:r>
        <w:rPr>
          <w:rFonts w:eastAsia="IRNazanin" w:cs="IRNazanin"/>
          <w:color w:val="111111"/>
          <w:sz w:val="28"/>
          <w:szCs w:val="28"/>
          <w:rtl w:val="true"/>
          <w:lang w:bidi="fa-IR"/>
        </w:rPr>
        <w:t xml:space="preserve">. </w:t>
      </w:r>
      <w:bookmarkStart w:id="867" w:name="pg9659_94139"/>
    </w:p>
    <w:p>
      <w:pPr>
        <w:pStyle w:val="BookText"/>
        <w:rPr/>
      </w:pPr>
      <w:bookmarkEnd w:id="867"/>
      <w:r>
        <w:rPr>
          <w:rFonts w:ascii="IRNazanin" w:hAnsi="IRNazanin" w:eastAsia="IRNazanin"/>
          <w:color w:val="111111"/>
          <w:sz w:val="28"/>
          <w:sz w:val="28"/>
          <w:szCs w:val="28"/>
          <w:rtl w:val="true"/>
          <w:lang w:bidi="fa-IR"/>
        </w:rPr>
        <w:t>علاوه بر این طرح هم چنین توانست آگاهی در مورد اهمیت خواندن و نقش کتاب خانه برای اجتماع را افزایش دهد، رشد ذهن کودک می تواند از طریق پیوند دادن فعالیت های مختلف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فنون مورد استفاده در زمان شرکت کردن در فعالیت ها می تواند ذهن های خلاق در کودکان را تحریک نموده و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نتیجه غیر مستقیم برای کتاب خانه ها تشکیل فعالیت داوطلبانه در میان کارکنان کتاب خانه بود</w:t>
      </w:r>
      <w:r>
        <w:rPr>
          <w:rFonts w:eastAsia="IRNazanin" w:cs="IRNazanin"/>
          <w:color w:val="111111"/>
          <w:sz w:val="28"/>
          <w:szCs w:val="28"/>
          <w:rtl w:val="true"/>
          <w:lang w:bidi="fa-IR"/>
        </w:rPr>
        <w:t>.</w:t>
      </w:r>
    </w:p>
    <w:p>
      <w:pPr>
        <w:pStyle w:val="Heading3"/>
        <w:numPr>
          <w:ilvl w:val="2"/>
          <w:numId w:val="1"/>
        </w:numPr>
        <w:rPr/>
      </w:pPr>
      <w:bookmarkStart w:id="868" w:name="__RefHeading___Toc7825845_2870459653"/>
      <w:bookmarkStart w:id="869" w:name="_Toc317"/>
      <w:bookmarkEnd w:id="868"/>
      <w:r>
        <w:rPr/>
        <w:t>5</w:t>
      </w:r>
      <w:r>
        <w:rPr>
          <w:rtl w:val="true"/>
        </w:rPr>
        <w:t xml:space="preserve">. </w:t>
      </w:r>
      <w:r>
        <w:rPr>
          <w:rtl w:val="true"/>
        </w:rPr>
        <w:t>اجرای طرح</w:t>
      </w:r>
      <w:bookmarkEnd w:id="869"/>
    </w:p>
    <w:p>
      <w:pPr>
        <w:pStyle w:val="Heading4"/>
        <w:numPr>
          <w:ilvl w:val="3"/>
          <w:numId w:val="1"/>
        </w:numPr>
        <w:rPr/>
      </w:pPr>
      <w:bookmarkStart w:id="870" w:name="__RefHeading___Toc7825847_2870459653"/>
      <w:bookmarkStart w:id="871" w:name="_Toc318"/>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روش های مختلفی وجود دارند که می تواند در اجرای کتاب درمانی بیماران مورد استفاده قرار گیرد؛ بنابراین، طرح فقط بر سه روش اصلی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توسط یک گروه از داوطلبان از کتاب خانه حمدان طهیر و بیماران شرکت کننده در سه بخش کودکان در یو اِس 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به کار برده شدند</w:t>
      </w:r>
      <w:r>
        <w:rPr>
          <w:rFonts w:eastAsia="IRNazanin" w:cs="IRNazanin"/>
          <w:color w:val="111111"/>
          <w:sz w:val="28"/>
          <w:szCs w:val="28"/>
          <w:rtl w:val="true"/>
          <w:lang w:bidi="fa-IR"/>
        </w:rPr>
        <w:t>.</w:t>
      </w:r>
    </w:p>
    <w:p>
      <w:pPr>
        <w:pStyle w:val="Heading4"/>
        <w:numPr>
          <w:ilvl w:val="3"/>
          <w:numId w:val="1"/>
        </w:numPr>
        <w:rPr/>
      </w:pPr>
      <w:bookmarkStart w:id="872" w:name="__RefHeading___Toc7825849_2870459653"/>
      <w:bookmarkStart w:id="873" w:name="_Toc319"/>
      <w:bookmarkEnd w:id="872"/>
      <w:r>
        <w:rPr/>
        <w:t>1.5</w:t>
      </w:r>
      <w:r>
        <w:rPr>
          <w:rtl w:val="true"/>
        </w:rPr>
        <w:t xml:space="preserve">. </w:t>
      </w:r>
      <w:r>
        <w:rPr>
          <w:rtl w:val="true"/>
        </w:rPr>
        <w:t>مذاکرات و مصاحبه ها</w:t>
      </w:r>
      <w:r>
        <w:rPr>
          <w:rtl w:val="true"/>
        </w:rPr>
        <w:t>:</w:t>
      </w:r>
      <w:bookmarkEnd w:id="873"/>
    </w:p>
    <w:p>
      <w:pPr>
        <w:pStyle w:val="BookText"/>
        <w:rPr/>
      </w:pPr>
      <w:r>
        <w:rPr>
          <w:rFonts w:ascii="IRNazanin" w:hAnsi="IRNazanin" w:eastAsia="IRNazanin"/>
          <w:color w:val="111111"/>
          <w:sz w:val="28"/>
          <w:sz w:val="28"/>
          <w:szCs w:val="28"/>
          <w:rtl w:val="true"/>
          <w:lang w:bidi="fa-IR"/>
        </w:rPr>
        <w:t>روش اول از طریق بحث و مصاحبه مستقیم بین داوطلبان و بیماران یا والدین بیماران دربارهی پیشینه ی آن ها و بیماری مواجهه شده با آن ها انجام گرفت بنابر نتیجه مذاکرات، مطالب خواندنی مناسب در ارتباط با سناریوی بیمار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بخش داستان گویی، داوطلبان از بیماران یا والدین آن ها در مورد فیزیک و بازخورد آن پرسش نمودند در این روش داوطلبان به یک شخصیت در یک داستان یا روایت مربوط هستند تا روحیه بیمار را تحریک کنند بنابراین آن ها احساسات مثبت را در خودشان خواهند داشت قادر خواهند بود بر اضطراب غلبه کنند و ارزش های مثبت در مواجهه با شرایطشان را ارتقاء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گویی مؤثرترین روش برای ارتباط برقرار کردن با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کردن این روش، یک گروه از داوطلبان از کتاب خانه حمدان طهیر از پرستاران بازخوردهایی را دریافت کردند زیرا پرستاران به بیماران نزدیک تر هستند و به طور مرتب با آن ها در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بیماران تشویق شدند تا به طور فعالی در بازی ها، جورچین ها، رنگ آمیزی، نقاشی و آزمون ها شرکت کنند تا عامل خلاقیتشان برانگیخته و متحرک شود</w:t>
      </w:r>
      <w:r>
        <w:rPr>
          <w:rFonts w:eastAsia="IRNazanin" w:cs="IRNazanin"/>
          <w:color w:val="111111"/>
          <w:sz w:val="28"/>
          <w:szCs w:val="28"/>
          <w:rtl w:val="true"/>
          <w:lang w:bidi="fa-IR"/>
        </w:rPr>
        <w:t>.</w:t>
      </w:r>
    </w:p>
    <w:p>
      <w:pPr>
        <w:pStyle w:val="Heading4"/>
        <w:numPr>
          <w:ilvl w:val="3"/>
          <w:numId w:val="1"/>
        </w:numPr>
        <w:rPr/>
      </w:pPr>
      <w:bookmarkStart w:id="874" w:name="__RefHeading___Toc7825851_2870459653"/>
      <w:bookmarkStart w:id="875" w:name="_Toc320"/>
      <w:bookmarkEnd w:id="874"/>
      <w:r>
        <w:rPr/>
        <w:t>2.5</w:t>
      </w:r>
      <w:r>
        <w:rPr>
          <w:rtl w:val="true"/>
        </w:rPr>
        <w:t xml:space="preserve">. </w:t>
      </w:r>
      <w:r>
        <w:rPr>
          <w:rtl w:val="true"/>
        </w:rPr>
        <w:t>مشاهدات</w:t>
      </w:r>
      <w:r>
        <w:rPr>
          <w:rtl w:val="true"/>
        </w:rPr>
        <w:t>:</w:t>
      </w:r>
      <w:bookmarkEnd w:id="87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داوطلبان هم چنین به عنوان ناظر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مشاهدات در یک گروه مورد بحث قرار گرفت تا </w:t>
      </w:r>
      <w:bookmarkStart w:id="876" w:name="pg9659_94140"/>
    </w:p>
    <w:p>
      <w:pPr>
        <w:pStyle w:val="BookText"/>
        <w:rPr/>
      </w:pPr>
      <w:bookmarkEnd w:id="876"/>
      <w:r>
        <w:rPr>
          <w:rFonts w:ascii="IRNazanin" w:hAnsi="IRNazanin" w:eastAsia="IRNazanin"/>
          <w:color w:val="111111"/>
          <w:sz w:val="28"/>
          <w:sz w:val="28"/>
          <w:szCs w:val="28"/>
          <w:rtl w:val="true"/>
          <w:lang w:bidi="fa-IR"/>
        </w:rPr>
        <w:t>جلسات آینده بهبود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توسط سِن </w:t>
      </w:r>
      <w:r>
        <w:rPr>
          <w:rStyle w:val="FootnoteAnchor"/>
          <w:rtl w:val="true"/>
        </w:rPr>
        <w:footnoteReference w:id="962"/>
      </w:r>
      <w:r>
        <w:rPr>
          <w:rFonts w:ascii="IRNazanin" w:hAnsi="IRNazanin" w:eastAsia="IRNazanin"/>
          <w:color w:val="111111"/>
          <w:sz w:val="28"/>
          <w:sz w:val="28"/>
          <w:szCs w:val="28"/>
          <w:rtl w:val="true"/>
          <w:lang w:bidi="fa-IR"/>
        </w:rPr>
        <w:t xml:space="preserve">، کاکس </w:t>
      </w:r>
      <w:r>
        <w:rPr>
          <w:rStyle w:val="FootnoteAnchor"/>
          <w:rtl w:val="true"/>
        </w:rPr>
        <w:footnoteReference w:id="963"/>
      </w:r>
      <w:r>
        <w:rPr>
          <w:rFonts w:ascii="IRNazanin" w:hAnsi="IRNazanin" w:eastAsia="IRNazanin"/>
          <w:color w:val="111111"/>
          <w:sz w:val="28"/>
          <w:sz w:val="28"/>
          <w:szCs w:val="28"/>
          <w:rtl w:val="true"/>
          <w:lang w:bidi="fa-IR"/>
        </w:rPr>
        <w:t xml:space="preserve">و بریستر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مشاهده روش کتاب درمانی بیمار از طریق فعل و انفعال بین بیماران و اعضای گروه، تعامل بین بیماران و استفاده کردن از مطالب خواندنی و خواندن مطالبی که بر روی زندگی تأثیر می گذارند</w:t>
      </w:r>
      <w:r>
        <w:rPr>
          <w:rFonts w:eastAsia="IRNazanin" w:cs="IRNazanin"/>
          <w:color w:val="111111"/>
          <w:sz w:val="28"/>
          <w:szCs w:val="28"/>
          <w:rtl w:val="true"/>
          <w:lang w:bidi="fa-IR"/>
        </w:rPr>
        <w:t>.</w:t>
      </w:r>
    </w:p>
    <w:p>
      <w:pPr>
        <w:pStyle w:val="Heading4"/>
        <w:numPr>
          <w:ilvl w:val="3"/>
          <w:numId w:val="1"/>
        </w:numPr>
        <w:rPr/>
      </w:pPr>
      <w:bookmarkStart w:id="877" w:name="__RefHeading___Toc7825853_2870459653"/>
      <w:bookmarkStart w:id="878" w:name="_Toc321"/>
      <w:bookmarkEnd w:id="877"/>
      <w:r>
        <w:rPr/>
        <w:t>3.5</w:t>
      </w:r>
      <w:r>
        <w:rPr>
          <w:rtl w:val="true"/>
        </w:rPr>
        <w:t xml:space="preserve">. </w:t>
      </w:r>
      <w:r>
        <w:rPr>
          <w:rtl w:val="true"/>
        </w:rPr>
        <w:t>انجام فعالیت های منظم</w:t>
      </w:r>
      <w:r>
        <w:rPr>
          <w:rtl w:val="true"/>
        </w:rPr>
        <w:t>:</w:t>
      </w:r>
      <w:bookmarkEnd w:id="878"/>
    </w:p>
    <w:p>
      <w:pPr>
        <w:pStyle w:val="BookText"/>
        <w:rPr/>
      </w:pPr>
      <w:r>
        <w:rPr>
          <w:rFonts w:ascii="IRNazanin" w:hAnsi="IRNazanin" w:eastAsia="IRNazanin"/>
          <w:color w:val="111111"/>
          <w:sz w:val="28"/>
          <w:sz w:val="28"/>
          <w:szCs w:val="28"/>
          <w:rtl w:val="true"/>
          <w:lang w:bidi="fa-IR"/>
        </w:rPr>
        <w:t>در این روش یک گروه داوطلب از کتاب خانه شامل دو گروه از کارکنان در تمام سطوح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هر چهارشنبه بعد از ظهر برای دو ساعت و طبق برنامه زمان بندی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صد بیمار در این طرح عضویت یافتند که شامل جلساتی که توسط دانشجویان برگزار شد، نمی شود</w:t>
      </w:r>
      <w:r>
        <w:rPr>
          <w:rFonts w:eastAsia="IRNazanin" w:cs="IRNazanin"/>
          <w:color w:val="111111"/>
          <w:sz w:val="28"/>
          <w:szCs w:val="28"/>
          <w:rtl w:val="true"/>
          <w:lang w:bidi="fa-IR"/>
        </w:rPr>
        <w:t>.</w:t>
      </w:r>
    </w:p>
    <w:p>
      <w:pPr>
        <w:pStyle w:val="Heading3"/>
        <w:numPr>
          <w:ilvl w:val="2"/>
          <w:numId w:val="1"/>
        </w:numPr>
        <w:rPr/>
      </w:pPr>
      <w:bookmarkStart w:id="879" w:name="__RefHeading___Toc7825855_2870459653"/>
      <w:bookmarkStart w:id="880" w:name="_Toc322"/>
      <w:bookmarkEnd w:id="879"/>
      <w:r>
        <w:rPr/>
        <w:t>6</w:t>
      </w:r>
      <w:r>
        <w:rPr>
          <w:rtl w:val="true"/>
        </w:rPr>
        <w:t xml:space="preserve">. </w:t>
      </w:r>
      <w:r>
        <w:rPr>
          <w:rtl w:val="true"/>
        </w:rPr>
        <w:t>مرور طرح</w:t>
      </w:r>
      <w:r>
        <w:rPr>
          <w:rtl w:val="true"/>
        </w:rPr>
        <w:t>:</w:t>
      </w:r>
      <w:bookmarkEnd w:id="880"/>
    </w:p>
    <w:p>
      <w:pPr>
        <w:pStyle w:val="Heading4"/>
        <w:numPr>
          <w:ilvl w:val="3"/>
          <w:numId w:val="1"/>
        </w:numPr>
        <w:rPr/>
      </w:pPr>
      <w:bookmarkStart w:id="881" w:name="__RefHeading___Toc7825857_2870459653"/>
      <w:bookmarkStart w:id="882" w:name="_Toc323"/>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بعد از چند سال انجام این فعالیت، طرح اثر مثبت بر روی بیماران و والدین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 دل گرم کننده هستند و داوطلبان را به ادامه فعالیت داوطلبانه شان تشویق کردند؛ بنابراین مشاهدات، کودکانی که در جلسه چهارشنبه شگفت انگیز و ریانگ ریا را بو شرکت داشتند در ارتباط حضور فعالیت های خارجی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ویژه برای کودکانی که توسط والدینشان همراهی می شدند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بود که داوطلبان دست به اقدامی بزنند تا از بیرون به کودکان نزدیک شوند و آن ها را ملاقات کنند و با آن ها صحبت نمایند تا یک رابطه دوستانه را بسازند تا فعالیت ها به طور مؤثر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کودکان به شرکت در این فعالیت ها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منتظر و هیجان زده خواهند بود تا در هر یک از فعالیت ها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خاطر این است که آن ها احساس قدردانی و سرگرمی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طول مدت اقامتشان در بیمارستان خسته نمی شوند بنابر نتیجه این طرح، کتاب خانه مدیریت نمود تا نظام کتاب خانه که فعالیت های تحقیقاتی در محل منبع را آسان می سازد رشد نماید</w:t>
      </w:r>
      <w:r>
        <w:rPr>
          <w:rFonts w:eastAsia="IRNazanin" w:cs="IRNazanin"/>
          <w:color w:val="111111"/>
          <w:sz w:val="28"/>
          <w:szCs w:val="28"/>
          <w:rtl w:val="true"/>
          <w:lang w:bidi="fa-IR"/>
        </w:rPr>
        <w:t>.</w:t>
      </w:r>
    </w:p>
    <w:p>
      <w:pPr>
        <w:pStyle w:val="Heading4"/>
        <w:numPr>
          <w:ilvl w:val="3"/>
          <w:numId w:val="1"/>
        </w:numPr>
        <w:rPr/>
      </w:pPr>
      <w:bookmarkStart w:id="883" w:name="__RefHeading___Toc7825859_2870459653"/>
      <w:bookmarkStart w:id="884" w:name="_Toc324"/>
      <w:bookmarkEnd w:id="883"/>
      <w:r>
        <w:rPr/>
        <w:t>1.6</w:t>
      </w:r>
      <w:r>
        <w:rPr>
          <w:rtl w:val="true"/>
        </w:rPr>
        <w:t xml:space="preserve">. </w:t>
      </w:r>
      <w:r>
        <w:rPr>
          <w:rtl w:val="true"/>
        </w:rPr>
        <w:t>تأثیر پرورش دادن مزیت های خواندن</w:t>
      </w:r>
      <w:r>
        <w:rPr>
          <w:rtl w:val="true"/>
        </w:rPr>
        <w:t>:</w:t>
      </w:r>
      <w:bookmarkEnd w:id="8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ترین اثر این فعالیت ارتقاء عادت خواندن در میان هم بیماران جوان و هم بزرگسالان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ویژه برای آن دسته از بیماران و اولیاء از مناطق روستایی که کتاب های جالب کم تری داشتند و امکان کتاب خانه ای در جایی که آن ها زندگی می کردند نبود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خواندن از ابتدای طرح برقرار شد هم چنین افزایش در تعداد کتاب های امانت گرفته شده از مرکز به عنوان یک نتیجه این طرح صورت گرفت، مدیریت محل نیز منظم تر شد و به وسیله ی کارکنان کتاب خانه از فرآیندهای تخصصی سود برده شد</w:t>
      </w:r>
      <w:r>
        <w:rPr>
          <w:rFonts w:eastAsia="IRNazanin" w:cs="IRNazanin"/>
          <w:color w:val="111111"/>
          <w:sz w:val="28"/>
          <w:szCs w:val="28"/>
          <w:rtl w:val="true"/>
          <w:lang w:bidi="fa-IR"/>
        </w:rPr>
        <w:t xml:space="preserve">. </w:t>
      </w:r>
      <w:bookmarkStart w:id="885" w:name="pg9659_94141"/>
    </w:p>
    <w:p>
      <w:pPr>
        <w:pStyle w:val="Heading4"/>
        <w:numPr>
          <w:ilvl w:val="3"/>
          <w:numId w:val="1"/>
        </w:numPr>
        <w:rPr/>
      </w:pPr>
      <w:bookmarkStart w:id="886" w:name="__RefHeading___Toc7825861_2870459653"/>
      <w:bookmarkStart w:id="887" w:name="_Toc325"/>
      <w:bookmarkEnd w:id="885"/>
      <w:bookmarkEnd w:id="886"/>
      <w:r>
        <w:rPr/>
        <w:t>2.6</w:t>
      </w:r>
      <w:r>
        <w:rPr>
          <w:rtl w:val="true"/>
        </w:rPr>
        <w:t xml:space="preserve">. </w:t>
      </w:r>
      <w:r>
        <w:rPr>
          <w:rtl w:val="true"/>
        </w:rPr>
        <w:t>درد، هیجان و اضطراب کاهش یافته</w:t>
      </w:r>
      <w:r>
        <w:rPr>
          <w:rtl w:val="true"/>
        </w:rPr>
        <w:t>:</w:t>
      </w:r>
      <w:bookmarkEnd w:id="887"/>
    </w:p>
    <w:p>
      <w:pPr>
        <w:pStyle w:val="BookText"/>
        <w:rPr/>
      </w:pPr>
      <w:r>
        <w:rPr>
          <w:rFonts w:ascii="IRNazanin" w:hAnsi="IRNazanin" w:eastAsia="IRNazanin"/>
          <w:color w:val="111111"/>
          <w:sz w:val="28"/>
          <w:sz w:val="28"/>
          <w:szCs w:val="28"/>
          <w:rtl w:val="true"/>
          <w:lang w:bidi="fa-IR"/>
        </w:rPr>
        <w:t>زمانی که بیماران برای غلبه کردن بر بیماری یا مسائل هیجانی در حال جدال هستند، خواندن ممکن است کمک نماید تا اضطراب کاهش یابد بنابراین موجب یک تفاوت واقعی در زندگی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شخصیت هایی که حضور دارند می توانند در نگرش ها تأثیر بگذارند و به بیماران کمک کنند تا خستگی و فشار ناشی از پیشرفت بیماری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هم چنین بر روی بیماران تأثیر گذاشت و اثر بسیار مثبتی را از طریق گسترش دادن تخیلات و فراهم کردن فرصت های آموزشی به همراه داشت بنابراین آن ها می توانند انتظار آینده بهتری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الگوها در داستان ها، آن ها نیز آموختند تا مشکلات را باهم سهیم شوند و از یک دیگر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می دانیم خودکنترلی هر بیمار متفاوت است؛ اما یک دوره از درمان ها، تزریقات و اقدامات پزشکی ممکن است آن ها را افسرده، آشفته و دردمند نماید؛ بنابراین این طرح قصد داشت تا به بیماران و والدین آن ها از طریق کاهش دادن اضطراب، درد و اضطراب کمک نماید و هم زمان با آن سرگرمی و خوشحالی آن ها راحتی برای یک لحظه فراهم نماید</w:t>
      </w:r>
      <w:r>
        <w:rPr>
          <w:rFonts w:eastAsia="IRNazanin" w:cs="IRNazanin"/>
          <w:color w:val="111111"/>
          <w:sz w:val="28"/>
          <w:szCs w:val="28"/>
          <w:rtl w:val="true"/>
          <w:lang w:bidi="fa-IR"/>
        </w:rPr>
        <w:t>.</w:t>
      </w:r>
    </w:p>
    <w:p>
      <w:pPr>
        <w:pStyle w:val="Heading4"/>
        <w:numPr>
          <w:ilvl w:val="3"/>
          <w:numId w:val="1"/>
        </w:numPr>
        <w:rPr/>
      </w:pPr>
      <w:bookmarkStart w:id="888" w:name="__RefHeading___Toc7825863_2870459653"/>
      <w:bookmarkStart w:id="889" w:name="_Toc326"/>
      <w:bookmarkEnd w:id="888"/>
      <w:r>
        <w:rPr/>
        <w:t>3.6</w:t>
      </w:r>
      <w:r>
        <w:rPr>
          <w:rtl w:val="true"/>
        </w:rPr>
        <w:t xml:space="preserve">. </w:t>
      </w:r>
      <w:r>
        <w:rPr>
          <w:rtl w:val="true"/>
        </w:rPr>
        <w:t>رشد شناختی بیمار</w:t>
      </w:r>
      <w:r>
        <w:rPr>
          <w:rtl w:val="true"/>
        </w:rPr>
        <w:t>:</w:t>
      </w:r>
      <w:bookmarkEnd w:id="889"/>
    </w:p>
    <w:p>
      <w:pPr>
        <w:pStyle w:val="BookText"/>
        <w:rPr/>
      </w:pPr>
      <w:r>
        <w:rPr>
          <w:rFonts w:ascii="IRNazanin" w:hAnsi="IRNazanin" w:eastAsia="IRNazanin"/>
          <w:color w:val="111111"/>
          <w:sz w:val="28"/>
          <w:sz w:val="28"/>
          <w:szCs w:val="28"/>
          <w:rtl w:val="true"/>
          <w:lang w:bidi="fa-IR"/>
        </w:rPr>
        <w:t>فعالیت هایی مانند صحبت کردن، نمایش دادن فیلم های کودکان، بازی های چالش برانگیز ذهنی، فعالیت های رنگ آمیزی، اوریگامی و کاردستی ها نه فقط مهارت های فیزیکی را توسعه می دهند که به تقویت روحی بیمار کمک می کند اما آن ها هم چنین یک اثر هیجانی و احساسی دارند، رشد ذهنی را بهبود می بخشند، فکر کردن خلاق را رشد می دهند و به بهبود بخشیدن دیدگاه مثبت بیمار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 به بیماران اجازه می دهند که کنترل موقعیت خودشان را به دست گیرند و احساسات و مهارت های کنار آمدن را رشد می دهند که به آن ها کمک می کند تا از عهده شرایط واقعی زندگی شان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پوتن آلیا </w:t>
      </w:r>
      <w:r>
        <w:rPr>
          <w:rStyle w:val="FootnoteAnchor"/>
          <w:rtl w:val="true"/>
        </w:rPr>
        <w:footnoteReference w:id="964"/>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طور فعالی در طول مدت طرح ب چهارشنبه شگفت انگیز شرکت داشت در حالی که درمان سرطان را تا زمانی که آخرین نفسش را در بیمارستان در آگوست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تحمل می کرد</w:t>
      </w:r>
      <w:r>
        <w:rPr>
          <w:rFonts w:eastAsia="IRNazanin" w:cs="IRNazanin"/>
          <w:color w:val="111111"/>
          <w:sz w:val="28"/>
          <w:szCs w:val="28"/>
          <w:rtl w:val="true"/>
          <w:lang w:bidi="fa-IR"/>
        </w:rPr>
        <w:t>.</w:t>
      </w:r>
    </w:p>
    <w:p>
      <w:pPr>
        <w:pStyle w:val="Heading4"/>
        <w:numPr>
          <w:ilvl w:val="3"/>
          <w:numId w:val="1"/>
        </w:numPr>
        <w:rPr/>
      </w:pPr>
      <w:bookmarkStart w:id="890" w:name="__RefHeading___Toc7825865_2870459653"/>
      <w:bookmarkStart w:id="891" w:name="_Toc327"/>
      <w:bookmarkEnd w:id="890"/>
      <w:r>
        <w:rPr/>
        <w:t>4.6</w:t>
      </w:r>
      <w:r>
        <w:rPr>
          <w:rtl w:val="true"/>
        </w:rPr>
        <w:t xml:space="preserve">. </w:t>
      </w:r>
      <w:r>
        <w:rPr>
          <w:rtl w:val="true"/>
        </w:rPr>
        <w:t>حمایت معنوی</w:t>
      </w:r>
      <w:r>
        <w:rPr>
          <w:rtl w:val="true"/>
        </w:rPr>
        <w:t>:</w:t>
      </w:r>
      <w:bookmarkEnd w:id="89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غیر مستقیم طرح، رساندن حمایت معنوی پیوسته به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معنوی در زندگی اجتماعی انسان بسیار مهم است و به بیماران کمک می کند تا روحیه خودشان و قدرت درونی را </w:t>
      </w:r>
      <w:bookmarkStart w:id="892" w:name="pg9659_94142"/>
    </w:p>
    <w:p>
      <w:pPr>
        <w:pStyle w:val="BookText"/>
        <w:rPr/>
      </w:pPr>
      <w:bookmarkEnd w:id="892"/>
      <w:r>
        <w:rPr>
          <w:rFonts w:ascii="IRNazanin" w:hAnsi="IRNazanin" w:eastAsia="IRNazanin"/>
          <w:color w:val="111111"/>
          <w:sz w:val="28"/>
          <w:sz w:val="28"/>
          <w:szCs w:val="28"/>
          <w:rtl w:val="true"/>
          <w:lang w:bidi="fa-IR"/>
        </w:rPr>
        <w:t>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اغلب با پیش زمینه های مختلفی بودند و بعضی از آن ها پیوند خانوادگی قوی و محکمی نداشتند، در یک خانواده فقیر متولد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رفتاری های خانوادگی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برای بسیاری از بیماران این حقیقت را اثبات کرد که بسیاری از مردم نگران آن ها هستند و مشتاق اند تا به آن ها در بازاریابی سلامتیشان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آن ها را دوست دارند، به ویژه آن دسته از بیمارانی که اعضای خانواده خود را از دست داده بودند</w:t>
      </w:r>
      <w:r>
        <w:rPr>
          <w:rFonts w:eastAsia="IRNazanin" w:cs="IRNazanin"/>
          <w:color w:val="111111"/>
          <w:sz w:val="28"/>
          <w:szCs w:val="28"/>
          <w:rtl w:val="true"/>
          <w:lang w:bidi="fa-IR"/>
        </w:rPr>
        <w:t>.</w:t>
      </w:r>
    </w:p>
    <w:p>
      <w:pPr>
        <w:pStyle w:val="Heading4"/>
        <w:numPr>
          <w:ilvl w:val="3"/>
          <w:numId w:val="1"/>
        </w:numPr>
        <w:rPr/>
      </w:pPr>
      <w:bookmarkStart w:id="893" w:name="__RefHeading___Toc7825867_2870459653"/>
      <w:bookmarkStart w:id="894" w:name="_Toc328"/>
      <w:bookmarkEnd w:id="893"/>
      <w:r>
        <w:rPr/>
        <w:t>5.6</w:t>
      </w:r>
      <w:r>
        <w:rPr>
          <w:rtl w:val="true"/>
        </w:rPr>
        <w:t xml:space="preserve">. </w:t>
      </w:r>
      <w:r>
        <w:rPr>
          <w:rtl w:val="true"/>
        </w:rPr>
        <w:t>همکاری آسان تر بیمار</w:t>
      </w:r>
      <w:r>
        <w:rPr>
          <w:rtl w:val="true"/>
        </w:rPr>
        <w:t>:</w:t>
      </w:r>
      <w:bookmarkEnd w:id="894"/>
    </w:p>
    <w:p>
      <w:pPr>
        <w:pStyle w:val="BookText"/>
        <w:rPr/>
      </w:pPr>
      <w:r>
        <w:rPr>
          <w:rFonts w:ascii="IRNazanin" w:hAnsi="IRNazanin" w:eastAsia="IRNazanin"/>
          <w:color w:val="111111"/>
          <w:sz w:val="28"/>
          <w:sz w:val="28"/>
          <w:szCs w:val="28"/>
          <w:rtl w:val="true"/>
          <w:lang w:bidi="fa-IR"/>
        </w:rPr>
        <w:t>گفتگوها با پرستاران و بیماران آشکار نمود که کودکان برای درمان راحت تر بودند و بعد از گذراندن چهارشنبه شگفت انگیز، نق نمی زدند و فقط بر روی پرستار متمرکز نمی شدند آن ها احساس می کردند که تنها نیستند، انسان هایی هستند که به آن ها عشق می ورزند و به آن ها باور دارند و تمرکز خود را فقط بر روی فکر کردن در مورد بیماری شان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مشابهی در طول درمان دنبال شده گزارش شد، خواندن با صدای بلند، ارزش درمانی و پتانسیل قدرتمندی برای کودکان که منتظر فعالیت چهارشنبه بودند، داشت</w:t>
      </w:r>
      <w:r>
        <w:rPr>
          <w:rFonts w:eastAsia="IRNazanin" w:cs="IRNazanin"/>
          <w:color w:val="111111"/>
          <w:sz w:val="28"/>
          <w:szCs w:val="28"/>
          <w:rtl w:val="true"/>
          <w:lang w:bidi="fa-IR"/>
        </w:rPr>
        <w:t>.</w:t>
      </w:r>
    </w:p>
    <w:p>
      <w:pPr>
        <w:pStyle w:val="Heading4"/>
        <w:numPr>
          <w:ilvl w:val="3"/>
          <w:numId w:val="1"/>
        </w:numPr>
        <w:rPr/>
      </w:pPr>
      <w:bookmarkStart w:id="895" w:name="__RefHeading___Toc7825869_2870459653"/>
      <w:bookmarkStart w:id="896" w:name="_Toc329"/>
      <w:bookmarkEnd w:id="895"/>
      <w:r>
        <w:rPr/>
        <w:t>6.6</w:t>
      </w:r>
      <w:r>
        <w:rPr>
          <w:rtl w:val="true"/>
        </w:rPr>
        <w:t xml:space="preserve">. </w:t>
      </w:r>
      <w:r>
        <w:rPr>
          <w:rtl w:val="true"/>
        </w:rPr>
        <w:t>تعاملات مؤثر</w:t>
      </w:r>
      <w:r>
        <w:rPr>
          <w:rtl w:val="true"/>
        </w:rPr>
        <w:t>:</w:t>
      </w:r>
      <w:bookmarkEnd w:id="896"/>
    </w:p>
    <w:p>
      <w:pPr>
        <w:pStyle w:val="BookText"/>
        <w:rPr/>
      </w:pPr>
      <w:r>
        <w:rPr>
          <w:rFonts w:ascii="IRNazanin" w:hAnsi="IRNazanin" w:eastAsia="IRNazanin"/>
          <w:color w:val="111111"/>
          <w:sz w:val="28"/>
          <w:sz w:val="28"/>
          <w:szCs w:val="28"/>
          <w:rtl w:val="true"/>
          <w:lang w:bidi="fa-IR"/>
        </w:rPr>
        <w:t xml:space="preserve">اثر اصلی طرح در شماری از تعاملات مؤثر مشاهده شد، بین داوطلبان با بیماران و بیماران و اولیاء بر طبق گفته تامپسون و استانفورد </w:t>
      </w:r>
      <w:r>
        <w:rPr>
          <w:rStyle w:val="FootnoteAnchor"/>
          <w:rtl w:val="true"/>
        </w:rPr>
        <w:footnoteReference w:id="96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خواندن با صدای بلند، ناآشنایی و غریبگی را به وسیله ایجاد کردن یک اتمسفر شاد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ضرب المثل انگلیسی می گوید خنده بهترین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داستان گویی نیز منجر به ساختن اعتماد در میان داوطلبان شد</w:t>
      </w:r>
      <w:r>
        <w:rPr>
          <w:rFonts w:eastAsia="IRNazanin" w:cs="IRNazanin"/>
          <w:color w:val="111111"/>
          <w:sz w:val="28"/>
          <w:szCs w:val="28"/>
          <w:rtl w:val="true"/>
          <w:lang w:bidi="fa-IR"/>
        </w:rPr>
        <w:t>.</w:t>
      </w:r>
    </w:p>
    <w:p>
      <w:pPr>
        <w:pStyle w:val="Heading4"/>
        <w:numPr>
          <w:ilvl w:val="3"/>
          <w:numId w:val="1"/>
        </w:numPr>
        <w:rPr/>
      </w:pPr>
      <w:bookmarkStart w:id="897" w:name="__RefHeading___Toc7825871_2870459653"/>
      <w:bookmarkStart w:id="898" w:name="_Toc330"/>
      <w:bookmarkEnd w:id="897"/>
      <w:r>
        <w:rPr/>
        <w:t>7.6</w:t>
      </w:r>
      <w:r>
        <w:rPr>
          <w:rtl w:val="true"/>
        </w:rPr>
        <w:t xml:space="preserve">. </w:t>
      </w:r>
      <w:r>
        <w:rPr>
          <w:rtl w:val="true"/>
        </w:rPr>
        <w:t>تعاون</w:t>
      </w:r>
      <w:r>
        <w:rPr>
          <w:rtl w:val="true"/>
        </w:rPr>
        <w:t>:</w:t>
      </w:r>
      <w:bookmarkEnd w:id="898"/>
    </w:p>
    <w:p>
      <w:pPr>
        <w:pStyle w:val="BookText"/>
        <w:rPr/>
      </w:pPr>
      <w:r>
        <w:rPr>
          <w:rFonts w:ascii="IRNazanin" w:hAnsi="IRNazanin" w:eastAsia="IRNazanin"/>
          <w:color w:val="111111"/>
          <w:sz w:val="28"/>
          <w:sz w:val="28"/>
          <w:szCs w:val="28"/>
          <w:rtl w:val="true"/>
          <w:lang w:bidi="fa-IR"/>
        </w:rPr>
        <w:t>همکاری و تعاون بین کتاب خانه و بیمارستان به آرامی ایجاد شده بود و چندین کتاب خانه نیز برای نشان دادن مزایای حمایت از طرح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این طرح به مطالب خواندنی محدود نمی شود و هم چنین اهداء وسایل و اسباب بازی ها از طرف خیرین را شامل می شود</w:t>
      </w:r>
      <w:r>
        <w:rPr>
          <w:rFonts w:eastAsia="IRNazanin" w:cs="IRNazanin"/>
          <w:color w:val="111111"/>
          <w:sz w:val="28"/>
          <w:szCs w:val="28"/>
          <w:rtl w:val="true"/>
          <w:lang w:bidi="fa-IR"/>
        </w:rPr>
        <w:t>.</w:t>
      </w:r>
    </w:p>
    <w:p>
      <w:pPr>
        <w:pStyle w:val="Heading4"/>
        <w:numPr>
          <w:ilvl w:val="3"/>
          <w:numId w:val="1"/>
        </w:numPr>
        <w:rPr/>
      </w:pPr>
      <w:bookmarkStart w:id="899" w:name="__RefHeading___Toc7825873_2870459653"/>
      <w:bookmarkStart w:id="900" w:name="_Toc331"/>
      <w:bookmarkEnd w:id="899"/>
      <w:r>
        <w:rPr/>
        <w:t>6.8</w:t>
      </w:r>
      <w:r>
        <w:rPr>
          <w:rtl w:val="true"/>
        </w:rPr>
        <w:t xml:space="preserve">. </w:t>
      </w:r>
      <w:r>
        <w:rPr>
          <w:rtl w:val="true"/>
        </w:rPr>
        <w:t>موانع و چالش ها</w:t>
      </w:r>
      <w:r>
        <w:rPr>
          <w:rtl w:val="true"/>
        </w:rPr>
        <w:t>:</w:t>
      </w:r>
      <w:bookmarkEnd w:id="9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موانع و چالش های زیادی در پیش روی داوطلبان و در انجام وظیفه شان در این مدت وجود داشت اما موانع و چالش ها می تواند با حمایت قوی از همه بخش های دیگر حل شوند</w:t>
      </w:r>
      <w:r>
        <w:rPr>
          <w:rFonts w:eastAsia="IRNazanin" w:cs="IRNazanin"/>
          <w:color w:val="111111"/>
          <w:sz w:val="28"/>
          <w:szCs w:val="28"/>
          <w:rtl w:val="true"/>
          <w:lang w:bidi="fa-IR"/>
        </w:rPr>
        <w:t xml:space="preserve">. </w:t>
      </w:r>
      <w:bookmarkStart w:id="901" w:name="pg9659_94143"/>
    </w:p>
    <w:p>
      <w:pPr>
        <w:pStyle w:val="Heading4"/>
        <w:numPr>
          <w:ilvl w:val="3"/>
          <w:numId w:val="1"/>
        </w:numPr>
        <w:rPr/>
      </w:pPr>
      <w:bookmarkStart w:id="902" w:name="__RefHeading___Toc7825875_2870459653"/>
      <w:bookmarkStart w:id="903" w:name="_Toc332"/>
      <w:bookmarkEnd w:id="901"/>
      <w:bookmarkEnd w:id="902"/>
      <w:r>
        <w:rPr/>
        <w:t>9.6</w:t>
      </w:r>
      <w:r>
        <w:rPr>
          <w:rtl w:val="true"/>
        </w:rPr>
        <w:t xml:space="preserve">. </w:t>
      </w:r>
      <w:r>
        <w:rPr>
          <w:rtl w:val="true"/>
        </w:rPr>
        <w:t>واکنش و کار گروهی</w:t>
      </w:r>
      <w:r>
        <w:rPr>
          <w:rtl w:val="true"/>
        </w:rPr>
        <w:t>:</w:t>
      </w:r>
      <w:bookmarkEnd w:id="903"/>
    </w:p>
    <w:p>
      <w:pPr>
        <w:pStyle w:val="BookText"/>
        <w:rPr/>
      </w:pPr>
      <w:r>
        <w:rPr>
          <w:rFonts w:ascii="IRNazanin" w:hAnsi="IRNazanin" w:eastAsia="IRNazanin"/>
          <w:color w:val="111111"/>
          <w:sz w:val="28"/>
          <w:sz w:val="28"/>
          <w:szCs w:val="28"/>
          <w:rtl w:val="true"/>
          <w:lang w:bidi="fa-IR"/>
        </w:rPr>
        <w:t>از جمله موانع پیش رو در مراحل اولیه طرح فقدان همکاری از طرف بیماران و اولیاء بیماران بود، به این دلیل بود که هنوز با طرح ناآشنا و غریبه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فرصتی برای فعالیت بود داوطلبان باید به بخش های بیمارستان می رفتند و بیماران را به شرکت در فعالیت هایی که در حال انجام بود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همه کودکان قادر نبودند در این فعالیت ها شرکت کنند زیرا بعضی از آن ها ناتوانی های ذهنی یا فیزیکی در نتیجه تحمل کردن درمانی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فیزیکی بیمار به میزان زیادی به حضور آن ها در فعالیت هایی که در حال اجرا هستند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بیماران بر روی ویلچر یا آن هایی که در شنوایی یا بینایی دارند، کم تر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و پرستاران باید آن ها را برای شرکت کردن در فعالیت ها متقاعد می کردند، این صبر و شکیبایی از طرف پرستاران و داوطلبان و از جمله بیماران و اولیاء مورد نیاز بود تا به آن ها برای شرکت کردن در فعالیت ها کمک نماید و اعتماد آن ها را برای اجتماعی شدن افزایش دهد</w:t>
      </w:r>
      <w:r>
        <w:rPr>
          <w:rFonts w:eastAsia="IRNazanin" w:cs="IRNazanin"/>
          <w:color w:val="111111"/>
          <w:sz w:val="28"/>
          <w:szCs w:val="28"/>
          <w:rtl w:val="true"/>
          <w:lang w:bidi="fa-IR"/>
        </w:rPr>
        <w:t>.</w:t>
      </w:r>
    </w:p>
    <w:p>
      <w:pPr>
        <w:pStyle w:val="Heading4"/>
        <w:numPr>
          <w:ilvl w:val="3"/>
          <w:numId w:val="1"/>
        </w:numPr>
        <w:rPr/>
      </w:pPr>
      <w:bookmarkStart w:id="904" w:name="__RefHeading___Toc7825877_2870459653"/>
      <w:bookmarkStart w:id="905" w:name="_Toc333"/>
      <w:bookmarkEnd w:id="904"/>
      <w:r>
        <w:rPr/>
        <w:t>10.6</w:t>
      </w:r>
      <w:r>
        <w:rPr>
          <w:rtl w:val="true"/>
        </w:rPr>
        <w:t xml:space="preserve">. </w:t>
      </w:r>
      <w:r>
        <w:rPr>
          <w:rtl w:val="true"/>
        </w:rPr>
        <w:t>منابع و زمان</w:t>
      </w:r>
      <w:r>
        <w:rPr>
          <w:rtl w:val="true"/>
        </w:rPr>
        <w:t>:</w:t>
      </w:r>
      <w:bookmarkEnd w:id="905"/>
    </w:p>
    <w:p>
      <w:pPr>
        <w:pStyle w:val="BookText"/>
        <w:rPr/>
      </w:pPr>
      <w:r>
        <w:rPr>
          <w:rFonts w:ascii="IRNazanin" w:hAnsi="IRNazanin" w:eastAsia="IRNazanin"/>
          <w:color w:val="111111"/>
          <w:sz w:val="28"/>
          <w:sz w:val="28"/>
          <w:szCs w:val="28"/>
          <w:rtl w:val="true"/>
          <w:lang w:bidi="fa-IR"/>
        </w:rPr>
        <w:t>گروه های داوطلبان با فشارهای مالی از قبیل تأمین وجه برای کتاب ها، قفسه های کتاب، چرخ دستی رایانه ها و نظام کتاب خانه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 دسترس فقط برای فعالیت های برنامه ریزی شده با بیماران مورد 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مناسب با زبان ساده هنوز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محدود و حجم کار واقعی نیز در آماده سازی و اجرای فعالیت های برنامه ریزی شده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تحقیقاتی وسیع نمی تواند در فقدان و یا کمبود مالی، مطالب مناسب و زمان صورت بگیرد</w:t>
      </w:r>
      <w:r>
        <w:rPr>
          <w:rFonts w:eastAsia="IRNazanin" w:cs="IRNazanin"/>
          <w:color w:val="111111"/>
          <w:sz w:val="28"/>
          <w:szCs w:val="28"/>
          <w:rtl w:val="true"/>
          <w:lang w:bidi="fa-IR"/>
        </w:rPr>
        <w:t>.</w:t>
      </w:r>
    </w:p>
    <w:p>
      <w:pPr>
        <w:pStyle w:val="Heading4"/>
        <w:numPr>
          <w:ilvl w:val="3"/>
          <w:numId w:val="1"/>
        </w:numPr>
        <w:rPr/>
      </w:pPr>
      <w:bookmarkStart w:id="906" w:name="__RefHeading___Toc7825879_2870459653"/>
      <w:bookmarkStart w:id="907" w:name="_Toc334"/>
      <w:bookmarkEnd w:id="906"/>
      <w:r>
        <w:rPr/>
        <w:t>11.6</w:t>
      </w:r>
      <w:r>
        <w:rPr>
          <w:rtl w:val="true"/>
        </w:rPr>
        <w:t xml:space="preserve">. </w:t>
      </w:r>
      <w:r>
        <w:rPr>
          <w:rtl w:val="true"/>
        </w:rPr>
        <w:t>مهارت هایی برای داوطلبان در کتاب درمانی</w:t>
      </w:r>
      <w:r>
        <w:rPr>
          <w:rtl w:val="true"/>
        </w:rPr>
        <w:t>:</w:t>
      </w:r>
      <w:bookmarkEnd w:id="907"/>
    </w:p>
    <w:p>
      <w:pPr>
        <w:pStyle w:val="BookText"/>
        <w:rPr/>
      </w:pPr>
      <w:r>
        <w:rPr>
          <w:rFonts w:ascii="IRNazanin" w:hAnsi="IRNazanin" w:eastAsia="IRNazanin"/>
          <w:color w:val="111111"/>
          <w:sz w:val="28"/>
          <w:sz w:val="28"/>
          <w:szCs w:val="28"/>
          <w:rtl w:val="true"/>
          <w:lang w:bidi="fa-IR"/>
        </w:rPr>
        <w:t>چالش اصلی برای این طرح این بود که داوطلبان هیچ زمینه ی قبلی در اجرا و پیاده سازی این روش نداشتند و هیچ آموزش رسمی در این زمینه دریافت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باید توانایی های طبیعی را به کار می بردند تا موفقیت هر فعالیتی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تجربه قصه گویی، انجام فعالیت های بسیار جالب و شاد با بیماران به طریقی نگرش لازم را برای داوطلبان ما فراهم نمود و این باعث شد که آن ها مهارت های موجود خودشان را بهبود و ارتقاء بخشند و خلاق تر باشند</w:t>
      </w:r>
      <w:r>
        <w:rPr>
          <w:rFonts w:eastAsia="IRNazanin" w:cs="IRNazanin"/>
          <w:color w:val="111111"/>
          <w:sz w:val="28"/>
          <w:szCs w:val="28"/>
          <w:rtl w:val="true"/>
          <w:lang w:bidi="fa-IR"/>
        </w:rPr>
        <w:t>.</w:t>
      </w:r>
    </w:p>
    <w:p>
      <w:pPr>
        <w:pStyle w:val="Heading4"/>
        <w:numPr>
          <w:ilvl w:val="3"/>
          <w:numId w:val="1"/>
        </w:numPr>
        <w:rPr/>
      </w:pPr>
      <w:bookmarkStart w:id="908" w:name="__RefHeading___Toc7825881_2870459653"/>
      <w:bookmarkStart w:id="909" w:name="_Toc335"/>
      <w:bookmarkEnd w:id="908"/>
      <w:r>
        <w:rPr/>
        <w:t>12.6</w:t>
      </w:r>
      <w:r>
        <w:rPr>
          <w:rtl w:val="true"/>
        </w:rPr>
        <w:t xml:space="preserve">. </w:t>
      </w:r>
      <w:r>
        <w:rPr>
          <w:rtl w:val="true"/>
        </w:rPr>
        <w:t>سطوح سواد</w:t>
      </w:r>
      <w:r>
        <w:rPr>
          <w:rtl w:val="true"/>
        </w:rPr>
        <w:t>:</w:t>
      </w:r>
      <w:bookmarkEnd w:id="9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سطوح پایین سواد در میان بیماران، اجرای یک برنامه خواندن ادبیات با کیفیت که برای آن ها </w:t>
      </w:r>
      <w:bookmarkStart w:id="910" w:name="pg9659_94144"/>
    </w:p>
    <w:p>
      <w:pPr>
        <w:pStyle w:val="BookText"/>
        <w:rPr/>
      </w:pPr>
      <w:bookmarkEnd w:id="910"/>
      <w:r>
        <w:rPr>
          <w:rFonts w:ascii="IRNazanin" w:hAnsi="IRNazanin" w:eastAsia="IRNazanin"/>
          <w:color w:val="111111"/>
          <w:sz w:val="28"/>
          <w:sz w:val="28"/>
          <w:szCs w:val="28"/>
          <w:rtl w:val="true"/>
          <w:lang w:bidi="fa-IR"/>
        </w:rPr>
        <w:t>مناسب باشد یک چالش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اولیاء نیز مایل بودند تا تأکید کم تری به اهمیت سواد به عنوان یک نیاز پایه ای برای هر کودک بشود زیرا که اثر منفی دارد</w:t>
      </w:r>
      <w:r>
        <w:rPr>
          <w:rFonts w:eastAsia="IRNazanin" w:cs="IRNazanin"/>
          <w:color w:val="111111"/>
          <w:sz w:val="28"/>
          <w:szCs w:val="28"/>
          <w:rtl w:val="true"/>
          <w:lang w:bidi="fa-IR"/>
        </w:rPr>
        <w:t>.</w:t>
      </w:r>
    </w:p>
    <w:p>
      <w:pPr>
        <w:pStyle w:val="Heading3"/>
        <w:numPr>
          <w:ilvl w:val="2"/>
          <w:numId w:val="1"/>
        </w:numPr>
        <w:rPr/>
      </w:pPr>
      <w:bookmarkStart w:id="911" w:name="__RefHeading___Toc7825883_2870459653"/>
      <w:bookmarkStart w:id="912" w:name="_Toc336"/>
      <w:bookmarkEnd w:id="911"/>
      <w:r>
        <w:rPr/>
        <w:t>7</w:t>
      </w:r>
      <w:r>
        <w:rPr>
          <w:rtl w:val="true"/>
        </w:rPr>
        <w:t xml:space="preserve">. </w:t>
      </w:r>
      <w:r>
        <w:rPr>
          <w:rtl w:val="true"/>
        </w:rPr>
        <w:t>نتیجه گیری</w:t>
      </w:r>
      <w:r>
        <w:rPr>
          <w:rtl w:val="true"/>
        </w:rPr>
        <w:t>:</w:t>
      </w:r>
      <w:bookmarkEnd w:id="912"/>
    </w:p>
    <w:p>
      <w:pPr>
        <w:pStyle w:val="BookText"/>
        <w:rPr/>
      </w:pPr>
      <w:r>
        <w:rPr>
          <w:rFonts w:ascii="IRNazanin" w:hAnsi="IRNazanin" w:eastAsia="IRNazanin"/>
          <w:color w:val="111111"/>
          <w:sz w:val="28"/>
          <w:sz w:val="28"/>
          <w:szCs w:val="28"/>
          <w:rtl w:val="true"/>
          <w:lang w:bidi="fa-IR"/>
        </w:rPr>
        <w:t>شکلی وجود ندارد که این روش نقش کلیدی در بهبود بیماران، به ویژه کودکان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کتاب خانه در فرآیند هنوز در مالزی جدید است و می تواند به سطح مؤثرتری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خدمت اجتماعی به میزان زیادی در دسترس است و علاوه بر بیماران بخش کودکان می توانست برای بیماری بزرگ سال نیز که نیاز به راهنمایی و تشویق دارند به کار برده شود تا یک فرهنگ خواندن به صورت یک عادت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نهادینه کردن عادت خواندن در میان کودکان و بزرگسالان نیازمند شرکت همه گروه ها برای حمایت از انواع منابع موردنیاز است بنابراین هر شخصی فرصت برای یادگرفتن و خواندن را صرف نظر از شرایط محیطی فردی</w:t>
      </w:r>
      <w:r>
        <w:rPr>
          <w:rFonts w:eastAsia="IRNazanin" w:cs="IRNazanin"/>
          <w:color w:val="111111"/>
          <w:sz w:val="28"/>
          <w:szCs w:val="28"/>
          <w:rtl w:val="true"/>
          <w:lang w:bidi="fa-IR"/>
        </w:rPr>
        <w:t>.</w:t>
      </w:r>
    </w:p>
    <w:p>
      <w:pPr>
        <w:pStyle w:val="Heading3"/>
        <w:numPr>
          <w:ilvl w:val="2"/>
          <w:numId w:val="1"/>
        </w:numPr>
        <w:rPr/>
      </w:pPr>
      <w:bookmarkStart w:id="913" w:name="__RefHeading___Toc7825885_2870459653"/>
      <w:bookmarkStart w:id="914" w:name="_Toc337"/>
      <w:bookmarkEnd w:id="913"/>
      <w:r>
        <w:rPr/>
        <w:t>8</w:t>
      </w:r>
      <w:r>
        <w:rPr>
          <w:rtl w:val="true"/>
        </w:rPr>
        <w:t xml:space="preserve">. </w:t>
      </w:r>
      <w:r>
        <w:rPr>
          <w:rtl w:val="true"/>
        </w:rPr>
        <w:t>پیشنهادها</w:t>
      </w:r>
      <w:r>
        <w:rPr>
          <w:rtl w:val="true"/>
        </w:rPr>
        <w:t>:</w:t>
      </w:r>
      <w:bookmarkEnd w:id="914"/>
    </w:p>
    <w:p>
      <w:pPr>
        <w:pStyle w:val="BookText"/>
        <w:rPr/>
      </w:pPr>
      <w:r>
        <w:rPr>
          <w:rFonts w:ascii="IRNazanin" w:hAnsi="IRNazanin" w:eastAsia="IRNazanin"/>
          <w:color w:val="111111"/>
          <w:sz w:val="28"/>
          <w:sz w:val="28"/>
          <w:szCs w:val="28"/>
          <w:rtl w:val="true"/>
          <w:lang w:bidi="fa-IR"/>
        </w:rPr>
        <w:t>انتظار می رود که طرح در سال های آینده ادامه یابد و حیطه فعالیت ها گسترش یابد و شامل خدمات کتاب خانه ای متحرک در بخش های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دسترسی به مطالب خواندنی را تسهیل خواهد کرد به ویژه برای کسانی که ناتوان از آمدن به محل منبع به علت توانایی فیزیکی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داوطلبان از رشته های مختلف افزایش می یابد مانند روان پزشکان، پرستاران و کارکنان بیمارستان تا طرح را ارتقاء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مدرسان با کارکنان که در بیمارستان کار می کنند بیشتر مورد نیاز است تا بیماران بخش کودک توانایی های خواندن را به طور مؤثرتری رشد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تخصص توسط داوطلبان می تواند به طور مؤثرتری به بهبود بیماران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ویژه ای بر روی اثر این روش بر روی رشد و ارتقاء چنین بیمارانی باید انجام بگیرد تا اثر آن بر روی بیماران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تحقیقات بیشتر بر روی داوطلبان کتابدار در مالزی بر اساس یک روش علمی تر باید صورت گیرد تا نتایج جامع تری به دست آید</w:t>
      </w:r>
      <w:r>
        <w:rPr>
          <w:rFonts w:eastAsia="IRNazanin" w:cs="IRNazanin"/>
          <w:color w:val="111111"/>
          <w:sz w:val="28"/>
          <w:szCs w:val="28"/>
          <w:rtl w:val="true"/>
          <w:lang w:bidi="fa-IR"/>
        </w:rPr>
        <w:t>.</w:t>
      </w:r>
    </w:p>
    <w:p>
      <w:pPr>
        <w:pStyle w:val="Heading3"/>
        <w:numPr>
          <w:ilvl w:val="2"/>
          <w:numId w:val="1"/>
        </w:numPr>
        <w:rPr/>
      </w:pPr>
      <w:bookmarkStart w:id="915" w:name="__RefHeading___Toc7825887_2870459653"/>
      <w:bookmarkStart w:id="916" w:name="_Toc338"/>
      <w:bookmarkEnd w:id="915"/>
      <w:r>
        <w:rPr>
          <w:rtl w:val="true"/>
        </w:rPr>
        <w:t>منابع</w:t>
      </w:r>
      <w:bookmarkEnd w:id="91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Brewster, L 2009, Books on prescription: bibliotherapy in the United Kingdom, Journal of Hospital Librarianship, vol. 9, no. 4, pp. 399-407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Brewster, L Sen, B &amp; Cox, A 2010, Read this, it's good for you! Using qualitative methodologies to explore service user needs and strategic aims. Accessed from http:www.apdis.pt/eahil2010/en/images/stories/docs/fulltexts/Brewster full.pdf Duffy, J et. al 2009, Bibliotherapy toolkit. Accessed from http://www.kirklees.gov.uk/community/libraries/bibliotherapy/bibliotherapy.shtml</w:t>
      </w:r>
    </w:p>
    <w:p>
      <w:pPr>
        <w:pStyle w:val="BookText"/>
        <w:rPr/>
      </w:pPr>
      <w:r>
        <w:rPr>
          <w:rFonts w:eastAsia="Times New Roman" w:cs="Times New Roman" w:ascii="Times New Roman" w:hAnsi="Times New Roman"/>
          <w:color w:val="111111"/>
          <w:sz w:val="28"/>
          <w:szCs w:val="28"/>
          <w:lang w:val="en-US" w:bidi="en-US"/>
        </w:rPr>
        <w:t>Foss, E 2009, Bibliotherapy: helping children cope with emotional and developmental distress through books, University of Maryland. Gubert BK 1993, Sadie Peterson Delaney: pioneer bibliotherapist, American Libraries, vol.24, no. 2, pp. 124-130 Janaviciene, D 2010, Bibliotherapy process and type analysis: review of possibilities to use it in the library, TILTAI, vol. 4, pp. 119-132</w:t>
      </w:r>
    </w:p>
    <w:p>
      <w:pPr>
        <w:pStyle w:val="BookText"/>
        <w:rPr/>
      </w:pPr>
      <w:r>
        <w:rPr>
          <w:rFonts w:eastAsia="Times New Roman" w:cs="Times New Roman" w:ascii="Times New Roman" w:hAnsi="Times New Roman"/>
          <w:color w:val="111111"/>
          <w:sz w:val="28"/>
          <w:szCs w:val="28"/>
          <w:lang w:val="en-US" w:bidi="en-US"/>
        </w:rPr>
        <w:t>Lenn, C &amp; Kelly, M 2004, Designing and evaluating a read-aloud program for hospitalized children as recreation participation: a bibliotherapy approach, Journal of Undergraduate Research, vol. 7, pp. 1-9</w:t>
      </w:r>
    </w:p>
    <w:p>
      <w:pPr>
        <w:pStyle w:val="BookText"/>
        <w:rPr/>
      </w:pPr>
      <w:r>
        <w:rPr>
          <w:rFonts w:eastAsia="Times New Roman" w:cs="Times New Roman" w:ascii="Times New Roman" w:hAnsi="Times New Roman"/>
          <w:color w:val="111111"/>
          <w:sz w:val="28"/>
          <w:szCs w:val="28"/>
          <w:lang w:val="en-US" w:bidi="en-US"/>
        </w:rPr>
        <w:t>Pardeck, J 1994, Bibliotherapy: an innovative approach for helping children. In Strub, P 2011, Bibliotherapy: a review of the literature Accessed from: commons.esc.edu/mals/files/2011/01/strub-bliotherapy doc Ranganathan, SR 1931, Five laws of Library Science. Accessed from http://en.wikipedia.org/wiki/Five laws of library science</w:t>
      </w:r>
    </w:p>
    <w:p>
      <w:pPr>
        <w:pStyle w:val="BookText"/>
        <w:rPr/>
      </w:pPr>
      <w:r>
        <w:rPr>
          <w:rFonts w:eastAsia="Times New Roman" w:cs="Times New Roman" w:ascii="Times New Roman" w:hAnsi="Times New Roman"/>
          <w:color w:val="111111"/>
          <w:sz w:val="28"/>
          <w:szCs w:val="28"/>
          <w:lang w:val="en-US" w:bidi="en-US"/>
        </w:rPr>
        <w:t>Shukry, RY &amp; Shukry, MT 2008, Bibliotherapy: a tool for primary prevention program with children and adolescents, Journal Antidadah Malaysia (Malaysian Anti Drugs Journal), vol. 3 &amp; 4, pp. 75-90</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Thompson, R &amp; Stanford, G 1981, Child life in hospitals: theory and practice. Springfield, IL: Charles C. Thompson</w:t>
      </w:r>
      <w:r>
        <w:rPr>
          <w:rFonts w:eastAsia="Times New Roman" w:cs="Times New Roman" w:ascii="Times New Roman" w:hAnsi="Times New Roman"/>
          <w:color w:val="111111"/>
          <w:sz w:val="28"/>
          <w:szCs w:val="28"/>
          <w:rtl w:val="true"/>
          <w:lang w:val="en-US" w:bidi="en-US"/>
        </w:rPr>
        <w:t xml:space="preserve"> </w:t>
      </w:r>
      <w:bookmarkStart w:id="917" w:name="pg9659_94146"/>
    </w:p>
    <w:p>
      <w:pPr>
        <w:pStyle w:val="Heading2"/>
        <w:numPr>
          <w:ilvl w:val="1"/>
          <w:numId w:val="1"/>
        </w:numPr>
        <w:rPr/>
      </w:pPr>
      <w:bookmarkStart w:id="918" w:name="__RefHeading___Toc7825889_2870459653"/>
      <w:bookmarkStart w:id="919" w:name="_Toc339"/>
      <w:bookmarkEnd w:id="917"/>
      <w:bookmarkEnd w:id="918"/>
      <w:r>
        <w:rPr>
          <w:rtl w:val="true"/>
        </w:rPr>
        <w:t>چکیده</w:t>
      </w:r>
      <w:bookmarkEnd w:id="919"/>
    </w:p>
    <w:p>
      <w:pPr>
        <w:pStyle w:val="BookText"/>
        <w:rPr/>
      </w:pPr>
      <w:r>
        <w:rPr>
          <w:rFonts w:ascii="IRNazanin" w:hAnsi="IRNazanin" w:eastAsia="IRNazanin"/>
          <w:color w:val="111111"/>
          <w:sz w:val="28"/>
          <w:sz w:val="28"/>
          <w:szCs w:val="28"/>
          <w:rtl w:val="true"/>
          <w:lang w:bidi="fa-IR"/>
        </w:rPr>
        <w:t xml:space="preserve">مرکز صلاحیت دار مواد غیرمتنی </w:t>
      </w:r>
      <w:r>
        <w:rPr>
          <w:rStyle w:val="FootnoteAnchor"/>
          <w:rtl w:val="true"/>
        </w:rPr>
        <w:footnoteReference w:id="966"/>
      </w:r>
      <w:r>
        <w:rPr>
          <w:rFonts w:ascii="IRNazanin" w:hAnsi="IRNazanin" w:eastAsia="IRNazanin"/>
          <w:color w:val="111111"/>
          <w:sz w:val="28"/>
          <w:sz w:val="28"/>
          <w:szCs w:val="28"/>
          <w:rtl w:val="true"/>
          <w:lang w:bidi="fa-IR"/>
        </w:rPr>
        <w:t xml:space="preserve">در کتاب خانه ملی علوم و فناوری آلمان </w:t>
      </w:r>
      <w:r>
        <w:rPr>
          <w:rStyle w:val="FootnoteAnchor"/>
          <w:rtl w:val="true"/>
        </w:rPr>
        <w:footnoteReference w:id="967"/>
      </w:r>
      <w:r>
        <w:rPr>
          <w:rFonts w:ascii="IRNazanin" w:hAnsi="IRNazanin" w:eastAsia="IRNazanin"/>
          <w:color w:val="111111"/>
          <w:sz w:val="28"/>
          <w:sz w:val="28"/>
          <w:szCs w:val="28"/>
          <w:rtl w:val="true"/>
          <w:lang w:bidi="fa-IR"/>
        </w:rPr>
        <w:t xml:space="preserve">همراه با موسسه هاسو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پی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مرکز دانشگاه عالی مهندسی سیستم ها </w:t>
      </w:r>
      <w:r>
        <w:rPr>
          <w:rStyle w:val="FootnoteAnchor"/>
          <w:rtl w:val="true"/>
        </w:rPr>
        <w:footnoteReference w:id="969"/>
      </w:r>
      <w:r>
        <w:rPr>
          <w:rFonts w:ascii="IRNazanin" w:hAnsi="IRNazanin" w:eastAsia="IRNazanin"/>
          <w:color w:val="111111"/>
          <w:sz w:val="28"/>
          <w:sz w:val="28"/>
          <w:szCs w:val="28"/>
          <w:rtl w:val="true"/>
          <w:lang w:bidi="fa-IR"/>
        </w:rPr>
        <w:t xml:space="preserve">وابسته به دانشگاه پوتسدام </w:t>
      </w:r>
      <w:r>
        <w:rPr>
          <w:rStyle w:val="FootnoteAnchor"/>
          <w:rtl w:val="true"/>
        </w:rPr>
        <w:footnoteReference w:id="970"/>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usability.de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درگاهی را برای رسانه های دیداری شنیداری توسعه داده اند که این درگاه دسترسی به ویدئوهایی از حوزه های علوم و فناوری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این درگاه ترکیب روش های نوین بازیابی چند رسانه ای و تحلیل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وی </w:t>
      </w:r>
      <w:r>
        <w:rPr>
          <w:rStyle w:val="FootnoteAnchor"/>
          <w:rtl w:val="true"/>
        </w:rPr>
        <w:footnoteReference w:id="971"/>
      </w:r>
      <w:r>
        <w:rPr>
          <w:rFonts w:ascii="IRNazanin" w:hAnsi="IRNazanin" w:eastAsia="IRNazanin"/>
          <w:color w:val="111111"/>
          <w:sz w:val="28"/>
          <w:sz w:val="28"/>
          <w:szCs w:val="28"/>
          <w:rtl w:val="true"/>
          <w:lang w:bidi="fa-IR"/>
        </w:rPr>
        <w:t xml:space="preserve">در نتیجه تحلیل خودکار ویدئو، سخنرانی، متن و شناسایی تصویر، دسترسی محتوا محور در سطح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 دهد و امکان مرتبط کردن داده ها با دانش نوین را مقدور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بر مبنای تحلیل نیازها و کاربردهایی است که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اولیه و کاربردی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وی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این نظام بعدها توسعه پیدا کرد و نسخه بتای آن در سال های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درگاه بهار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 تیب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اطمینان از دسترس پذیری و کاربردپذیری، توسعه این درگاه، با رویکرد طراحی انسان محور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فرآیند طراحی مبتنی</w:t>
      </w:r>
    </w:p>
    <w:p>
      <w:pPr>
        <w:pStyle w:val="BookText"/>
        <w:rPr/>
      </w:pPr>
      <w:r>
        <w:rPr>
          <w:rFonts w:ascii="IRNazanin" w:hAnsi="IRNazanin" w:eastAsia="IRNazanin"/>
          <w:color w:val="111111"/>
          <w:sz w:val="28"/>
          <w:sz w:val="28"/>
          <w:szCs w:val="28"/>
          <w:rtl w:val="true"/>
          <w:lang w:bidi="fa-IR"/>
        </w:rPr>
        <w:t>بر کاربر را توصیف می کند، خلاصه ای از اقدامات انجام شده را ارائه می دهد و چالش ها و مزیت های گام های بعدی را معرفی می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دیداری شنیداری، درگاه دیداری شنیداری، کاربردپذیری </w:t>
      </w:r>
      <w:r>
        <w:rPr>
          <w:rStyle w:val="FootnoteAnchor"/>
          <w:rtl w:val="true"/>
        </w:rPr>
        <w:footnoteReference w:id="972"/>
      </w:r>
      <w:r>
        <w:rPr>
          <w:rFonts w:ascii="IRNazanin" w:hAnsi="IRNazanin" w:eastAsia="IRNazanin"/>
          <w:color w:val="111111"/>
          <w:sz w:val="28"/>
          <w:sz w:val="28"/>
          <w:szCs w:val="28"/>
          <w:rtl w:val="true"/>
          <w:lang w:bidi="fa-IR"/>
        </w:rPr>
        <w:t xml:space="preserve">، طرح کاربر محور، ردیابی چشمی </w:t>
      </w:r>
      <w:r>
        <w:rPr>
          <w:rStyle w:val="FootnoteAnchor"/>
          <w:rtl w:val="true"/>
        </w:rPr>
        <w:footnoteReference w:id="973"/>
      </w:r>
      <w:bookmarkStart w:id="920" w:name="pg9659_94147"/>
    </w:p>
    <w:p>
      <w:pPr>
        <w:pStyle w:val="Heading2"/>
        <w:numPr>
          <w:ilvl w:val="1"/>
          <w:numId w:val="1"/>
        </w:numPr>
        <w:rPr/>
      </w:pPr>
      <w:bookmarkStart w:id="921" w:name="__RefHeading___Toc7825891_2870459653"/>
      <w:bookmarkStart w:id="922" w:name="_Toc340"/>
      <w:bookmarkEnd w:id="920"/>
      <w:bookmarkEnd w:id="921"/>
      <w:r>
        <w:rPr>
          <w:rtl w:val="true"/>
        </w:rPr>
        <w:t>کاربران فراموش نکنید</w:t>
      </w:r>
      <w:r>
        <w:rPr>
          <w:rtl w:val="true"/>
        </w:rPr>
        <w:t xml:space="preserve">! </w:t>
      </w:r>
      <w:r>
        <w:rPr>
          <w:rtl w:val="true"/>
        </w:rPr>
        <w:t>درگاه رسانه های دیداری شنیداری با رویکرد کاربر محور در حال توسعه است</w:t>
      </w:r>
      <w:bookmarkEnd w:id="922"/>
    </w:p>
    <w:p>
      <w:pPr>
        <w:pStyle w:val="Heading3"/>
        <w:numPr>
          <w:ilvl w:val="2"/>
          <w:numId w:val="1"/>
        </w:numPr>
        <w:rPr/>
      </w:pPr>
      <w:bookmarkStart w:id="923" w:name="__RefHeading___Toc7825893_2870459653"/>
      <w:bookmarkStart w:id="924" w:name="_Toc341"/>
      <w:bookmarkEnd w:id="923"/>
      <w:r>
        <w:rPr>
          <w:rtl w:val="true"/>
        </w:rPr>
        <w:t>اشاره</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رسانه های دیداری شنیداری با رویکرد کاربر محور در حال توسعه است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نوشته مارگرت پلانک </w:t>
      </w:r>
      <w:r>
        <w:rPr>
          <w:rStyle w:val="FootnoteAnchor"/>
          <w:rtl w:val="true"/>
        </w:rPr>
        <w:footnoteReference w:id="975"/>
      </w:r>
      <w:r>
        <w:rPr>
          <w:rFonts w:ascii="IRNazanin" w:hAnsi="IRNazanin" w:eastAsia="IRNazanin"/>
          <w:color w:val="111111"/>
          <w:sz w:val="28"/>
          <w:sz w:val="28"/>
          <w:szCs w:val="28"/>
          <w:rtl w:val="true"/>
          <w:lang w:bidi="fa-IR"/>
        </w:rPr>
        <w:t xml:space="preserve">و استفن ویچرت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سهيلا فعال </w:t>
      </w:r>
      <w:r>
        <w:rPr>
          <w:rStyle w:val="FootnoteAnchor"/>
          <w:rtl w:val="true"/>
        </w:rPr>
        <w:footnoteReference w:id="977"/>
      </w:r>
    </w:p>
    <w:p>
      <w:pPr>
        <w:pStyle w:val="Heading3"/>
        <w:numPr>
          <w:ilvl w:val="2"/>
          <w:numId w:val="1"/>
        </w:numPr>
        <w:rPr/>
      </w:pPr>
      <w:bookmarkStart w:id="925" w:name="__RefHeading___Toc7825895_2870459653"/>
      <w:bookmarkStart w:id="926" w:name="_Toc342"/>
      <w:bookmarkEnd w:id="925"/>
      <w:r>
        <w:rPr/>
        <w:t>1</w:t>
      </w:r>
      <w:r>
        <w:rPr>
          <w:rtl w:val="true"/>
        </w:rPr>
        <w:t xml:space="preserve">. </w:t>
      </w:r>
      <w:r>
        <w:rPr>
          <w:rtl w:val="true"/>
        </w:rPr>
        <w:t xml:space="preserve">درگاه تیب </w:t>
      </w:r>
      <w:r>
        <w:rPr>
          <w:rtl w:val="true"/>
        </w:rPr>
        <w:t xml:space="preserve">/ </w:t>
      </w:r>
      <w:r>
        <w:rPr>
          <w:rtl w:val="true"/>
        </w:rPr>
        <w:t>ای وی</w:t>
      </w:r>
      <w:bookmarkEnd w:id="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وی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در راستای افزایش تعداد رسانه های رقومی دیداری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 و آموزشی، بدون شک نیاز است شرایط دسترسی و استفاده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توسعه مرکز صلاحیت دار مواد غیرمتنی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ان ام</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کتاب خانه علوم و فناوری ملی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ایجاد زیرساخت ها و توسعه ابزاری است که به طور فعال کاربران را در روند کار علمی حمایت کند و امکان انتشار، بازیابی و دسترسی دائمی به مواد غیرمتنی مانند رسانه های دیداری شنیداری، اشیای سه بعدی و داده های پژوهشی را به راحتی مدارک متنی، مقدور سازد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عالی مهندسی نظام ها وابسته به دانشگاه پوتسدام، موسسه هاسو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پی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Pr>
        <w:footnoteReference w:id="981"/>
      </w:r>
      <w:r>
        <w:rPr>
          <w:rFonts w:eastAsia="Times New Roman" w:cs="Times New Roman" w:ascii="Times New Roman" w:hAnsi="Times New Roman"/>
          <w:color w:val="111111"/>
          <w:sz w:val="28"/>
          <w:szCs w:val="28"/>
          <w:lang w:val="en-US" w:bidi="en-US"/>
        </w:rPr>
        <w:t>usability.de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نمایندگی تخصصی کاربردپذیری و تجربه کاربران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طرحی مشترک درگاهی </w:t>
      </w:r>
    </w:p>
    <w:p>
      <w:pPr>
        <w:pStyle w:val="BookText"/>
        <w:rPr/>
      </w:pPr>
      <w:r>
        <w:rPr>
          <w:rFonts w:ascii="IRNazanin" w:hAnsi="IRNazanin" w:eastAsia="IRNazanin"/>
          <w:color w:val="111111"/>
          <w:sz w:val="28"/>
          <w:sz w:val="28"/>
          <w:szCs w:val="28"/>
          <w:rtl w:val="true"/>
          <w:lang w:bidi="fa-IR"/>
        </w:rPr>
        <w:t>را برای بهینه سازی دسترسی به رسانه های دیداری شنیداری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درگاه دسترسی به ویدئوهای علمی مانند تجسم بخشی رایانه، مواد آموزشی، شبیه سازی، آزمایش ها، مصاحبه ها، سخنرانی ها و همایش های ضبط شده در حوزه علوم و فناوری را امکان پذیر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فراداده ها و شناسه های کلی ویدئوهای عمومی و تخصصی در طول فرایند بارگذاری توسط ارائه دهندگان ویدئوها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فراداده های خاص ویدئوها در سطح بخش، همراه با نمایه سازی خودکار تکمیل می شوند و کاربران را قادر می سازند که مجموعه ویدئوها را به صورت دقیق با روش مبتنی بر بخش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زنجیره فرآیند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شامل بارگذاری ویدئو و فراداده های کلی آن مانند عنوان، نویسنده، ناشر، توسط پژوهشگر در نظام مدیریت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ویدئوها به صورت خودکار بر اساس مشخصه های تصویر تقسیم و تفکیک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های اصلی برگرفته از بخش ها نمایه تصویری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این تجزیه و تحلیل ساختاری، پوشش های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بر روی اسلایدها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شناسایی هوشمند خصوصیات، تجزیه و تحلیل می شوند و در قالب یک رونوشت، ذخیره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یک رونوشت با استفاده از شناسایی خودکار گفتار به زبان گفتاری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مفهوم تصویری با استفاده از طبقه بندی محتوای تصویری مطابق با طبقه بندی های تخصصی و چند رشته ای از پیش تعیین شده مانند منظره، تشکیلات، طرح و نقشه، پویانمایی و سخنرانی شناسایی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بر اساس فراداده های به دست آمده از گفتار، متن و شناسایی تصویر ویدئوهای موجود در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به طور خودکار و از نظر معنایی با استفاده از واژگان کنترل شده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اطلاعات متنی موجود در مجموعه هایی </w:t>
      </w:r>
      <w:r>
        <w:rPr>
          <w:rStyle w:val="FootnoteAnchor"/>
          <w:rtl w:val="true"/>
        </w:rPr>
        <w:footnoteReference w:id="983"/>
      </w:r>
      <w:r>
        <w:rPr>
          <w:rFonts w:ascii="IRNazanin" w:hAnsi="IRNazanin" w:eastAsia="IRNazanin"/>
          <w:color w:val="111111"/>
          <w:sz w:val="28"/>
          <w:sz w:val="28"/>
          <w:szCs w:val="28"/>
          <w:rtl w:val="true"/>
          <w:lang w:bidi="fa-IR"/>
        </w:rPr>
        <w:t xml:space="preserve">از جمله دی بی پدیا </w:t>
      </w:r>
      <w:r>
        <w:rPr>
          <w:rStyle w:val="FootnoteAnchor"/>
          <w:rtl w:val="true"/>
        </w:rPr>
        <w:footnoteReference w:id="984"/>
      </w:r>
      <w:r>
        <w:rPr>
          <w:rFonts w:ascii="IRNazanin" w:hAnsi="IRNazanin" w:eastAsia="IRNazanin"/>
          <w:color w:val="111111"/>
          <w:sz w:val="28"/>
          <w:sz w:val="28"/>
          <w:szCs w:val="28"/>
          <w:rtl w:val="true"/>
          <w:lang w:bidi="fa-IR"/>
        </w:rPr>
        <w:t xml:space="preserve">و ویکی پدیا </w:t>
      </w:r>
      <w:r>
        <w:rPr>
          <w:rStyle w:val="FootnoteAnchor"/>
          <w:rtl w:val="true"/>
        </w:rPr>
        <w:footnoteReference w:id="985"/>
      </w:r>
      <w:r>
        <w:rPr>
          <w:rFonts w:ascii="IRNazanin" w:hAnsi="IRNazanin" w:eastAsia="IRNazanin"/>
          <w:color w:val="111111"/>
          <w:sz w:val="28"/>
          <w:sz w:val="28"/>
          <w:szCs w:val="28"/>
          <w:rtl w:val="true"/>
          <w:lang w:bidi="fa-IR"/>
        </w:rPr>
        <w:t>، ابهاماتی که در طول فرآیند طبقه بندی وجود دارند حتی المقدور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جستجوهای مبتنی بر کلمات را می توان با برچسب زدن معنایی موجودیت ویدئوها بهبود بخشید و این گونه جستجوها را می توان مانند مترادف ها، هم آواها و ترجمه انگلیسی بسط داد و مانند جستجوی چند وجهی اصلاح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فناوری های فوق الذکر علاوه بر جستجوی متن، می توان فراداده ها و شناسه های متون گفتاری، هم پوشانی های متنی و اطلاعات تصویری را بازیابی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هایی که به طور خودکار تولید شده اند باعث جستجوی های دقیق و مبتنی بر بخش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کاربری در حال جستجوی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این واژه در متن ویدئو یافت شود، بخش های مربوط به </w:t>
      </w:r>
    </w:p>
    <w:p>
      <w:pPr>
        <w:pStyle w:val="BookText"/>
        <w:rPr/>
      </w:pPr>
      <w:r>
        <w:rPr>
          <w:rFonts w:ascii="IRNazanin" w:hAnsi="IRNazanin" w:eastAsia="IRNazanin"/>
          <w:color w:val="111111"/>
          <w:sz w:val="28"/>
          <w:sz w:val="28"/>
          <w:szCs w:val="28"/>
          <w:rtl w:val="true"/>
          <w:lang w:bidi="fa-IR"/>
        </w:rPr>
        <w:t>آن ویدئو که حاوی این اطلاعات هستند نیز مشخص بازیابی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کلیک کردن بر روی قسمت های مشخص شده می توان مستقیماً کاربر را به آن قسمت از ویدئو که واژه جستجو در آن وجود دارد،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کاربر می تواند علاوه بر کل ویدئو، بخش های آن را نیز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فیلم های علمی به اطلاعات افزوده ای مانند تمام متن رقومی از طریق درگاه تیب گِت اینفو </w:t>
      </w:r>
      <w:r>
        <w:rPr>
          <w:rStyle w:val="FootnoteAnchor"/>
          <w:rtl w:val="true"/>
        </w:rPr>
        <w:footnoteReference w:id="986"/>
      </w:r>
      <w:r>
        <w:rPr>
          <w:rFonts w:ascii="IRNazanin" w:hAnsi="IRNazanin" w:eastAsia="IRNazanin"/>
          <w:color w:val="111111"/>
          <w:sz w:val="28"/>
          <w:sz w:val="28"/>
          <w:szCs w:val="28"/>
          <w:rtl w:val="true"/>
          <w:lang w:bidi="fa-IR"/>
        </w:rPr>
        <w:t>پیوند داده می شوند که این امکان دامنه جستجو را به طور قابل توجهی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هر ویدئو یک شناسگر شیء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او آی</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دارد که به کمک آن می توان فیلم های علمی و بخش های آن را به راحتی متون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دی او آی برای ویدئوها مطابق با کاربرد شابک برای کتاب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مشخص کردن یک ویدئو به راحتی می توان لینک دی او آی را کپی کرد و در سندی جایگذاری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دی او آی علاوه بر ثبت آن لینک ارجاعی به ما می دهد که با استفاده از آن هر بخش از ویدئو از طریق استاندارد شناسگر بخش های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اف آی دی</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نمایش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تعداد ویدئوهای ذخیره شده در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طی چند ماه و یا چند سال آینده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کنندگان فیلم های علمی هم می توانند به سادگی فایل ویدئویی خود را در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بدون هزینه، بارگذاری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جزئیات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خودکار و مبتنی بر محتوای هر یک از ویدئوها در سطح قطعات، کاربران را قادر می سازد با دقت و به روشی محتوا محور جستجو کنند</w:t>
      </w:r>
      <w:r>
        <w:rPr>
          <w:rFonts w:eastAsia="IRNazanin" w:cs="IRNazanin"/>
          <w:color w:val="111111"/>
          <w:sz w:val="28"/>
          <w:szCs w:val="28"/>
          <w:rtl w:val="true"/>
          <w:lang w:bidi="fa-IR"/>
        </w:rPr>
        <w:t xml:space="preserve">. </w:t>
      </w:r>
      <w:bookmarkStart w:id="927" w:name="pg9659_94150"/>
    </w:p>
    <w:p>
      <w:pPr>
        <w:pStyle w:val="Heading3"/>
        <w:numPr>
          <w:ilvl w:val="2"/>
          <w:numId w:val="1"/>
        </w:numPr>
        <w:rPr/>
      </w:pPr>
      <w:bookmarkStart w:id="928" w:name="__RefHeading___Toc7825897_2870459653"/>
      <w:bookmarkStart w:id="929" w:name="_Toc343"/>
      <w:bookmarkEnd w:id="927"/>
      <w:bookmarkEnd w:id="928"/>
      <w:r>
        <w:rPr/>
        <w:t>2</w:t>
      </w:r>
      <w:r>
        <w:rPr>
          <w:rtl w:val="true"/>
        </w:rPr>
        <w:t xml:space="preserve">. </w:t>
      </w:r>
      <w:r>
        <w:rPr>
          <w:rtl w:val="true"/>
        </w:rPr>
        <w:t xml:space="preserve">طرح انسان محور در طرح درگاه تیب </w:t>
      </w:r>
      <w:r>
        <w:rPr>
          <w:rtl w:val="true"/>
        </w:rPr>
        <w:t xml:space="preserve">/ </w:t>
      </w:r>
      <w:r>
        <w:rPr>
          <w:rtl w:val="true"/>
        </w:rPr>
        <w:t>ای وی</w:t>
      </w:r>
      <w:bookmarkEnd w:id="929"/>
    </w:p>
    <w:p>
      <w:pPr>
        <w:pStyle w:val="BookText"/>
        <w:rPr/>
      </w:pPr>
      <w:r>
        <w:rPr>
          <w:rFonts w:ascii="IRNazanin" w:hAnsi="IRNazanin" w:eastAsia="IRNazanin"/>
          <w:color w:val="111111"/>
          <w:sz w:val="28"/>
          <w:sz w:val="28"/>
          <w:szCs w:val="28"/>
          <w:rtl w:val="true"/>
          <w:lang w:bidi="fa-IR"/>
        </w:rPr>
        <w:t>علاوه بر شیوه های تعاملی و جستجوی نوینی که در بالا ذکر شد، توجه به نیاز کاربران در این طرح ها اهمیت بسیاری پیدا می کند؛ بنابراین رویکرد طراحی انسان محور به منظور توجه لازم به مسائل کاربردپذیری و دسترس پذیری طی فرایند توسعه،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انسان محور را با این عوامل 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کاربران و فهم درست آن ها و ملزومات کاری، تخصیص کارکرد مناسب بین کاربران و فناوری، بیان راه حل های طراحی، طراحی چند رشته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اصلی اتخاذ شده به شرح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ملزومات مهندسی ساخت یافته به وسیله نظر سنجی و مصاحبه های تخصصی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الگوسازی سریع حاصل از نمونه کاربر پسند اولیه درگاه دیداری شنیداری که به منظور ارزیابی اهداف مورد استفاده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دو گروه متمرکز برای به دست آوردن اولین بازخورد ارزشمند از گروه های هدف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نتایج حاصل از گروه های متمرکز در نمونه اصلی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آزمایش های کاربردپذیری و مطالعه و بررسی جستجوی چشمی و بهینه سازی نمونه اولیه مطابق نتایج به دست آمده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سنجی و تجزیه و تحلیل های وب گاهی</w:t>
      </w:r>
    </w:p>
    <w:p>
      <w:pPr>
        <w:pStyle w:val="BookText"/>
        <w:rPr/>
      </w:pPr>
      <w:r>
        <w:rPr>
          <w:rFonts w:ascii="IRNazanin" w:hAnsi="IRNazanin" w:eastAsia="IRNazanin"/>
          <w:color w:val="111111"/>
          <w:sz w:val="28"/>
          <w:sz w:val="28"/>
          <w:szCs w:val="28"/>
          <w:rtl w:val="true"/>
          <w:lang w:bidi="fa-IR"/>
        </w:rPr>
        <w:t>با اجرای رویکرد طرح انسان محور مطمئن شدیم که درگاه رسانه های دیداری شنیداری نمی تواند تنها شامل جنبه های علمی و فنی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نکردن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می توان درگاهی ارائه کرد که تنها خدمات تائید شده را ارائه دهند تا ارزش بیشتری برای گروه های هدف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بیشتر در خصوص استفاده کاربردی از روش های تجربه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ایکس</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در کتاب خانه ها و مزیت و معایب آن ها را می توان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بعضی از گزینه های روش های تجزیه و تحلیل و بازیابی موجود غیراستاندارد هستند و به طور کامل آزمایش و بررسی نشده اند، سؤالات پژوهشی این طرح بر کاربردپذیری و سودمندی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پژوهش عبارت اند از</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روشی برای تهیه، پردازش بازیابی و استناد رسانه های دیداری شنیداری وجود دارد و تجربه بالقوه کاربران از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وی در برخورد با این روش ها چه میزان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کدام یک از روش های فوق در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برای گروه های هدف و وظایف و اهداف آن ها سودمند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 ایجاد تعامل با این روش ها در درگاه چگونه است تا بتوان مطمئن شد که کاربران می توانند مطابق با تعریف کاربردپذیری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موثر، سودمند و رضایتمند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خود برسند؟</w:t>
      </w:r>
    </w:p>
    <w:p>
      <w:pPr>
        <w:pStyle w:val="BookText"/>
        <w:rPr/>
      </w:pPr>
      <w:r>
        <w:rPr>
          <w:rFonts w:ascii="IRNazanin" w:hAnsi="IRNazanin" w:eastAsia="IRNazanin"/>
          <w:color w:val="111111"/>
          <w:sz w:val="28"/>
          <w:sz w:val="28"/>
          <w:szCs w:val="28"/>
          <w:rtl w:val="true"/>
          <w:lang w:bidi="fa-IR"/>
        </w:rPr>
        <w:t xml:space="preserve">رویکرد توسعه این طرح بر اساس استاندارد ایزو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9241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در آن، فرایند نظام های قابل استفاده بر اساس چهار مرحله فرایند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توجه در گام اول، شناخت نیازهای کاربران و فعال نگه داشتن آن ها در کل دوره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کلی از این فرایند و اهداف مربوط به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علاوه بر ارائه اهداف در هر مرحله، روش های استفاده شده در طرح نیز طبقه بندی شده اند که به صورت زیر نشان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طراحی کاربر محور مطابق با استاندارد ایزو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9241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های استفاده شده در طرح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وی </w:t>
      </w:r>
      <w:bookmarkStart w:id="930" w:name="pg9659_94152"/>
    </w:p>
    <w:p>
      <w:pPr>
        <w:pStyle w:val="BookText"/>
        <w:rPr/>
      </w:pPr>
      <w:bookmarkEnd w:id="930"/>
      <w:r>
        <w:rPr>
          <w:rFonts w:ascii="IRNazanin" w:hAnsi="IRNazanin" w:eastAsia="IRNazanin"/>
          <w:color w:val="111111"/>
          <w:sz w:val="28"/>
          <w:sz w:val="28"/>
          <w:szCs w:val="28"/>
          <w:rtl w:val="true"/>
          <w:lang w:bidi="fa-IR"/>
        </w:rPr>
        <w:t xml:space="preserve">این چهار مرحله و روشهای استفاده شده در طرح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را می توان به صورت زیر دسته بندی کرد</w:t>
      </w:r>
      <w:r>
        <w:rPr>
          <w:rFonts w:eastAsia="IRNazanin" w:cs="IRNazanin"/>
          <w:color w:val="111111"/>
          <w:sz w:val="28"/>
          <w:szCs w:val="28"/>
          <w:rtl w:val="true"/>
          <w:lang w:bidi="fa-IR"/>
        </w:rPr>
        <w:t>:</w:t>
      </w:r>
    </w:p>
    <w:p>
      <w:pPr>
        <w:pStyle w:val="Heading3"/>
        <w:numPr>
          <w:ilvl w:val="2"/>
          <w:numId w:val="1"/>
        </w:numPr>
        <w:rPr/>
      </w:pPr>
      <w:bookmarkStart w:id="931" w:name="__RefHeading___Toc7825899_2870459653"/>
      <w:bookmarkStart w:id="932" w:name="_Toc344"/>
      <w:bookmarkEnd w:id="931"/>
      <w:r>
        <w:rPr>
          <w:rtl w:val="true"/>
        </w:rPr>
        <w:t xml:space="preserve">مرحله </w:t>
      </w:r>
      <w:r>
        <w:rPr/>
        <w:t>1</w:t>
      </w:r>
      <w:r>
        <w:rPr>
          <w:rtl w:val="true"/>
        </w:rPr>
        <w:t xml:space="preserve">: </w:t>
      </w:r>
      <w:r>
        <w:rPr>
          <w:rtl w:val="true"/>
        </w:rPr>
        <w:t>شناخت کاربران و زمینه استفاده</w:t>
      </w:r>
      <w:bookmarkEnd w:id="932"/>
    </w:p>
    <w:p>
      <w:pPr>
        <w:pStyle w:val="BookText"/>
        <w:rPr/>
      </w:pPr>
      <w:r>
        <w:rPr>
          <w:rFonts w:ascii="IRNazanin" w:hAnsi="IRNazanin" w:eastAsia="IRNazanin"/>
          <w:color w:val="111111"/>
          <w:sz w:val="28"/>
          <w:sz w:val="28"/>
          <w:szCs w:val="28"/>
          <w:rtl w:val="true"/>
          <w:lang w:bidi="fa-IR"/>
        </w:rPr>
        <w:t xml:space="preserve">در این مرحله از چرخه طراحی کاربر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سی دی</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کاربران آینده این درگاه را بررسی و توصیف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اصلی به صورت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آینده دقیقاً چه کسانی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هدف را چگونه می توان به صورت مجزا تفکیک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از دانش خود در اجرای طرح برای گروه های هدف بهره ببریم؟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کرد در گروه های هدف مورد توجه خواهد بود؟</w:t>
      </w:r>
    </w:p>
    <w:p>
      <w:pPr>
        <w:pStyle w:val="BookText"/>
        <w:rPr/>
      </w:pPr>
      <w:r>
        <w:rPr>
          <w:rFonts w:ascii="IRNazanin" w:hAnsi="IRNazanin" w:eastAsia="IRNazanin"/>
          <w:color w:val="111111"/>
          <w:sz w:val="28"/>
          <w:sz w:val="28"/>
          <w:szCs w:val="28"/>
          <w:rtl w:val="true"/>
          <w:lang w:bidi="fa-IR"/>
        </w:rPr>
        <w:t>در وهله اول تجزیه و تحلیل گروه هدف جهت تعیین معیار مناسبی برای روشن شدن این سؤالات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مجموعه ای از فناوری های موجود، برای بررسی رابط کاربر گرافیکی، با شش نماینده از پژوهشگاه های علمی، موسسه های فیلم، کتاب خانه های تخصصی و دانشگاه ها مصاحبه تخصصی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ها بیشتر بر فناوری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بازیابی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مقبولیت مورد انتظار گروه های هدف تمرکز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مستند کردن نتایج تحلیل مراحل طرح و قابل استفاده کردن این نتایج، لازم است جامعه مورد مطالعه در مرحله بعد ارتقاء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ساختگی نمونه ای بسیار مشابه به عنوان کاربران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گروه های کاربری در یک شخصیت جمع شده است و بر اساس شخصیت های معمولی یک انسان واقعی نمو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و شناخت معمولاً یا از طریق روش های پژوهش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آزمایش کاربردپذیری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 یا شامل کار آگاه های آموزشی است که کاربران و رابط مستقیم کاربران در آن ها حضور دارند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شخصیت ها در ابتدا در مرحله نیاز کاربر بر اساس شناختی که از نمایندگان تیب به دست می آید و یا نتایجی که از مصاحبه های تخصصی حاصل می شود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طرح، این شخصیت ها در نتیجه ادغام با جوامع کاربری واقعی، بیشتر اصلاح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ها به ما اطمینان می دهند که تمامی شرکت کنندگان طرح، از مدیریت کتاب خانه و مدیریت طرح گرفته تا برنامه نویسان و مسئولین آی تی درک مشترکی از کاربران آینده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روش شخصیت، منع استفاده از مقررات و فرضیه های کلی در مورد گروه های کاربری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کاربران </w:t>
      </w:r>
      <w:bookmarkStart w:id="933" w:name="pg9659_94153"/>
    </w:p>
    <w:p>
      <w:pPr>
        <w:pStyle w:val="BookText"/>
        <w:rPr/>
      </w:pPr>
      <w:bookmarkEnd w:id="933"/>
      <w:r>
        <w:rPr>
          <w:rFonts w:ascii="IRNazanin" w:hAnsi="IRNazanin" w:eastAsia="IRNazanin"/>
          <w:color w:val="111111"/>
          <w:sz w:val="28"/>
          <w:sz w:val="28"/>
          <w:szCs w:val="28"/>
          <w:rtl w:val="true"/>
          <w:lang w:bidi="fa-IR"/>
        </w:rPr>
        <w:t>ما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کاربران نمی دانند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عوض در طرح های مفهومی این نظام بر روی چند شخصیت متمرکز است</w:t>
      </w:r>
      <w:r>
        <w:rPr>
          <w:rFonts w:eastAsia="IRNazanin" w:cs="IRNazanin"/>
          <w:color w:val="111111"/>
          <w:sz w:val="28"/>
          <w:szCs w:val="28"/>
          <w:rtl w:val="true"/>
          <w:lang w:bidi="fa-IR"/>
        </w:rPr>
        <w:t>.</w:t>
      </w:r>
    </w:p>
    <w:p>
      <w:pPr>
        <w:pStyle w:val="Heading3"/>
        <w:numPr>
          <w:ilvl w:val="2"/>
          <w:numId w:val="1"/>
        </w:numPr>
        <w:rPr/>
      </w:pPr>
      <w:bookmarkStart w:id="934" w:name="__RefHeading___Toc7825901_2870459653"/>
      <w:bookmarkStart w:id="935" w:name="_Toc345"/>
      <w:bookmarkEnd w:id="934"/>
      <w:r>
        <w:rPr>
          <w:rtl w:val="true"/>
        </w:rPr>
        <w:t xml:space="preserve">مرحله </w:t>
      </w:r>
      <w:r>
        <w:rPr/>
        <w:t>2</w:t>
      </w:r>
      <w:r>
        <w:rPr>
          <w:rtl w:val="true"/>
        </w:rPr>
        <w:t xml:space="preserve">: </w:t>
      </w:r>
      <w:r>
        <w:rPr>
          <w:rtl w:val="true"/>
        </w:rPr>
        <w:t>تعیین نیازهایی که باید در نظام بکار گرفته شوند</w:t>
      </w:r>
      <w:r>
        <w:rPr>
          <w:rtl w:val="true"/>
        </w:rPr>
        <w:t>:</w:t>
      </w:r>
      <w:bookmarkEnd w:id="935"/>
    </w:p>
    <w:p>
      <w:pPr>
        <w:pStyle w:val="BookText"/>
        <w:rPr/>
      </w:pPr>
      <w:r>
        <w:rPr>
          <w:rFonts w:ascii="IRNazanin" w:hAnsi="IRNazanin" w:eastAsia="IRNazanin"/>
          <w:color w:val="111111"/>
          <w:sz w:val="28"/>
          <w:sz w:val="28"/>
          <w:szCs w:val="28"/>
          <w:rtl w:val="true"/>
          <w:lang w:bidi="fa-IR"/>
        </w:rPr>
        <w:t>در این مرحله از طرح، بر دانش بیشتر کاربران تأکید شد و امکانات فنی برای جستجوی نوآورانه به کمک کارشناسان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اصلی که در این مرحله مدنظر هستند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امکانات فنی، در اصل مورد توجه گروه های هدف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باید به چه صورت ارائه شود تا مطمئن شویم که کاربران می توانند از آن استفاده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هدف کدام یک از عمل کردها و فناوری ها را کاملاً رد می کنند و اجازه نمی دهند که در وهله اول منابع به اجرای آن ها اختصاص یابد؟</w:t>
      </w:r>
    </w:p>
    <w:p>
      <w:pPr>
        <w:pStyle w:val="BookText"/>
        <w:rPr/>
      </w:pPr>
      <w:r>
        <w:rPr>
          <w:rFonts w:ascii="IRNazanin" w:hAnsi="IRNazanin" w:eastAsia="IRNazanin"/>
          <w:color w:val="111111"/>
          <w:sz w:val="28"/>
          <w:sz w:val="28"/>
          <w:szCs w:val="28"/>
          <w:rtl w:val="true"/>
          <w:lang w:bidi="fa-IR"/>
        </w:rPr>
        <w:t xml:space="preserve">به منظور پاسخ به این سؤالات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احتمالی درگاه در دو گروه متمرکز در مورد خواسته ها، نیازها و شیوه های کاری واقعی نظر سنجی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متمرکز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تحقیق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دانشجویان دکترا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سخنران تمام 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دستیار ارشد آموزش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دانشجویان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اعضای کادر فنی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دیپلم کتابداری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مهندس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پیش نمونه اولیه بسیار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این ایده ها یا عمل کردهایی که در بعضی موارد برای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در اولین پیش نمونه های نیمه تعاملی پیشنهاد شدند، در گروه متمرکز نمو پیدا کردند و بازخوردهایی هم از کاربران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انتظارات مثبتی که در کل شرکت کنندگان گروه های متمرکز داشتند، شناسایی جنبه هایی که کم اهمیت تر بودند محتمل بود و در نتیجه دیگر در پیش نمونه های بعدی هم دنبال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جنبه عبارت اند از ویژگی های جامعه که باعث می شوند کاربران فایل های ویدئویی را بین خودشان به اشتراک بگذارند و به صورت پیوسته آن ها را ویرایش کنند، برچسب بزنند و به آن ها امتیاز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افراد شرکت کننده، مطالب و عمل کردهایی را که دوست دارند و تصور می کنند که در نمونه اولیه جا افتاده اند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اصلی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شرکت کنندگان تمایل دارند از درگاه های برنامه ریزی شده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استفاده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مطالب برای پذیرش قطعی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منحصر به فرد به ویدئوها مشوق بسیار بزرگی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های افزوده در صفحه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جستجوگر، دسترسی به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هدف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باهم مرتبط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تصویر کوچک پیش نمایش فایل ویدئویی عریض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بارگذاری آسان فایل های ویدئویی خود و اعطای حق استفاده، امتیاز بالایی محسوب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رسانه با نسخه تمام متن یا داده های پژوهشی و گزینه های جستجوی میان رسانه ای، اهمیت بسیاری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موضوعی اهمیت بیشتری مخصوصاً برای دانشجویان دارند و باید یک پارچه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های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رابطه با اندازه فایل در نتایج وجود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جستجو از طریق متون صوتی در یک فایل ویدئویی اهمیت بسیاری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چند وجهی به طور مثبت ارزیابی شد</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کاغذی برای عمل کرد پرس وجو به عنوان پایه ای برای بحث در گروه های متمرکز</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گروه های متمرکز به دنبال فناوری بودند اولویت بندی مجدد مفاد عملکردها برای این درگاه 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پرس وجو با طرح اولیه و پرس وجو در آغاز طرح بیشتر مورد توجه بودند، مصاحبه با کارشناسان انجام شد، این رویکرد که کاربران گروه های متمرکز رفتار شکاکانه و بی اعتنا دارند، به بحث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موافقت کردند که تصاویر نمونه را برای جستجوی فایل های ویدئویی طراحی یا بارگذاری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 استفاده قابل تصور شرکت کنندگان در این زمینه که البته قبلاً ذکر شده بود، طراحی فرمول های شیمیایی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تصمیم بر این شد به جای عملکردها، جستجوی سنتی مبتنی بر واژه را با جستجوی ساده و جستجوی مبتنی بر موجودیت، ادغام </w:t>
      </w:r>
      <w:bookmarkStart w:id="936" w:name="pg9659_94155"/>
    </w:p>
    <w:p>
      <w:pPr>
        <w:pStyle w:val="BookText"/>
        <w:rPr/>
      </w:pPr>
      <w:bookmarkEnd w:id="936"/>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و اقدامات صورت گرفته ترجیحاً در حد توانایی جستجو و استناد در سطح های جزئی و داده های پیوندی از نظر معنایی سرمایه گذاری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 که توجه بسیاری از کاربران را به خود جلب کرده است</w:t>
      </w:r>
      <w:r>
        <w:rPr>
          <w:rFonts w:eastAsia="IRNazanin" w:cs="IRNazanin"/>
          <w:color w:val="111111"/>
          <w:sz w:val="28"/>
          <w:szCs w:val="28"/>
          <w:rtl w:val="true"/>
          <w:lang w:bidi="fa-IR"/>
        </w:rPr>
        <w:t>).</w:t>
      </w:r>
    </w:p>
    <w:p>
      <w:pPr>
        <w:pStyle w:val="Heading3"/>
        <w:numPr>
          <w:ilvl w:val="2"/>
          <w:numId w:val="1"/>
        </w:numPr>
        <w:rPr/>
      </w:pPr>
      <w:bookmarkStart w:id="937" w:name="__RefHeading___Toc7825903_2870459653"/>
      <w:bookmarkStart w:id="938" w:name="_Toc346"/>
      <w:bookmarkEnd w:id="937"/>
      <w:r>
        <w:rPr>
          <w:rtl w:val="true"/>
        </w:rPr>
        <w:t xml:space="preserve">مرحله </w:t>
      </w:r>
      <w:r>
        <w:rPr/>
        <w:t>3</w:t>
      </w:r>
      <w:r>
        <w:rPr>
          <w:rtl w:val="true"/>
        </w:rPr>
        <w:t xml:space="preserve">: </w:t>
      </w:r>
      <w:r>
        <w:rPr>
          <w:rtl w:val="true"/>
        </w:rPr>
        <w:t>ارائه راهکارهای طراحی</w:t>
      </w:r>
      <w:bookmarkEnd w:id="938"/>
    </w:p>
    <w:p>
      <w:pPr>
        <w:pStyle w:val="BookText"/>
        <w:rPr/>
      </w:pPr>
      <w:r>
        <w:rPr>
          <w:rFonts w:ascii="IRNazanin" w:hAnsi="IRNazanin" w:eastAsia="IRNazanin"/>
          <w:color w:val="111111"/>
          <w:sz w:val="28"/>
          <w:sz w:val="28"/>
          <w:szCs w:val="28"/>
          <w:rtl w:val="true"/>
          <w:lang w:bidi="fa-IR"/>
        </w:rPr>
        <w:t>از آن جایی که مراحل پیشین بر نیازهای اصلی گروه های هدف تمرکز داشتند، در حال حاضر تصدیق جزئیات مربوط به رابط کاربر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پراهمیت در این مرحله از طرح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 چگونه باید با رابط کاربر گرافیکی ترکیب شوند تا بتوان آن ها را یافت و درک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طرح باید استفاده کرد تا برای مثال بتوان حجم زیادی از اطلاعات را به خوبی نشان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ساختار رهیابی را باید استفاده کرد؟</w:t>
      </w:r>
    </w:p>
    <w:p>
      <w:pPr>
        <w:pStyle w:val="BookText"/>
        <w:rPr/>
      </w:pPr>
      <w:r>
        <w:rPr>
          <w:rFonts w:ascii="IRNazanin" w:hAnsi="IRNazanin" w:eastAsia="IRNazanin"/>
          <w:color w:val="111111"/>
          <w:sz w:val="28"/>
          <w:sz w:val="28"/>
          <w:szCs w:val="28"/>
          <w:rtl w:val="true"/>
          <w:lang w:bidi="fa-IR"/>
        </w:rPr>
        <w:t>با توجه به نتایج حاصل از گروه های متمرکز و مصاحبه های تخصصی به مثبت اندیشی های متنوعی نسبت به نمونه های اولیه ای که قبلاً ارائه شدند رسیدیم و مقدار جزئیات مربوط به احتمال یک پارچه سازی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های جستجوی ارائه شده برای تاریخ باهم مرتبط بودند و روش های دیگر دستیابی به نتایج با صفحه ای اصلی کامل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جستجو و دسترسی از طریق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هدف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هایی که کاربران گروه های متمرکز تصور می کنند از قلم افتاده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نمونه های اولیه و طرح ابتدایی هر یک از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اصلی، نتایج جستجو، صفحه اطلاعات تصویری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آشنایی بیشتر با روش کاربر محور که در طرح از آن استفاده شده است، تصمیم بر آن شد که حتی در این مرحله پیشرفت اولیه هم از کاربران، آزمون قابل استفاده 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کاربردپذیری نظام از یک پیش نمونه تعاملی بر روی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آزمون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دکتری،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امکان اصلاح مفاهیم ارتباطی که به غلط تصور شده بودند وجود داشت و در همان مراحل اولیه ابهام 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آزمون نشان داد که جستجوی نمایه ای در فایل های تصویری هنوز عمل کرد بهینه ای ندارد حتی بعضی از کاربران برداشت های غلطی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هیچ یک از افراد شرکت کننده در این آزمون حین جستجوی یک مطلب جدید متوجه نشد که فیلترهای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مشخص کردن حوزه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وجود دارد و نیاز به تغییر آن نیست؛ بنابراین بعد از ارزیابی این آزمون، جستجوی نمایه ای تعیین شد و فیلترهای انتخابی به طور ویژه بار دیگر اصلاح شدند</w:t>
      </w:r>
      <w:r>
        <w:rPr>
          <w:rFonts w:eastAsia="IRNazanin" w:cs="IRNazanin"/>
          <w:color w:val="111111"/>
          <w:sz w:val="28"/>
          <w:szCs w:val="28"/>
          <w:rtl w:val="true"/>
          <w:lang w:bidi="fa-IR"/>
        </w:rPr>
        <w:t xml:space="preserve">. </w:t>
      </w:r>
      <w:bookmarkStart w:id="939" w:name="pg9659_94156"/>
    </w:p>
    <w:p>
      <w:pPr>
        <w:pStyle w:val="BookText"/>
        <w:rPr/>
      </w:pPr>
      <w:bookmarkEnd w:id="939"/>
      <w:r>
        <w:rPr>
          <w:rFonts w:ascii="IRNazanin" w:hAnsi="IRNazanin" w:eastAsia="IRNazanin"/>
          <w:color w:val="111111"/>
          <w:sz w:val="28"/>
          <w:sz w:val="28"/>
          <w:szCs w:val="28"/>
          <w:rtl w:val="true"/>
          <w:lang w:bidi="fa-IR"/>
        </w:rPr>
        <w:t xml:space="preserve">به دلیل این که کاربران دسته بندی بعضی از نمایه ها را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w:t>
      </w:r>
      <w:r>
        <w:rPr>
          <w:rStyle w:val="FootnoteAnchor"/>
          <w:rtl w:val="true"/>
        </w:rPr>
        <w:footnoteReference w:id="991"/>
      </w:r>
      <w:r>
        <w:rPr>
          <w:rFonts w:ascii="IRNazanin" w:hAnsi="IRNazanin" w:eastAsia="IRNazanin"/>
          <w:color w:val="111111"/>
          <w:sz w:val="28"/>
          <w:sz w:val="28"/>
          <w:szCs w:val="28"/>
          <w:rtl w:val="true"/>
          <w:lang w:bidi="fa-IR"/>
        </w:rPr>
        <w:t>به چه معنا است؟ این موضوع از کدام ویدئو است؟ یا فرق بین سازمان و ناشر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آزمون توجه خاصی به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تعداد دسته بندی فیلترها کاهش یافت و کلمات دقیق تری انتخاب شدند</w:t>
      </w:r>
      <w:r>
        <w:rPr>
          <w:rFonts w:eastAsia="IRNazanin" w:cs="IRNazanin"/>
          <w:color w:val="111111"/>
          <w:sz w:val="28"/>
          <w:szCs w:val="28"/>
          <w:rtl w:val="true"/>
          <w:lang w:bidi="fa-IR"/>
        </w:rPr>
        <w:t>.</w:t>
      </w:r>
    </w:p>
    <w:p>
      <w:pPr>
        <w:pStyle w:val="Heading3"/>
        <w:numPr>
          <w:ilvl w:val="2"/>
          <w:numId w:val="1"/>
        </w:numPr>
        <w:rPr/>
      </w:pPr>
      <w:bookmarkStart w:id="940" w:name="__RefHeading___Toc7825905_2870459653"/>
      <w:bookmarkStart w:id="941" w:name="_Toc347"/>
      <w:bookmarkEnd w:id="940"/>
      <w:r>
        <w:rPr>
          <w:rtl w:val="true"/>
        </w:rPr>
        <w:t xml:space="preserve">مرحله </w:t>
      </w:r>
      <w:r>
        <w:rPr/>
        <w:t>4</w:t>
      </w:r>
      <w:r>
        <w:rPr>
          <w:rtl w:val="true"/>
        </w:rPr>
        <w:t xml:space="preserve">: </w:t>
      </w:r>
      <w:r>
        <w:rPr>
          <w:rtl w:val="true"/>
        </w:rPr>
        <w:t xml:space="preserve">ارزیابی راهکارهای پیشنهادی </w:t>
      </w:r>
      <w:r>
        <w:rPr>
          <w:rtl w:val="true"/>
        </w:rPr>
        <w:t>(</w:t>
      </w:r>
      <w:r>
        <w:rPr>
          <w:rtl w:val="true"/>
        </w:rPr>
        <w:t>آزمون های کاربردپذیری از طریق ردیابی چشمی</w:t>
      </w:r>
      <w:r>
        <w:rPr>
          <w:rtl w:val="true"/>
        </w:rPr>
        <w:t>):</w:t>
      </w:r>
      <w:bookmarkEnd w:id="941"/>
    </w:p>
    <w:p>
      <w:pPr>
        <w:pStyle w:val="BookText"/>
        <w:rPr/>
      </w:pPr>
      <w:r>
        <w:rPr>
          <w:rFonts w:ascii="IRNazanin" w:hAnsi="IRNazanin" w:eastAsia="IRNazanin"/>
          <w:color w:val="111111"/>
          <w:sz w:val="28"/>
          <w:sz w:val="28"/>
          <w:szCs w:val="28"/>
          <w:rtl w:val="true"/>
          <w:lang w:bidi="fa-IR"/>
        </w:rPr>
        <w:t xml:space="preserve">بر اساس نتایج آزمون، نمونه اولیه بیشتر بهینه سازی شد و 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نظام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راه اندازی درگاه، آزمون دیگری برای قابلیت استفاده از نظام گرفته شد که بیشتر حول محور سؤالات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جستجوی نمایه ای اصلاح شده، بهتر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تناسب و ترکیب فهرست نتایج درک شده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متغیر پتانسیل طراحی، برای ارائه طرح اولیه نهادهایی که به طور خودکار شناسایی شده اند بهتر کار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کاربران در زمان مناسب متوجه عمل کردها و مفاهیم مهم می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مطالبی خوانده شدهاند و چه مطالبی هم استقبال نشده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فهم این که مطالب و کاربردها چگونه برداشت می شوند، ردیابی چشمی در آزمون کاربردپذیری بکار گرفته شد و حرکت چشم آزمون دهندگان ضبط و با دقت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ردیابی چشمی روشی است که برای بررسی حرکت چشم ها بر روی صفحه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صفحه ای خاص همراه با فناوری مادون قرمز می توانیم به طور نامشهود حرکت چشم را دنبال کنیم و مشخص کنیم که کدام نواحی یک برنامه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انجام آزمون کاربردپذیری می توان به اطلاعات بیشتری از برداشت کاربران رسید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ساده ای برای ثبت نام شرکت کنندگان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طرح اولیه به مرحله ای رسیده بود که می توانستیم آن را در نمایشگاه تجاری ارائه کنیم، در همان نمایشگاه بار دیگر آزمون قابلیت استفاده از نظام </w:t>
      </w:r>
      <w:r>
        <w:rPr>
          <w:rStyle w:val="FootnoteAnchor"/>
          <w:rtl w:val="true"/>
        </w:rPr>
        <w:footnoteReference w:id="992"/>
      </w:r>
      <w:r>
        <w:rPr>
          <w:rFonts w:ascii="IRNazanin" w:hAnsi="IRNazanin" w:eastAsia="IRNazanin"/>
          <w:color w:val="111111"/>
          <w:sz w:val="28"/>
          <w:sz w:val="28"/>
          <w:szCs w:val="28"/>
          <w:rtl w:val="true"/>
          <w:lang w:bidi="fa-IR"/>
        </w:rPr>
        <w:t>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غرفه تیب بازدیدکنندگان را به طرف غرفه هدایت می کردند و از آن ها درخواست می کردند که آیا زمان و یا تمایل به انجام آزمونی دارند که میزان کاربردپذیری از این درگاه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می توانستیم به سرعت،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w:t>
      </w:r>
      <w:bookmarkStart w:id="942" w:name="pg9659_94157"/>
    </w:p>
    <w:p>
      <w:pPr>
        <w:pStyle w:val="BookText"/>
        <w:rPr/>
      </w:pPr>
      <w:bookmarkEnd w:id="942"/>
      <w:r>
        <w:rPr>
          <w:rFonts w:ascii="IRNazanin" w:hAnsi="IRNazanin" w:eastAsia="IRNazanin"/>
          <w:color w:val="111111"/>
          <w:sz w:val="28"/>
          <w:sz w:val="28"/>
          <w:szCs w:val="28"/>
          <w:rtl w:val="true"/>
          <w:lang w:bidi="fa-IR"/>
        </w:rPr>
        <w:t xml:space="preserve">از گروه هدف را برای انجام آزمون انتخاب کنیم که در غیر این صورت کار بسیار سختی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و کارکنان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آزمون بار دیگر یافته های ارزشمندی برای بهبود بیشتر این برنامه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نتایج به دست آمده این بود که کاربران نمی توانستند به راحتی به ویدئوهای مرتبطی که بر اساس درخواست جستجو دنبال می کردند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ویدئوهای مرتبط با درخواست جستجو برای من نشان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جستجو در فهرست نتایج مشخص نمی شد یعنی کاربران متوجه نمی شدند که آیا این ویدئو همان چیزی است که به دنبال آن می گشتند؟ در این صورت زمانی کلمات جستجو شده مشخص می شوند که در فراداده های معتبری مانند چکیده 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جستجو در متون صوتی یافت شود در طرح حاضر مشخص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حرکت چشم در یک لیست کوتاه</w:t>
      </w:r>
    </w:p>
    <w:p>
      <w:pPr>
        <w:pStyle w:val="Heading3"/>
        <w:numPr>
          <w:ilvl w:val="2"/>
          <w:numId w:val="1"/>
        </w:numPr>
        <w:rPr/>
      </w:pPr>
      <w:bookmarkStart w:id="943" w:name="__RefHeading___Toc7825907_2870459653"/>
      <w:bookmarkStart w:id="944" w:name="_Toc348"/>
      <w:bookmarkEnd w:id="943"/>
      <w:r>
        <w:rPr>
          <w:rtl w:val="true"/>
        </w:rPr>
        <w:t>نتیجه گیری</w:t>
      </w:r>
      <w:bookmarkEnd w:id="94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طول می کشد تا تی پی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ویدئویی را که مرتبط با کلمه جستجو است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عنوان ویدئو در لیست نتایج، اسکن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تی پی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ویدئوی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 کند چون </w:t>
      </w:r>
      <w:bookmarkStart w:id="945" w:name="pg9659_94158"/>
    </w:p>
    <w:p>
      <w:pPr>
        <w:pStyle w:val="BookText"/>
        <w:rPr/>
      </w:pPr>
      <w:bookmarkEnd w:id="945"/>
      <w:r>
        <w:rPr>
          <w:rFonts w:ascii="IRNazanin" w:hAnsi="IRNazanin" w:eastAsia="IRNazanin"/>
          <w:color w:val="111111"/>
          <w:sz w:val="28"/>
          <w:sz w:val="28"/>
          <w:szCs w:val="28"/>
          <w:rtl w:val="true"/>
          <w:lang w:bidi="fa-IR"/>
        </w:rPr>
        <w:t>کلمه جستجو در عنوان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کاربران نمی توانند تشخیص دهند که کلمه مورد نظر پیدا شده است توجه کمی به اولین ویدئوی انتخابی می کنند، ویدئویی که به خوبی با کلمه جستجو مطابقت دارد</w:t>
      </w:r>
      <w:r>
        <w:rPr>
          <w:rFonts w:eastAsia="IRNazanin" w:cs="IRNazanin"/>
          <w:color w:val="111111"/>
          <w:sz w:val="28"/>
          <w:szCs w:val="28"/>
          <w:rtl w:val="true"/>
          <w:lang w:bidi="fa-IR"/>
        </w:rPr>
        <w:t>.</w:t>
      </w:r>
    </w:p>
    <w:p>
      <w:pPr>
        <w:pStyle w:val="Heading3"/>
        <w:numPr>
          <w:ilvl w:val="2"/>
          <w:numId w:val="1"/>
        </w:numPr>
        <w:rPr/>
      </w:pPr>
      <w:bookmarkStart w:id="946" w:name="__RefHeading___Toc7825909_2870459653"/>
      <w:bookmarkStart w:id="947" w:name="_Toc349"/>
      <w:bookmarkEnd w:id="946"/>
      <w:r>
        <w:rPr>
          <w:rtl w:val="true"/>
        </w:rPr>
        <w:t>بهینه سازی</w:t>
      </w:r>
      <w:bookmarkEnd w:id="947"/>
    </w:p>
    <w:p>
      <w:pPr>
        <w:pStyle w:val="BookText"/>
        <w:rPr/>
      </w:pPr>
      <w:r>
        <w:rPr>
          <w:rFonts w:ascii="IRNazanin" w:hAnsi="IRNazanin" w:eastAsia="IRNazanin"/>
          <w:color w:val="111111"/>
          <w:sz w:val="28"/>
          <w:sz w:val="28"/>
          <w:szCs w:val="28"/>
          <w:rtl w:val="true"/>
          <w:lang w:bidi="fa-IR"/>
        </w:rPr>
        <w:t>طبق نتایج و یافته های آزمون، کاربران انتظار نشانه مشخصی در فهرست نتایج دارند مبنی بر این که چرا این نتایج به صورت ترتیبی و پشت سرهم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حال حاضر اطلاعات به صورت پویا، زیر ویدئوها نمایش داده شده اند بدون در نظر گرفتن این که آیا کلمه جستجو در فراداده ها، گفتار روی تصویر </w:t>
      </w:r>
      <w:r>
        <w:rPr>
          <w:rStyle w:val="FootnoteAnchor"/>
          <w:rtl w:val="true"/>
        </w:rPr>
        <w:footnoteReference w:id="994"/>
      </w:r>
      <w:r>
        <w:rPr>
          <w:rFonts w:ascii="IRNazanin" w:hAnsi="IRNazanin" w:eastAsia="IRNazanin"/>
          <w:color w:val="111111"/>
          <w:sz w:val="28"/>
          <w:sz w:val="28"/>
          <w:szCs w:val="28"/>
          <w:rtl w:val="true"/>
          <w:lang w:bidi="fa-IR"/>
        </w:rPr>
        <w:t>، قاب یا متن زیر قاب یافت شده 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تأثیر تصویری شناسایی واژه جستجو در عنوان فایل ویدئویی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دیگری از کاربردپذیری گرفته می شود تا مشخص شود که آیا این مشکل به طور کامل با اقدامات زیر از بین می رود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کلمات مهم در فهرست کوتاهی از عناوین</w:t>
      </w:r>
    </w:p>
    <w:p>
      <w:pPr>
        <w:pStyle w:val="BookText"/>
        <w:rPr/>
      </w:pPr>
      <w:r>
        <w:rPr>
          <w:rFonts w:ascii="IRNazanin" w:hAnsi="IRNazanin" w:eastAsia="IRNazanin"/>
          <w:color w:val="111111"/>
          <w:sz w:val="28"/>
          <w:sz w:val="28"/>
          <w:szCs w:val="28"/>
          <w:rtl w:val="true"/>
          <w:lang w:bidi="fa-IR"/>
        </w:rPr>
        <w:t xml:space="preserve">سایر نتایج حاصل از این آزمون که فراتر از حد تطابق توصیف شده هستند به بهینه کردن این نظام کمک کردند و به طور ویژه مشکلات بسیار مهم کاربردپذیری پیش از راه اندازی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وی در آوریل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شده اند</w:t>
      </w:r>
      <w:r>
        <w:rPr>
          <w:rFonts w:eastAsia="IRNazanin" w:cs="IRNazanin"/>
          <w:color w:val="111111"/>
          <w:sz w:val="28"/>
          <w:szCs w:val="28"/>
          <w:rtl w:val="true"/>
          <w:lang w:bidi="fa-IR"/>
        </w:rPr>
        <w:t>.</w:t>
      </w:r>
    </w:p>
    <w:p>
      <w:pPr>
        <w:pStyle w:val="Heading3"/>
        <w:numPr>
          <w:ilvl w:val="2"/>
          <w:numId w:val="1"/>
        </w:numPr>
        <w:rPr/>
      </w:pPr>
      <w:bookmarkStart w:id="948" w:name="__RefHeading___Toc7825911_2870459653"/>
      <w:bookmarkStart w:id="949" w:name="_Toc350"/>
      <w:bookmarkEnd w:id="948"/>
      <w:r>
        <w:rPr/>
        <w:t>3</w:t>
      </w:r>
      <w:r>
        <w:rPr>
          <w:rtl w:val="true"/>
        </w:rPr>
        <w:t xml:space="preserve">. </w:t>
      </w:r>
      <w:r>
        <w:rPr>
          <w:rtl w:val="true"/>
        </w:rPr>
        <w:t>بررسی رویکرد کاربر محور در این طرح</w:t>
      </w:r>
      <w:bookmarkEnd w:id="94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های پیشنهادی رویکرد کاربر محور در طرح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وی، منجر به وجود آمدن نظامی شد </w:t>
      </w:r>
      <w:bookmarkStart w:id="950" w:name="pg9659_94159"/>
    </w:p>
    <w:p>
      <w:pPr>
        <w:pStyle w:val="BookText"/>
        <w:rPr/>
      </w:pPr>
      <w:bookmarkEnd w:id="950"/>
      <w:r>
        <w:rPr>
          <w:rFonts w:ascii="IRNazanin" w:hAnsi="IRNazanin" w:eastAsia="IRNazanin"/>
          <w:color w:val="111111"/>
          <w:sz w:val="28"/>
          <w:sz w:val="28"/>
          <w:szCs w:val="28"/>
          <w:rtl w:val="true"/>
          <w:lang w:bidi="fa-IR"/>
        </w:rPr>
        <w:t>که بر شیوه های بازیابی نوین تکیه دارد و به طور بهینه نیازهای گروه های کاربری به حوزه عمل کردی نظام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در شرایطی مانند کتاب خانه توجیه عدم توجه به کاربران در نقاط تعیین کننده کار دشواری است؛ بنابراین به جد، پیشنهاد می شود که به دنبال توسعه کاربر محور در قالب کتاب خانه باشیم و توجه خاصی به روش هایی داشته باشیم که قرار است از آن 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مزیت های روش کاربر محور تنوع روش های استفاده شده از خیلی ساده، رویکردهای مستقل تا روش های حرفه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باید پرسیده شود این نیست که آیا رویکرد کاربر محور در وهله اول مناسب و امکان پذیر است، بلکه سؤال این است که آیا می توانیم روش های مناسبی برای طرح های بعدی استفاده کنیم و با استفاده از آن ها به شناخت بیشتری برسیم</w:t>
      </w:r>
      <w:r>
        <w:rPr>
          <w:rFonts w:eastAsia="IRNazanin" w:cs="IRNazanin"/>
          <w:color w:val="111111"/>
          <w:sz w:val="28"/>
          <w:szCs w:val="28"/>
          <w:rtl w:val="true"/>
          <w:lang w:bidi="fa-IR"/>
        </w:rPr>
        <w:t>.</w:t>
      </w:r>
    </w:p>
    <w:p>
      <w:pPr>
        <w:pStyle w:val="Heading3"/>
        <w:numPr>
          <w:ilvl w:val="2"/>
          <w:numId w:val="1"/>
        </w:numPr>
        <w:rPr/>
      </w:pPr>
      <w:bookmarkStart w:id="951" w:name="__RefHeading___Toc7825913_2870459653"/>
      <w:bookmarkStart w:id="952" w:name="_Toc351"/>
      <w:bookmarkEnd w:id="951"/>
      <w:r>
        <w:rPr/>
        <w:t>4</w:t>
      </w:r>
      <w:r>
        <w:rPr>
          <w:rtl w:val="true"/>
        </w:rPr>
        <w:t xml:space="preserve">. </w:t>
      </w:r>
      <w:r>
        <w:rPr>
          <w:rtl w:val="true"/>
        </w:rPr>
        <w:t>پیشرفت های بعدی</w:t>
      </w:r>
      <w:bookmarkEnd w:id="952"/>
    </w:p>
    <w:p>
      <w:pPr>
        <w:pStyle w:val="BookText"/>
        <w:rPr/>
      </w:pPr>
      <w:r>
        <w:rPr>
          <w:rFonts w:ascii="IRNazanin" w:hAnsi="IRNazanin" w:eastAsia="IRNazanin"/>
          <w:color w:val="111111"/>
          <w:sz w:val="28"/>
          <w:sz w:val="28"/>
          <w:szCs w:val="28"/>
          <w:rtl w:val="true"/>
          <w:lang w:bidi="fa-IR"/>
        </w:rPr>
        <w:t>پیشرفت ها هم چنان در کنار روش های طراحی کاربر محور ادامه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رسیدن به درکی از رفتار کاربران از تحلیل وب از ضبط داده های تعاملی در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نقطه های احتمالی و ضعیف برای پیشرفت های بعدی مشخص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کد برنامه جاوا اسکریپت </w:t>
      </w:r>
      <w:r>
        <w:rPr>
          <w:rStyle w:val="FootnoteAnchor"/>
          <w:rtl w:val="true"/>
        </w:rPr>
        <w:footnoteReference w:id="995"/>
      </w:r>
      <w:r>
        <w:rPr>
          <w:rFonts w:ascii="IRNazanin" w:hAnsi="IRNazanin" w:eastAsia="IRNazanin"/>
          <w:color w:val="111111"/>
          <w:sz w:val="28"/>
          <w:sz w:val="28"/>
          <w:szCs w:val="28"/>
          <w:rtl w:val="true"/>
          <w:lang w:bidi="fa-IR"/>
        </w:rPr>
        <w:t>را به وب گاه ها اضافه کردیم تا بتوانیم داده های جزئی را در صفحات از پیش تعریف شده جمع 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صرف هر یک از صفحات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بازدید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بازدیدکنندگان هر صفحه، تعداد دفعاتی که از صفحه به سرعت خارج شده اند، وب گاه هایی که کاربران از طریق آن به درگاه دسترسی یافتند، کلمه جستجویی که در موتور جستجو وارد شده، زبان تنظیمات و امکانات فنی کاربران از جمله نسخه جستجوگر آن ها یا نوع گوشی همراهشان، کلیک، یعنی راهی که کاربران از طریق آن می توانند وارد درگاه شوند و البته کارهایی مثل بارگذاری کردن و مشاهده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اطلاعات می توان تعیین کرد که کدام محتوا و ویژگی بیشتر مورد توجه کاربران است و آیا پتانسیلی برای پیشرفت آن ها وجود دارد؟ نتایج تحلیل می شوند و کاربران در مورد آن ها بحث می کنند و مطابق با آن ها اقدامات لازم انجام می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کاربران تمایل دارند که در درگاه بعدی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بتوانند به راحتی از طریق دکمه بازخورد درخواست ها و پیشنهادهای خود و سایر کاربران را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فهرستی ترتیبی از بهترین نظرات به طور خودکار ایجاد شده است که برای پیشرفت های بعدی نظام به کار گرفته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کاربران تمایل دارند رابط آرشیوی باز </w:t>
      </w:r>
      <w:r>
        <w:rPr>
          <w:rStyle w:val="FootnoteAnchor"/>
          <w:rtl w:val="true"/>
        </w:rPr>
        <w:footnoteReference w:id="996"/>
      </w:r>
      <w:r>
        <w:rPr>
          <w:rFonts w:ascii="IRNazanin" w:hAnsi="IRNazanin" w:eastAsia="IRNazanin"/>
          <w:color w:val="111111"/>
          <w:sz w:val="28"/>
          <w:sz w:val="28"/>
          <w:szCs w:val="28"/>
          <w:rtl w:val="true"/>
          <w:lang w:bidi="fa-IR"/>
        </w:rPr>
        <w:t>را ببینند تا بتوانند بار دیگر از داده ها استفاده کنند</w:t>
      </w:r>
      <w:r>
        <w:rPr>
          <w:rFonts w:eastAsia="IRNazanin" w:cs="IRNazanin"/>
          <w:color w:val="111111"/>
          <w:sz w:val="28"/>
          <w:szCs w:val="28"/>
          <w:rtl w:val="true"/>
          <w:lang w:bidi="fa-IR"/>
        </w:rPr>
        <w:t xml:space="preserve">. </w:t>
      </w:r>
      <w:bookmarkStart w:id="953" w:name="pg9659_94160"/>
    </w:p>
    <w:p>
      <w:pPr>
        <w:pStyle w:val="BookText"/>
        <w:rPr/>
      </w:pPr>
      <w:bookmarkEnd w:id="953"/>
      <w:r>
        <w:rPr>
          <w:rFonts w:ascii="IRNazanin" w:hAnsi="IRNazanin" w:eastAsia="IRNazanin"/>
          <w:color w:val="111111"/>
          <w:sz w:val="28"/>
          <w:sz w:val="28"/>
          <w:szCs w:val="28"/>
          <w:rtl w:val="true"/>
          <w:lang w:bidi="fa-IR"/>
        </w:rPr>
        <w:t>با مرحله راه اندازه در بازار باید بار دیگر آزمون کاربرد پذیری انجام شود تا مشخص شود که رفتار واقعی کاربران در شرایط خاص چیست و میزان مقبولیت این درگاه نیز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کارهای واقعی مثل بارگذاری فیلم ها، استناد به فایل ویدئوی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فایل ویدئوی با استفاده از فراداده هایی که به طور خودکار تولید شده اند،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تیب به دنبال مشخص کردن این است که آیا کاربران آماده کمک به پیشرفت فراداده هایی هستند که به طور خودکار تولید شده اند، یا نه خصیصه ای که البته در فراداده های معتبر کم 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 قبول این نظام، احتمال اصلاح مبتنی بر کاربر فراداده های مبتنی بر محتوا وجود دارد و جریان برگشتی به زنجیره تجزیه و تحلیل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تجارب مثبتی که به دست آوردیم پیشرفت های بعدی درگاه 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 به همراه رویکردهای کاربر محور با هدف حصول فضای امن برای قابلیت استفاده بهینه از این نظام ادامه خواهد داشت</w:t>
      </w:r>
      <w:r>
        <w:rPr>
          <w:rFonts w:eastAsia="IRNazanin" w:cs="IRNazanin"/>
          <w:color w:val="111111"/>
          <w:sz w:val="28"/>
          <w:szCs w:val="28"/>
          <w:rtl w:val="true"/>
          <w:lang w:bidi="fa-IR"/>
        </w:rPr>
        <w:t>.</w:t>
      </w:r>
    </w:p>
    <w:p>
      <w:pPr>
        <w:pStyle w:val="Heading3"/>
        <w:numPr>
          <w:ilvl w:val="2"/>
          <w:numId w:val="1"/>
        </w:numPr>
        <w:rPr/>
      </w:pPr>
      <w:bookmarkStart w:id="954" w:name="__RefHeading___Toc7825915_2870459653"/>
      <w:bookmarkStart w:id="955" w:name="_Toc352"/>
      <w:bookmarkEnd w:id="954"/>
      <w:r>
        <w:rPr>
          <w:rtl w:val="true"/>
        </w:rPr>
        <w:t>منابع</w:t>
      </w:r>
      <w:bookmarkEnd w:id="9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Pruitt 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Pruitt, John; Adlin, Tamara: The Persona Lifecycle: A Field Guide for Interaction Designers. Keeping People in Mind Throughout Product Design. Morgan Kaufmann, 2005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Plank and Neumann 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Plank, Margret; Neumann, Janna. TIB ́s Portal for Audiovisual Media. New Ways of Indexing and Retrieval. In: IFLA Journal, 40 (2014), S. 17-23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Sack and Plank 2014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Sack, Harald; Plank, Margret. AV-Portal. The German National Library of Science and Technology's Semantic Video Portal. In: ERCIM News, No. 96 (2014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Hentschel and Blümel 2013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Hentschel, Christian; Blümel, Ina; Sack, Harald. Automatic Annotation of Scientific Video Material based on Visual Concept Detection. In: Proc. 13th International Conference on Knowledge Management and</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Knowledge Technologies, No. 16 (2013)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Plank 2012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Plank, Margret. A Portal for Scientific Audiovisual Media: Analysing User Needs Plank, M. LIBER Blog. www.libereurope.eu/blog/ a-portal-for-scientific-audiovisual-media-analysing-user-needs (2012)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Weichert and Plank 2011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Weichert, S.; Plank, M. Usability und User-Centered Design im Kontext einer wissenschaftlichen Bibliothek Benutzerorientierte Bibliotheken im Web.Usability-Methoden, Umsetzung und Trends Edited by Bekavac, Bernard/Schneider, René/ Schweibenz, Werner DE GRUYTER SAUR, pp. 97-118, 2011</w:t>
      </w:r>
      <w:r>
        <w:rPr>
          <w:rFonts w:eastAsia="Times New Roman" w:cs="Times New Roman" w:ascii="Times New Roman" w:hAnsi="Times New Roman"/>
          <w:color w:val="111111"/>
          <w:sz w:val="28"/>
          <w:szCs w:val="28"/>
          <w:rtl w:val="true"/>
          <w:lang w:val="en-US" w:bidi="en-US"/>
        </w:rPr>
        <w:t xml:space="preserve"> </w:t>
      </w:r>
      <w:bookmarkStart w:id="956" w:name="pg9659_94162"/>
    </w:p>
    <w:p>
      <w:pPr>
        <w:pStyle w:val="Heading2"/>
        <w:numPr>
          <w:ilvl w:val="1"/>
          <w:numId w:val="1"/>
        </w:numPr>
        <w:rPr/>
      </w:pPr>
      <w:bookmarkStart w:id="957" w:name="__RefHeading___Toc7825917_2870459653"/>
      <w:bookmarkStart w:id="958" w:name="_Toc353"/>
      <w:bookmarkEnd w:id="956"/>
      <w:bookmarkEnd w:id="957"/>
      <w:r>
        <w:rPr>
          <w:rtl w:val="true"/>
        </w:rPr>
        <w:t>چکیده</w:t>
      </w:r>
      <w:bookmarkEnd w:id="958"/>
    </w:p>
    <w:p>
      <w:pPr>
        <w:pStyle w:val="BookText"/>
        <w:rPr/>
      </w:pPr>
      <w:r>
        <w:rPr>
          <w:rFonts w:ascii="IRNazanin" w:hAnsi="IRNazanin" w:eastAsia="IRNazanin"/>
          <w:color w:val="111111"/>
          <w:sz w:val="28"/>
          <w:sz w:val="28"/>
          <w:szCs w:val="28"/>
          <w:rtl w:val="true"/>
          <w:lang w:bidi="fa-IR"/>
        </w:rPr>
        <w:t>طی دهه های گذشته کتاب خانه هایی در سراسر دنیا از الگوی سبز شدن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برخی از آن ها گواهی لید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در طراحی انرژی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 اند و برای احراز استانداردهای سطح بالای گواهی نامه ساختمان سبز در یک نظام امتیاز گذاری، طراحی و ساخته شده اند؛ اما شاخص های دیگری نیز برای نیل به ایده آل های پایداری زیست محیطی کتاب خانه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ساختمان کتاب خانه باید سازگار با محیط زیست باشد، باید بتواند به عنوان مربی و رهبر به صورت عامل محرک مدیریت دفتر سازگار با محیط زیست، ارائه دهنده خدمات سازگار با محیط زیست به کاربران، مجری فعالیت های سازگار با محیط زیست و ارائه دهنده اطلاعات و آموزش های سبک زندگی سازگار با محیط زیست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رساله ای که اخیراً در آلمان دفاع شده است، هدف از این مقاله پیشنهاد ایجاد بخش ویژه صدور گواهی کتاب خانه سبز برای کتاب 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نه تنها ساختمان کتاب خانه بلکه خدمات و مدیریت نظام های جاری کتاب خانه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ارائه این مقاله در اجلاس ایفلا، تعریف نظام مند همه جوانب یک کتاب خانه پایدار به وسیله نظام صدور گواهی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گروه تخصصی پایداری محیطی و کتاب خانه های ایفلا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اِنسولیب</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را به عنوان تنها مرجع رسمی ترویج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کتاب خانه سبز تحت عنوان گواهی کتاب خانه سبز انسولیب معرفی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سبز، پایداری محیط زیستی، نظام صدور گواهی </w:t>
      </w:r>
      <w:bookmarkStart w:id="959" w:name="pg9659_94163"/>
    </w:p>
    <w:p>
      <w:pPr>
        <w:pStyle w:val="Heading2"/>
        <w:numPr>
          <w:ilvl w:val="1"/>
          <w:numId w:val="1"/>
        </w:numPr>
        <w:rPr/>
      </w:pPr>
      <w:bookmarkStart w:id="960" w:name="__RefHeading___Toc7825919_2870459653"/>
      <w:bookmarkStart w:id="961" w:name="_Toc354"/>
      <w:bookmarkEnd w:id="959"/>
      <w:bookmarkEnd w:id="960"/>
      <w:r>
        <w:rPr>
          <w:rtl w:val="true"/>
        </w:rPr>
        <w:t>چگونه کتاب خانه ای سبز بشویم یا آن را شناسایی کنیم؟ استانداردهایی برای صدور گواهی</w:t>
      </w:r>
      <w:bookmarkEnd w:id="961"/>
    </w:p>
    <w:p>
      <w:pPr>
        <w:pStyle w:val="Heading3"/>
        <w:numPr>
          <w:ilvl w:val="2"/>
          <w:numId w:val="1"/>
        </w:numPr>
        <w:rPr/>
      </w:pPr>
      <w:bookmarkStart w:id="962" w:name="__RefHeading___Toc7825921_2870459653"/>
      <w:bookmarkStart w:id="963" w:name="_Toc355"/>
      <w:bookmarkEnd w:id="962"/>
      <w:r>
        <w:rPr>
          <w:rtl w:val="true"/>
        </w:rPr>
        <w:t>اشاره</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کتاب خانه ای سبز بشویم یا آن را شناسایی کنیم؟ استانداردهایی برای صدور گواهی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نوشته پِترا هاوک </w:t>
      </w:r>
      <w:r>
        <w:rPr>
          <w:rStyle w:val="FootnoteAnchor"/>
          <w:rtl w:val="true"/>
        </w:rPr>
        <w:footnoteReference w:id="1000"/>
      </w:r>
      <w:r>
        <w:rPr>
          <w:rFonts w:ascii="IRNazanin" w:hAnsi="IRNazanin" w:eastAsia="IRNazanin"/>
          <w:color w:val="111111"/>
          <w:sz w:val="28"/>
          <w:sz w:val="28"/>
          <w:szCs w:val="28"/>
          <w:rtl w:val="true"/>
          <w:lang w:bidi="fa-IR"/>
        </w:rPr>
        <w:t xml:space="preserve">ا ترجمه محبوبه قربانی </w:t>
      </w:r>
      <w:r>
        <w:rPr>
          <w:rStyle w:val="FootnoteAnchor"/>
          <w:rtl w:val="true"/>
        </w:rPr>
        <w:footnoteReference w:id="1001"/>
      </w:r>
    </w:p>
    <w:p>
      <w:pPr>
        <w:pStyle w:val="Heading3"/>
        <w:numPr>
          <w:ilvl w:val="2"/>
          <w:numId w:val="1"/>
        </w:numPr>
        <w:rPr/>
      </w:pPr>
      <w:bookmarkStart w:id="964" w:name="__RefHeading___Toc7825923_2870459653"/>
      <w:bookmarkStart w:id="965" w:name="_Toc356"/>
      <w:bookmarkEnd w:id="964"/>
      <w:r>
        <w:rPr>
          <w:rtl w:val="true"/>
        </w:rPr>
        <w:t>مقدمه</w:t>
      </w:r>
      <w:bookmarkEnd w:id="96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سبز به صورت سنتی به واسطه جنبه های ساختمانی نظیر به حداقل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منفی زیست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حداکثر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محیط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انتخاب مکان دقیق، استفاده از مواد و مصالح ساختمانی طبیعی و محصولات زیست محیطی قابل بازگشت به طبیعت، حفاظت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انرژی و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زباله مسئولانه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وب لاگ هایی با موضوع کتاب خانه سبز وجود دارند، نظیر وبلاگ ماریا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آنتونللی </w:t>
      </w:r>
      <w:r>
        <w:rPr>
          <w:rStyle w:val="FootnoteAnchor"/>
          <w:rtl w:val="true"/>
        </w:rPr>
        <w:footnoteReference w:id="1002"/>
      </w:r>
      <w:r>
        <w:rPr>
          <w:rFonts w:ascii="IRNazanin" w:hAnsi="IRNazanin" w:eastAsia="IRNazanin"/>
          <w:color w:val="111111"/>
          <w:sz w:val="28"/>
          <w:sz w:val="28"/>
          <w:szCs w:val="28"/>
          <w:rtl w:val="true"/>
          <w:lang w:bidi="fa-IR"/>
        </w:rPr>
        <w:t>که به مستندسازی اطلاعات کتاب خانه های سبز در آمریکای شمالی با تمرکز بر کتاب خانه های منطبق با شاخص های ساختمان سبز پرداخته است؛ اما کتاب خانه سبز لزوماً محدود به بنای ساختمان سبز نیست، بلکه مأموریت سبز را نیز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مورد مفهوم کتاب خانه سبز بحث می کند که شامل کتاب خانه ای است که پایداری را با آموزش، عمل و بروندادش ترویج می کند</w:t>
      </w:r>
      <w:r>
        <w:rPr>
          <w:rFonts w:eastAsia="IRNazanin" w:cs="IRNazanin"/>
          <w:color w:val="111111"/>
          <w:sz w:val="28"/>
          <w:szCs w:val="28"/>
          <w:rtl w:val="true"/>
          <w:lang w:bidi="fa-IR"/>
        </w:rPr>
        <w:t xml:space="preserve">. </w:t>
      </w:r>
      <w:bookmarkStart w:id="966" w:name="pg9659_94164"/>
    </w:p>
    <w:p>
      <w:pPr>
        <w:pStyle w:val="Heading3"/>
        <w:numPr>
          <w:ilvl w:val="2"/>
          <w:numId w:val="1"/>
        </w:numPr>
        <w:rPr/>
      </w:pPr>
      <w:bookmarkStart w:id="967" w:name="__RefHeading___Toc7825925_2870459653"/>
      <w:bookmarkStart w:id="968" w:name="_Toc357"/>
      <w:bookmarkEnd w:id="966"/>
      <w:bookmarkEnd w:id="967"/>
      <w:r>
        <w:rPr>
          <w:rtl w:val="true"/>
        </w:rPr>
        <w:t>مثال هایی از تجارب برتر</w:t>
      </w:r>
      <w:bookmarkEnd w:id="968"/>
    </w:p>
    <w:p>
      <w:pPr>
        <w:pStyle w:val="BookText"/>
        <w:rPr/>
      </w:pPr>
      <w:r>
        <w:rPr>
          <w:rFonts w:ascii="IRNazanin" w:hAnsi="IRNazanin" w:eastAsia="IRNazanin"/>
          <w:color w:val="111111"/>
          <w:sz w:val="28"/>
          <w:sz w:val="28"/>
          <w:szCs w:val="28"/>
          <w:rtl w:val="true"/>
          <w:lang w:bidi="fa-IR"/>
        </w:rPr>
        <w:t>با وجودی که همه کتاب خانه ها امکان احداث بنای جدید را ندارند، بسیاری از آن ها فرصت فعالیت های دوستدارانه محیط زیستی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بعضی از آن ها مانند کتاب خانه دانشگاه شمال غربی در اِوانستون ایلی نویز </w:t>
      </w:r>
      <w:r>
        <w:rPr>
          <w:rStyle w:val="FootnoteAnchor"/>
          <w:rtl w:val="true"/>
        </w:rPr>
        <w:footnoteReference w:id="1003"/>
      </w:r>
      <w:r>
        <w:rPr>
          <w:rFonts w:ascii="IRNazanin" w:hAnsi="IRNazanin" w:eastAsia="IRNazanin"/>
          <w:color w:val="111111"/>
          <w:sz w:val="28"/>
          <w:sz w:val="28"/>
          <w:szCs w:val="28"/>
          <w:rtl w:val="true"/>
          <w:lang w:bidi="fa-IR"/>
        </w:rPr>
        <w:t xml:space="preserve">،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فعالیت هایشان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دفتر سبز به دانشگاه و کارکنان آن در شناسایی فرصت های ساده که در راستای اهدافشان است، نه تنها در تغییر سبک زندگی و روال کاری کمک می کند، بلکه از آن ها می خواهد که روندهای جاری در محل کارشان را ارزیابی کنند و فرصت های حفظ زمان، انرژی و منابع طبیعی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کتاب خانه عمومی کلارکسویل مونتگومری کانتی در ایالت تنسی </w:t>
      </w:r>
      <w:r>
        <w:rPr>
          <w:rStyle w:val="FootnoteAnchor"/>
          <w:rtl w:val="true"/>
        </w:rPr>
        <w:footnoteReference w:id="1004"/>
      </w:r>
      <w:r>
        <w:rPr>
          <w:rFonts w:ascii="IRNazanin" w:hAnsi="IRNazanin" w:eastAsia="IRNazanin"/>
          <w:color w:val="111111"/>
          <w:sz w:val="28"/>
          <w:sz w:val="28"/>
          <w:szCs w:val="28"/>
          <w:rtl w:val="true"/>
          <w:lang w:bidi="fa-IR"/>
        </w:rPr>
        <w:t>، است که گواهی سبز کلارکسویل مونتگومری کانتی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خانه برنامه بازیافت خود را توسعه داد، میزان استفاده از کاغذ را کاهش داد، اثر بخشی مصرف انرژی را با قرار دادن رایانه ها، چاپگرها و دستگاه های تکثیر در حالت خواب </w:t>
      </w:r>
      <w:r>
        <w:rPr>
          <w:rStyle w:val="FootnoteAnchor"/>
          <w:rtl w:val="true"/>
        </w:rPr>
        <w:footnoteReference w:id="1005"/>
      </w:r>
      <w:r>
        <w:rPr>
          <w:rFonts w:ascii="IRNazanin" w:hAnsi="IRNazanin" w:eastAsia="IRNazanin"/>
          <w:color w:val="111111"/>
          <w:sz w:val="28"/>
          <w:sz w:val="28"/>
          <w:szCs w:val="28"/>
          <w:rtl w:val="true"/>
          <w:lang w:bidi="fa-IR"/>
        </w:rPr>
        <w:t>یا خاموش در پایان ساعت کاری و تنظیم ترموستات دستگاه های حرارتی برای بهره وری بهینه آن ها، افزایش داد، برنامه نظافت طبقات را با حداقل آب و انرژی تغییر داد و سرویس شستشوی پارچه های نظافت را به جای دورانداختن آن ها راه اندازی کرد و در نهایت رایانه های قدیمی را با نمونه های کم مصرف تر از نظر مصرف انرژی جایگزین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کتاب خانه سبز نِیبِرهود </w:t>
      </w:r>
      <w:r>
        <w:rPr>
          <w:rStyle w:val="FootnoteAnchor"/>
          <w:rtl w:val="true"/>
        </w:rPr>
        <w:footnoteReference w:id="1006"/>
      </w:r>
      <w:r>
        <w:rPr>
          <w:rFonts w:ascii="IRNazanin" w:hAnsi="IRNazanin" w:eastAsia="IRNazanin"/>
          <w:color w:val="111111"/>
          <w:sz w:val="28"/>
          <w:sz w:val="28"/>
          <w:szCs w:val="28"/>
          <w:rtl w:val="true"/>
          <w:lang w:bidi="fa-IR"/>
        </w:rPr>
        <w:t xml:space="preserve">در برلین آلمان است که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سبز شهری</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 طرح های دی آی وای </w:t>
      </w:r>
      <w:r>
        <w:rPr>
          <w:rStyle w:val="FootnoteAnchor"/>
          <w:rtl w:val="true"/>
        </w:rPr>
        <w:footnoteReference w:id="1008"/>
      </w:r>
      <w:r>
        <w:rPr>
          <w:rFonts w:ascii="IRNazanin" w:hAnsi="IRNazanin" w:eastAsia="IRNazanin"/>
          <w:color w:val="111111"/>
          <w:sz w:val="28"/>
          <w:sz w:val="28"/>
          <w:szCs w:val="28"/>
          <w:rtl w:val="true"/>
          <w:lang w:bidi="fa-IR"/>
        </w:rPr>
        <w:t>، ترویج سبک زندگی پایدار، فعالیت های مطالعه و زبان، حاکمیت زنبور عسل و تولید محصولات گیاهی را پیشنهاد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کتاب خانه سبز ملی در کرواسی که در این نشست توسط ایوان کرالیویچ </w:t>
      </w:r>
      <w:r>
        <w:rPr>
          <w:rStyle w:val="FootnoteAnchor"/>
          <w:rtl w:val="true"/>
        </w:rPr>
        <w:footnoteReference w:id="1009"/>
      </w:r>
      <w:r>
        <w:rPr>
          <w:rFonts w:ascii="IRNazanin" w:hAnsi="IRNazanin" w:eastAsia="IRNazanin"/>
          <w:color w:val="111111"/>
          <w:sz w:val="28"/>
          <w:sz w:val="28"/>
          <w:szCs w:val="28"/>
          <w:rtl w:val="true"/>
          <w:lang w:bidi="fa-IR"/>
        </w:rPr>
        <w:t xml:space="preserve">و پترا لوکاچیچ </w:t>
      </w:r>
      <w:r>
        <w:rPr>
          <w:rStyle w:val="FootnoteAnchor"/>
          <w:rtl w:val="true"/>
        </w:rPr>
        <w:footnoteReference w:id="1010"/>
      </w:r>
      <w:r>
        <w:rPr>
          <w:rFonts w:ascii="IRNazanin" w:hAnsi="IRNazanin" w:eastAsia="IRNazanin"/>
          <w:color w:val="111111"/>
          <w:sz w:val="28"/>
          <w:sz w:val="28"/>
          <w:szCs w:val="28"/>
          <w:rtl w:val="true"/>
          <w:lang w:bidi="fa-IR"/>
        </w:rPr>
        <w:t>ارائه شده است، تشریح می کند که چگونه طرح های کوچک و محلی به طور مؤثری در آموزش عمومی فعالیت می کنند و ضرورت آگاهی از جامعه پایدار و لزوم حفظ طبیعت را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نه تنها لزوماً فقط بر جنبه های ساختمانی بلکه بر صفحات وب کتاب خانه سبز، طرح های مستند سازی اطلاعات، سخنرانی ها، بحث های عمومی و کتاب های تبلیغاتی با موضوعات زیست محیطی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های کتاب خانه سبز در بسیاری از کشورها وجود دارد که گواهی دریافت کرده اند اما به صورت قابل توجه و به تمام معنا برای دریافت گواهی مناسب هستند</w:t>
      </w:r>
      <w:r>
        <w:rPr>
          <w:rFonts w:eastAsia="IRNazanin" w:cs="IRNazanin"/>
          <w:color w:val="111111"/>
          <w:sz w:val="28"/>
          <w:szCs w:val="28"/>
          <w:rtl w:val="true"/>
          <w:lang w:bidi="fa-IR"/>
        </w:rPr>
        <w:t xml:space="preserve">. </w:t>
      </w:r>
      <w:bookmarkStart w:id="969" w:name="pg9659_94165"/>
    </w:p>
    <w:p>
      <w:pPr>
        <w:pStyle w:val="Heading3"/>
        <w:numPr>
          <w:ilvl w:val="2"/>
          <w:numId w:val="1"/>
        </w:numPr>
        <w:rPr/>
      </w:pPr>
      <w:bookmarkStart w:id="970" w:name="__RefHeading___Toc7825927_2870459653"/>
      <w:bookmarkStart w:id="971" w:name="_Toc358"/>
      <w:bookmarkEnd w:id="969"/>
      <w:bookmarkEnd w:id="970"/>
      <w:r>
        <w:rPr>
          <w:rtl w:val="true"/>
        </w:rPr>
        <w:t>چگونه کتاب خانه سبز را شناسایی و ارزیابی کنیم؟</w:t>
      </w:r>
      <w:bookmarkEnd w:id="971"/>
    </w:p>
    <w:p>
      <w:pPr>
        <w:pStyle w:val="BookText"/>
        <w:rPr/>
      </w:pPr>
      <w:r>
        <w:rPr>
          <w:rFonts w:ascii="IRNazanin" w:hAnsi="IRNazanin" w:eastAsia="IRNazanin"/>
          <w:color w:val="111111"/>
          <w:sz w:val="28"/>
          <w:sz w:val="28"/>
          <w:szCs w:val="28"/>
          <w:rtl w:val="true"/>
          <w:lang w:bidi="fa-IR"/>
        </w:rPr>
        <w:t xml:space="preserve">در حال حاضر انواع متعددی از نظام های صدور گواهی و رتبه بندی و برچسب گذاری مناسب برای کتاب خانه های سبز نظیر گواهی نامه های ساختمان سبز وجود دارد که شامل لید،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ارزیابی بی آر ای</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 طرح ستاره انرژی برای ساختمان </w:t>
      </w:r>
      <w:r>
        <w:rPr>
          <w:rStyle w:val="FootnoteAnchor"/>
          <w:rtl w:val="true"/>
        </w:rPr>
        <w:footnoteReference w:id="10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هیچ یک از این ها مستقیماً بر کتاب خانه های سبز تمرکز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داریم گواهی اختصاصی که شامل بیش از شاخص های ساختمانی باشد،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نامه کتاب خانه سبز که به بیش از شاخص های ساختمانی توجه دارد برای کتاب خانه ها یک فضای بازاریابی معنی دار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گواهی نقش مهم آن ها را به عنوان راهبران و آموزش دهندگان در جامعه با توجه به اهمیت جامعه پایدار برجسته می کند؛ اما چه شاخصهایی برای گواهی نامه کتاب خانه سبز باید در نظر گرفته شود؟</w:t>
      </w:r>
    </w:p>
    <w:p>
      <w:pPr>
        <w:pStyle w:val="BookText"/>
        <w:rPr/>
      </w:pPr>
      <w:r>
        <w:rPr>
          <w:rFonts w:ascii="IRNazanin" w:hAnsi="IRNazanin" w:eastAsia="IRNazanin"/>
          <w:color w:val="111111"/>
          <w:sz w:val="28"/>
          <w:sz w:val="28"/>
          <w:szCs w:val="28"/>
          <w:rtl w:val="true"/>
          <w:lang w:bidi="fa-IR"/>
        </w:rPr>
        <w:t>مثال های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دانشگاه ماساریک در برنو </w:t>
      </w:r>
      <w:r>
        <w:rPr>
          <w:rStyle w:val="FootnoteAnchor"/>
          <w:rtl w:val="true"/>
        </w:rPr>
        <w:footnoteReference w:id="1013"/>
      </w:r>
      <w:r>
        <w:rPr>
          <w:rFonts w:ascii="IRNazanin" w:hAnsi="IRNazanin" w:eastAsia="IRNazanin"/>
          <w:color w:val="111111"/>
          <w:sz w:val="28"/>
          <w:sz w:val="28"/>
          <w:szCs w:val="28"/>
          <w:rtl w:val="true"/>
          <w:lang w:bidi="fa-IR"/>
        </w:rPr>
        <w:t>جمهوری چک، کتاب خانه های عمومی را که تقریباً به سمت سبز شدن حرکت کرده اند را شناسایی و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آزمونی آماده کردند که کتاب خانه با کسب بیش 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امتیاز در آن باید به عنوان کتاب خانه سبز شناخته شود و برای نشان دادن آن در وب گاه کتاب خانه و سایر اقلام تبلیغاتی آرم مناسبی طراحی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آلمان، ملانی پادیلا سِگارا </w:t>
      </w:r>
      <w:r>
        <w:rPr>
          <w:rStyle w:val="FootnoteAnchor"/>
          <w:rtl w:val="true"/>
        </w:rPr>
        <w:footnoteReference w:id="1014"/>
      </w:r>
      <w:r>
        <w:rPr>
          <w:rFonts w:ascii="IRNazanin" w:hAnsi="IRNazanin" w:eastAsia="IRNazanin"/>
          <w:color w:val="111111"/>
          <w:sz w:val="28"/>
          <w:sz w:val="28"/>
          <w:szCs w:val="28"/>
          <w:rtl w:val="true"/>
          <w:lang w:bidi="fa-IR"/>
        </w:rPr>
        <w:t xml:space="preserve">، دانشجوی مقطع کارشناسی ارشد دانشگاه رسانه استانگارت </w:t>
      </w:r>
      <w:r>
        <w:rPr>
          <w:rStyle w:val="FootnoteAnchor"/>
          <w:rtl w:val="true"/>
        </w:rPr>
        <w:footnoteReference w:id="1015"/>
      </w:r>
      <w:r>
        <w:rPr>
          <w:rFonts w:ascii="IRNazanin" w:hAnsi="IRNazanin" w:eastAsia="IRNazanin"/>
          <w:color w:val="111111"/>
          <w:sz w:val="28"/>
          <w:sz w:val="28"/>
          <w:szCs w:val="28"/>
          <w:rtl w:val="true"/>
          <w:lang w:bidi="fa-IR"/>
        </w:rPr>
        <w:t xml:space="preserve">، پایان نامه اش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سبز شدن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گواهی نامه ای برای کتاب خانه 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مثالی کاربردی از کتاب خانه عمومی استاتگارت،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وی در این پژوهش، توسعه بخش تخصصی صدور گواهی است که به کتاب خانه ها امکان اثبات شناخته شدن به عنوان کتابخانه سبز را برای برندینگ و بازاریابی مؤثر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نه تنها در برگیرنده جنبه های ساختمانی است بلکه خدمات و فرایندهای کتاب خانه و مدیریت نظام های آن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نظامی امتیاز گذاری برای ساختمان، آب، حمل و نقل، فرایندهای کاری، رویدادها و مدیریت را با تعریف شاخص های پایداری که باید در امور کتاب خانه های عمومی مورد توجه قرار گیرد، ارائه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پایداری کتاب خانه های عمومی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72" w:name="pg9659_94167"/>
    </w:p>
    <w:p>
      <w:pPr>
        <w:pStyle w:val="BookText"/>
        <w:rPr/>
      </w:pPr>
      <w:bookmarkEnd w:id="972"/>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نظام امتیاز گذاری پیشن هادی برای شرایط و الزامات کشور آلمان مناسب است و قابل استفاده برای کتاب خانه های آفریقا، آسیا یا استرالیا به دلیل تفاوت شرایط اقلیمی و شرایط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موارد بین المللی سیاهه مناسبی شامل شاخص های ساختمان، تجهیزات و مدیریت پایدار توسط ایفلا به عنوان کتاب خانه سبز منتشر شد که می تواند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پیشنهادی پادیلا می تواند برای توسعه نظام امتیاز گذاری کتاب خانه ها به وسیله اِنسولیب ایجاد انگیزه کند که فهرستی از شاخص های پایداری اصلی را برای دریافت گواهی نامه کتاب خانه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تائید اِنسولیب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توسعه نظامی تخصصی تر، اِنسولیب باید با کسانی که ایده هایشان را در این زمینه ارائه داده اند، نظیر دانشجویان کتاب داری و اطلاع رسانی در آلمان، کرواسی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اعضای کمیته حرفه مندان جدید ایفلا </w:t>
      </w:r>
      <w:r>
        <w:rPr>
          <w:rStyle w:val="FootnoteAnchor"/>
          <w:rtl w:val="true"/>
        </w:rPr>
        <w:footnoteReference w:id="1016"/>
      </w:r>
      <w:r>
        <w:rPr>
          <w:rFonts w:ascii="IRNazanin" w:hAnsi="IRNazanin" w:eastAsia="IRNazanin"/>
          <w:color w:val="111111"/>
          <w:sz w:val="28"/>
          <w:sz w:val="28"/>
          <w:szCs w:val="28"/>
          <w:rtl w:val="true"/>
          <w:lang w:bidi="fa-IR"/>
        </w:rPr>
        <w:t>هم فکری و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امتیاز گذاری پیشنهادی می تواند در کرواسی به عنوان یک نظام خودارزیابی با مشارکت انجمن کتاب داری آن کشور استفاده شود</w:t>
      </w:r>
      <w:r>
        <w:rPr>
          <w:rFonts w:eastAsia="IRNazanin" w:cs="IRNazanin"/>
          <w:color w:val="111111"/>
          <w:sz w:val="28"/>
          <w:szCs w:val="28"/>
          <w:rtl w:val="true"/>
          <w:lang w:bidi="fa-IR"/>
        </w:rPr>
        <w:t>.</w:t>
      </w:r>
    </w:p>
    <w:p>
      <w:pPr>
        <w:pStyle w:val="Heading3"/>
        <w:numPr>
          <w:ilvl w:val="2"/>
          <w:numId w:val="1"/>
        </w:numPr>
        <w:rPr/>
      </w:pPr>
      <w:bookmarkStart w:id="973" w:name="__RefHeading___Toc7825929_2870459653"/>
      <w:bookmarkStart w:id="974" w:name="_Toc359"/>
      <w:bookmarkEnd w:id="973"/>
      <w:r>
        <w:rPr>
          <w:rtl w:val="true"/>
        </w:rPr>
        <w:t>چشم انداز</w:t>
      </w:r>
      <w:bookmarkEnd w:id="974"/>
    </w:p>
    <w:p>
      <w:pPr>
        <w:pStyle w:val="BookText"/>
        <w:rPr/>
      </w:pPr>
      <w:r>
        <w:rPr>
          <w:rFonts w:ascii="IRNazanin" w:hAnsi="IRNazanin" w:eastAsia="IRNazanin"/>
          <w:color w:val="111111"/>
          <w:sz w:val="28"/>
          <w:sz w:val="28"/>
          <w:szCs w:val="28"/>
          <w:rtl w:val="true"/>
          <w:lang w:bidi="fa-IR"/>
        </w:rPr>
        <w:t>با یک نظام صدور گواهی نامه در پس زمینه برای توسعه طرح های کتاب خانه سبز در سرتاسر جهان، اِنسولیب باید با کمیته مدیریت انجمن های ایفلا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 ملی متعددی از جمله ایالات متحده، استرالیا، کرواسی و اتریش حمایت کننده جنبش کتاب خانه های سبز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 کتاب داری برای سایرین نمونه هایی را ارائه می کنند و ایده کتاب خانه سبز را در کشورهای دیگر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اِنسولیب باید به طور مثال با کمیته کتاب خانه های عمومی ایفلا، کمیته کتاب خانه های آموزشگاهی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ایده شناسایی و صدور گواهی برای طرح های کتاب خانه سبز هم کاری داشته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صدور گواهی کتاب خانه سبز، به وسیله اِنسولیب تعریف شده است که کتاب خانه ها و انجمن های کتاب داری را برای ادامه مسیر جنبش کتاب خانه سبز تشویق خواهد کرد</w:t>
      </w:r>
      <w:r>
        <w:rPr>
          <w:rFonts w:eastAsia="IRNazanin" w:cs="IRNazanin"/>
          <w:color w:val="111111"/>
          <w:sz w:val="28"/>
          <w:szCs w:val="28"/>
          <w:rtl w:val="true"/>
          <w:lang w:bidi="fa-IR"/>
        </w:rPr>
        <w:t xml:space="preserve">. </w:t>
      </w:r>
      <w:bookmarkStart w:id="975" w:name="pg9659_94168"/>
    </w:p>
    <w:p>
      <w:pPr>
        <w:pStyle w:val="Heading3"/>
        <w:numPr>
          <w:ilvl w:val="2"/>
          <w:numId w:val="1"/>
        </w:numPr>
        <w:rPr/>
      </w:pPr>
      <w:bookmarkStart w:id="976" w:name="__RefHeading___Toc7825931_2870459653"/>
      <w:bookmarkStart w:id="977" w:name="_Toc360"/>
      <w:bookmarkEnd w:id="975"/>
      <w:bookmarkEnd w:id="976"/>
      <w:r>
        <w:rPr>
          <w:rtl w:val="true"/>
        </w:rPr>
        <w:t>منابع</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Aulisio, George J. (2013). Green Libraries Are More Than Just Buildings. Electronic Green Journal, January 1. https://www.questia.com/library/journal/1P3-2981112901/greenlibraries-are-more-than-just-buildings.Accessed on 24 July 2015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17Werner (2013). 4 Genovese, Peter, &amp; Albanese, Patricia (2011). Sustainable libraries Sustainable Services: A Global view. Paper presented at the 77th IFLA World Library and Information Congress,13-18 Aug 2011, San Juan, Puerto Rico. http://conference.ifla.org/past-wlic/2011/196-genoveseen pdf.Accessed on 27 July 2015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Green Libraries. A Website for Information about Green and Sustainable Libraries/Monika Antonelli.http://www.greenlibraries.org.Accessed on 24 July 2015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Hauke, P., &amp; Werner, K. U. (2013). Going green as a marketing tool for libraries: environmentally sustainable management practices. Paper presented at the 79th IFLA World Library and Information Congress, 17-23 August 2013, Singapore. http://conference.ifla.org/past-wlic/2013/ifla 79.htm. Accesssed on 26 July 2015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Hauke, P., &amp; Werner, K. U. (eds.) (2013). The Green Library = Die Grüne Bibliothek. The challenge of environmental sustainability. München: de Gruyter Saur (IFLA publication series, 161)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Hauke, P., &amp; Werner, K. U. (2012). The Secondhand library building - Sustainable thinking through recycling old buildings into new libraries. IFLA Journal, 1, 60–67. http://www.ifla.org/files/assets/hq/publications/ifla-journal/ifla-journal-38-4_2012.pdf. Accessed on 26 July Koll, Gabriele (2015). Die Grüne Bibliothek der Nachbarschaft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Büchereiperspektiven, 2, 20- 21. https://www.bvoe.at/epaper/2_15/. Accessed on 24 July 2015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Padilla Segarra, Melanie (2015). Let's go green! Büchereiperspektiven, 2, 6-7. https://www.bvoe.at/epaper/2_15/. Accessed on 24 July 2015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Prucková, Lenka (2015). Grüne Bibliotheken in Tschechien. Büchereiperspektiven, 2, 22-23. https://www.bvoe.at/epaper/2_15. Accessed on 24 July 2015. Werner, Klaus Ulrich (2013). Sustainable buildings, equipment, and management. A checklist (pp. [395]-404). The Green Library = Die Grüne Bibliothek, ed. by P. Hauke, K. Latimer K.U. Werner. München: de Gruyter Saur 2013 (IFLA publications, 161). Checklist online available at https://www.ibi.hu-berlin.de/de/studium/ studprojekte/buchidee/bi12/checklist in 18 languages. Accessed on 26 July 2015</w:t>
      </w:r>
      <w:r>
        <w:rPr>
          <w:rFonts w:eastAsia="Times New Roman" w:cs="Times New Roman" w:ascii="Times New Roman" w:hAnsi="Times New Roman"/>
          <w:color w:val="111111"/>
          <w:sz w:val="28"/>
          <w:szCs w:val="28"/>
          <w:rtl w:val="true"/>
          <w:lang w:val="en-US" w:bidi="en-US"/>
        </w:rPr>
        <w:t xml:space="preserve"> </w:t>
      </w:r>
      <w:bookmarkStart w:id="978" w:name="pg9659_94170"/>
    </w:p>
    <w:p>
      <w:pPr>
        <w:pStyle w:val="Heading2"/>
        <w:numPr>
          <w:ilvl w:val="1"/>
          <w:numId w:val="1"/>
        </w:numPr>
        <w:rPr/>
      </w:pPr>
      <w:bookmarkStart w:id="979" w:name="__RefHeading___Toc7825933_2870459653"/>
      <w:bookmarkStart w:id="980" w:name="_Toc361"/>
      <w:bookmarkEnd w:id="978"/>
      <w:bookmarkEnd w:id="979"/>
      <w:r>
        <w:rPr>
          <w:rtl w:val="true"/>
        </w:rPr>
        <w:t>چکیده</w:t>
      </w:r>
      <w:bookmarkEnd w:id="980"/>
    </w:p>
    <w:p>
      <w:pPr>
        <w:pStyle w:val="BookText"/>
        <w:rPr/>
      </w:pPr>
      <w:r>
        <w:rPr>
          <w:rFonts w:ascii="IRNazanin" w:hAnsi="IRNazanin" w:eastAsia="IRNazanin"/>
          <w:color w:val="111111"/>
          <w:sz w:val="28"/>
          <w:sz w:val="28"/>
          <w:szCs w:val="28"/>
          <w:rtl w:val="true"/>
          <w:lang w:bidi="fa-IR"/>
        </w:rPr>
        <w:t xml:space="preserve">شبکه امانت مستقیم </w:t>
      </w:r>
      <w:r>
        <w:rPr>
          <w:rStyle w:val="FootnoteAnchor"/>
          <w:rtl w:val="true"/>
        </w:rPr>
        <w:footnoteReference w:id="1017"/>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حاصل مشارکت نه دانشگاه مستقل آمریکا و مرکز کتاب خانه های پژوهشی </w:t>
      </w:r>
      <w:r>
        <w:rPr>
          <w:rStyle w:val="FootnoteAnchor"/>
          <w:rtl w:val="true"/>
        </w:rPr>
        <w:footnoteReference w:id="1018"/>
      </w:r>
      <w:r>
        <w:rPr>
          <w:rFonts w:ascii="IRNazanin" w:hAnsi="IRNazanin" w:eastAsia="IRNazanin"/>
          <w:color w:val="111111"/>
          <w:sz w:val="28"/>
          <w:sz w:val="28"/>
          <w:szCs w:val="28"/>
          <w:rtl w:val="true"/>
          <w:lang w:bidi="fa-IR"/>
        </w:rPr>
        <w:t>است که تحویل منابع چاپی و نیز تحویل قریب به دو میلیون منبع اطلاعاتی در بین اعضای این مؤسسات را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سریع کتاب های الکترونیکی، برای این اشتراک منابع موفق چالشی ایجاد کردند طوری که اعضای مؤسسات استفاده از این نوع محتوا را افزایش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فرد می تواند کتابی را از موسسه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بدون آن که نسخه ای از آن را برای خود بخرد؟ برای مقابله با این معضل الگوهای مختلفی ابداع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لوای شبکه امانت مستقیم، کتاب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مهندسان </w:t>
      </w:r>
      <w:r>
        <w:rPr>
          <w:rStyle w:val="FootnoteAnchor"/>
          <w:rtl w:val="true"/>
        </w:rPr>
        <w:footnoteReference w:id="1019"/>
      </w:r>
      <w:r>
        <w:rPr>
          <w:rFonts w:ascii="IRNazanin" w:hAnsi="IRNazanin" w:eastAsia="IRNazanin"/>
          <w:color w:val="111111"/>
          <w:sz w:val="28"/>
          <w:sz w:val="28"/>
          <w:szCs w:val="28"/>
          <w:rtl w:val="true"/>
          <w:lang w:bidi="fa-IR"/>
        </w:rPr>
        <w:t xml:space="preserve">هفت موسسه عضو، برای بررسی خرید یک جای کتاب های الکترونیکی از طریق فراهم آوری تقاضاگرا </w:t>
      </w:r>
      <w:r>
        <w:rPr>
          <w:rStyle w:val="FootnoteAnchor"/>
          <w:rtl w:val="true"/>
        </w:rPr>
        <w:footnoteReference w:id="1020"/>
      </w:r>
      <w:r>
        <w:rPr>
          <w:rFonts w:ascii="IRNazanin" w:hAnsi="IRNazanin" w:eastAsia="IRNazanin"/>
          <w:color w:val="111111"/>
          <w:sz w:val="28"/>
          <w:sz w:val="28"/>
          <w:szCs w:val="28"/>
          <w:rtl w:val="true"/>
          <w:lang w:bidi="fa-IR"/>
        </w:rPr>
        <w:t>، در طرحی آزمایشی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کنسرسیوم خرید کتاب های الکترونیکی و فراهم آوری تقاضاگرا مفاهیم یکسانی نیستند اما نکته بدیع آن است که این طرح آزمایشی بدون حضور یک سازمان مرکزی هماهنگ کننده انجام شده است این مقاله سیر تحول این طرح را شرح خواهد داد، گروه های</w:t>
      </w:r>
    </w:p>
    <w:p>
      <w:pPr>
        <w:pStyle w:val="BookText"/>
        <w:rPr/>
      </w:pPr>
      <w:r>
        <w:rPr>
          <w:rFonts w:ascii="IRNazanin" w:hAnsi="IRNazanin" w:eastAsia="IRNazanin"/>
          <w:color w:val="111111"/>
          <w:sz w:val="28"/>
          <w:sz w:val="28"/>
          <w:szCs w:val="28"/>
          <w:rtl w:val="true"/>
          <w:lang w:bidi="fa-IR"/>
        </w:rPr>
        <w:t>استفاده کننده این منابع خریداری شده را ارزیابی می کند و بین سطح فعالیت اشتراکی منابع چاپی حوزه مهندسی و مجموعه کتاب الکترونیکی تازه ایجاد شده مقایسه ای انجام می دهد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مستقیم، فراهم آوری تقاضاگرا، کتاب های الکترونیکی </w:t>
      </w:r>
      <w:bookmarkStart w:id="981" w:name="pg9659_94171"/>
    </w:p>
    <w:p>
      <w:pPr>
        <w:pStyle w:val="Heading2"/>
        <w:numPr>
          <w:ilvl w:val="1"/>
          <w:numId w:val="1"/>
        </w:numPr>
        <w:rPr/>
      </w:pPr>
      <w:bookmarkStart w:id="982" w:name="__RefHeading___Toc7825935_2870459653"/>
      <w:bookmarkStart w:id="983" w:name="_Toc362"/>
      <w:bookmarkEnd w:id="981"/>
      <w:bookmarkEnd w:id="982"/>
      <w:r>
        <w:rPr>
          <w:rtl w:val="true"/>
        </w:rPr>
        <w:t>ارزیابی استفاده اشتراکی از کتاب های الکترونیکی مشترک در شبکه امانت مستقیم</w:t>
      </w:r>
      <w:bookmarkEnd w:id="983"/>
    </w:p>
    <w:p>
      <w:pPr>
        <w:pStyle w:val="Heading3"/>
        <w:numPr>
          <w:ilvl w:val="2"/>
          <w:numId w:val="1"/>
        </w:numPr>
        <w:rPr/>
      </w:pPr>
      <w:bookmarkStart w:id="984" w:name="__RefHeading___Toc7825937_2870459653"/>
      <w:bookmarkStart w:id="985" w:name="_Toc363"/>
      <w:bookmarkEnd w:id="984"/>
      <w:r>
        <w:rPr>
          <w:rtl w:val="true"/>
        </w:rPr>
        <w:t>اشاره</w:t>
      </w:r>
      <w:bookmarkEnd w:id="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ارزیابی استفاده اشتراکی از کتاب های الکترونیکی مشترک در شبکه امانت مستقیم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نوشته آدریانا پوپسکو </w:t>
      </w:r>
      <w:r>
        <w:rPr>
          <w:rStyle w:val="FootnoteAnchor"/>
          <w:rtl w:val="true"/>
        </w:rPr>
        <w:footnoteReference w:id="1022"/>
      </w:r>
      <w:r>
        <w:rPr>
          <w:rFonts w:ascii="IRNazanin" w:hAnsi="IRNazanin" w:eastAsia="IRNazanin"/>
          <w:color w:val="111111"/>
          <w:sz w:val="28"/>
          <w:sz w:val="28"/>
          <w:szCs w:val="28"/>
          <w:rtl w:val="true"/>
          <w:lang w:bidi="fa-IR"/>
        </w:rPr>
        <w:t xml:space="preserve">، داگلاس مک گی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عباس گیلوری </w:t>
      </w:r>
      <w:r>
        <w:rPr>
          <w:rStyle w:val="FootnoteAnchor"/>
          <w:rtl w:val="true"/>
        </w:rPr>
        <w:footnoteReference w:id="1024"/>
      </w:r>
    </w:p>
    <w:p>
      <w:pPr>
        <w:pStyle w:val="Heading3"/>
        <w:numPr>
          <w:ilvl w:val="2"/>
          <w:numId w:val="1"/>
        </w:numPr>
        <w:rPr/>
      </w:pPr>
      <w:bookmarkStart w:id="986" w:name="__RefHeading___Toc7825939_2870459653"/>
      <w:bookmarkStart w:id="987" w:name="_Toc364"/>
      <w:bookmarkEnd w:id="986"/>
      <w:r>
        <w:rPr>
          <w:rtl w:val="true"/>
        </w:rPr>
        <w:t xml:space="preserve">امانت مستقیم </w:t>
      </w:r>
      <w:r>
        <w:rPr>
          <w:rtl w:val="true"/>
        </w:rPr>
        <w:t xml:space="preserve">- </w:t>
      </w:r>
      <w:r>
        <w:rPr>
          <w:rtl w:val="true"/>
        </w:rPr>
        <w:t>پیشینه تاریخی</w:t>
      </w:r>
      <w:bookmarkEnd w:id="987"/>
    </w:p>
    <w:p>
      <w:pPr>
        <w:pStyle w:val="BookText"/>
        <w:rPr/>
      </w:pPr>
      <w:r>
        <w:rPr>
          <w:rFonts w:ascii="IRNazanin" w:hAnsi="IRNazanin" w:eastAsia="IRNazanin"/>
          <w:color w:val="111111"/>
          <w:sz w:val="28"/>
          <w:sz w:val="28"/>
          <w:szCs w:val="28"/>
          <w:rtl w:val="true"/>
          <w:lang w:bidi="fa-IR"/>
        </w:rPr>
        <w:t xml:space="preserve">امانت بین کتاب خانه ای </w:t>
      </w:r>
      <w:r>
        <w:rPr>
          <w:rStyle w:val="FootnoteAnchor"/>
          <w:rtl w:val="true"/>
        </w:rPr>
        <w:footnoteReference w:id="1025"/>
      </w:r>
      <w:r>
        <w:rPr>
          <w:rFonts w:ascii="IRNazanin" w:hAnsi="IRNazanin" w:eastAsia="IRNazanin"/>
          <w:color w:val="111111"/>
          <w:sz w:val="28"/>
          <w:sz w:val="28"/>
          <w:szCs w:val="28"/>
          <w:rtl w:val="true"/>
          <w:lang w:bidi="fa-IR"/>
        </w:rPr>
        <w:t>خدمتی قدیمی و با سابقه است که کتاب خانه ها در کنار مجموعه های خاص خود، برای دسترسی تکمیلی به منابع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بین کتاب خانه ای، گرچه برای اعضاء سودمند است، اما مدیریت آن بیش از پیش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تهیه کنندگان مختلف برای تأمین تقاضای روز افزون انواع مختلف قالب های اطلاعاتی، این خدمت به مشارکت فرآیندها و نظام های بسیاری نیاز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در شبکه امانت مستقیم، به عنوان طرحی آزمایشی، بین دانشگاه کلمبیا دانشگاه یِیِل </w:t>
      </w:r>
      <w:r>
        <w:rPr>
          <w:rStyle w:val="FootnoteAnchor"/>
          <w:rtl w:val="true"/>
        </w:rPr>
        <w:footnoteReference w:id="1026"/>
      </w:r>
      <w:r>
        <w:rPr>
          <w:rFonts w:ascii="IRNazanin" w:hAnsi="IRNazanin" w:eastAsia="IRNazanin"/>
          <w:color w:val="111111"/>
          <w:sz w:val="28"/>
          <w:sz w:val="28"/>
          <w:szCs w:val="28"/>
          <w:rtl w:val="true"/>
          <w:lang w:bidi="fa-IR"/>
        </w:rPr>
        <w:t xml:space="preserve">و دانشگاه پنسیلوانیا و به منظور استفاده از فناوری در حداقل بخشی از این فرآیند و تحویل کتاب های </w:t>
      </w:r>
      <w:bookmarkStart w:id="988" w:name="pg9659_94172"/>
    </w:p>
    <w:p>
      <w:pPr>
        <w:pStyle w:val="BookText"/>
        <w:rPr/>
      </w:pPr>
      <w:bookmarkEnd w:id="988"/>
      <w:r>
        <w:rPr>
          <w:rFonts w:ascii="IRNazanin" w:hAnsi="IRNazanin" w:eastAsia="IRNazanin"/>
          <w:color w:val="111111"/>
          <w:sz w:val="28"/>
          <w:sz w:val="28"/>
          <w:szCs w:val="28"/>
          <w:rtl w:val="true"/>
          <w:lang w:bidi="fa-IR"/>
        </w:rPr>
        <w:t xml:space="preserve">چاپی و اقلام فیزیکی مشابه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بی واسطه مشتریان و انتخاب منابع از فهرستی مشترک، تحویل به موقع مدارک از شبکه کوچک تری از شرکاء اما با مجموعه های پژوهشی بزرگ و درگیری بیشتر کارکنان رده پایین و رهایی کارکنان رده بالا از تعاملات پر چالش، از جمله مزایای اصلی این طرح آزمایشی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کالینز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موفقیت اولیه، مشارکت در این طرح به سرعت افزایش یافت و تعداد شرکاء به هفت و نهایتاً با مشارکت دانشگاه براون، دانشگاه كورنل، دانشکده دارتموث </w:t>
      </w:r>
      <w:r>
        <w:rPr>
          <w:rStyle w:val="FootnoteAnchor"/>
          <w:rtl w:val="true"/>
        </w:rPr>
        <w:footnoteReference w:id="1029"/>
      </w:r>
      <w:r>
        <w:rPr>
          <w:rFonts w:ascii="IRNazanin" w:hAnsi="IRNazanin" w:eastAsia="IRNazanin"/>
          <w:color w:val="111111"/>
          <w:sz w:val="28"/>
          <w:sz w:val="28"/>
          <w:szCs w:val="28"/>
          <w:rtl w:val="true"/>
          <w:lang w:bidi="fa-IR"/>
        </w:rPr>
        <w:t xml:space="preserve">، دانشگاه هاروارد، انستیتوی فناوری ماساچوست </w:t>
      </w:r>
      <w:r>
        <w:rPr>
          <w:rStyle w:val="FootnoteAnchor"/>
          <w:rtl w:val="true"/>
        </w:rPr>
        <w:footnoteReference w:id="1030"/>
      </w:r>
      <w:r>
        <w:rPr>
          <w:rFonts w:ascii="IRNazanin" w:hAnsi="IRNazanin" w:eastAsia="IRNazanin"/>
          <w:color w:val="111111"/>
          <w:sz w:val="28"/>
          <w:sz w:val="28"/>
          <w:szCs w:val="28"/>
          <w:rtl w:val="true"/>
          <w:lang w:bidi="fa-IR"/>
        </w:rPr>
        <w:t>، دانشگاه پرینستون، دانشگاه شیکاگو و مرکز کتاب خانه های پژوهشی و پیوستن به سه عضو اصلی، تعداد شرکاء به یازده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آن است که این مؤسسات، مؤسساتی مستقل و رقابتی هستند که با حداقل کارکنان مدیریتی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کمک مدیر برنامه ریزی و یک مدیر ارشد که هر دو در دانشگاه پنسیلوانیا مستقر بودند و روزانه بر ارتباطات نظارت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نظام زیرساختی همکاری داشتند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نیتکی، جونز و بارنت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نصب یک نظام تحویل مدرک کارآمد، مدیران ارشد در مؤسسات شریک، کتابداران موضوعی خود را به همکاری در زمینه طرح های مجموعه گستری تشویق کردند تا برای ترویج دسترسی و توزیع بار سنگین فراهم آوری روش های جدیدی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گسترش کارآمد تعداد منابع انحصاری موجود در کل گروه، کتاب داران بخش موسیقی با همکاری آهنگ سازان هر یک از مؤسسات شرکت کننده تلاش مشترکی را برای توزیع فرآیند فراهم آوری منابع آغاز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کالینز،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کتاب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هشت دانشگاه عضو برای یافتن راه حلی برای چالش فزاینده تک نگاشت ها در نظام امانت بین کتاب خانه ای، یعنی کتاب های الکترونیکی، همکاری خود را آغاز کردند</w:t>
      </w:r>
      <w:r>
        <w:rPr>
          <w:rFonts w:eastAsia="IRNazanin" w:cs="IRNazanin"/>
          <w:color w:val="111111"/>
          <w:sz w:val="28"/>
          <w:szCs w:val="28"/>
          <w:rtl w:val="true"/>
          <w:lang w:bidi="fa-IR"/>
        </w:rPr>
        <w:t>.</w:t>
      </w:r>
    </w:p>
    <w:p>
      <w:pPr>
        <w:pStyle w:val="Heading3"/>
        <w:numPr>
          <w:ilvl w:val="2"/>
          <w:numId w:val="1"/>
        </w:numPr>
        <w:rPr/>
      </w:pPr>
      <w:bookmarkStart w:id="989" w:name="__RefHeading___Toc7825941_2870459653"/>
      <w:bookmarkStart w:id="990" w:name="_Toc365"/>
      <w:bookmarkEnd w:id="989"/>
      <w:r>
        <w:rPr>
          <w:rtl w:val="true"/>
        </w:rPr>
        <w:t>تأثیر گذر به قالب کتاب الکترونیکی بر فعالیت های امانی در شبکه امانت مستقیم</w:t>
      </w:r>
      <w:bookmarkEnd w:id="99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مولر </w:t>
      </w:r>
      <w:r>
        <w:rPr>
          <w:rStyle w:val="FootnoteAnchor"/>
          <w:rtl w:val="true"/>
        </w:rPr>
        <w:footnoteReference w:id="1032"/>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شیوایی بسیار اشاره کرده است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کتاب ها یکی از پیامدهای جهان آنالوگ است و صرفاً برای توزیع اشیای محسوس، یعنی کتاب های چاپی،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 باید مفهوم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که به عنوان اصلی اساسی برای انتقال کتاب الکترونیکی از کتاب خانه به بهره گیر </w:t>
      </w:r>
      <w:bookmarkStart w:id="991" w:name="pg9659_94173"/>
    </w:p>
    <w:p>
      <w:pPr>
        <w:pStyle w:val="BookText"/>
        <w:rPr/>
      </w:pPr>
      <w:bookmarkEnd w:id="991"/>
      <w:r>
        <w:rPr>
          <w:rFonts w:ascii="IRNazanin" w:hAnsi="IRNazanin" w:eastAsia="IRNazanin"/>
          <w:color w:val="111111"/>
          <w:sz w:val="28"/>
          <w:sz w:val="28"/>
          <w:szCs w:val="28"/>
          <w:rtl w:val="true"/>
          <w:lang w:bidi="fa-IR"/>
        </w:rPr>
        <w:t>کاربرد دارد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مولر، کتاب خانه ها برای ایجاد ابزارهای قانونی جدیدی که به کتابداران در تأمین دسترسی بهره گیران به کتاب های الکترونیکی کمک می کند باید قوه مقننه را تحت فشار قرار دهند؛ اما این اقدام موضوعی پیچیده است و راه حلی کوتاه مدت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کتاب خانه های پژوهشی به اقدامی نیاز دارند که به نیازهای حال حاضر آنان توجه داشته باشد و در عین حال اطمینان دهد که این راه حل ها نیازهای بلند مدت مجموعه سازی آنان را نیز مرتفع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کتابداری با این تصور در انتظار است که ببیند طرح اُکامزریدر </w:t>
      </w:r>
      <w:r>
        <w:rPr>
          <w:rStyle w:val="FootnoteAnchor"/>
          <w:rtl w:val="true"/>
        </w:rPr>
        <w:footnoteReference w:id="1035"/>
      </w:r>
      <w:r>
        <w:rPr>
          <w:rFonts w:ascii="IRNazanin" w:hAnsi="IRNazanin" w:eastAsia="IRNazanin"/>
          <w:color w:val="111111"/>
          <w:sz w:val="28"/>
          <w:sz w:val="28"/>
          <w:szCs w:val="28"/>
          <w:rtl w:val="true"/>
          <w:lang w:bidi="fa-IR"/>
        </w:rPr>
        <w:t xml:space="preserve">که هم اکنون انتشارات جی دبلیو ال ای و اسپرینگر </w:t>
      </w:r>
      <w:r>
        <w:rPr>
          <w:rStyle w:val="FootnoteAnchor"/>
          <w:rtl w:val="true"/>
        </w:rPr>
        <w:footnoteReference w:id="1036"/>
      </w:r>
      <w:r>
        <w:rPr>
          <w:rFonts w:ascii="IRNazanin" w:hAnsi="IRNazanin" w:eastAsia="IRNazanin"/>
          <w:color w:val="111111"/>
          <w:sz w:val="28"/>
          <w:sz w:val="28"/>
          <w:szCs w:val="28"/>
          <w:rtl w:val="true"/>
          <w:lang w:bidi="fa-IR"/>
        </w:rPr>
        <w:t xml:space="preserve">به صورت آزمایشی در حال اجرای آن هستند، چگونه فرآیند امانت کتاب های الکترونیک را تغییر داده و بر آن تأثیر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هوارد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پذیرفته شده است که هم زمان با پذیرش بیشتر کتاب های الکترونیکی در دانشگاه ها، محرک عمده موجودیت شبکه امانت مستقیم، یعنی امانت شتابان تک نگاشت ها در مؤسسات، نیز باید تحول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کتاب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هشت عضو شبکه امانت مستقیم وظیفه یافتند تا برای ایجاد یک مجموعه اشتراکی از کتاب الکترونیکی الگوهایی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مهندسی با دو هدف عمده در این طرح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هدف، دسترسی به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w:t>
      </w:r>
      <w:r>
        <w:rPr>
          <w:rStyle w:val="FootnoteAnchor"/>
          <w:rtl w:val="true"/>
        </w:rPr>
        <w:footnoteReference w:id="1038"/>
      </w:r>
      <w:r>
        <w:rPr>
          <w:rFonts w:ascii="IRNazanin" w:hAnsi="IRNazanin" w:eastAsia="IRNazanin"/>
          <w:color w:val="111111"/>
          <w:sz w:val="28"/>
          <w:sz w:val="28"/>
          <w:szCs w:val="28"/>
          <w:rtl w:val="true"/>
          <w:lang w:bidi="fa-IR"/>
        </w:rPr>
        <w:t>به جای ناشران انفرادی به قصد خرید اشتراکی کتاب های الکترونیکی مورد نیاز و دومین هدف، ایجاد نظام فراهم آوری تقاضاگرا به عنوان ابزار اولیه فراهم آوری بود</w:t>
      </w:r>
      <w:r>
        <w:rPr>
          <w:rFonts w:eastAsia="IRNazanin" w:cs="IRNazanin"/>
          <w:color w:val="111111"/>
          <w:sz w:val="28"/>
          <w:szCs w:val="28"/>
          <w:rtl w:val="true"/>
          <w:lang w:bidi="fa-IR"/>
        </w:rPr>
        <w:t>.</w:t>
      </w:r>
    </w:p>
    <w:p>
      <w:pPr>
        <w:pStyle w:val="Heading3"/>
        <w:numPr>
          <w:ilvl w:val="2"/>
          <w:numId w:val="1"/>
        </w:numPr>
        <w:rPr/>
      </w:pPr>
      <w:bookmarkStart w:id="992" w:name="__RefHeading___Toc7825943_2870459653"/>
      <w:bookmarkStart w:id="993" w:name="_Toc366"/>
      <w:bookmarkEnd w:id="992"/>
      <w:r>
        <w:rPr>
          <w:rtl w:val="true"/>
        </w:rPr>
        <w:t>پیشینه و برنامه زمانی طرح</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و برنامه زمانی </w:t>
      </w:r>
      <w:r>
        <w:rPr>
          <w:rStyle w:val="FootnoteAnchor"/>
          <w:rtl w:val="true"/>
        </w:rPr>
        <w:footnoteReference w:id="1039"/>
      </w:r>
      <w:r>
        <w:rPr>
          <w:rFonts w:ascii="IRNazanin" w:hAnsi="IRNazanin" w:eastAsia="IRNazanin"/>
          <w:color w:val="111111"/>
          <w:sz w:val="28"/>
          <w:sz w:val="28"/>
          <w:szCs w:val="28"/>
          <w:rtl w:val="true"/>
          <w:lang w:bidi="fa-IR"/>
        </w:rPr>
        <w:t>طرح</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آزمایشی مهندسی امانت مستقیم کتاب الکترونیکی، به دنبال ایجاد روشی جدید برای ایجاد مجموعه های اشتراکی در بین کتاب خانه های عضو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گروه مهندسی امانت مستقیم، به طور اشتراکی درخواست پیشنهاده </w:t>
      </w:r>
      <w:r>
        <w:rPr>
          <w:rStyle w:val="FootnoteAnchor"/>
          <w:rtl w:val="true"/>
        </w:rPr>
        <w:footnoteReference w:id="1040"/>
      </w:r>
      <w:r>
        <w:rPr>
          <w:rFonts w:ascii="IRNazanin" w:hAnsi="IRNazanin" w:eastAsia="IRNazanin"/>
          <w:color w:val="111111"/>
          <w:sz w:val="28"/>
          <w:sz w:val="28"/>
          <w:szCs w:val="28"/>
          <w:rtl w:val="true"/>
          <w:lang w:bidi="fa-IR"/>
        </w:rPr>
        <w:t>ای را ارائه دادند که در آن رئوس عناصر مورد نیاز برنامه، موضوع مشترک و اطلاعات غیر مرتبط با موضوع در پرونده مجموعه کتاب خانه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پیشنهاده برای طرحی آزمایشی ارائه شده بود که عمدتاً از الگوی فراهم آوری تقاضاگرا استفاده می کرد، اما انتخاب کنندگان اجازه داشتند عناوینی را انتخاب کنند که بر آن ها توافق شده بود اما در پرونده وجود نداشت؛ یعنی عمدتاً عناوینی که بالاتر از سقف قیمت توافق شده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اشاره کرد که ما </w:t>
      </w:r>
    </w:p>
    <w:p>
      <w:pPr>
        <w:pStyle w:val="BookText"/>
        <w:rPr/>
      </w:pPr>
      <w:r>
        <w:rPr>
          <w:rFonts w:ascii="IRNazanin" w:hAnsi="IRNazanin" w:eastAsia="IRNazanin"/>
          <w:color w:val="111111"/>
          <w:sz w:val="28"/>
          <w:sz w:val="28"/>
          <w:szCs w:val="28"/>
          <w:rtl w:val="true"/>
          <w:lang w:bidi="fa-IR"/>
        </w:rPr>
        <w:t>درخواست پیشنهاده را با این هدف ارائه دادیم که از طریق خریداری منابع مورد نیاز خود، بر مجموعه پژوهشی اشتراکی خود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الگوی دسترسی صرف را خریداری نکردیم، اما منابع تملکی ضرورتاً در نظام امانت کوتاه مدت ارائه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نباید پنداشت که این الگو به ملاحظات آتی کنسرسیوم بی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پیشنهاده برای چهار فروشنده عمده یعنی پروکوئست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Style w:val="FootnoteAnchor"/>
          <w:rtl w:val="true"/>
        </w:rPr>
        <w:footnoteReference w:id="1042"/>
      </w:r>
      <w:r>
        <w:rPr>
          <w:rFonts w:ascii="IRNazanin" w:hAnsi="IRNazanin" w:eastAsia="IRNazanin"/>
          <w:color w:val="111111"/>
          <w:sz w:val="28"/>
          <w:sz w:val="28"/>
          <w:szCs w:val="28"/>
          <w:rtl w:val="true"/>
          <w:lang w:bidi="fa-IR"/>
        </w:rPr>
        <w:t xml:space="preserve">، اینگرام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 آی لایبرری </w:t>
      </w:r>
      <w:r>
        <w:rPr>
          <w:rStyle w:val="FootnoteAnchor"/>
          <w:rtl w:val="true"/>
        </w:rPr>
        <w:footnoteReference w:id="1044"/>
      </w:r>
      <w:r>
        <w:rPr>
          <w:rFonts w:ascii="Amiri" w:hAnsi="Amiri" w:eastAsia="Amiri" w:cs="Amiri"/>
          <w:color w:val="111111"/>
          <w:sz w:val="28"/>
          <w:sz w:val="28"/>
          <w:szCs w:val="28"/>
          <w:rtl w:val="true"/>
          <w:lang w:bidi="ar-SA"/>
        </w:rPr>
        <w:t xml:space="preserve">، ایی بی اِل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شرکت مستقلی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ابسکو </w:t>
      </w:r>
      <w:r>
        <w:rPr>
          <w:rStyle w:val="FootnoteAnchor"/>
          <w:rtl w:val="true"/>
        </w:rPr>
        <w:footnoteReference w:id="1046"/>
      </w:r>
      <w:r>
        <w:rPr>
          <w:rFonts w:ascii="IRNazanin" w:hAnsi="IRNazanin" w:eastAsia="IRNazanin"/>
          <w:color w:val="111111"/>
          <w:sz w:val="28"/>
          <w:sz w:val="28"/>
          <w:szCs w:val="28"/>
          <w:rtl w:val="true"/>
          <w:lang w:bidi="fa-IR"/>
        </w:rPr>
        <w:t>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گفتگوها، وای بی پی </w:t>
      </w:r>
      <w:r>
        <w:rPr>
          <w:rStyle w:val="FootnoteAnchor"/>
          <w:rtl w:val="true"/>
        </w:rPr>
        <w:footnoteReference w:id="1047"/>
      </w:r>
      <w:r>
        <w:rPr>
          <w:rFonts w:ascii="IRNazanin" w:hAnsi="IRNazanin" w:eastAsia="IRNazanin"/>
          <w:color w:val="111111"/>
          <w:sz w:val="28"/>
          <w:sz w:val="28"/>
          <w:szCs w:val="28"/>
          <w:rtl w:val="true"/>
          <w:lang w:bidi="fa-IR"/>
        </w:rPr>
        <w:t>نیز مطرح بود زیرا آن ها به عنوان توزیع کننده برای سه سامانه عمل می کردند و بالقوه می توانستند در ایجاد پرونده مجموعه های کتاب خانه ای و مدیریت بودجه های اشتراکی ما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که همه بر آن اتفاق نظر داشتیم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 با چه بزرگی باید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داشتیم که ناشران خرده با پاسخ گو خواهند بود اما این موضوع درباره مشارکت هر یک از ناشران تجاری بزرگ که به مهندسی علاقه مندند کم تر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ابتدا درباره تأثیر این طرح آزمایشی بر اعضای مدارسی که قبلاً خریداری می کردند یا در آینده برای خرید مجموعه های کتاب الکترونیکی متعهد خواهند شد، نگرانی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ما ناشر عمده اس تی ایی ام </w:t>
      </w:r>
      <w:r>
        <w:rPr>
          <w:rStyle w:val="FootnoteAnchor"/>
          <w:rtl w:val="true"/>
        </w:rPr>
        <w:footnoteReference w:id="1048"/>
      </w:r>
      <w:r>
        <w:rPr>
          <w:rFonts w:ascii="IRNazanin" w:hAnsi="IRNazanin" w:eastAsia="IRNazanin"/>
          <w:color w:val="111111"/>
          <w:sz w:val="28"/>
          <w:sz w:val="28"/>
          <w:szCs w:val="28"/>
          <w:rtl w:val="true"/>
          <w:lang w:bidi="fa-IR"/>
        </w:rPr>
        <w:t>را داشتیم که علاقه مند به مشارکت بود، اگر چه سایر ناشران عمده از هرگونه مشارکت معنادار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طرح آزمایشی می توانست برای بلندمدت پایایی خود را اثبات کند، ممکن بود بررسی گفتگوی مستقیم با این نوع ناشران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فروشندگان عموماً به سادگی می توانستند جنبه های فنی مطرح در درخواست پیشنهاده ما را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غلبه بر آن بدون استفاده از گزینه های امانت کوتاه مدت موجود ممکن نبود و در نتیجه بر هزینه بالاسری هر منبع می افزود، سازوکار آغازگر خرید </w:t>
      </w:r>
      <w:r>
        <w:rPr>
          <w:rStyle w:val="FootnoteAnchor"/>
          <w:rtl w:val="true"/>
        </w:rPr>
        <w:footnoteReference w:id="1049"/>
      </w:r>
      <w:r>
        <w:rPr>
          <w:rFonts w:ascii="IRNazanin" w:hAnsi="IRNazanin" w:eastAsia="IRNazanin"/>
          <w:color w:val="111111"/>
          <w:sz w:val="28"/>
          <w:sz w:val="28"/>
          <w:szCs w:val="28"/>
          <w:rtl w:val="true"/>
          <w:lang w:bidi="fa-IR"/>
        </w:rPr>
        <w:t>ی بود که مستلزم استفاده در بیش از یک پردیس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سازوکار آغازگر خرید عمده، هم زمان صرف شده برای یک منبع و هم عملیات بهره گیر بر روی منبع، مثل چاپ، ذخیره، یا کپی و چسباندن متن را دربر داشت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در طول گفتگوهای ما مطرح شد آن بود که ناشران چگونه باید یک مجموعه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را ملاحظه و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چه ناشران موافق بودند و ما بر آن توافق کردیم، یک الگوی باشگاه خرید </w:t>
      </w:r>
      <w:r>
        <w:rPr>
          <w:rStyle w:val="FootnoteAnchor"/>
          <w:rtl w:val="true"/>
        </w:rPr>
        <w:footnoteReference w:id="1051"/>
      </w:r>
      <w:r>
        <w:rPr>
          <w:rFonts w:ascii="IRNazanin" w:hAnsi="IRNazanin" w:eastAsia="IRNazanin"/>
          <w:color w:val="111111"/>
          <w:sz w:val="28"/>
          <w:sz w:val="28"/>
          <w:szCs w:val="28"/>
          <w:rtl w:val="true"/>
          <w:lang w:bidi="fa-IR"/>
        </w:rPr>
        <w:t>برای فراهم آوری منابع بود طوری که هر موسسه نسخه ای جداگانه از هر عنوان معین را با تخفیف زیاد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 استثناء، ما پیشنهادی که یک گزینه واقعی از عناوین اشتراکی باشد را دریافت نکردیم؛ یعنی، تعداد بسیار کمی از نسخه های خریداری شده واقعی وجود داشت که مورد نیاز همه اعضای باشگاه باشد و بتوانند به آن ها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پاسخ های دریافتی از چهار فروشنده به درخواست پیشنهاده ما، گروه مهندسین توصیه کردند که کار را با 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عوامل منجر به این تصمیم گیری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آزمایشی، 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در به صحنه کشاندن ناشران پیشرفت زیادی داشتند که با آن چه ما انتظار داشتیم قرابت زیادی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بین فروشندگان امری عمومی است، اما برای تسهیل الگوی خرید اشتراکی و مدیریت منابع از طریق یک صندوق بودجه ای مشترک، بین 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و وای بی پی ارتباط خوبی وجود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عقیده داشت که ادغام رسمی ایبرری و ایی بیال در پروکوئست ممکن است فرصتی را برای اعلام رسمی و مشارکت در ایجاد یک سامانه جدید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سطور زیر نکات برجسته ای که در پاسخ 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به درخواست پیشنهاده وجود داشته ارائه شده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خرید عمده ای که این فروشنده با ناشران شکل داده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 خرید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باشگاه و درجایی که ناشر مجاز دانسته است، برای هر خرید، ما ایکس برابر قیمت رسمی می پردازیم و هر کتاب خانه در شبکه امانت مستقیم یک نسخه تک کاربره </w:t>
      </w:r>
      <w:r>
        <w:rPr>
          <w:rStyle w:val="FootnoteAnchor"/>
          <w:rtl w:val="true"/>
        </w:rPr>
        <w:footnoteReference w:id="1053"/>
      </w:r>
      <w:r>
        <w:rPr>
          <w:rFonts w:ascii="IRNazanin" w:hAnsi="IRNazanin" w:eastAsia="IRNazanin"/>
          <w:color w:val="111111"/>
          <w:sz w:val="28"/>
          <w:sz w:val="28"/>
          <w:szCs w:val="28"/>
          <w:rtl w:val="true"/>
          <w:lang w:bidi="fa-IR"/>
        </w:rPr>
        <w:t>برای پردیس خود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ناشر در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اشتراکی</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واقعی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آن ها با الگویی موافقت کردند که شبکه امانت مستقیم، ایکس برابر قیمت رسمی برای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تک کاربره ای هزینه خواهد کرد که مشتریان در هر یک از مؤسسات عضو امانت مستقیم ممکن است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بیشتر شبیه به دسترسی چند کاربره به عنوانی مشخص در </w:t>
      </w:r>
    </w:p>
    <w:p>
      <w:pPr>
        <w:pStyle w:val="BookText"/>
        <w:rPr/>
      </w:pPr>
      <w:r>
        <w:rPr>
          <w:rFonts w:ascii="IRNazanin" w:hAnsi="IRNazanin" w:eastAsia="IRNazanin"/>
          <w:color w:val="111111"/>
          <w:sz w:val="28"/>
          <w:sz w:val="28"/>
          <w:szCs w:val="28"/>
          <w:rtl w:val="true"/>
          <w:lang w:bidi="fa-IR"/>
        </w:rPr>
        <w:t>هر یک از پردیس های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ایی بی ال یک نسخه رقومی از هر کتاب الکترونیکی را در آرشیوی که ایبرری یا شخص ثالث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مجوز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ایجاد و حفاظت می کند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دریافت جواز دسترسی به یک نسخه رقومی آرشیوی از یک کتاب الکترونیکی خریداری شده، ممکن است نیاز باشد که کتاب خانه تضمین کند که توانایی حفظ امنیت و محدود کردن استفاده از کتاب الکترونیکی، آن گونه که باید و بر اساس توافق نامه را دارد؛ این که کتاب خانه می تواند از طریق وب گاه 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به کتاب دسترسی دارد و این که کتاب خانه مشتاق است و اگر هزینه ای وجود داشته باشد، می تواند هزینه های انتقال فایل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رقومی آرشیو شده، نرم افزار اینفوتولز </w:t>
      </w:r>
      <w:r>
        <w:rPr>
          <w:rStyle w:val="FootnoteAnchor"/>
          <w:rtl w:val="true"/>
        </w:rPr>
        <w:footnoteReference w:id="1055"/>
      </w:r>
      <w:r>
        <w:rPr>
          <w:rFonts w:ascii="IRNazanin" w:hAnsi="IRNazanin" w:eastAsia="IRNazanin"/>
          <w:color w:val="111111"/>
          <w:sz w:val="28"/>
          <w:sz w:val="28"/>
          <w:szCs w:val="28"/>
          <w:rtl w:val="true"/>
          <w:lang w:bidi="fa-IR"/>
        </w:rPr>
        <w:t>یا سایر قابلیت های سامانه ای که فروشنده از طریق خدمات میزبانی خود فراهم می آورد را دربر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از طریق یک رایانه خدمات دهنده میزبان، با محدودیت های امنیتی و دسترسی منطقی تجاری حداقل برابر با امنیتی که ایبرری اعمال می کند، فقط نسخه ها را در دسترس بهره گیر نهایی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بر اساس فراهم آوری تقاضاگرا و بر مبنای تقاضای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وقایع زیر منجر به خرید یک منبع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دقیقه مرور زمان صفحات کتاب از طریق رایانه تک کاربره؛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 پی در پی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کتاب از طریق رایانه تک کاربره؛ صفحه فهرست مندرجات </w:t>
      </w:r>
      <w:r>
        <w:rPr>
          <w:rStyle w:val="FootnoteAnchor"/>
          <w:rtl w:val="true"/>
        </w:rPr>
        <w:footnoteReference w:id="1056"/>
      </w:r>
      <w:r>
        <w:rPr>
          <w:rFonts w:ascii="IRNazanin" w:hAnsi="IRNazanin" w:eastAsia="IRNazanin"/>
          <w:color w:val="111111"/>
          <w:sz w:val="28"/>
          <w:sz w:val="28"/>
          <w:szCs w:val="28"/>
          <w:rtl w:val="true"/>
          <w:lang w:bidi="fa-IR"/>
        </w:rPr>
        <w:t>و نمایه در این شمارش محاسبه نخواهند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هر صفحه ای از هر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برداری محتوای هر کتابی؛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بخشی از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بودجه های متعهد شده و در صورت توافق دوطرفه در متن توافق نامه، ممکن است طرح آزمایشی تمدید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طرح آزمایشی خاتمه یافته و دسترسی به کتاب های الکترونیکی خریداری نشده قطع خواهد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در ابتدا با هزینه کرد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هر موسسه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هزینه کرد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دیگر از سوی هر موسسه هزینه ها به سرعت از آن چه تصور می شد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تهیه این گزارش، هنوز از هزینه کرد اولیه مقداری بودجه باقی مانده است</w:t>
      </w:r>
      <w:r>
        <w:rPr>
          <w:rFonts w:eastAsia="IRNazanin" w:cs="IRNazanin"/>
          <w:color w:val="111111"/>
          <w:sz w:val="28"/>
          <w:szCs w:val="28"/>
          <w:rtl w:val="true"/>
          <w:lang w:bidi="fa-IR"/>
        </w:rPr>
        <w:t xml:space="preserve">. </w:t>
      </w:r>
      <w:bookmarkStart w:id="994" w:name="pg9659_94177"/>
    </w:p>
    <w:p>
      <w:pPr>
        <w:pStyle w:val="BookText"/>
        <w:rPr/>
      </w:pPr>
      <w:bookmarkEnd w:id="994"/>
      <w:r>
        <w:rPr>
          <w:rFonts w:ascii="IRNazanin" w:hAnsi="IRNazanin" w:eastAsia="IRNazanin"/>
          <w:color w:val="111111"/>
          <w:sz w:val="28"/>
          <w:sz w:val="28"/>
          <w:szCs w:val="28"/>
          <w:rtl w:val="true"/>
          <w:lang w:bidi="fa-IR"/>
        </w:rPr>
        <w:t>گروه توصیه کرد که هر بودجه باقی مانده ای بازگردانده شود، باید طرح آزمایشی را یک موفقیت به حساب آورد و باید در سال های بعد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طرح آزمایشی در پایان دوره خود لغو شود، ترازنامه استرداد شده و بودجه به صورت برابر در بین اعضاء تقسیم خواهد شد</w:t>
      </w:r>
      <w:r>
        <w:rPr>
          <w:rFonts w:eastAsia="IRNazanin" w:cs="IRNazanin"/>
          <w:color w:val="111111"/>
          <w:sz w:val="28"/>
          <w:szCs w:val="28"/>
          <w:rtl w:val="true"/>
          <w:lang w:bidi="fa-IR"/>
        </w:rPr>
        <w:t>.</w:t>
      </w:r>
    </w:p>
    <w:p>
      <w:pPr>
        <w:pStyle w:val="Heading3"/>
        <w:numPr>
          <w:ilvl w:val="2"/>
          <w:numId w:val="1"/>
        </w:numPr>
        <w:rPr/>
      </w:pPr>
      <w:bookmarkStart w:id="995" w:name="__RefHeading___Toc7825945_2870459653"/>
      <w:bookmarkStart w:id="996" w:name="_Toc367"/>
      <w:bookmarkEnd w:id="995"/>
      <w:r>
        <w:rPr>
          <w:rtl w:val="true"/>
        </w:rPr>
        <w:t>ساختار مدیریتی برنامه</w:t>
      </w:r>
      <w:bookmarkEnd w:id="996"/>
    </w:p>
    <w:p>
      <w:pPr>
        <w:pStyle w:val="BookText"/>
        <w:rPr/>
      </w:pPr>
      <w:r>
        <w:rPr>
          <w:rFonts w:ascii="IRNazanin" w:hAnsi="IRNazanin" w:eastAsia="IRNazanin"/>
          <w:color w:val="111111"/>
          <w:sz w:val="28"/>
          <w:sz w:val="28"/>
          <w:szCs w:val="28"/>
          <w:rtl w:val="true"/>
          <w:lang w:bidi="fa-IR"/>
        </w:rPr>
        <w:t>کتاب دار مهندسان طرح امانت مستقیم، یک پرونده مشترک از موضوعات و مقادیر غیر موضوعی ایجاد کردند تا برنامه فراهم آوری تقاضاگرا را بر اساس آن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پرونده و بر مبنای اولویت هر عضو و اتصال به جریان خرید کتاب الکترونیکی جاری آن ها، پیشینه های رایگان مارک به صورت هفتگی، چه از طریق 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و چه از طریق وای بی پی، در دسترس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های منابع به روشی برچسب گذاری می شوند که بتوان آن ها را به عنوان بخشی از طرح آزمایشی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وای بی پی، یک صندوق حساب سپرده </w:t>
      </w:r>
      <w:r>
        <w:rPr>
          <w:rStyle w:val="FootnoteAnchor"/>
          <w:rtl w:val="true"/>
        </w:rPr>
        <w:footnoteReference w:id="1057"/>
      </w:r>
      <w:r>
        <w:rPr>
          <w:rFonts w:ascii="IRNazanin" w:hAnsi="IRNazanin" w:eastAsia="IRNazanin"/>
          <w:color w:val="111111"/>
          <w:sz w:val="28"/>
          <w:sz w:val="28"/>
          <w:szCs w:val="28"/>
          <w:rtl w:val="true"/>
          <w:lang w:bidi="fa-IR"/>
        </w:rPr>
        <w:t xml:space="preserve">برای شبکه امانت مستقیم ایجاد شد و سهم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هر یک از مؤسسات شرکت کننده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بی پی، صورت ماهانه خرید را صادر کرده و پرداخت ها به حساب سپرده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گزارشی تهیه می کند که جزئیات هر کتاب الکترونیکی خریداری شده، مؤسسات خریدار و استفاده کلی گروه از هر کتاب الکترونیکی در آن مشخص شده است</w:t>
      </w:r>
      <w:r>
        <w:rPr>
          <w:rFonts w:eastAsia="IRNazanin" w:cs="IRNazanin"/>
          <w:color w:val="111111"/>
          <w:sz w:val="28"/>
          <w:szCs w:val="28"/>
          <w:rtl w:val="true"/>
          <w:lang w:bidi="fa-IR"/>
        </w:rPr>
        <w:t>.</w:t>
      </w:r>
    </w:p>
    <w:p>
      <w:pPr>
        <w:pStyle w:val="Heading3"/>
        <w:numPr>
          <w:ilvl w:val="2"/>
          <w:numId w:val="1"/>
        </w:numPr>
        <w:rPr/>
      </w:pPr>
      <w:bookmarkStart w:id="997" w:name="__RefHeading___Toc7825947_2870459653"/>
      <w:bookmarkStart w:id="998" w:name="_Toc368"/>
      <w:bookmarkEnd w:id="997"/>
      <w:r>
        <w:rPr>
          <w:rtl w:val="true"/>
        </w:rPr>
        <w:t>وضعیت فعلی طرح آزمایشی</w:t>
      </w:r>
      <w:bookmarkEnd w:id="998"/>
    </w:p>
    <w:p>
      <w:pPr>
        <w:pStyle w:val="BookText"/>
        <w:rPr/>
      </w:pPr>
      <w:r>
        <w:rPr>
          <w:rFonts w:ascii="IRNazanin" w:hAnsi="IRNazanin" w:eastAsia="IRNazanin"/>
          <w:color w:val="111111"/>
          <w:sz w:val="28"/>
          <w:sz w:val="28"/>
          <w:szCs w:val="28"/>
          <w:rtl w:val="true"/>
          <w:lang w:bidi="fa-IR"/>
        </w:rPr>
        <w:t>در زمان تهیه این مقاله، شش ماه از شروع طرح آزمایشی امانت مستقیم کتاب الکترونیکی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طرح، اعضاء موافقت کردند که در اجتماعات وابسته به خود طرح آزمایشی را تبلیغ نکنند و اجازه دهند تا طرح توانمندی نهفته خود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فقط می دانند که از طریق فهرست به منابع اطلاعاتی دسترسی دارند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منابع مجموعه به دویست و پنجاه و شش عنوان منبع قابل دسترس ارتقاء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یعنی یک پنجم منابع، برای خرید از سوی مشتریان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اندازه نسبتاً کم مجموعه، گزارش ها که اساساً هفتگی تهیه می شد، در شمار پایین منتشر می شد تا فرصت بیشتری را برای ارزیابی استفاده از مجموعه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زمانی که یک منبع در معرض دید قرار می گیرد تا وقتی 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ایی بی ال برای وای بی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قرارداد حساب سپرده مشترک امانت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حساب صادر می کند، تأخیری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فراهم آوری تقاضاگرا در شبکه امانت مستقیم تا می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جاری طرح آزمایشی تاکنون، در مقایسه با هزینه عناوین در صورت خرید انفرادی هر موسسه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صرفه جویی پولی برانگیزاننده باشد اما در خصوص استفاده از منابع واقعی وضعیت چگونه خواهد بود؟ آیا این منابع، مورد نیاز همه مؤسسات خواهند بود یا فقط تعداد اندکی از آن ها؟ به عنوان شاخصی برای بقا پذیری طرح آزمایشی در ایجاد امکان دسترسی به منابع مشترک، آیا منابع انتخابی در بیش از یک موسسه مورد استفاده خواهند بود؟ با مراجعه به داده های جدیدترین گزارش، شواهد اندکی برای پاسخ به این پرسش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تعداد منابع هدف و تعداد کل عناوین خریداری شده قابل دسترس در هر موسسه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عناوین هدفی که مشتریان تعیین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منبع در دانشگاه کرنل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در دانشگاه ام آی 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استفاده از داده ها نیز نشان می دهد که در همه هفت موسسه، مشتریانی وجود دارند که به منابعی غیر از منابع مشخص شده و هدف در موسسه خود دسترسی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موسسه، هر یک با حدود پنجاه عنوان، از نظر تعداد دسترسی بسیار به هم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هر یک از دو موسسه وابسته، یعنی دانشگاه پنسیلوانیا و ام آی تی به چهل و سه عنوان از چهل و شش عنوان خریداری شده دسترسی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هدف در مقابل کل عناوین استفاده شده در مؤسسات </w:t>
      </w:r>
    </w:p>
    <w:p>
      <w:pPr>
        <w:pStyle w:val="BookText"/>
        <w:rPr/>
      </w:pPr>
      <w:r>
        <w:rPr>
          <w:rFonts w:ascii="IRNazanin" w:hAnsi="IRNazanin" w:eastAsia="IRNazanin"/>
          <w:color w:val="111111"/>
          <w:sz w:val="28"/>
          <w:sz w:val="28"/>
          <w:szCs w:val="28"/>
          <w:rtl w:val="true"/>
          <w:lang w:bidi="fa-IR"/>
        </w:rPr>
        <w:t>با توجه به میزان استفاده از این عناوین در سطح بین المللی، اجازه دهید میزان استفاده را در سطح گروه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منابع فقط در پردیس هایی که آن ها را به عنوان منابع هدف انتخاب کرده بودند مورد توجه است یا در سایر جاها نیز مورد استفاده قرار می گیرند؟ 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استفاده از عناوین بر اساس میزان دسترسی از هر موسسه را نشان می دهد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هدف در این گزارش،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بیش از یک موسسه دسترسی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نموداری ترسیم کنیم،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به حداکثر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فقط یک عضو شبکه امانت مستقیم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منبع اطلاعاتی دسترسی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هیچ منبعی وجود نداشته است که همه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از آن استفاده کرده باشند، اما این داده ها نشان می دهند که طرح آزمایشی به طور کلی، دسترسی به منابع مورد علاقه این جامعه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استفاده از منابع بر اساس تعداد مؤسسات استفاده کننده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چالش برانگیز در این جا این است که تمیز بین استفاده واقعی و مرور ساده عناوین فهرست از سوی مشتریان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شاخص های اولیه تمیز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تعداد صفحات مرور شده بین این دو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ما ردگیری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صفحات مرور شده در همه عناوین و در همه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نشان داد که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 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آن ها مرور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یا بیشتر،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یا بیشتر و یک عنوان بیش از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یک موسسه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شده اند</w:t>
      </w:r>
      <w:r>
        <w:rPr>
          <w:rFonts w:eastAsia="IRNazanin" w:cs="IRNazanin"/>
          <w:color w:val="111111"/>
          <w:sz w:val="28"/>
          <w:szCs w:val="28"/>
          <w:rtl w:val="true"/>
          <w:lang w:bidi="fa-IR"/>
        </w:rPr>
        <w:t xml:space="preserve">. </w:t>
      </w:r>
      <w:bookmarkStart w:id="999" w:name="pg9659_94180"/>
    </w:p>
    <w:p>
      <w:pPr>
        <w:pStyle w:val="Heading3"/>
        <w:numPr>
          <w:ilvl w:val="2"/>
          <w:numId w:val="1"/>
        </w:numPr>
        <w:rPr/>
      </w:pPr>
      <w:bookmarkStart w:id="1000" w:name="__RefHeading___Toc7825949_2870459653"/>
      <w:bookmarkStart w:id="1001" w:name="_Toc369"/>
      <w:bookmarkEnd w:id="999"/>
      <w:bookmarkEnd w:id="1000"/>
      <w:r>
        <w:rPr>
          <w:rtl w:val="true"/>
        </w:rPr>
        <w:t xml:space="preserve">ارزیابی </w:t>
      </w:r>
      <w:r>
        <w:rPr>
          <w:rtl w:val="true"/>
        </w:rPr>
        <w:t xml:space="preserve">- </w:t>
      </w:r>
      <w:r>
        <w:rPr>
          <w:rtl w:val="true"/>
        </w:rPr>
        <w:t>تعریف موفقیت</w:t>
      </w:r>
      <w:bookmarkEnd w:id="1001"/>
    </w:p>
    <w:p>
      <w:pPr>
        <w:pStyle w:val="BookText"/>
        <w:rPr/>
      </w:pPr>
      <w:r>
        <w:rPr>
          <w:rFonts w:ascii="IRNazanin" w:hAnsi="IRNazanin" w:eastAsia="IRNazanin"/>
          <w:color w:val="111111"/>
          <w:sz w:val="28"/>
          <w:sz w:val="28"/>
          <w:szCs w:val="28"/>
          <w:rtl w:val="true"/>
          <w:lang w:bidi="fa-IR"/>
        </w:rPr>
        <w:t xml:space="preserve">گرچه این طرح آزمایشی هنوز ادامه دارد، اما داده های گردآوری شده تاکنون، موفقیت طرح در زمینه ایجاد یک مجموعه کتاب الکترونیکی اشتراکی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عناوین هدف، حداقل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دسترسی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موسسه مشتریانی داشته است که حداقل یک عنوان را مناسب تشخیص داده و از چندین منبع گردآوری شده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عناوین فراهم شده تقریباً نصف آن چیزی بوده است که هر عضو امانت مستقیم در صورت خرید مستقل باید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های دیگری از این طرح آزمایشی نیز وجود دارد که گروه برای ارزیابی مناسب بودن و زیست پذیری مستمر باید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ناشران و موضوعات و قابلیت توسعه و گسترش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عناوینی که ناشران برای فراهم آوری تقاضاگرا در دسترس قرار داده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پیشینه های بارگذاری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تعداد عناوینی که با معیارهای پرونده هم خوان است و برای نظام فراهم آوری تقاضاگرا در دسترس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عناوین خریداری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تکراری و تعداد امانت عناوین چاپی معادل؛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درخواست برابر چاپی در جایی که نگارش الکترونیکی موجود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هزینه در هر 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کل برای هر موسسه؛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هزینه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مرتبطی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اساسی مشارکت ناشران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در این برنامه ریزی ها به آن توجه شود سودمندی این فعالیت برای ناشران و نیز کتاب خانه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دورنمای عرضه مستقیم تر و بیشتر محتوای اطلاعاتی این ناشران از طریق فهرست های ما برای مشتریان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برنامه ریزی ها و شیوه انتخاب مصوب سنتی کتابداران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فروش بیشتر منجر شود؟ به نظر می رسد بسیاری از کتاب خانه ها و ناشران منتظر نتیجه این 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به نیابت از ما گفتگو با ناشران را ادامه داده اند اما ثابت شده است که این فرآیند کند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تعهدات این ناشر، تعداد عناوین واقعی که این ناشران در طرح فراهم آوری تقاضاگرا در دسترس قرار دادند کم و در حد آثار یک ناشر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نیز تاکنون نتوانسته اند علت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محدودیت قیمتی برای عناوین وجود دارد، اما به نظر نمی رسد که این مسئله دلیلی برای عدم عرضه بیشتر منابع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بر هم پوشانی منابع بین طرح آزمایشی فراهم آوری تقاضاگرا و مجموعه کامل اشتراکی پروکوئست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بی ال و نیز نسخه های چاپی که در طول تصویب طرح تهیه شده بود، برای برخی از شرکای امانت مستقیم به مسئله ای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پرینستون یکی از این نمونه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بین طرح آزمایشی و مجموعه های کامل دانشگاهی پنج عنوان هم پوشانی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پیشینه فهرست کتاب های موجود در پرونده امانت مستقیم در طرح فراهم آوری تقاضا گرا، فرآیندی بود که برای این نمونه های نسبتاً اندک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تصمیم گیری آن بود که پیشینه های موجود در طرح امانت مستقیم، نمایانگر تعداد واقعی منابعی که در بر دارند نیست مگر آن که یکی از مؤسسات شرکت کننده در طرح عنوانی خاص را خریداری کند؛ در حالی که پیشینه های موجود در عناوین کامل دانشگاهی، نشانگر مجموعه ای است که با اشتراک کتاب خانه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منبعی که در دانشگاه پرینسکو متوقف شده است باید موسسه ای دیگر آن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این پیشینه در فهرست ما در دسترس قرار گرفته و پیشینه کامل دانشگاهی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کم</w:t>
      </w:r>
    </w:p>
    <w:p>
      <w:pPr>
        <w:pStyle w:val="BookText"/>
        <w:rPr/>
      </w:pPr>
      <w:r>
        <w:rPr>
          <w:rFonts w:ascii="IRNazanin" w:hAnsi="IRNazanin" w:eastAsia="IRNazanin"/>
          <w:color w:val="111111"/>
          <w:sz w:val="28"/>
          <w:sz w:val="28"/>
          <w:szCs w:val="28"/>
          <w:rtl w:val="true"/>
          <w:lang w:bidi="fa-IR"/>
        </w:rPr>
        <w:t>عناوین، این فرآیند به خوبی عمل می کند، اما باید اشاره کرد که اگر این طرح بخواهد توسعه یابد و تعداد بیشتری از چنین منابع تکراری دهد، این فرآیند را باید بازنگری و اصلاح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لحظه، منابع تکراری بین طرح امانت مستقیم و طرح تأیید سنتی منابع در دانشگاه پرینستون مشکل ساز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خریداری شده در قالب چاپی نیز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نشان می دهد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عناوین خریداری شده، در مجموعه چاپی تکرار شده اند، اما از آن جا که ما می خواهیم از این طرح آزمایشی برای آشنایی با رفتار بهره گیران و میزان کارایی اقدامات مجموعه گستری خود استفاده کنیم، می توانیم این موارد تکراری را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انطباق بین خرید به هنگام نیاز بهرهگیران و عناوین انتخابی کتابداران از طریق نظام سنتی خرید منابع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حقیقت که نگارش الکترونیکی نیز موجود بوده است، دو عنوان از منابع چاپی به امانت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شرکای طرح امانت مستقیم، یکی از این دو عنوان و یک بهره گیر در دانشگاه پرینسکو منبع چاپی دیگر را امانت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محدودتر از آن است که بتوان نتیجه معناداری از آن استنباط کرد، اما در طول اجرای این طرح، ما ردگیری و مقابله امانت منابع چاپی با میزان استفاده از کتاب های الکترونیکی را ادامه خواهیم داد</w:t>
      </w:r>
      <w:r>
        <w:rPr>
          <w:rFonts w:eastAsia="IRNazanin" w:cs="IRNazanin"/>
          <w:color w:val="111111"/>
          <w:sz w:val="28"/>
          <w:szCs w:val="28"/>
          <w:rtl w:val="true"/>
          <w:lang w:bidi="fa-IR"/>
        </w:rPr>
        <w:t xml:space="preserve">. </w:t>
      </w:r>
      <w:bookmarkStart w:id="1002" w:name="pg9659_94182"/>
    </w:p>
    <w:p>
      <w:pPr>
        <w:pStyle w:val="Heading3"/>
        <w:numPr>
          <w:ilvl w:val="2"/>
          <w:numId w:val="1"/>
        </w:numPr>
        <w:rPr/>
      </w:pPr>
      <w:bookmarkStart w:id="1003" w:name="__RefHeading___Toc7825951_2870459653"/>
      <w:bookmarkStart w:id="1004" w:name="_Toc370"/>
      <w:bookmarkEnd w:id="1002"/>
      <w:bookmarkEnd w:id="1003"/>
      <w:r>
        <w:rPr>
          <w:rtl w:val="true"/>
        </w:rPr>
        <w:t>نتیجه گیری</w:t>
      </w:r>
      <w:bookmarkEnd w:id="1004"/>
    </w:p>
    <w:p>
      <w:pPr>
        <w:pStyle w:val="BookText"/>
        <w:rPr/>
      </w:pPr>
      <w:r>
        <w:rPr>
          <w:rFonts w:ascii="IRNazanin" w:hAnsi="IRNazanin" w:eastAsia="IRNazanin"/>
          <w:color w:val="111111"/>
          <w:sz w:val="28"/>
          <w:sz w:val="28"/>
          <w:szCs w:val="28"/>
          <w:rtl w:val="true"/>
          <w:lang w:bidi="fa-IR"/>
        </w:rPr>
        <w:t>کتاب خانه ها به دنبال الگویی برای تعریف اشتراک منابع در محیط رقومی، به ویژه برای کتاب های الکترونیکی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محدود در دسترس انفرادی و در جایی که خرید سالانه همه مجموعه های ناشران مختلف به سادگی میسر نیست، چگونه می توانیم با همکاری هم دسترسی به منابع را افزایش دهیم؟ یکی از ویژگی های منحصر به فرد طرح آزمایشی فراهم آوری تقاضاگرا آن است که این طرح را گروهی از کتابداران موضوعی، بدون حضور یک گروه مدیریت مرکزی، بنیان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شبکه امانت مستقیم اساساً مشارکت صرف بین اعضای آن است تا بتوانند امانت بین کتاب خانه ای را سرعت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بر هیچ تلاش مشارکتی دیگری در بین اعضاء، مدیریت رسمی و مستقیمی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داران، رهنمودها و اطلاعاتی را از کتاب داران دانشگاه هم بسته مربوط در خصوص مجموعه دریافت کردند، اما عموماً اجازه داده شد تا طرح آزمایشی را بر اساس روش خود پیش ببرند؛ بنابراین، برای پشتیبانی از الگوهای مشابه فراهم آوری و ایجاد دسترسی بیشتر برای مشتریان، نه تنها در بین کتابداران عضو بلکه در بین ناشران شرکت کننده در طرح نیز تلاش های بیشتری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w:t>
      </w:r>
    </w:p>
    <w:p>
      <w:pPr>
        <w:pStyle w:val="BookText"/>
        <w:rPr/>
      </w:pPr>
      <w:r>
        <w:rPr>
          <w:rFonts w:ascii="IRNazanin" w:hAnsi="IRNazanin" w:eastAsia="IRNazanin"/>
          <w:color w:val="111111"/>
          <w:sz w:val="28"/>
          <w:sz w:val="28"/>
          <w:szCs w:val="28"/>
          <w:rtl w:val="true"/>
          <w:lang w:bidi="fa-IR"/>
        </w:rPr>
        <w:t>شکل کنونی خود ادامه یابد یا خیر، این طرح آزمایشی نشان داد که فعالیت ها برای مجموعه سازی اشتراکی می تواند مجموعه های موفقی را ایجاد کند که از طریق یک نظام امانت مشارکتی، مثل شبکه امانت مستقیم، به اشتراک گذاشته شود</w:t>
      </w:r>
      <w:r>
        <w:rPr>
          <w:rFonts w:eastAsia="IRNazanin" w:cs="IRNazanin"/>
          <w:color w:val="111111"/>
          <w:sz w:val="28"/>
          <w:szCs w:val="28"/>
          <w:rtl w:val="true"/>
          <w:lang w:bidi="fa-IR"/>
        </w:rPr>
        <w:t>.</w:t>
      </w:r>
    </w:p>
    <w:p>
      <w:pPr>
        <w:pStyle w:val="Heading3"/>
        <w:numPr>
          <w:ilvl w:val="2"/>
          <w:numId w:val="1"/>
        </w:numPr>
        <w:rPr/>
      </w:pPr>
      <w:bookmarkStart w:id="1005" w:name="__RefHeading___Toc7825953_2870459653"/>
      <w:bookmarkStart w:id="1006" w:name="_Toc371"/>
      <w:bookmarkEnd w:id="1005"/>
      <w:r>
        <w:rPr>
          <w:rtl w:val="true"/>
        </w:rPr>
        <w:t>منابع</w:t>
      </w:r>
      <w:bookmarkEnd w:id="1006"/>
    </w:p>
    <w:p>
      <w:pPr>
        <w:pStyle w:val="BookText"/>
        <w:rPr/>
      </w:pPr>
      <w:r>
        <w:rPr>
          <w:rFonts w:eastAsia="Times New Roman" w:cs="Times New Roman" w:ascii="Times New Roman" w:hAnsi="Times New Roman"/>
          <w:color w:val="111111"/>
          <w:sz w:val="28"/>
          <w:szCs w:val="28"/>
          <w:lang w:val="en-US" w:bidi="en-US"/>
        </w:rPr>
        <w:t>Collins, P. (2012). Fear and loathing in cooperative collection development. Interlending&amp; Document Supply, 40(2), 100-104. doi: 10.1108/02641611211239579</w:t>
      </w:r>
    </w:p>
    <w:p>
      <w:pPr>
        <w:pStyle w:val="BookText"/>
        <w:rPr/>
      </w:pPr>
      <w:r>
        <w:rPr>
          <w:rFonts w:eastAsia="Times New Roman" w:cs="Times New Roman" w:ascii="Times New Roman" w:hAnsi="Times New Roman"/>
          <w:color w:val="111111"/>
          <w:sz w:val="28"/>
          <w:szCs w:val="28"/>
          <w:lang w:val="en-US" w:bidi="en-US"/>
        </w:rPr>
        <w:t>Nitecki, D. A., Jones, C., and Barnett, J. (2009). Borrow direct: A decade of a sustained quality book-lending service. Interlending Document Supply, 37(4), 192-198.doi: 10.1108/02641610911006283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Howard, J. (2014). Library consortium tests interlibrary loans of e-books. The Chronicle of Higher Education, Feb. 17, 2014. Retrieved from http://chronicle.com/article/Library-Consortium-Tests/144743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Krall, R. (2000). "Get it fast, and get it cheap"- What's an ILL librarian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 do? American Libraries, 31(10), 41-42. Retrieved from http://www.jstor org/stable/25645677</w:t>
      </w:r>
    </w:p>
    <w:p>
      <w:pPr>
        <w:pStyle w:val="BookText"/>
        <w:rPr/>
      </w:pPr>
      <w:r>
        <w:rPr>
          <w:rFonts w:eastAsia="Times New Roman" w:cs="Times New Roman" w:ascii="Times New Roman" w:hAnsi="Times New Roman"/>
          <w:color w:val="111111"/>
          <w:sz w:val="28"/>
          <w:szCs w:val="28"/>
          <w:lang w:val="en-US" w:bidi="en-US"/>
        </w:rPr>
        <w:t>Müller, H. (2012). Legal aspects of e-books and interlibrary loan.Interlending &amp; Document Supply, 40(3), 150-155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doi:10.1108/02641611211258226</w:t>
      </w:r>
      <w:r>
        <w:rPr>
          <w:rFonts w:eastAsia="Times New Roman" w:cs="Times New Roman" w:ascii="Times New Roman" w:hAnsi="Times New Roman"/>
          <w:color w:val="111111"/>
          <w:sz w:val="28"/>
          <w:szCs w:val="28"/>
          <w:rtl w:val="true"/>
          <w:lang w:val="en-US" w:bidi="en-US"/>
        </w:rPr>
        <w:t xml:space="preserve"> </w:t>
      </w:r>
      <w:bookmarkStart w:id="1007" w:name="pg9659_94184"/>
    </w:p>
    <w:p>
      <w:pPr>
        <w:pStyle w:val="Heading2"/>
        <w:numPr>
          <w:ilvl w:val="1"/>
          <w:numId w:val="1"/>
        </w:numPr>
        <w:rPr/>
      </w:pPr>
      <w:bookmarkStart w:id="1008" w:name="__RefHeading___Toc7825955_2870459653"/>
      <w:bookmarkStart w:id="1009" w:name="_Toc372"/>
      <w:bookmarkEnd w:id="1007"/>
      <w:bookmarkEnd w:id="1008"/>
      <w:r>
        <w:rPr>
          <w:rtl w:val="true"/>
        </w:rPr>
        <w:t>چکیده</w:t>
      </w:r>
      <w:bookmarkEnd w:id="1009"/>
    </w:p>
    <w:p>
      <w:pPr>
        <w:pStyle w:val="Heading3"/>
        <w:numPr>
          <w:ilvl w:val="2"/>
          <w:numId w:val="1"/>
        </w:numPr>
        <w:rPr/>
      </w:pPr>
      <w:bookmarkStart w:id="1010" w:name="__RefHeading___Toc7825957_2870459653"/>
      <w:bookmarkStart w:id="1011" w:name="_Toc373"/>
      <w:bookmarkEnd w:id="1010"/>
      <w:r>
        <w:rPr>
          <w:rtl w:val="true"/>
        </w:rPr>
        <w:t>اشاره</w:t>
      </w:r>
      <w:bookmarkEnd w:id="1011"/>
    </w:p>
    <w:p>
      <w:pPr>
        <w:pStyle w:val="BookText"/>
        <w:rPr/>
      </w:pPr>
      <w:r>
        <w:rPr>
          <w:rFonts w:ascii="IRNazanin" w:hAnsi="IRNazanin" w:eastAsia="IRNazanin"/>
          <w:color w:val="111111"/>
          <w:sz w:val="28"/>
          <w:sz w:val="28"/>
          <w:szCs w:val="28"/>
          <w:rtl w:val="true"/>
          <w:lang w:bidi="fa-IR"/>
        </w:rPr>
        <w:t>این اَسپ، مؤسسه ای بین المللی متشکل از شرکایی از کشورهای مختلف است که به منظور دستیابی تولید و استفاده از دانش و اطلاعات تحقیقاتی در سطح جهانی و باهدف این که کشورهای عضو بتوانند از دستاوردهای علمی و پژوهشی در راستای حل مشکلات توسعه ای در کشور خود بهره مند گردند، تأسیس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اَسپ، سال ها از نظام آموزش عالی و تحقیقاتی آفریقا حمایت کرده است و با بسیاری از کشورها در زمینه های زیر همکاری داشته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دستیابی به نشریات برخط و دیگر منابع الکترونیک،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نیازها و درخواست های آموزشی و مشاوره ای کتابداران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محققین در اجرای تحقیقات باکیفیت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رویت پذیر کردن پژوهش های انجام شده در آفریقا از طریق پلتفرم ها و نظام های عامل برخط نشریات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این اَسپ اقدام به برقراری فاز جدیدی از فعالیت ها که عمدتاً شامل، تنظیم دیدگاه های خود نسبت به اعمال تغییرات در نظام آموزش عالی و تحقیقات، برقراری تعاملات و همکاری های علمی و تحقیقاتی و توسعه بخش بین الملل بود، نمود در این مقاله، ما در صدد هستیم تا اصول آموزشی و دیدگاه های مربوط به این مرحله جدید کاری را به اشتراک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دستیابی به اطلاعات به سه جنبه مهم می توان اشاره نمود</w:t>
      </w:r>
      <w:r>
        <w:rPr>
          <w:rFonts w:eastAsia="IRNazanin" w:cs="IRNazanin"/>
          <w:color w:val="111111"/>
          <w:sz w:val="28"/>
          <w:szCs w:val="28"/>
          <w:rtl w:val="true"/>
          <w:lang w:bidi="fa-IR"/>
        </w:rPr>
        <w:t>:</w:t>
      </w:r>
    </w:p>
    <w:p>
      <w:pPr>
        <w:pStyle w:val="Heading3"/>
        <w:numPr>
          <w:ilvl w:val="2"/>
          <w:numId w:val="1"/>
        </w:numPr>
        <w:rPr/>
      </w:pPr>
      <w:bookmarkStart w:id="1012" w:name="__RefHeading___Toc7825959_2870459653"/>
      <w:bookmarkStart w:id="1013" w:name="_Toc374"/>
      <w:bookmarkEnd w:id="1012"/>
      <w:r>
        <w:rPr/>
        <w:t>1</w:t>
      </w:r>
      <w:r>
        <w:rPr>
          <w:rtl w:val="true"/>
        </w:rPr>
        <w:t xml:space="preserve">. </w:t>
      </w:r>
      <w:r>
        <w:rPr>
          <w:rtl w:val="true"/>
        </w:rPr>
        <w:t>برنامه ریزی راهبردی</w:t>
      </w:r>
      <w:bookmarkEnd w:id="1013"/>
    </w:p>
    <w:p>
      <w:pPr>
        <w:pStyle w:val="BookText"/>
        <w:rPr/>
      </w:pPr>
      <w:r>
        <w:rPr>
          <w:rFonts w:ascii="IRNazanin" w:hAnsi="IRNazanin" w:eastAsia="IRNazanin"/>
          <w:color w:val="111111"/>
          <w:sz w:val="28"/>
          <w:sz w:val="28"/>
          <w:szCs w:val="28"/>
          <w:rtl w:val="true"/>
          <w:lang w:bidi="fa-IR"/>
        </w:rPr>
        <w:t xml:space="preserve">به منظور حصول اطمینان از این که حمایت های ارائه شده توسط ما با نیازهای دراز مدت کشورهای شریک سازگار و مناسب بوده، به گونه ای که بتوانند این حمایت ها را به برنامه های راهبردی خود منتقل و یا جایگزین آن ها نمایند، تلاش شد تا نسبت به انعقاد برنامه های راهبردی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اقدام گردد</w:t>
      </w:r>
      <w:r>
        <w:rPr>
          <w:rFonts w:eastAsia="IRNazanin" w:cs="IRNazanin"/>
          <w:color w:val="111111"/>
          <w:sz w:val="28"/>
          <w:szCs w:val="28"/>
          <w:rtl w:val="true"/>
          <w:lang w:bidi="fa-IR"/>
        </w:rPr>
        <w:t>.</w:t>
      </w:r>
    </w:p>
    <w:p>
      <w:pPr>
        <w:pStyle w:val="Heading3"/>
        <w:numPr>
          <w:ilvl w:val="2"/>
          <w:numId w:val="1"/>
        </w:numPr>
        <w:rPr/>
      </w:pPr>
      <w:bookmarkStart w:id="1014" w:name="__RefHeading___Toc7825961_2870459653"/>
      <w:bookmarkStart w:id="1015" w:name="_Toc375"/>
      <w:bookmarkEnd w:id="1014"/>
      <w:r>
        <w:rPr/>
        <w:t>2</w:t>
      </w:r>
      <w:r>
        <w:rPr>
          <w:rtl w:val="true"/>
        </w:rPr>
        <w:t xml:space="preserve">. </w:t>
      </w:r>
      <w:r>
        <w:rPr>
          <w:rtl w:val="true"/>
        </w:rPr>
        <w:t>توسعه پایدار</w:t>
      </w:r>
      <w:bookmarkEnd w:id="1015"/>
    </w:p>
    <w:p>
      <w:pPr>
        <w:pStyle w:val="BookText"/>
        <w:rPr/>
      </w:pPr>
      <w:r>
        <w:rPr>
          <w:rFonts w:ascii="IRNazanin" w:hAnsi="IRNazanin" w:eastAsia="IRNazanin"/>
          <w:color w:val="111111"/>
          <w:sz w:val="28"/>
          <w:sz w:val="28"/>
          <w:szCs w:val="28"/>
          <w:rtl w:val="true"/>
          <w:lang w:bidi="fa-IR"/>
        </w:rPr>
        <w:t>به منظور حصول اطمینان از ظرفیت شرکا سازمان در دستیابی به توسعه پایدار و این که این ظرفیت همان ظرفیت پایدار مدنظر این اَسپ جهت حمایت از تعبیه مؤثر و پایدار نظام موجود است، تلاش های خود را در چارچوب ساختارهای ملی و داخلی کشور خودمان متمرکز کردیم</w:t>
      </w:r>
      <w:r>
        <w:rPr>
          <w:rFonts w:eastAsia="IRNazanin" w:cs="IRNazanin"/>
          <w:color w:val="111111"/>
          <w:sz w:val="28"/>
          <w:szCs w:val="28"/>
          <w:rtl w:val="true"/>
          <w:lang w:bidi="fa-IR"/>
        </w:rPr>
        <w:t>.</w:t>
      </w:r>
    </w:p>
    <w:p>
      <w:pPr>
        <w:pStyle w:val="Heading3"/>
        <w:numPr>
          <w:ilvl w:val="2"/>
          <w:numId w:val="1"/>
        </w:numPr>
        <w:rPr/>
      </w:pPr>
      <w:bookmarkStart w:id="1016" w:name="__RefHeading___Toc7825963_2870459653"/>
      <w:bookmarkStart w:id="1017" w:name="_Toc376"/>
      <w:bookmarkEnd w:id="1016"/>
      <w:r>
        <w:rPr/>
        <w:t>3</w:t>
      </w:r>
      <w:r>
        <w:rPr>
          <w:rtl w:val="true"/>
        </w:rPr>
        <w:t xml:space="preserve">. </w:t>
      </w:r>
      <w:r>
        <w:rPr>
          <w:rtl w:val="true"/>
        </w:rPr>
        <w:t>کیفیت</w:t>
      </w:r>
      <w:bookmarkEnd w:id="1017"/>
    </w:p>
    <w:p>
      <w:pPr>
        <w:pStyle w:val="BookText"/>
        <w:rPr/>
      </w:pPr>
      <w:r>
        <w:rPr>
          <w:rFonts w:ascii="IRNazanin" w:hAnsi="IRNazanin" w:eastAsia="IRNazanin"/>
          <w:color w:val="111111"/>
          <w:sz w:val="28"/>
          <w:sz w:val="28"/>
          <w:szCs w:val="28"/>
          <w:rtl w:val="true"/>
          <w:lang w:bidi="fa-IR"/>
        </w:rPr>
        <w:t>به منظور اطمینان از این که آموزش ارائه شده توسط ما موثر بوده و همان آموزشی است که ظرفیت واقعی و پایدار ما را می سازد، بر حفظ کیفیت بیشتر تأکید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منابع آموزشی خود را موردبررسی مجدد قرار داده، دیدگاه های خود را در ارتباط با گزینش شریک کاری افزایش داده و شیوه های جدیدی را به منظور پایش نتایج و بازده های آموزشی بسط و توسعه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تسهیلاتی را در زمینه مهارت های آموزشی فراهم نمودیم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پایداری و کیفیت، دسترسی به اطلاعات، استفاده، قابلیت ایجاد و دسترس پذیری اطلاعات، توانمندسازی کتاب خانه، برنامه آموزشی کتاب خانه، مدیریت شبکه، این اَسپ، آکسفورد، انگلستان</w:t>
      </w:r>
      <w:r>
        <w:rPr>
          <w:rFonts w:eastAsia="IRNazanin" w:cs="IRNazanin"/>
          <w:color w:val="111111"/>
          <w:sz w:val="28"/>
          <w:szCs w:val="28"/>
          <w:rtl w:val="true"/>
          <w:lang w:bidi="fa-IR"/>
        </w:rPr>
        <w:t xml:space="preserve">. </w:t>
      </w:r>
      <w:bookmarkStart w:id="1018" w:name="pg9659_94185"/>
    </w:p>
    <w:p>
      <w:pPr>
        <w:pStyle w:val="Heading2"/>
        <w:numPr>
          <w:ilvl w:val="1"/>
          <w:numId w:val="1"/>
        </w:numPr>
        <w:rPr/>
      </w:pPr>
      <w:bookmarkStart w:id="1019" w:name="__RefHeading___Toc7825965_2870459653"/>
      <w:bookmarkStart w:id="1020" w:name="_Toc377"/>
      <w:bookmarkEnd w:id="1018"/>
      <w:bookmarkEnd w:id="1019"/>
      <w:r>
        <w:rPr>
          <w:rtl w:val="true"/>
        </w:rPr>
        <w:t>راهبرد پایداری و کیفیت</w:t>
      </w:r>
      <w:r>
        <w:rPr>
          <w:rtl w:val="true"/>
        </w:rPr>
        <w:t xml:space="preserve">: </w:t>
      </w:r>
      <w:r>
        <w:rPr>
          <w:rtl w:val="true"/>
        </w:rPr>
        <w:t xml:space="preserve">چگونگی توانمندی این </w:t>
      </w:r>
      <w:r>
        <w:rPr>
          <w:rtl w:val="true"/>
        </w:rPr>
        <w:t>«</w:t>
      </w:r>
      <w:r>
        <w:rPr>
          <w:rtl w:val="true"/>
        </w:rPr>
        <w:t>اَسپ</w:t>
      </w:r>
      <w:r>
        <w:rPr>
          <w:rtl w:val="true"/>
        </w:rPr>
        <w:t xml:space="preserve">» </w:t>
      </w:r>
      <w:r>
        <w:rPr>
          <w:rtl w:val="true"/>
        </w:rPr>
        <w:t>و شرکای آن در دستیابی به پژوهش ها در آفریقا</w:t>
      </w:r>
      <w:bookmarkEnd w:id="1020"/>
    </w:p>
    <w:p>
      <w:pPr>
        <w:pStyle w:val="Heading3"/>
        <w:numPr>
          <w:ilvl w:val="2"/>
          <w:numId w:val="1"/>
        </w:numPr>
        <w:rPr/>
      </w:pPr>
      <w:bookmarkStart w:id="1021" w:name="__RefHeading___Toc7825967_2870459653"/>
      <w:bookmarkStart w:id="1022" w:name="_Toc378"/>
      <w:bookmarkEnd w:id="1021"/>
      <w:r>
        <w:rPr>
          <w:rtl w:val="true"/>
        </w:rPr>
        <w:t>اشاره</w:t>
      </w:r>
      <w:bookmarkEnd w:id="1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پایداری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توانمندی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شرکای آن در دستیابی به پژوهش ها در آفریقا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نوشته آن پاوِل </w:t>
      </w:r>
      <w:r>
        <w:rPr>
          <w:rStyle w:val="FootnoteAnchor"/>
          <w:rtl w:val="true"/>
        </w:rPr>
        <w:footnoteReference w:id="1059"/>
      </w:r>
      <w:r>
        <w:rPr>
          <w:rFonts w:ascii="Amiri" w:hAnsi="Amiri" w:eastAsia="Amiri" w:cs="Amiri"/>
          <w:color w:val="111111"/>
          <w:sz w:val="28"/>
          <w:sz w:val="28"/>
          <w:szCs w:val="28"/>
          <w:rtl w:val="true"/>
          <w:lang w:bidi="ar-SA"/>
        </w:rPr>
        <w:t xml:space="preserve">، اِما فارو </w:t>
      </w:r>
      <w:r>
        <w:rPr>
          <w:rStyle w:val="FootnoteAnchor"/>
          <w:rtl w:val="true"/>
        </w:rPr>
        <w:footnoteReference w:id="1060"/>
      </w:r>
      <w:r>
        <w:rPr>
          <w:rFonts w:ascii="IRNazanin" w:hAnsi="IRNazanin" w:eastAsia="IRNazanin"/>
          <w:color w:val="111111"/>
          <w:sz w:val="28"/>
          <w:sz w:val="28"/>
          <w:szCs w:val="28"/>
          <w:rtl w:val="true"/>
          <w:lang w:bidi="fa-IR"/>
        </w:rPr>
        <w:t xml:space="preserve">و پیتر برنت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صدیقه محمد اسماعیل </w:t>
      </w:r>
      <w:r>
        <w:rPr>
          <w:rStyle w:val="FootnoteAnchor"/>
          <w:rtl w:val="true"/>
        </w:rPr>
        <w:footnoteReference w:id="1062"/>
      </w:r>
    </w:p>
    <w:p>
      <w:pPr>
        <w:pStyle w:val="Heading3"/>
        <w:numPr>
          <w:ilvl w:val="2"/>
          <w:numId w:val="1"/>
        </w:numPr>
        <w:rPr/>
      </w:pPr>
      <w:bookmarkStart w:id="1023" w:name="__RefHeading___Toc7825969_2870459653"/>
      <w:bookmarkStart w:id="1024" w:name="_Toc379"/>
      <w:bookmarkEnd w:id="1023"/>
      <w:r>
        <w:rPr>
          <w:rtl w:val="true"/>
        </w:rPr>
        <w:t>راهبرد پایداری و کیفیت</w:t>
      </w:r>
      <w:r>
        <w:rPr>
          <w:rtl w:val="true"/>
        </w:rPr>
        <w:t xml:space="preserve">: </w:t>
      </w:r>
      <w:r>
        <w:rPr>
          <w:rtl w:val="true"/>
        </w:rPr>
        <w:t>چگونگی توانمندی این اَسپ و شرکای آن در دستیابی به پژوهش ها در آفریقا</w:t>
      </w:r>
      <w:bookmarkEnd w:id="1024"/>
    </w:p>
    <w:p>
      <w:pPr>
        <w:pStyle w:val="Heading3"/>
        <w:numPr>
          <w:ilvl w:val="2"/>
          <w:numId w:val="1"/>
        </w:numPr>
        <w:rPr/>
      </w:pPr>
      <w:bookmarkStart w:id="1025" w:name="__RefHeading___Toc7825971_2870459653"/>
      <w:bookmarkStart w:id="1026" w:name="_Toc380"/>
      <w:bookmarkEnd w:id="1025"/>
      <w:r>
        <w:rPr>
          <w:rtl w:val="true"/>
        </w:rPr>
        <w:t>مقدمه</w:t>
      </w:r>
      <w:bookmarkEnd w:id="102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اَسپ، موسسه ای دارای وجهه بین المللی و متشکل از شرکایی از دیگر کشورها است که به منظور دستیابی، تولید و استفاده از دانش و اطلاعات تحقیقاتی در سطح جهانی ایجاد و تشکیل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هدف از تأسیس موسسه مزبور آن است که کشورهای عضو بتوانند از دستاوردهای علمی و پژوهشی در راستای حل مشکلات توسعه ای در کشور خود بهره مند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اَسپ، سال ها از نظام آموزش عالی و تحقیقاتی آفریقا حمایت کرده است و با بسیاری از کشورها در زمینه های زیر هم کاری داشته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دستیابی به نشریات برخط و دیگر منابع الکترونیک،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نیازها و درخواست های آموزشی و مشاوره های کتابداران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محققین در اجرای تحقیقات باکیفیت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رؤیت پذیر کردن پژوهش های انجام شده در آفریقا از طریق پلتفرم ها و سکوهای عملیاتی برخط نشریات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برنامه های این اسپ پیرامون مفهوم چرخه ارتباطات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تنظیم گردید و در آن مراحل مختلف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از چرخه برقراری ارتباطات علمی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ارتباط با ویراستاران، ناشران و کتابداران می تواند متضمن اعتبار، به هنگام بودن و مرتبط بودن تحقیقات موجود و در دسترس محققان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برگیرنده تمامی تحقیقات منتشر شده ای است که در شماره های نشریات در دسترس آزاد </w:t>
      </w:r>
      <w:r>
        <w:rPr>
          <w:rStyle w:val="FootnoteAnchor"/>
          <w:rtl w:val="true"/>
        </w:rPr>
        <w:footnoteReference w:id="1063"/>
      </w:r>
      <w:r>
        <w:rPr>
          <w:rFonts w:ascii="IRNazanin" w:hAnsi="IRNazanin" w:eastAsia="IRNazanin"/>
          <w:color w:val="111111"/>
          <w:sz w:val="28"/>
          <w:sz w:val="28"/>
          <w:szCs w:val="28"/>
          <w:rtl w:val="true"/>
          <w:lang w:bidi="fa-IR"/>
        </w:rPr>
        <w:t>، کتاب ها و مخازن سازمانی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از سوی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آفریقایی، پنج کشور آسیایی و پنج کشور آمریکای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مذاکراتی بر سر بهره گیری از تخفیفات ویژه و یا حتی مجوز استفاده رایگان از اطلاعات پژوهشی و تحقیقاتی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منجر به انتخاب بیش از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تمام متن،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تمام متن،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مقالات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و مؤلف بین المللی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ناشران، کتاب داران، متخصصان فناوری های اطلاعاتی و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سی تی</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و تصمیم گیرندگان به منظور حصول اطمینان از زیرساخت های اطلاعاتی و سیاست ها و عملکردهای سازمانی، محققین را در دستیابی به اطلاعات مورد نیازشان جهت انجام کارهای تحقیقاتی توانمند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موسسه تحقیقاتی امکان دستیابی به منابع الکترونیک را از طریق پی ایی آر آی </w:t>
      </w:r>
      <w:r>
        <w:rPr>
          <w:rStyle w:val="FootnoteAnchor"/>
          <w:rtl w:val="true"/>
        </w:rPr>
        <w:footnoteReference w:id="1065"/>
      </w:r>
      <w:r>
        <w:rPr>
          <w:rFonts w:ascii="IRNazanin" w:hAnsi="IRNazanin" w:eastAsia="IRNazanin"/>
          <w:color w:val="111111"/>
          <w:sz w:val="28"/>
          <w:sz w:val="28"/>
          <w:szCs w:val="28"/>
          <w:rtl w:val="true"/>
          <w:lang w:bidi="fa-IR"/>
        </w:rPr>
        <w:t xml:space="preserve">دریافت نمودند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اطلاعات دانلود شده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 از آمارهای مربوط به ذخیره اطلاعات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مؤثر در این امر نتیجه تلاشی بود که ما در زمینه، توسعه و تقویت کنسرسیوم کتاب خانه ای مربوط به خرید نشریات الکترونیک، کتاب ها و دیگر منابع و آموزش کارکنان این کتاب خانه ها جهت اداره آن ها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منابع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کتابداران و محققان به جهت حصول اطمینان از این که محققان توانسته اند مهارت های سواد اطلاعاتی لازم را در این راستا کسب و بسط و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تحقیقات و رؤیت پذیری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عرصه کار با محققان، ویراستاران و ناشران جهت ایجاد و تقویت مهارت های نوشتن، انتشار و انجام پژوهش های تعاملی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در جنوب آفریقا محتوای نشریات خود را از طریق پلتفرم ها و نظام های عامل برخط نشریات، به صورت برخط و به صورت عناوین رقومی دسترس پذیر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بیانگر آن بود که در سرتاسر جهان دانلود و ذخیره مقالات مربوط به این قبیل نشریات از یک رشد چهار برابری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تعاملات و ارتقاء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عرصه کار با مجالس کشور، ادارات دولتی و جامعه مدنی به منظور تأمین مهارت های مورد نیاز جهت استفاده از تحقیقات در بخش های تصمیم گیرنده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نظیر بسط و توسعه مجموعه ای از واحدهای درسی پیشنهاد شده در مدارس کشور غنا در ارتباط با استفاده از شواهد و مدارک تحقیقاتی، توسعه دوره های مربی گری ویژه محققان بخش سیاست گذاری در کشور زیمبابوه و اجرای مجموعه ای از گفتگوهای مربوط به سیاست عمومی در زمینه اولویت های مربوط به توسعه ملی و بنیادی در این کشور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اَسپ، در فاز جدید کاری، بخشی از دیدگاه های خود را به پاسخ به تغییرات در بخش های مربوط به تحقیقات و آموزش عالی، ارتباطات علمی و توسعه بین الملل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مسیر مایل به ادامه روند کاری خود با شرکایی بوده که مصر به ایجاد شرایط ذیل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 مؤثر در زمینه دستیابی به اطلاعات که متضمن دستیابی به آخرین اطلاعات مربوط به تحقیقات انجام شده در سطح ملی، منطقه ای و جهانی برای محققین و سیاستمداران کشورهاست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تشکل تحقیقاتی فعال در زمینه تولید، انتشار و اشاعه پژوهش ها و دانش جدید و بازنمایی اطلاعات موجود در جهت رفع نیازهای بومی و ملی در هر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کاربران ماهر در زمینه استفاده از دانش و اطلاعات پژوهشی که قادرند اطلاعات مربوط به تحقیقات موجود را درک و ارزیابی نموده و نیازهای اطلاعاتی خود را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برنامه مزبور به روند کاری خود تا حصول به موارد زیر ادامه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بر سر تهیه منابع برخط رایگان و کم هزینه طیف گسترده ای از ناشران در بسیاری از رشته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کتابداران و کارمندان بخش فناوری اطلاعات به منظور حصول اطمینان از این که محققان، اساتید و دانشجویان قادر به دستیابی و استفاده از ادبیات تحقیقاتی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فعالیت های انجام شده از سوی ما را مشاهده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 و توسعه برنامه مربوط به قابلیت دستیابی و رؤیت نشریات کشورهای در حال رشد از طریق طرح های نشریات برخط </w:t>
      </w:r>
      <w:r>
        <w:rPr>
          <w:rStyle w:val="FootnoteAnchor"/>
          <w:rtl w:val="true"/>
        </w:rPr>
        <w:footnoteReference w:id="1066"/>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ارائه مشاوره به نویسندگان کشورهای در حال توسعه از طریق برنامه کمک به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ما فعالیت های خود را در این زمینه ها افزایش داده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کنسرسیوم هم کاری های کتاب خانه ای و سازمان های ملی مشابه در کشورها، به منظور تجهیز آن ها به ظرفیت بیشتر و توانمندسازی آن ها جهت کنترل بیشتر خرید و مدیریت منابع تحقیقاتی و نیازهای آموزشی توسط اعضای کنسرسیوم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مدارس کتاب داری در تعدادی از کشورها در تعداد کثیری از کشورهای منتخب، جهت به روز رسانی برنامه های درسی کارشناسی ارشد به منظور تولید نسل جدیدی از کتاب داران که بتوانند مجموعه های رقومی را مدیریت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شبکه های آموزش و پژوهش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آر ایی اِن</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جهت کمک به توسعه دسترسی به اینترنت مقرون به صرفه برای مؤسسات عضو و حمایت از آموزش توسعه شبکه های فناوری اطلاعات دانشگاهی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دانشگاه هایی که آموزش سواد دانشگاهی و مهارت های مربوط به نگارش و انتشار مطالب، به عنوان استانداردی برای احراز حرفه استادی و عضویت در هیئت علمی دانشگاه در نظر دارند</w:t>
      </w:r>
      <w:r>
        <w:rPr>
          <w:rFonts w:eastAsia="IRNazanin" w:cs="IRNazanin"/>
          <w:color w:val="111111"/>
          <w:sz w:val="28"/>
          <w:szCs w:val="28"/>
          <w:rtl w:val="true"/>
          <w:lang w:bidi="fa-IR"/>
        </w:rPr>
        <w:t xml:space="preserve">. </w:t>
      </w:r>
      <w:bookmarkStart w:id="1027" w:name="pg9659_94189"/>
    </w:p>
    <w:p>
      <w:pPr>
        <w:pStyle w:val="BookText"/>
        <w:rPr/>
      </w:pPr>
      <w:bookmarkEnd w:id="10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کتاب داران، محققین و متخصصان فناوری اطلاعات در برخی از فقیرترین کشورها در انطباق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کمک به آن ها در استفاده مؤثر از منابع موجود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انجمن های علمی و سایر نهادهای ملی به منظور مدیریت طرح های نشریات برخط خود</w:t>
      </w:r>
    </w:p>
    <w:p>
      <w:pPr>
        <w:pStyle w:val="BookText"/>
        <w:rPr/>
      </w:pPr>
      <w:r>
        <w:rPr>
          <w:rFonts w:ascii="IRNazanin" w:hAnsi="IRNazanin" w:eastAsia="IRNazanin"/>
          <w:color w:val="111111"/>
          <w:sz w:val="28"/>
          <w:sz w:val="28"/>
          <w:szCs w:val="28"/>
          <w:rtl w:val="true"/>
          <w:lang w:bidi="fa-IR"/>
        </w:rPr>
        <w:t>این مقاله بر بحث حمایت از کنسرسیوم هم کاری های کتاب خانه ای به جهت گسترش موجودیت منابع پژوهشی و امکان دسترسی به آن ها به ویژه جنبه های تقویت ظرفیت، برنامه ریزی راهبردی، توسعه پایدار و کیفیت متمرکز است</w:t>
      </w:r>
      <w:r>
        <w:rPr>
          <w:rFonts w:eastAsia="IRNazanin" w:cs="IRNazanin"/>
          <w:color w:val="111111"/>
          <w:sz w:val="28"/>
          <w:szCs w:val="28"/>
          <w:rtl w:val="true"/>
          <w:lang w:bidi="fa-IR"/>
        </w:rPr>
        <w:t>.</w:t>
      </w:r>
    </w:p>
    <w:p>
      <w:pPr>
        <w:pStyle w:val="Heading3"/>
        <w:numPr>
          <w:ilvl w:val="2"/>
          <w:numId w:val="1"/>
        </w:numPr>
        <w:rPr/>
      </w:pPr>
      <w:bookmarkStart w:id="1028" w:name="__RefHeading___Toc7825973_2870459653"/>
      <w:bookmarkStart w:id="1029" w:name="_Toc381"/>
      <w:bookmarkEnd w:id="1028"/>
      <w:r>
        <w:rPr>
          <w:rtl w:val="true"/>
        </w:rPr>
        <w:t>افزایش و تقویت مدیریت منابع الکترونیکی</w:t>
      </w:r>
      <w:bookmarkEnd w:id="1029"/>
    </w:p>
    <w:p>
      <w:pPr>
        <w:pStyle w:val="BookText"/>
        <w:rPr/>
      </w:pPr>
      <w:r>
        <w:rPr>
          <w:rFonts w:ascii="IRNazanin" w:hAnsi="IRNazanin" w:eastAsia="IRNazanin"/>
          <w:color w:val="111111"/>
          <w:sz w:val="28"/>
          <w:sz w:val="28"/>
          <w:szCs w:val="28"/>
          <w:rtl w:val="true"/>
          <w:lang w:bidi="fa-IR"/>
        </w:rPr>
        <w:t>هدف اصلی از این کار تقویت ظرفیت کشورهای شریک، به منظور حفظ امنیت و مدیریت دستیابی به منابع الکترونیک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حصول اطمینان از این که محققان، دانشجویان و دیگر کاربران امکان دسترسی به منابع پژوهشی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کشورها مدیریت موفق دستیابی به منابع الکترونیک و اطمینان از تضمین مقرون به صرفه بودن قیمت ها دارای اهمیت است و مهم آن است که هیئت و نهاد نمایندگی ای در سطح ملی وجود داشته باشد که بتواند هماهنگی های لازم در زمینه مدیریت این گونه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انتخاب و خرید گرفته تا توسعه و نظارت بر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دانشگاه ها، مؤسسات تحقیقاتی و دیگر سازمان های استفاده کننده از تحقیقات در کشور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کشورها این نهادها، همان کنسرسیوم کتاب خانه ملی کشور هستند، اما در برخی کشورها شورای ملی آموزش عالی و یا هر نهاد دیگری می توانند در این نقش ایفای وظیفه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حمایت توأمان از ظرفیت های فردی و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سازمانی، این اَسپ، از کنسرسیوم کتاب خانه ای و یا هر نهاد مشابه دیگر مادامی که ساختار مدیریتی خود را توسعه داده و فرآیند اخذ اشتراک و مجوز منابع الکترونیک را در سطح ملی هدایت و رهبری می کند،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فردی، این اَسپ، آموزش افراد شاغل در کتاب خانه که توسط کنسرسیوم انتخاب گردیده اند را پیشنهاد می نماید به گونه ای که آموزش مزبور هم برای سازمان های فردی و هم برای سازمان های عضو کنسرسیوم مناسب باشد و روی هم رفته بتواند در این حوزه، نیروهای متخصص کشور را به عنوان مدرسان و متخصصان آینده کشور، تربیت نماید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این اَسپ، کار خود را با کشورهایی که از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در برنامه های توسعه راهبردی سه ساله فعالیت های آموزشی حمایت از مدیریت منابع الکترونیک شرکت کرده بودند،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ابزاری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وب سایت این اَسپ، به صورت رایگان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w:t>
      </w:r>
    </w:p>
    <w:p>
      <w:pPr>
        <w:pStyle w:val="BookText"/>
        <w:rPr/>
      </w:pPr>
      <w:r>
        <w:rPr>
          <w:rFonts w:ascii="IRNazanin" w:hAnsi="IRNazanin" w:eastAsia="IRNazanin"/>
          <w:color w:val="111111"/>
          <w:sz w:val="28"/>
          <w:sz w:val="28"/>
          <w:szCs w:val="28"/>
          <w:rtl w:val="true"/>
          <w:lang w:bidi="fa-IR"/>
        </w:rPr>
        <w:t>اخذ مجوز شرکت در دوره های آموزشی مهارت های گفتگو کشورها، از طریق کنسرسیوم یا نهادهای ملی مشابه و دعوت از حداقل دو نماینده از هر کشور جهت شرکت در پنج کارگاه آموزشی و یا انجام فعالیت های زیر از جمله اقدامات صورت گرفته در این راستاست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منابع الکترونیک و دسترسی به آن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سواد اطلاعاتی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راهبردی و برنامه آموزشی سواد اطلاعاتی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مهارت های آموزشی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کارگروهی با یکدیگر جهت حمایت از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 تی اِس آر</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بازاریابی و ارتقاء منابع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شامل بازاریابی خدمات کتاب خانه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و ارزیابی در زمینه کاربرد منابع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فعالیت های کنسرسیوم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کتاب داران آگاه به نظام های اطلاعاتی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بازاریابی کتاب خانه ای و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کارگاه آموزشی بر روی بازاریابی و حمایت های کتاب خانه ای در سطح کتاب خانه و کنسرسیوم تمرکز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کارگاه های آموزشی به وضوح انتظارات خاصی در جهت رفع نیازهای کنسرسیوم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کارگاه بازاریابی و ارتقاء منابع الکترونیک انتظار می رود که طرح های بازاریابی ارائه شده توسط هر یک از مؤسسات عضو بتواند میزان استفاده از منابع الکترونیک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کنسرسیوم مسئول اداره کارگاه آموزشی قادر به تعیین زمان اجرای طرح، چگونگی تسهیم طرح میان اعضای شرکت کننده در کارگاه و نحوه ارائه گزارش به کنسرسیوم در زمینه اثربخش بودن کارگاه برگزار شده، هست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 ها و مشکلاتی که ما در زمینه برگزاری کارگاه های آموزشی با آن مواجه بودیم، انتخاب شرکا اصلح جهت شرکت در کارگاه های مزبور بود، آن هم در شرایطی که شرکت در این کارگاه بعضاً به عنوان پاداشی برای شرکای خوب تر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وضوح شرکت کنندگان ایده آل را جهت شرکت در کارگاه های مزبور مشخص نمودیم تا از بروز هرگونه موقعیت که شرکت کننده توانمندی احساس اتلاف وقت کند، ممانعت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مطرح کردیم کتاب دارانی از کارگاه نظارت، پایش و ارزیابی استفاده از منابع الکترونیکی بیش ترین بهره را می برند که در مؤسسات </w:t>
      </w:r>
      <w:bookmarkStart w:id="1030" w:name="pg9659_94191"/>
    </w:p>
    <w:p>
      <w:pPr>
        <w:pStyle w:val="BookText"/>
        <w:rPr/>
      </w:pPr>
      <w:bookmarkEnd w:id="1030"/>
      <w:r>
        <w:rPr>
          <w:rFonts w:ascii="IRNazanin" w:hAnsi="IRNazanin" w:eastAsia="IRNazanin"/>
          <w:color w:val="111111"/>
          <w:sz w:val="28"/>
          <w:sz w:val="28"/>
          <w:szCs w:val="28"/>
          <w:rtl w:val="true"/>
          <w:lang w:bidi="fa-IR"/>
        </w:rPr>
        <w:t xml:space="preserve">خود دارای پست مدیریت و ارزیابی </w:t>
      </w:r>
      <w:r>
        <w:rPr>
          <w:rStyle w:val="FootnoteAnchor"/>
          <w:rtl w:val="true"/>
        </w:rPr>
        <w:footnoteReference w:id="1072"/>
      </w:r>
      <w:r>
        <w:rPr>
          <w:rFonts w:ascii="IRNazanin" w:hAnsi="IRNazanin" w:eastAsia="IRNazanin"/>
          <w:color w:val="111111"/>
          <w:sz w:val="28"/>
          <w:sz w:val="28"/>
          <w:szCs w:val="28"/>
          <w:rtl w:val="true"/>
          <w:lang w:bidi="fa-IR"/>
        </w:rPr>
        <w:t>بوده، به این حوزه علاقه مند و یا تجاربی در این زمینه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ملاک هایی را برای ارزیابی، قبل و بعد از شرکت در کارگاه های آموزشی تعیین کردیم تا افراد بتوانند میزان موفقیت خود را در حصول به اعتماد به نفس، دانش و مهارت های لازم، به عنوان نتیجه شرکت در کارگاه های آموزشی،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مزبور برای برگزاری پنج کارگاه مهارت کتاب خانه ای و یا حتی بیشتر در آینده،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شاخص ها، قبل از برگزاری کارگاه، برای تعیین ویژگی های شرکت کنندگان، انتخاب آن ها و این که انتظار می رود شرکت در این کارگاه ها چه نیازهای خاصی را تأمین کند،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از یافته های حاصل از این سنجش ها جهت انطباق و به روزرسانی منابع آموزشی و بهره مندی از آن ها برای بهبود فرآیندهای مربوط به برگزاری این کارگاه ها در آینده، استفاده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آموزش، این اَسپ در حال برنامه ریزی برای توسعه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کاری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اعضای کنسرسیوم یا دیگر نهادها و سازمان های ملی تجارب خود را به اشتراک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تجاربی به احتمال زیاد در زمینه مسائل مؤثر بر کتاب خانه ها نظیر، بحث پیرامون دسترسی به سواد اطلاعاتی و شبکه سازی درون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بحث، چالش ایجاد توازن میان گروه های کاری، حصول اطمینان از حفظ علایق موجود، بدون احاطه شرکت کنندگان با انبوه ایمیل های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آنیم تا این مشکل را از طریق تعدیل گروه ها و طرح مباحثی با موضوعات مشخص که با علایق تعداد کثیری از شرکت کنندگان ما سازگار است، مرتفع نماییم</w:t>
      </w:r>
      <w:r>
        <w:rPr>
          <w:rFonts w:eastAsia="IRNazanin" w:cs="IRNazanin"/>
          <w:color w:val="111111"/>
          <w:sz w:val="28"/>
          <w:szCs w:val="28"/>
          <w:rtl w:val="true"/>
          <w:lang w:bidi="fa-IR"/>
        </w:rPr>
        <w:t>.</w:t>
      </w:r>
    </w:p>
    <w:p>
      <w:pPr>
        <w:pStyle w:val="Heading3"/>
        <w:numPr>
          <w:ilvl w:val="2"/>
          <w:numId w:val="1"/>
        </w:numPr>
        <w:rPr/>
      </w:pPr>
      <w:bookmarkStart w:id="1031" w:name="__RefHeading___Toc7825975_2870459653"/>
      <w:bookmarkStart w:id="1032" w:name="_Toc382"/>
      <w:bookmarkEnd w:id="1031"/>
      <w:r>
        <w:rPr>
          <w:rtl w:val="true"/>
        </w:rPr>
        <w:t>اطمینان از پایداری با کار بر روی ساختارهای ملی</w:t>
      </w:r>
      <w:bookmarkEnd w:id="1032"/>
    </w:p>
    <w:p>
      <w:pPr>
        <w:pStyle w:val="BookText"/>
        <w:rPr/>
      </w:pPr>
      <w:r>
        <w:rPr>
          <w:rFonts w:ascii="IRNazanin" w:hAnsi="IRNazanin" w:eastAsia="IRNazanin"/>
          <w:color w:val="111111"/>
          <w:sz w:val="28"/>
          <w:sz w:val="28"/>
          <w:szCs w:val="28"/>
          <w:rtl w:val="true"/>
          <w:lang w:bidi="fa-IR"/>
        </w:rPr>
        <w:t>ما به منظور کسب اطمینان از این که ظرفیت مدنظری را که شرکایمان مایل به توسعه آن بوده و این اَسپ نیز مایل به حمایت از آن هست، به شکلی پایدار فراهم گردیده است، کار خود را بر روی ساختارهای ملی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کنسرسیوم ملی کتاب خانه های تحقیقاتی و آموزش عالی و در پاره ای از موارد نهاد دیگری در سطح ملی مسئولیت دسترسی به منابع الکترونیکی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وجود، جديد التأسيس و یا ضعیف بودن چنین هیئت هایی جهت عهده دار شدن چنین مسئولیتی، ما خودکار را با آن کشورهای شریک به منظور تحقق این امر دنبال کردیم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اَسپ به این نتیجه رسید که حفظ ظرفیت در دراز مدت مستلزم آن است که کنسرسیوم کتاب خانه ها یا دیگر نهادهای معادل نه تنها می بایست مهارت های خاص را گسترش و در میان مؤسسات </w:t>
      </w:r>
      <w:bookmarkStart w:id="1033" w:name="pg9659_94192"/>
    </w:p>
    <w:p>
      <w:pPr>
        <w:pStyle w:val="BookText"/>
        <w:rPr/>
      </w:pPr>
      <w:bookmarkEnd w:id="1033"/>
      <w:r>
        <w:rPr>
          <w:rFonts w:ascii="IRNazanin" w:hAnsi="IRNazanin" w:eastAsia="IRNazanin"/>
          <w:color w:val="111111"/>
          <w:sz w:val="28"/>
          <w:sz w:val="28"/>
          <w:szCs w:val="28"/>
          <w:rtl w:val="true"/>
          <w:lang w:bidi="fa-IR"/>
        </w:rPr>
        <w:t>عضو به تربیت نیروهای متخصص بپردازند، بلکه می بایست مسائل را در سطح سازمانی نیز مدنظر قرار داده و بدان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آن هایی که قادرند نیازهای حال و آتی خود را مشخص نمایند، می بایست راهبردهای سازمانی خود را برای حصول به زمینه های فوق گسترش و برای دستیابی به چشمان دارهای آینده برنامه ریزی نمایند؛ بنابراین این اَسپ از کنسرسیوم و دیگر نهادهای ملی که چنین اقداماتی را منتظر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ابزاری را جهت تعیین ظرفیت موجود و پیشرفت های سالانه شان پیشنهاد می نمایند، حمایت خواهد کرد تا آن ها مطمئن شوند که حمایت های موردنیاز خود را از سوی آن ها در زمینه تدوین برنامه ریزی راهبردی خود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اَسپ در حال حاضر هم چنان در حال گسترش دیدگاه های خود در زمینه حمایت از ظرفیت های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اولین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مصاحبه با رهبران با تجربه کنسرسیوم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کمک به کنسرسیوم و سازمان های ملی معادل جهت افزایش ظرفیتشان اقدام به طراحی سیاهه کنترلی در هفت زمینه زیر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توسعه راهبردی، سازه های مدیریتی، عضویت و پایه مالی، تعاملات ارتباطی و اثر بخشی، حمایت از توسعه مؤسسات عضو و توانایی تأمین و مدیریت دستیابی به منابع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سیاهه، این اَسپ و شرکا آن را روی هم رفته قادر به ترسیم تصویر نیازهای توسعه سازمانی، مرور هر ساله مسیر پیشرفت ها، تعیین افق های آینده و ادامه حمایت ها می نماید، این رویکرد، علاوه بر فراهم نمودن امکان تخمین ظرفیت، از شرکا برای اقدام هر چه بهتر و بیشتر در زمینه تفکر و برنامه ریزی راهبردی و بهره وری از حمایت های ارائه شده این اَسپ و دیگران فراهم می کند</w:t>
      </w:r>
      <w:r>
        <w:rPr>
          <w:rFonts w:eastAsia="IRNazanin" w:cs="IRNazanin"/>
          <w:color w:val="111111"/>
          <w:sz w:val="28"/>
          <w:szCs w:val="28"/>
          <w:rtl w:val="true"/>
          <w:lang w:bidi="fa-IR"/>
        </w:rPr>
        <w:t>.</w:t>
      </w:r>
    </w:p>
    <w:p>
      <w:pPr>
        <w:pStyle w:val="Heading3"/>
        <w:numPr>
          <w:ilvl w:val="2"/>
          <w:numId w:val="1"/>
        </w:numPr>
        <w:rPr/>
      </w:pPr>
      <w:bookmarkStart w:id="1034" w:name="__RefHeading___Toc7825977_2870459653"/>
      <w:bookmarkStart w:id="1035" w:name="_Toc383"/>
      <w:bookmarkEnd w:id="1034"/>
      <w:r>
        <w:rPr>
          <w:rtl w:val="true"/>
        </w:rPr>
        <w:t>اتخاذ رویکردی راهبردی</w:t>
      </w:r>
      <w:bookmarkEnd w:id="103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منظور حصول اطمینان از این که حمایت های این اَسپ تمامی نیازها و اولویت های تعریف شده توسط کشورها را تحت پوشش خود قرار داده و موجب می گردد کنسرسیوم کتاب خانه ها و نهادهای مشابه بتوانند دیدگاه های راهبردی طولانی مدت تری را اتخاذ نمایند، اقدام به هم کاری با کنسرسیوم و نهاد ملی در راستای توسعه یک برنامه راهبردی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که جایگزین موافقت نامه های سالیانه قبل گردد،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 و برنامه های مزبور بر مبنای فرآیند برنامه ریزی راهبردی به گونه ای طراحی شده بود که در آن ها شرکا بر مبنای نیازها و اولویت های خود تعیین می کردند در کدام یک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آموزشی که در پنج حوزه مشخص توسط این اَسپ ارائه می گردید،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طرح جزییات یک سری از فعالیت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کارگاه 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حمایت این اَسب خواهد بود، طرح ها و برنامه های مزبور در برگیرنده تمامی مواردی هستند که کنسرسیوم یا نهادهای مشابه به عنوان نتیجه متوقع دستیابی به آن ها هستند و به وضوح انتظارات افراد شرکت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وسیع تر، آن </w:t>
      </w:r>
      <w:bookmarkStart w:id="1036" w:name="pg9659_94193"/>
    </w:p>
    <w:p>
      <w:pPr>
        <w:pStyle w:val="BookText"/>
        <w:rPr/>
      </w:pPr>
      <w:bookmarkEnd w:id="1036"/>
      <w:r>
        <w:rPr>
          <w:rFonts w:ascii="IRNazanin" w:hAnsi="IRNazanin" w:eastAsia="IRNazanin"/>
          <w:color w:val="111111"/>
          <w:sz w:val="28"/>
          <w:sz w:val="28"/>
          <w:szCs w:val="28"/>
          <w:rtl w:val="true"/>
          <w:lang w:bidi="fa-IR"/>
        </w:rPr>
        <w:t xml:space="preserve">دسته از که آن ها را برای شرکت در برنامه های آموزشی انتخاب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نمایند تا این اطمینان حاصل شود که آن چه را که آن ها فرا می گیرند، در نهایت، در انجام کارهای روزمره شان بسیار کارساز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برنامه ریزی کنسرسیوم را به ترسیم چشم اندازهای ایده آل پنج سال آینده و تحلیل نقاط ضعف و قوت موجود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مؤسسات عضو درخواست شده تا ارزیابی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نسبت به نیازهای آموزشی، بلکه نسبت به مهارت ها، تخصص ها و صلاحیت هایی که قادر به تقسیم با هم کاران خود بوده و در نهایت به نفع کنسرسیوم باشد، مطرح نمایند</w:t>
      </w:r>
      <w:r>
        <w:rPr>
          <w:rFonts w:eastAsia="IRNazanin" w:cs="IRNazanin"/>
          <w:color w:val="111111"/>
          <w:sz w:val="28"/>
          <w:szCs w:val="28"/>
          <w:rtl w:val="true"/>
          <w:lang w:bidi="fa-IR"/>
        </w:rPr>
        <w:t>.</w:t>
      </w:r>
    </w:p>
    <w:p>
      <w:pPr>
        <w:pStyle w:val="Heading3"/>
        <w:numPr>
          <w:ilvl w:val="2"/>
          <w:numId w:val="1"/>
        </w:numPr>
        <w:rPr/>
      </w:pPr>
      <w:bookmarkStart w:id="1037" w:name="__RefHeading___Toc7825979_2870459653"/>
      <w:bookmarkStart w:id="1038" w:name="_Toc384"/>
      <w:bookmarkEnd w:id="1037"/>
      <w:r>
        <w:rPr>
          <w:rtl w:val="true"/>
        </w:rPr>
        <w:t>تأکیدی بر کیفیت</w:t>
      </w:r>
      <w:bookmarkEnd w:id="1038"/>
    </w:p>
    <w:p>
      <w:pPr>
        <w:pStyle w:val="BookText"/>
        <w:rPr/>
      </w:pPr>
      <w:r>
        <w:rPr>
          <w:rFonts w:ascii="IRNazanin" w:hAnsi="IRNazanin" w:eastAsia="IRNazanin"/>
          <w:color w:val="111111"/>
          <w:sz w:val="28"/>
          <w:sz w:val="28"/>
          <w:szCs w:val="28"/>
          <w:rtl w:val="true"/>
          <w:lang w:bidi="fa-IR"/>
        </w:rPr>
        <w:t xml:space="preserve">به منظور حصول اطمینان از این که برنامه های آموزشی ارائه شده توسط ما مؤثر بوده و همان عنصر سازنده ای است که ظرفیت واقعی و پایدار ما را در کنسرسیوم کتاب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ملی مشابه می سازد، برافزایش هر چه بیشتر کیفیت تأکید 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های آموزشی شامل کارگاه های مدیریت، پایش و نظارت، ارزیابی و بازاریابی منابع الکترونیک، سواد اطلاعاتی و مهارت های آموزشی، نظام های کتاب خانه ای و خدمات کتاب داری جدید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کارگاه های آموزشی در داخل کشور و توسط مربیان محلی و منطقه ای برگزار و به گونه ای طراحی خواهد شد که به طور گسترده آموزش قشر وسیعی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این که برنامه های آموزشی ارائه شده از کیفیت بالا و ظرفیت حقیقی برای توسعه و پیشرفت برخوردارند، به صورت تدریجی اقدام به ارتقاء منابع آموزشی، تمرکز بر رویکردهای خاص آموزشی و تربیت متخصصین موضوعی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منظور ورود جدی در فرآیند انتخاب شرکت کنندگان برای حضور در برنامه 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حصول اطمینان از این که افرادی که استحقاق دارند توانسته اند آموزش های لازم را دریافت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از استخدام مربیان و مدرسان ماهر و حمایت از حرفه گرایی، به عنوان افراد دست اندر کار آموزش، با کنسرسیوم هم کاری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ما زمانی مطمئن خواهیم شد آموزش های ارائه شده توسط ما اثربخش بوده که شرکت کنندگان آن چه انتظار داشتند در نتیجه شرکت در کارگاه ها یاد بگیرند را فرا گرفته اند</w:t>
      </w:r>
      <w:r>
        <w:rPr>
          <w:rFonts w:eastAsia="IRNazanin" w:cs="IRNazanin"/>
          <w:color w:val="111111"/>
          <w:sz w:val="28"/>
          <w:szCs w:val="28"/>
          <w:rtl w:val="true"/>
          <w:lang w:bidi="fa-IR"/>
        </w:rPr>
        <w:t>.</w:t>
      </w:r>
    </w:p>
    <w:p>
      <w:pPr>
        <w:pStyle w:val="Heading3"/>
        <w:numPr>
          <w:ilvl w:val="2"/>
          <w:numId w:val="1"/>
        </w:numPr>
        <w:rPr/>
      </w:pPr>
      <w:bookmarkStart w:id="1039" w:name="__RefHeading___Toc7825981_2870459653"/>
      <w:bookmarkStart w:id="1040" w:name="_Toc385"/>
      <w:bookmarkEnd w:id="1039"/>
      <w:r>
        <w:rPr>
          <w:rtl w:val="true"/>
        </w:rPr>
        <w:t>تعهد به یادگیری هم گام با پیشرفت</w:t>
      </w:r>
      <w:bookmarkEnd w:id="104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مداوم و تعهد به یادگیری، فرآیندی مهم جهت کسب اطمینان از حصول پیشرفت مداوم و بهبود راهبردها و دیدگاه های ما در طول اجرای طرح است و این که شرکت کنندگان از شبکه آموزش ما </w:t>
      </w:r>
      <w:bookmarkStart w:id="1041" w:name="pg9659_94194"/>
    </w:p>
    <w:p>
      <w:pPr>
        <w:pStyle w:val="BookText"/>
        <w:rPr/>
      </w:pPr>
      <w:bookmarkEnd w:id="1041"/>
      <w:r>
        <w:rPr>
          <w:rFonts w:ascii="IRNazanin" w:hAnsi="IRNazanin" w:eastAsia="IRNazanin"/>
          <w:color w:val="111111"/>
          <w:sz w:val="28"/>
          <w:sz w:val="28"/>
          <w:szCs w:val="28"/>
          <w:rtl w:val="true"/>
          <w:lang w:bidi="fa-IR"/>
        </w:rPr>
        <w:t>بیش ترین بهره را برده و ما شواهدی در دست داریم که نشان می دهد ما و شرکایمان نیاز به پی ریزی و پشتیبانی از برنامه های کاری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سایه تحقق موارد ذیل امکان پذیر خواهد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و هدایت دیدگاه ها و برنامه های جدید،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برگزاری دوره های آموزشی پیرامون راهبردهای اتخاذ شده در این برنامه،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پرورش جوامع و گروه های فعال و عمل گرا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دانش جهت توانمندسازی این اَسپ و شرکایمان جهت تحت تأثیر قرار دادن سهامداران اصلی در دستیابی به نظام مطلوب</w:t>
      </w:r>
    </w:p>
    <w:p>
      <w:pPr>
        <w:pStyle w:val="BookText"/>
        <w:rPr/>
      </w:pPr>
      <w:r>
        <w:rPr>
          <w:rFonts w:ascii="IRNazanin" w:hAnsi="IRNazanin" w:eastAsia="IRNazanin"/>
          <w:color w:val="111111"/>
          <w:sz w:val="28"/>
          <w:sz w:val="28"/>
          <w:szCs w:val="28"/>
          <w:rtl w:val="true"/>
          <w:lang w:bidi="fa-IR"/>
        </w:rPr>
        <w:t>این اَسب دیدگاه ها و راهبردهای اساسی ای در زمینه تقویت برنامه های نظام های دانش و پژوهش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ها و راهبردها، نظیر دیدگاه های مربوط به کیفیت برنامه های آموزشی و توسعه ظرفیت سازمانی در طول اجرای برنامه بر مبنای یافته ها و نتایج به دست آمده مورد تحلیل و مرور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ها به اشتراک گذاشته شده و جهت کمک به دیگران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طرح های آزمایشی ما در این زمینه، اجرای این برنامه با و هم کاری با ریسرچ فورلایف </w:t>
      </w:r>
      <w:r>
        <w:rPr>
          <w:rStyle w:val="FootnoteAnchor"/>
          <w:rtl w:val="true"/>
        </w:rPr>
        <w:footnoteReference w:id="1074"/>
      </w:r>
      <w:r>
        <w:rPr>
          <w:rFonts w:ascii="IRNazanin" w:hAnsi="IRNazanin" w:eastAsia="IRNazanin"/>
          <w:color w:val="111111"/>
          <w:sz w:val="28"/>
          <w:sz w:val="28"/>
          <w:szCs w:val="28"/>
          <w:rtl w:val="true"/>
          <w:lang w:bidi="fa-IR"/>
        </w:rPr>
        <w:t>در راستای پیوستن به فعالیت ها و اقدامات صورت گرفته در زمینه افزایش آگاهی و درخواست منابع برخط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بر برنامه های خودمان مستقل از دیگر کشورها، دریافتیم صرف تأمین منابع برخط برای اطمینان از قابل استفاده بودن آنان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محققان از نزدیک در تعامل باشیم و کاری کنیم تا مهارت های انجام تحقیق را در آن ها بسط و گسترش دهیم و باید با مدیران مؤسسات کارکنیم تا دانش پایه را در زمینه دلایل و ضرورت های توسعه فناوری های اطلاعاتی و ارتباطی و شبکه های کتاب خانه ای در سطح ملی و سازمانی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هم چنان در مسیر پیشرفت خود به منظور پاسخگویی به نیازهای سیرالئون </w:t>
      </w:r>
      <w:r>
        <w:rPr>
          <w:rStyle w:val="FootnoteAnchor"/>
          <w:rtl w:val="true"/>
        </w:rPr>
        <w:footnoteReference w:id="1075"/>
      </w:r>
      <w:r>
        <w:rPr>
          <w:rFonts w:ascii="IRNazanin" w:hAnsi="IRNazanin" w:eastAsia="IRNazanin"/>
          <w:color w:val="111111"/>
          <w:sz w:val="28"/>
          <w:sz w:val="28"/>
          <w:szCs w:val="28"/>
          <w:rtl w:val="true"/>
          <w:lang w:bidi="fa-IR"/>
        </w:rPr>
        <w:t>و نیز ترسیم چشم اندازهای یادگیری از سایر کشورها، نسبت به اعمال اصلاحات و تغییرات اقدام خواهد کرد</w:t>
      </w:r>
      <w:r>
        <w:rPr>
          <w:rFonts w:eastAsia="IRNazanin" w:cs="IRNazanin"/>
          <w:color w:val="111111"/>
          <w:sz w:val="28"/>
          <w:szCs w:val="28"/>
          <w:rtl w:val="true"/>
          <w:lang w:bidi="fa-IR"/>
        </w:rPr>
        <w:t>.</w:t>
      </w:r>
    </w:p>
    <w:p>
      <w:pPr>
        <w:pStyle w:val="Heading3"/>
        <w:numPr>
          <w:ilvl w:val="2"/>
          <w:numId w:val="1"/>
        </w:numPr>
        <w:rPr/>
      </w:pPr>
      <w:bookmarkStart w:id="1042" w:name="__RefHeading___Toc7825983_2870459653"/>
      <w:bookmarkStart w:id="1043" w:name="_Toc386"/>
      <w:bookmarkEnd w:id="1042"/>
      <w:r>
        <w:rPr>
          <w:rtl w:val="true"/>
        </w:rPr>
        <w:t>دستیابی پایدار به پژوهش های اساسی و حیاتی</w:t>
      </w:r>
      <w:bookmarkEnd w:id="104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و دانش برای توسعه بسیار حیاتی است و به منظور غلبه بر چالش های توسعه، کشورها باید ظرفیت دستیابی، استفاده و اشتراک و تسهیم اطلاعات و دانش را داشته و از آن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اَسپ برای این منظور تلاش می کند که مطمئن شود شرکا آن قادر به تأمین بهترین امکان دستیابی به ادبیات و پیشینه های پژوهشی بوده و در نتیجه، می توانند به بهبود و ارتقاء پایگاه دانش که برای </w:t>
      </w:r>
    </w:p>
    <w:p>
      <w:pPr>
        <w:pStyle w:val="BookText"/>
        <w:rPr/>
      </w:pPr>
      <w:r>
        <w:rPr>
          <w:rFonts w:ascii="IRNazanin" w:hAnsi="IRNazanin" w:eastAsia="IRNazanin"/>
          <w:color w:val="111111"/>
          <w:sz w:val="28"/>
          <w:sz w:val="28"/>
          <w:szCs w:val="28"/>
          <w:rtl w:val="true"/>
          <w:lang w:bidi="fa-IR"/>
        </w:rPr>
        <w:t>تحقق تلاش های توسعه ملی مؤثر است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منظور لازم است که نه تنها مهارت ها بلکه ساختارها، نظام ها و روابط مورد نیاز جهت مدیریت دستیابی به منابع در سطح ملی، نیز توسعه یابد و در آینده نیز پایدار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هر طرح توسعه، مسائل کاری ما و شرکایمان، تحت سلطه عوامل سیاسی و اقتصادی در کشور قرار دارد، از اعتراضات دانشگاهی گرفته تا درگیری های پیرامون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که ما با آن ها کار می کنیم نقش هایی را در سطح ملی در کنسرسیوم و دیگر نهادها به صورت داوطلبانه ایفا می کنند و به عنوان کتاب داران دانشگاهی این نقش را با مشاغل روزانه خود ادغام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کنسرسیوم های بسیاری در سازمان ها تشکیل گردیده که هم چنان دست اندرکار توسعه نظام ها و فرآیندهای مدیریتی هستند و قادرند که مسئولیت رسیدگی به این کارها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تعادل حجم کار، گردش مالی کارکنان و برنامه ریزی مناسب و مستمر و نبود چنین برنامه ریزی هایی در این عرصه، تمامی از مسائل بالقوه در این زمینه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موفقیت شرکا ما در کلِسک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کنسرسیوم خدمات اطلاعاتی و کتاب خانه ای کنیا</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 سی یویوال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کنسرسیوم کتاب خانه های دانشگاهی اوگاندا</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و کارلای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کنسرسیوم کتاب خانه های تحقیقاتی و دانشگاهی غنا</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سه مثال خوب در زمینه دستیابی به این مهم هستند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این اَسپ و کشورهای شریک ما درک روشن تری از چالش های مشترک و هم چنین عوامل موفقیت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عوامل موفقیت اتخاذ راهبردی توافقی در زمینه اختصاص درصد کمی از سهم عضویت به صندوق کارکنان و استخدام نیرویی است که بتواند عهده دار اجرای وظایف مدیریتی و رفع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موفقیت های سی یویوال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کنسرسیوم کتاب خانه های دانشگاهی اوگاندا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پاره وقت کنسرسیوم </w:t>
      </w:r>
      <w:r>
        <w:rPr>
          <w:rStyle w:val="FootnoteAnchor"/>
          <w:rtl w:val="true"/>
        </w:rPr>
        <w:footnoteReference w:id="1079"/>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مدیریتی شامل تعیین جایگاه ریاست جدید و قدیم چه در برنامه ریزی جایگزین و چه در تداوم دانش، هر دو، به عنوان یک اقدام اجرایی جدید می بایست به رأی گیری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گروه های کاری فعال یا کمیته های اجرایی هم چنین نقش مهمی را ایفا می کنند، نه تنها در تقسیم بار کاری و به اشتراک گذاردن حجم کار، بلکه در ایجاد تعامل بیشتر و کارسازتر و نیز ایجاد حس مسئولیت و تعهد در افراد درگیر و دست اندر کار اجرای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روی هم رفته کنسرسیوم را قادر به بهره گیری از تجارب و تخصص های اعضا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ها، برای مثال، پنج گروه برجسته کاری، طرح های کاری </w:t>
      </w:r>
    </w:p>
    <w:p>
      <w:pPr>
        <w:pStyle w:val="BookText"/>
        <w:rPr/>
      </w:pPr>
      <w:r>
        <w:rPr>
          <w:rFonts w:ascii="IRNazanin" w:hAnsi="IRNazanin" w:eastAsia="IRNazanin"/>
          <w:color w:val="111111"/>
          <w:sz w:val="28"/>
          <w:sz w:val="28"/>
          <w:szCs w:val="28"/>
          <w:rtl w:val="true"/>
          <w:lang w:bidi="fa-IR"/>
        </w:rPr>
        <w:t>واقعی را دنبال کنند که از یک برنامه کلی راهبردی نشأت گرفته است، تمامی به سمت تحقق مشترک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 راهبردی به یک یا چند گروه کاری اختصاص داده شده و در برنامه کاری آن گروه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کنسرسیوم خود به تنهایی به قاعده تمامی مؤسسات عضو خود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نمونه های مثبت فراوانی از سرمایه گذاری وسیع تر در آموزش عالی وجود دارد، بسیاری از دانشگاه ها و مؤسسات تحقیقاتی هنوز هم به طور قابل توجهی تحت فشار محدودیت های مالی سخت قرار دارند، آن هم در شرایطی که تعداد دانشجویان روز به روز روبه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بسیاری از این عوامل خارجی هستند، کنسرسیوم می تواند نقش مهمی را در این زمینه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راهبردها عبارت اند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هم کاری با نهادهای معتبر ملی به گونه ای که مؤسسات جدید به کنسرسیوم پیوسته و از تهیه و تدارک منابع الکترونیکی نفع ببرند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شفاف و روشن از زیر ساخت های مورد نیاز پیش تر از آن که مؤسسات بتوانند به این کنسرسیوم پیوسته و کتاب خانه ها را به موردی برای سرمایه گذاری تبدیل نمایند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فردی از سوی کنسرسیوم به عنوان نماینده به همراه یک کتاب دار هنگام نائل شدن به مقام معاونت نهاد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کنسرسیوم در مقام نماینده مؤسسات و سازمان های چندگانه دارای یک هدف مشترک، می تواند ابزار قدرتمندی در جهت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نظر دسترسی به منابع الکترونیکی، بلکه به صورت یک سرمایه بالقوه سازمانی، آموزش کارمندان، سخت افزار و شکل دهی سیاست 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کنیا، کنسرسیوم خدمات اطلاعاتی و کتاب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اقدام به برقراری روابط مستحکم و قویی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شامل هم کاری با شبکه و نظام آموزشی کنیا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 xml:space="preserve">در زمینه تقویت زیر ساخت های فناوری اطلاعات و ارتباطات، هم کاری با کمیته آموزش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به منظور حصول اطمینان از پیوستن مؤسسات جدید به کنسرسیوم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اقدامات دستیابی و موجودیت منابع الکترونیکی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غنا، کنسرسیوم کتاب خانه های تحقیقاتی و دانشگاهی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یک ذخیره مالی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که پرداخت مؤسسات برای منابع الکترونیکی با تأخیر صورت پذیرد می تواند برخی تعدیلات را فراهم و شرایط را در حالت نسبی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امر کنسرسیوم را قادر می سازد که خود هزینه برخی از آموزش های مورد نیاز اعضا را پرداخت نماید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بیش از ده سال تجربه و علیرغم آگاهی از چالش های موجود در برنامه ریزی مان، خوش بینانه </w:t>
      </w:r>
      <w:bookmarkStart w:id="1044" w:name="pg9659_94197"/>
    </w:p>
    <w:p>
      <w:pPr>
        <w:pStyle w:val="BookText"/>
        <w:rPr/>
      </w:pPr>
      <w:bookmarkEnd w:id="1044"/>
      <w:r>
        <w:rPr>
          <w:rFonts w:ascii="IRNazanin" w:hAnsi="IRNazanin" w:eastAsia="IRNazanin"/>
          <w:color w:val="111111"/>
          <w:sz w:val="28"/>
          <w:sz w:val="28"/>
          <w:szCs w:val="28"/>
          <w:rtl w:val="true"/>
          <w:lang w:bidi="fa-IR"/>
        </w:rPr>
        <w:t>بر این باوریم که پیشرفت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این اَسپ و کنسرسیوم کشور در همگامی با آن توانستند تغییراتی را در فضا و محیط اطلاعاتی کشور فراهم کنند</w:t>
      </w:r>
      <w:r>
        <w:rPr>
          <w:rFonts w:eastAsia="IRNazanin" w:cs="IRNazanin"/>
          <w:color w:val="111111"/>
          <w:sz w:val="28"/>
          <w:szCs w:val="28"/>
          <w:rtl w:val="true"/>
          <w:lang w:bidi="fa-IR"/>
        </w:rPr>
        <w:t>.</w:t>
      </w:r>
    </w:p>
    <w:p>
      <w:pPr>
        <w:pStyle w:val="Heading3"/>
        <w:numPr>
          <w:ilvl w:val="2"/>
          <w:numId w:val="1"/>
        </w:numPr>
        <w:rPr/>
      </w:pPr>
      <w:bookmarkStart w:id="1045" w:name="__RefHeading___Toc7825985_2870459653"/>
      <w:bookmarkStart w:id="1046" w:name="_Toc387"/>
      <w:bookmarkEnd w:id="1045"/>
      <w:r>
        <w:rPr>
          <w:rtl w:val="true"/>
        </w:rPr>
        <w:t>منابع</w:t>
      </w:r>
      <w:bookmarkEnd w:id="10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http://www.INASP.info/en/network/publishers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 Klisc.org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 Cuul.or.ug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 Carligh.org</w:t>
      </w:r>
      <w:r>
        <w:rPr>
          <w:rFonts w:eastAsia="Times New Roman" w:cs="Times New Roman" w:ascii="Times New Roman" w:hAnsi="Times New Roman"/>
          <w:color w:val="111111"/>
          <w:sz w:val="28"/>
          <w:szCs w:val="28"/>
          <w:rtl w:val="true"/>
          <w:lang w:val="en-US" w:bidi="en-US"/>
        </w:rPr>
        <w:t xml:space="preserve"> </w:t>
      </w:r>
      <w:bookmarkStart w:id="1047" w:name="pg9659_94198"/>
    </w:p>
    <w:p>
      <w:pPr>
        <w:pStyle w:val="Heading2"/>
        <w:numPr>
          <w:ilvl w:val="1"/>
          <w:numId w:val="1"/>
        </w:numPr>
        <w:rPr/>
      </w:pPr>
      <w:bookmarkStart w:id="1048" w:name="__RefHeading___Toc7825987_2870459653"/>
      <w:bookmarkStart w:id="1049" w:name="_Toc388"/>
      <w:bookmarkEnd w:id="1047"/>
      <w:bookmarkEnd w:id="1048"/>
      <w:r>
        <w:rPr>
          <w:rtl w:val="true"/>
        </w:rPr>
        <w:t>چکیده</w:t>
      </w:r>
      <w:bookmarkEnd w:id="1049"/>
    </w:p>
    <w:p>
      <w:pPr>
        <w:pStyle w:val="BookText"/>
        <w:rPr/>
      </w:pPr>
      <w:r>
        <w:rPr>
          <w:rFonts w:ascii="IRNazanin" w:hAnsi="IRNazanin" w:eastAsia="IRNazanin"/>
          <w:color w:val="111111"/>
          <w:sz w:val="28"/>
          <w:sz w:val="28"/>
          <w:szCs w:val="28"/>
          <w:rtl w:val="true"/>
          <w:lang w:bidi="fa-IR"/>
        </w:rPr>
        <w:t xml:space="preserve">کتاب خانه دفتر سازمان ملل متحد در 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که پیش از این کتاب خانه جامعه ملل بوده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گذاری شد،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تمام دارایی و موجودی این جامعه به سازمان ملل منتقل گردید به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خانه همواره نقش تاریخی خود را به عنوان مرکز پژوهش های بین المللی و ابزاری برای تفاهم بین ملت ها ایفا می کند، بدین سان اندیشه رویایی جان دی راکفلر جونیور </w:t>
      </w:r>
      <w:r>
        <w:rPr>
          <w:rStyle w:val="FootnoteAnchor"/>
          <w:rtl w:val="true"/>
        </w:rPr>
        <w:footnoteReference w:id="1083"/>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دلار را وقف تجهیز کتاب خانه جامعه ملل برای ایجاد یک کتاب خانه مدرن کرد تا آن را به محیطی درخور مطالعات روابط بین الملل مبدل سازد، همواره زنده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هایی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کل مجموعه کتاب خانه شامل بیش از یک میلیون جلد کتاب، نه هزار مجموعه ادواری، شمار زیادی اسناد رسمی دولتی و نیز بیش از سه میلیون سند از زمان انتشار در سازمان ملل است که بزرگ ترین کتاب خانه نظام بین الملل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در مواردی نظیر حقوق بین الملل، روابط بین الملل، اقتصاد، سیاست و علوم اجتماعی به طور تخصصی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مجموعه ها،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آرشیو استثنایی جامعه ملل و سازمان ملل متحد در ژنو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سه کیلومتری جامعه ملل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یونسکو ثبت جهانی </w:t>
      </w:r>
      <w:r>
        <w:rPr>
          <w:rStyle w:val="FootnoteAnchor"/>
          <w:rtl w:val="true"/>
        </w:rPr>
        <w:footnoteReference w:id="1084"/>
      </w:r>
      <w:r>
        <w:rPr>
          <w:rFonts w:ascii="IRNazanin" w:hAnsi="IRNazanin" w:eastAsia="IRNazanin"/>
          <w:color w:val="111111"/>
          <w:sz w:val="28"/>
          <w:sz w:val="28"/>
          <w:szCs w:val="28"/>
          <w:rtl w:val="true"/>
          <w:lang w:bidi="fa-IR"/>
        </w:rPr>
        <w:t>گردید و اولین سازمان بین دولتی برای صلح و هم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ارزنده و استثنایی دارد و هم چنین منبع مهمی برای پژوهش های تاریخی روابط بین الملل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بخش آرشیو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پیش نویس بیانیه سازمان ملل و عهدنامه حقوق بشر </w:t>
      </w:r>
      <w:r>
        <w:rPr>
          <w:rStyle w:val="FootnoteAnchor"/>
          <w:rtl w:val="true"/>
        </w:rPr>
        <w:footnoteReference w:id="1085"/>
      </w:r>
      <w:r>
        <w:rPr>
          <w:rFonts w:ascii="IRNazanin" w:hAnsi="IRNazanin" w:eastAsia="IRNazanin"/>
          <w:color w:val="111111"/>
          <w:sz w:val="28"/>
          <w:sz w:val="28"/>
          <w:szCs w:val="28"/>
          <w:rtl w:val="true"/>
          <w:lang w:bidi="fa-IR"/>
        </w:rPr>
        <w:t xml:space="preserve">بوده، هم چنین شامل اسناد ضروری دیگری که از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توسط مؤسسات متولی حقوق بشر، شورای اقتصاد بین الملل اروپا و سایر مؤسسات بین المللی که در ژنو منتشر شده،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حافظ مجموعه ای بیش از دو هزار اثر هنری است که از دوران جامعه ملل تاکنون گردآوری شده و اکثریت آن ها را جوامع عضو به این مکان اهدا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موروثی، این مجموعه معرف تلاش های هنری است که در اقصی نقاط جهان انجام گردیده و بخش منحصر به فرد و گران بهای داستان انترناسیونالیسم است که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ژنو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این مجموعه موروثی گران بها و نقش کتاب خانه را به لحاظ نگهداری آن که شامل چالش های رقومی سازی است و هم از لحاظ دسترس پذیری برای مخاطبان در حال افزایش در سرتاسر جهان است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برنامه توسعه داده ها و طرح های رقومی سازی را با هم کاری سایر کتاب خانه های مشهور و مؤسسات علمی و هم چنین با دولت های عضو سازمان ملل انجام می دهد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ملل، سازمان ملل، میراث، حفاظت، رقومی سازی </w:t>
      </w:r>
      <w:bookmarkStart w:id="1050" w:name="pg9659_94199"/>
    </w:p>
    <w:p>
      <w:pPr>
        <w:pStyle w:val="Heading2"/>
        <w:numPr>
          <w:ilvl w:val="1"/>
          <w:numId w:val="1"/>
        </w:numPr>
        <w:rPr/>
      </w:pPr>
      <w:bookmarkStart w:id="1051" w:name="__RefHeading___Toc7825989_2870459653"/>
      <w:bookmarkStart w:id="1052" w:name="_Toc389"/>
      <w:bookmarkEnd w:id="1050"/>
      <w:bookmarkEnd w:id="1051"/>
      <w:r>
        <w:rPr>
          <w:rtl w:val="true"/>
        </w:rPr>
        <w:t>کتاب خانه دفتر سازمان ملل در ژنو</w:t>
      </w:r>
      <w:r>
        <w:rPr>
          <w:rtl w:val="true"/>
        </w:rPr>
        <w:t xml:space="preserve">: </w:t>
      </w:r>
      <w:r>
        <w:rPr>
          <w:rtl w:val="true"/>
        </w:rPr>
        <w:t>متولی میراث جامعه ملل و سازمان ملل</w:t>
      </w:r>
      <w:bookmarkEnd w:id="1052"/>
    </w:p>
    <w:p>
      <w:pPr>
        <w:pStyle w:val="Heading3"/>
        <w:numPr>
          <w:ilvl w:val="2"/>
          <w:numId w:val="1"/>
        </w:numPr>
        <w:rPr/>
      </w:pPr>
      <w:bookmarkStart w:id="1053" w:name="__RefHeading___Toc7825991_2870459653"/>
      <w:bookmarkStart w:id="1054" w:name="_Toc390"/>
      <w:bookmarkEnd w:id="1053"/>
      <w:r>
        <w:rPr>
          <w:rtl w:val="true"/>
        </w:rPr>
        <w:t>اشاره</w:t>
      </w:r>
      <w:bookmarkEnd w:id="1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دفتر سازمان ملل در 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میراث جامعه ملل و سازمان ملل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نوشته بلاندین بلاکِچ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لوییز فِرت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نرگس محمدعلی پور </w:t>
      </w:r>
      <w:r>
        <w:rPr>
          <w:rStyle w:val="FootnoteAnchor"/>
          <w:rtl w:val="true"/>
        </w:rPr>
        <w:footnoteReference w:id="1088"/>
      </w:r>
    </w:p>
    <w:p>
      <w:pPr>
        <w:pStyle w:val="Heading3"/>
        <w:numPr>
          <w:ilvl w:val="2"/>
          <w:numId w:val="1"/>
        </w:numPr>
        <w:rPr/>
      </w:pPr>
      <w:bookmarkStart w:id="1055" w:name="__RefHeading___Toc7825993_2870459653"/>
      <w:bookmarkStart w:id="1056" w:name="_Toc391"/>
      <w:bookmarkEnd w:id="1055"/>
      <w:r>
        <w:rPr>
          <w:rtl w:val="true"/>
        </w:rPr>
        <w:t>مقدمه</w:t>
      </w:r>
      <w:bookmarkEnd w:id="1056"/>
    </w:p>
    <w:p>
      <w:pPr>
        <w:pStyle w:val="BookText"/>
        <w:rPr/>
      </w:pPr>
      <w:r>
        <w:rPr>
          <w:rFonts w:ascii="IRNazanin" w:hAnsi="IRNazanin" w:eastAsia="IRNazanin"/>
          <w:color w:val="111111"/>
          <w:sz w:val="28"/>
          <w:sz w:val="28"/>
          <w:szCs w:val="28"/>
          <w:rtl w:val="true"/>
          <w:lang w:bidi="fa-IR"/>
        </w:rPr>
        <w:t xml:space="preserve">تجهیزاتی که در ژنو پیشتر مورد استفاده قرار گرفته اند و ما آن را به سازمان در دست تأسیس، انتقال می دهیم ضمانتی برای آینده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ماکس پِتی پیر </w:t>
      </w:r>
      <w:r>
        <w:rPr>
          <w:rStyle w:val="FootnoteAnchor"/>
          <w:rtl w:val="true"/>
        </w:rPr>
        <w:footnoteReference w:id="1089"/>
      </w:r>
      <w:r>
        <w:rPr>
          <w:rFonts w:ascii="IRNazanin" w:hAnsi="IRNazanin" w:eastAsia="IRNazanin"/>
          <w:color w:val="111111"/>
          <w:sz w:val="28"/>
          <w:sz w:val="28"/>
          <w:szCs w:val="28"/>
          <w:rtl w:val="true"/>
          <w:lang w:bidi="fa-IR"/>
        </w:rPr>
        <w:t xml:space="preserve">، نماینده سوئیس، خطاب به آخرین مجمع جامعه ملل در آوریل </w:t>
      </w:r>
      <w:r>
        <w:rPr>
          <w:rFonts w:eastAsia="IRNazanin" w:cs="IRNazanin"/>
          <w:color w:val="111111"/>
          <w:sz w:val="28"/>
          <w:szCs w:val="28"/>
          <w:lang w:bidi="fa-IR"/>
        </w:rPr>
        <w:t>1946</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سازمان ملل در 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شامل کتاب خانه جامعه ملل بوده، هنگامی که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مجمع به سازمان ملل انتقال یافت، به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معدود کتاب خانه های اصلی اروپا است که پس از جنگ جهانی دوم دست نخورده باقی مانده است، این کتاب خانه جایگاه مجموعه های منحصر به فرد و از لحاظ تاریخی دارای اهمیت بوده و نقش خود را به عنوان محل امنی برای اجزا نادری که در بردارنده برخی از موارد کلیدی توسعه سیاسی و اجتماعی قرن بیستم هستند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w:t>
      </w:r>
      <w:bookmarkStart w:id="1057" w:name="pg9659_94200"/>
    </w:p>
    <w:p>
      <w:pPr>
        <w:pStyle w:val="BookText"/>
        <w:rPr/>
      </w:pPr>
      <w:bookmarkEnd w:id="1057"/>
      <w:r>
        <w:rPr>
          <w:rFonts w:ascii="IRNazanin" w:hAnsi="IRNazanin" w:eastAsia="IRNazanin"/>
          <w:color w:val="111111"/>
          <w:sz w:val="28"/>
          <w:sz w:val="28"/>
          <w:szCs w:val="28"/>
          <w:rtl w:val="true"/>
          <w:lang w:bidi="fa-IR"/>
        </w:rPr>
        <w:t>تعهدات خود که سه هدف اصلی دارد فعالیت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دهنده خدمات به عنوان کتاب خانه مرکزی برای سازمان ملل، نمایندگان متخصص و سایر سازمان های بین دولتی و غیر دولتی متمرکز جهت مأموریت های دائمی در ژنو </w:t>
      </w:r>
      <w:r>
        <w:rPr>
          <w:rStyle w:val="FootnoteAnchor"/>
          <w:rtl w:val="true"/>
        </w:rPr>
        <w:footnoteReference w:id="1090"/>
      </w:r>
      <w:r>
        <w:rPr>
          <w:rFonts w:ascii="IRNazanin" w:hAnsi="IRNazanin" w:eastAsia="IRNazanin"/>
          <w:color w:val="111111"/>
          <w:sz w:val="28"/>
          <w:sz w:val="28"/>
          <w:szCs w:val="28"/>
          <w:rtl w:val="true"/>
          <w:lang w:bidi="fa-IR"/>
        </w:rPr>
        <w:t>و برای پژوهشگران خارجی واجد 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خانه به واسطه بخش حافظه سازمانی </w:t>
      </w:r>
      <w:r>
        <w:rPr>
          <w:rStyle w:val="FootnoteAnchor"/>
          <w:rtl w:val="true"/>
        </w:rPr>
        <w:footnoteReference w:id="1091"/>
      </w:r>
      <w:r>
        <w:rPr>
          <w:rFonts w:ascii="IRNazanin" w:hAnsi="IRNazanin" w:eastAsia="IRNazanin"/>
          <w:color w:val="111111"/>
          <w:sz w:val="28"/>
          <w:sz w:val="28"/>
          <w:szCs w:val="28"/>
          <w:rtl w:val="true"/>
          <w:lang w:bidi="fa-IR"/>
        </w:rPr>
        <w:t xml:space="preserve">، به عنوان یک مخزن برای کلیه مدارک سازمان هایی که دارای ارزش تاریخی یا اداری طولانی بوده و شامل آرشیوهای جامعه ملل </w:t>
      </w:r>
      <w:r>
        <w:rPr>
          <w:rStyle w:val="FootnoteAnchor"/>
          <w:rtl w:val="true"/>
        </w:rPr>
        <w:footnoteReference w:id="1092"/>
      </w:r>
      <w:r>
        <w:rPr>
          <w:rFonts w:ascii="IRNazanin" w:hAnsi="IRNazanin" w:eastAsia="IRNazanin"/>
          <w:color w:val="111111"/>
          <w:sz w:val="28"/>
          <w:sz w:val="28"/>
          <w:szCs w:val="28"/>
          <w:rtl w:val="true"/>
          <w:lang w:bidi="fa-IR"/>
        </w:rPr>
        <w:t xml:space="preserve">و اوراقی که به جنبش های صلح طلبانه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هستند، عمل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ارتقا فعالیت 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گردآوری آثار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است تا از طریق این تعهدات از رویای جان دی راکفلر جونیور، کسی که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هدیه قابل توجهی به جامعه ملل؛ احداث بنای کتاب خانه را ممکن ساخت و از کتاب خانه برای بدل ساختن آن به مکانی برای پژوهش بین المللی و ابزاری جهت تفاهم بین الملل حمایت کرد</w:t>
      </w:r>
      <w:r>
        <w:rPr>
          <w:rFonts w:eastAsia="IRNazanin" w:cs="IRNazanin"/>
          <w:color w:val="111111"/>
          <w:sz w:val="28"/>
          <w:szCs w:val="28"/>
          <w:rtl w:val="true"/>
          <w:lang w:bidi="fa-IR"/>
        </w:rPr>
        <w:t>.</w:t>
      </w:r>
    </w:p>
    <w:p>
      <w:pPr>
        <w:pStyle w:val="Heading3"/>
        <w:numPr>
          <w:ilvl w:val="2"/>
          <w:numId w:val="1"/>
        </w:numPr>
        <w:rPr/>
      </w:pPr>
      <w:bookmarkStart w:id="1058" w:name="__RefHeading___Toc7825995_2870459653"/>
      <w:bookmarkStart w:id="1059" w:name="_Toc392"/>
      <w:bookmarkEnd w:id="1058"/>
      <w:r>
        <w:rPr/>
        <w:t>1</w:t>
      </w:r>
      <w:r>
        <w:rPr>
          <w:rtl w:val="true"/>
        </w:rPr>
        <w:t xml:space="preserve">. </w:t>
      </w:r>
      <w:r>
        <w:rPr>
          <w:rtl w:val="true"/>
        </w:rPr>
        <w:t>کتاب خانه به عنوان متولی مسلم میراث موجود</w:t>
      </w:r>
      <w:bookmarkEnd w:id="1059"/>
    </w:p>
    <w:p>
      <w:pPr>
        <w:pStyle w:val="Heading4"/>
        <w:numPr>
          <w:ilvl w:val="3"/>
          <w:numId w:val="1"/>
        </w:numPr>
        <w:rPr/>
      </w:pPr>
      <w:bookmarkStart w:id="1060" w:name="__RefHeading___Toc7825997_2870459653"/>
      <w:bookmarkStart w:id="1061" w:name="_Toc393"/>
      <w:bookmarkEnd w:id="1060"/>
      <w:r>
        <w:rPr>
          <w:rtl w:val="true"/>
        </w:rPr>
        <w:t>الف</w:t>
      </w:r>
      <w:r>
        <w:rPr>
          <w:rtl w:val="true"/>
        </w:rPr>
        <w:t xml:space="preserve">- </w:t>
      </w:r>
      <w:r>
        <w:rPr>
          <w:rtl w:val="true"/>
        </w:rPr>
        <w:t>کتاب خانه جامعه ملل</w:t>
      </w:r>
      <w:r>
        <w:rPr>
          <w:rtl w:val="true"/>
        </w:rPr>
        <w:t>:</w:t>
      </w:r>
      <w:bookmarkEnd w:id="106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ملل در آغاز جنگ جهانی اول به منظور ایجاد جهانی فارغ از پیکار مسلحانه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جامعه ملل اولین بخش معاهده صلح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وِرسای </w:t>
      </w:r>
      <w:r>
        <w:rPr>
          <w:rStyle w:val="FootnoteAnchor"/>
          <w:rtl w:val="true"/>
        </w:rPr>
        <w:footnoteReference w:id="1093"/>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به اجمال اهداف، اعضا، عملکرد و تعهدات مجمع که مقر آن در ژنو بود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در واقع به عنوان یک سازمان سیاسی عهده دار حفظ صلح از طریق قوانین بین الملل، کنترل سلاح، گردهمایی های سیاسی و اندیشه امنیت 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مجمع اهداف والاتری را در راستای کنترل و تنظیم هم کاری های بین المللی در دامنه وسیعی از فعالیت ها از کنترل مواد مخدر تا هم کاری های فکری، حمایت از پناهندگان تا بهداشت جوامع، حمل و نقل و ارتباطات جمعی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ملل به طور رسمی به عنوان مجری معاهده صلح موجودیت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شامل یک مجلس و شورا </w:t>
      </w:r>
      <w:r>
        <w:rPr>
          <w:rStyle w:val="FootnoteAnchor"/>
          <w:rtl w:val="true"/>
        </w:rPr>
        <w:footnoteReference w:id="1094"/>
      </w:r>
      <w:r>
        <w:rPr>
          <w:rFonts w:ascii="IRNazanin" w:hAnsi="IRNazanin" w:eastAsia="IRNazanin"/>
          <w:color w:val="111111"/>
          <w:sz w:val="28"/>
          <w:sz w:val="28"/>
          <w:szCs w:val="28"/>
          <w:rtl w:val="true"/>
          <w:lang w:bidi="fa-IR"/>
        </w:rPr>
        <w:t xml:space="preserve">است و هر دو آن ها از سوی یک دبیرخانه دائمی </w:t>
      </w:r>
      <w:r>
        <w:rPr>
          <w:rStyle w:val="FootnoteAnchor"/>
          <w:rtl w:val="true"/>
        </w:rPr>
        <w:footnoteReference w:id="1095"/>
      </w:r>
      <w:r>
        <w:rPr>
          <w:rFonts w:ascii="IRNazanin" w:hAnsi="IRNazanin" w:eastAsia="IRNazanin"/>
          <w:color w:val="111111"/>
          <w:sz w:val="28"/>
          <w:sz w:val="28"/>
          <w:szCs w:val="28"/>
          <w:rtl w:val="true"/>
          <w:lang w:bidi="fa-IR"/>
        </w:rPr>
        <w:t xml:space="preserve">که نهاد فنی مجمع بوده، مورد </w:t>
      </w:r>
    </w:p>
    <w:p>
      <w:pPr>
        <w:pStyle w:val="BookText"/>
        <w:rPr/>
      </w:pPr>
      <w:r>
        <w:rPr>
          <w:rFonts w:ascii="IRNazanin" w:hAnsi="IRNazanin" w:eastAsia="IRNazanin"/>
          <w:color w:val="111111"/>
          <w:sz w:val="28"/>
          <w:sz w:val="28"/>
          <w:szCs w:val="28"/>
          <w:rtl w:val="true"/>
          <w:lang w:bidi="fa-IR"/>
        </w:rPr>
        <w:t xml:space="preserve">پشتیبانی و هم کاری قرار می گرفتند؛ دبیرخانه ای در ژنو برپا شد با حضور ریاست دبیر کل </w:t>
      </w:r>
      <w:r>
        <w:rPr>
          <w:rStyle w:val="FootnoteAnchor"/>
          <w:rtl w:val="true"/>
        </w:rPr>
        <w:footnoteReference w:id="1096"/>
      </w:r>
      <w:r>
        <w:rPr>
          <w:rFonts w:ascii="IRNazanin" w:hAnsi="IRNazanin" w:eastAsia="IRNazanin"/>
          <w:color w:val="111111"/>
          <w:sz w:val="28"/>
          <w:sz w:val="28"/>
          <w:szCs w:val="28"/>
          <w:rtl w:val="true"/>
          <w:lang w:bidi="fa-IR"/>
        </w:rPr>
        <w:t xml:space="preserve">، ابتدا در کاخ ویلسن </w:t>
      </w:r>
      <w:r>
        <w:rPr>
          <w:rStyle w:val="FootnoteAnchor"/>
          <w:rtl w:val="true"/>
        </w:rPr>
        <w:footnoteReference w:id="1097"/>
      </w:r>
      <w:r>
        <w:rPr>
          <w:rFonts w:ascii="IRNazanin" w:hAnsi="IRNazanin" w:eastAsia="IRNazanin"/>
          <w:color w:val="111111"/>
          <w:sz w:val="28"/>
          <w:sz w:val="28"/>
          <w:szCs w:val="28"/>
          <w:rtl w:val="true"/>
          <w:lang w:bidi="fa-IR"/>
        </w:rPr>
        <w:t xml:space="preserve">و سپس در کاخ ملت </w:t>
      </w:r>
      <w:r>
        <w:rPr>
          <w:rStyle w:val="FootnoteAnchor"/>
          <w:rtl w:val="true"/>
        </w:rPr>
        <w:footnoteReference w:id="1098"/>
      </w:r>
      <w:r>
        <w:rPr>
          <w:rFonts w:ascii="IRNazanin" w:hAnsi="IRNazanin" w:eastAsia="IRNazanin"/>
          <w:color w:val="111111"/>
          <w:sz w:val="28"/>
          <w:sz w:val="28"/>
          <w:szCs w:val="28"/>
          <w:rtl w:val="true"/>
          <w:lang w:bidi="fa-IR"/>
        </w:rPr>
        <w:t>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اصلی تشکیل دهنده این مجمع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دیگر نیز بین سال 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به این مجمع پیوستند، اما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پیش از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یا اخراج شدند و یا به میل خود مجمع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جامعه ملل که هم زمان با دبیرخانه مجمع جهت ارائه خدمت به نمایندگان مجلس اصلی و شورا و هم چنین اعضای هیئت دبیران تأسیس شد، به عنوان یک کتاب خانه تخصصی مدرن که در ابتدای امر دارای نود هزار جلد کتاب بود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چندی پس از آن که مجمع درصدد احداث بنای اصلی خود، کاخ ملت برآمد، از سوی جان دی راکفلر جونیور دو میلیون دلار جهت ساخت به کتاب خانه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راکفلر بود که کتاب خانه حاضر نه تنها به عنوان مرکز اطلاعات جهت ارائه خدمات به دبیرخانه مجمع عمل کند، بلکه به عنوان مرکز جهان برای پژوهش و بررسی مسائل بین الملل نیز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راکفلر به شکل گیری اصول بنیادی کتاب خانه که دارای یک هدف دو جانب هاست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این مکان به منظور کتاب خانه کار مجمع بوده و اطلاعاتی جهت تصمیم گیری ها لازم بود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این مکان کتاب خانه ای بود بیان گر تمدن و فرهنگ کشورهای مختلف، آن چنان که مردم جهان یک دیگر را شناخته و به واسطه چنین درکی در صلح و آرامش باهم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ها یک کتاب خانه مرجع روابط بین الملل را تشکیل داد که تمام فعالیت های مجمع را در امور سیاسی، اجتماعی، اقتصادی، تعیین هزینه ها، بهداشت، قوانین بین الملل و دیگر موضوع های مربوطه را پوشش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رساله ها و نشریات ادواری به دست آمده در باب موضوع هایی که مورد توجه و استفاده کار مجمع هستند، این مجموعه شامل نشریات اسناد رسمی </w:t>
      </w:r>
      <w:r>
        <w:rPr>
          <w:rStyle w:val="FootnoteAnchor"/>
          <w:rtl w:val="true"/>
        </w:rPr>
        <w:footnoteReference w:id="1099"/>
      </w:r>
      <w:r>
        <w:rPr>
          <w:rFonts w:ascii="IRNazanin" w:hAnsi="IRNazanin" w:eastAsia="IRNazanin"/>
          <w:color w:val="111111"/>
          <w:sz w:val="28"/>
          <w:sz w:val="28"/>
          <w:szCs w:val="28"/>
          <w:rtl w:val="true"/>
          <w:lang w:bidi="fa-IR"/>
        </w:rPr>
        <w:t>خود سازمان، از قبیل، ژورنال و خلاصه مذاکرات رسمی نهادها و هیئت های مختلف و هم چنین نشریات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مجمع، شبکه ای از کتاب خانه های مخزن را ایجاد کرده که اسناد رسمی به آن جا ارسال می شوند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عوض، تهیه اسناد دولتی توسط کشورهای عضو بدون هزینه بوده و نقش مهمی را در بخش مجموعه اطلاعات معاصر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اسناد حاوی داده های رسمی هستند که به طور معمول آن ها را نمی توان از منابع دیگر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خانه به طور مرتب اسناد رسمی و مجلات رسمی دولت ها، </w:t>
      </w:r>
      <w:bookmarkStart w:id="1062" w:name="pg9659_94202"/>
    </w:p>
    <w:p>
      <w:pPr>
        <w:pStyle w:val="BookText"/>
        <w:rPr/>
      </w:pPr>
      <w:bookmarkEnd w:id="1062"/>
      <w:r>
        <w:rPr>
          <w:rFonts w:ascii="IRNazanin" w:hAnsi="IRNazanin" w:eastAsia="IRNazanin"/>
          <w:color w:val="111111"/>
          <w:sz w:val="28"/>
          <w:sz w:val="28"/>
          <w:szCs w:val="28"/>
          <w:rtl w:val="true"/>
          <w:lang w:bidi="fa-IR"/>
        </w:rPr>
        <w:t>کشورهای مستعمره و سایر دستگاه های اداری، نشریات آماری رسمی و قوانین ملی را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حقوق و سیاست کتاب خانه در نوع خود یکی از غنی ترین مجموعه ها در اروپا است، تلاش های ویژه ای به منظور تنظیم مجموعه کاملی از حقوق ملی و بین الملل دسترس پذیری آسان به این منابع صورت گرفته، چون کار اصلی مجمع مقایسه وضع قوانین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هم چنین دارای مجموعه بی نظیری از کتاب های کمیاب در باب روابط بین الملل، دیپلماسی، صلح و خلع سلاح است که بعضی از آن ها به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کتاب خانه مجمع، شروع به گسترش و توسعه مجموعه های بایگانی شده درباره تاریخ روابط بین الملل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آرشیو مهم درباره جنبش صلح طلبانه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یادداشت های خصوصی آلفرد فرید </w:t>
      </w:r>
      <w:r>
        <w:rPr>
          <w:rStyle w:val="FootnoteAnchor"/>
          <w:rtl w:val="true"/>
        </w:rPr>
        <w:footnoteReference w:id="1100"/>
      </w:r>
      <w:r>
        <w:rPr>
          <w:rFonts w:ascii="IRNazanin" w:hAnsi="IRNazanin" w:eastAsia="IRNazanin"/>
          <w:color w:val="111111"/>
          <w:sz w:val="28"/>
          <w:sz w:val="28"/>
          <w:szCs w:val="28"/>
          <w:rtl w:val="true"/>
          <w:lang w:bidi="fa-IR"/>
        </w:rPr>
        <w:t xml:space="preserve">و برتا وان سوتنر </w:t>
      </w:r>
      <w:r>
        <w:rPr>
          <w:rStyle w:val="FootnoteAnchor"/>
          <w:rtl w:val="true"/>
        </w:rPr>
        <w:footnoteReference w:id="1101"/>
      </w:r>
      <w:r>
        <w:rPr>
          <w:rFonts w:ascii="IRNazanin" w:hAnsi="IRNazanin" w:eastAsia="IRNazanin"/>
          <w:color w:val="111111"/>
          <w:sz w:val="28"/>
          <w:sz w:val="28"/>
          <w:szCs w:val="28"/>
          <w:rtl w:val="true"/>
          <w:lang w:bidi="fa-IR"/>
        </w:rPr>
        <w:t xml:space="preserve">، صلح طلبان اتریشی از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مدارکی در رابطه با یکی از مراحل مهم جنبش های صلح طلبانه پیش از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کرده است</w:t>
      </w:r>
      <w:r>
        <w:rPr>
          <w:rFonts w:eastAsia="IRNazanin" w:cs="IRNazanin"/>
          <w:color w:val="111111"/>
          <w:sz w:val="28"/>
          <w:szCs w:val="28"/>
          <w:rtl w:val="true"/>
          <w:lang w:bidi="fa-IR"/>
        </w:rPr>
        <w:t>.</w:t>
      </w:r>
    </w:p>
    <w:p>
      <w:pPr>
        <w:pStyle w:val="Heading4"/>
        <w:numPr>
          <w:ilvl w:val="3"/>
          <w:numId w:val="1"/>
        </w:numPr>
        <w:rPr/>
      </w:pPr>
      <w:bookmarkStart w:id="1063" w:name="__RefHeading___Toc7825999_2870459653"/>
      <w:bookmarkStart w:id="1064" w:name="_Toc394"/>
      <w:bookmarkEnd w:id="1063"/>
      <w:r>
        <w:rPr>
          <w:rtl w:val="true"/>
        </w:rPr>
        <w:t>ب</w:t>
      </w:r>
      <w:r>
        <w:rPr>
          <w:rtl w:val="true"/>
        </w:rPr>
        <w:t xml:space="preserve">- </w:t>
      </w:r>
      <w:r>
        <w:rPr>
          <w:rtl w:val="true"/>
        </w:rPr>
        <w:t>کتاب خانه سازمان ملل در ژنو</w:t>
      </w:r>
      <w:bookmarkEnd w:id="106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آخرین گردهمایی مجمع، دارایی های جامعه ملل به سازمان ملل تازه تأسیس انتقال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خطاب به جولیان هاکسلی </w:t>
      </w:r>
      <w:r>
        <w:rPr>
          <w:rStyle w:val="FootnoteAnchor"/>
          <w:rtl w:val="true"/>
        </w:rPr>
        <w:footnoteReference w:id="1102"/>
      </w:r>
      <w:r>
        <w:rPr>
          <w:rFonts w:ascii="IRNazanin" w:hAnsi="IRNazanin" w:eastAsia="IRNazanin"/>
          <w:color w:val="111111"/>
          <w:sz w:val="28"/>
          <w:sz w:val="28"/>
          <w:szCs w:val="28"/>
          <w:rtl w:val="true"/>
          <w:lang w:bidi="fa-IR"/>
        </w:rPr>
        <w:t xml:space="preserve">، مدیرکل یونسکو، گونار میردال </w:t>
      </w:r>
      <w:r>
        <w:rPr>
          <w:rStyle w:val="FootnoteAnchor"/>
          <w:rtl w:val="true"/>
        </w:rPr>
        <w:footnoteReference w:id="1103"/>
      </w:r>
      <w:r>
        <w:rPr>
          <w:rFonts w:ascii="IRNazanin" w:hAnsi="IRNazanin" w:eastAsia="IRNazanin"/>
          <w:color w:val="111111"/>
          <w:sz w:val="28"/>
          <w:sz w:val="28"/>
          <w:szCs w:val="28"/>
          <w:rtl w:val="true"/>
          <w:lang w:bidi="fa-IR"/>
        </w:rPr>
        <w:t xml:space="preserve">، دبیر اجرایی شورای اقتصاد اروپای </w:t>
      </w:r>
      <w:r>
        <w:rPr>
          <w:rStyle w:val="FootnoteAnchor"/>
          <w:rtl w:val="true"/>
        </w:rPr>
        <w:footnoteReference w:id="1104"/>
      </w:r>
      <w:r>
        <w:rPr>
          <w:rFonts w:ascii="IRNazanin" w:hAnsi="IRNazanin" w:eastAsia="IRNazanin"/>
          <w:color w:val="111111"/>
          <w:sz w:val="28"/>
          <w:sz w:val="28"/>
          <w:szCs w:val="28"/>
          <w:rtl w:val="true"/>
          <w:lang w:bidi="fa-IR"/>
        </w:rPr>
        <w:t>تازه تأسیس، نقش حیاتی را که کتاب خانه ژنو در اروپا ایفا می کند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ویرانی وحشتناکی را در کتاب خانه های اروپایی ایجاد کرده است؛ بعضی از آن ها به طور کامل یا به طور نسبی ویران شده اند، بعضی دیگر تهی گشته یا به روز رسانی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ایالات متحده و به خصوص ساحل شرقی و نیویورک می توانند به خاطر ازدیاد کتاب خانه های خوب بر خود ببالند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مایه تأسف است اگر سازمان ملل از طریق انتقال چنین مجموعه های حائز اهمیتی مانند آن چه در ژنو است به ایالات متحده، جایی که به آن ها نیازی نیست، به موقعیت کتاب خانه های اروپایی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و مجموعه های آن در ژنو باقی ماند و به کتاب خانه سازمان ملل در ژنو تبدیل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ایجاد و ساخت بنای جدید کتاب خانه، با موزه ای که در طراحی نقشه آن در نظر گرفته شده </w:t>
      </w:r>
    </w:p>
    <w:p>
      <w:pPr>
        <w:pStyle w:val="BookText"/>
        <w:rPr/>
      </w:pPr>
      <w:r>
        <w:rPr>
          <w:rFonts w:ascii="IRNazanin" w:hAnsi="IRNazanin" w:eastAsia="IRNazanin"/>
          <w:color w:val="111111"/>
          <w:sz w:val="28"/>
          <w:sz w:val="28"/>
          <w:szCs w:val="28"/>
          <w:rtl w:val="true"/>
          <w:lang w:bidi="fa-IR"/>
        </w:rPr>
        <w:t>بود، قرار شد کتاب خانه به عنوان حافظه سازمانی مجمع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دارایی های مجمع به سازمان ملل که شامل آرشیوهای اسناد، تابلوها و برجسته ترین آثار هنری مربوط به تاریخ جامعه ملل بود فکر احداث موزه، به منظور نمایش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آرشیوهای دبیرخانه جامعه ملل به سازمان ملل تازه تأسیس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جز آرشیو مجموعه های مربوط به جنبش های صلح طلبانه فوق الذکر، مسئولیت مجموعه های بایگانی شده به کتاب خانه واگذار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از پرونده های مجمع به عنوان مبنا و پایه فعالیت های اداری یا سیاسی به بخش دبیرخانه سازمان ملل در نیویورک منتقل شد، بخش عمده آرشیو مجمع در بنای کاخ ملل حفاظت و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آن هنگام که تاریخ شناسان توجه خود را به آرشیوهای مجمع متمرکز ساختند، پرونده هایی که به نیویورک انتقال داده شده بود به تدریج راه بازگشت خود را به ژنو پیدا کردند و تحت کنترل کتاب خانه قرار گرفتند، جایی که به عنوان مرکز پژوهش و تبادلات فکری شهرت فراوانی کسب کرده و به عنوان بدیهی ترین مکان نگهداری این اسناد قلمداد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از سرمایه ای که بنیاد کارنگی </w:t>
      </w:r>
      <w:r>
        <w:rPr>
          <w:rStyle w:val="FootnoteAnchor"/>
          <w:rtl w:val="true"/>
        </w:rPr>
        <w:footnoteReference w:id="1105"/>
      </w:r>
      <w:r>
        <w:rPr>
          <w:rFonts w:ascii="IRNazanin" w:hAnsi="IRNazanin" w:eastAsia="IRNazanin"/>
          <w:color w:val="111111"/>
          <w:sz w:val="28"/>
          <w:sz w:val="28"/>
          <w:szCs w:val="28"/>
          <w:rtl w:val="true"/>
          <w:lang w:bidi="fa-IR"/>
        </w:rPr>
        <w:t>جهت صلح بین الملل اهدا کرد، کتاب خانه توانست آرشیوهای جامعه ملل را دسته بندی و فهرست نویسی کند و بالاخره این مجموعه ها مورد استفاده عموم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آرشیو جامعه ملل و مجموعه های تاریخی </w:t>
      </w:r>
      <w:r>
        <w:rPr>
          <w:rStyle w:val="FootnoteAnchor"/>
          <w:rtl w:val="true"/>
        </w:rPr>
        <w:footnoteReference w:id="1106"/>
      </w:r>
      <w:r>
        <w:rPr>
          <w:rFonts w:ascii="IRNazanin" w:hAnsi="IRNazanin" w:eastAsia="IRNazanin"/>
          <w:color w:val="111111"/>
          <w:sz w:val="28"/>
          <w:sz w:val="28"/>
          <w:szCs w:val="28"/>
          <w:rtl w:val="true"/>
          <w:lang w:bidi="fa-IR"/>
        </w:rPr>
        <w:t xml:space="preserve">تبدیل به یک واحد کتاب خانه شد و یک اتاق جهت مطالعه </w:t>
      </w:r>
      <w:r>
        <w:rPr>
          <w:rStyle w:val="FootnoteAnchor"/>
          <w:rtl w:val="true"/>
        </w:rPr>
        <w:footnoteReference w:id="1107"/>
      </w:r>
      <w:r>
        <w:rPr>
          <w:rFonts w:ascii="IRNazanin" w:hAnsi="IRNazanin" w:eastAsia="IRNazanin"/>
          <w:color w:val="111111"/>
          <w:sz w:val="28"/>
          <w:sz w:val="28"/>
          <w:szCs w:val="28"/>
          <w:rtl w:val="true"/>
          <w:lang w:bidi="fa-IR"/>
        </w:rPr>
        <w:t>و تحقیق در بنای کتاب خانه به آن اختصاص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وظایف مدیریت ثبت و ضبط پرونده های دفتر سازمان ملل در 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حوزه اداری </w:t>
      </w:r>
      <w:r>
        <w:rPr>
          <w:rStyle w:val="FootnoteAnchor"/>
          <w:rtl w:val="true"/>
        </w:rPr>
        <w:footnoteReference w:id="1108"/>
      </w:r>
      <w:r>
        <w:rPr>
          <w:rFonts w:ascii="IRNazanin" w:hAnsi="IRNazanin" w:eastAsia="IRNazanin"/>
          <w:color w:val="111111"/>
          <w:sz w:val="28"/>
          <w:sz w:val="28"/>
          <w:szCs w:val="28"/>
          <w:rtl w:val="true"/>
          <w:lang w:bidi="fa-IR"/>
        </w:rPr>
        <w:t>بود و به کتاب خانه مربوط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به سبب احساس نیاز به اطمینان از هماهنگی قوی تر بین مدیریت پرونده ها و مدیریت آرشیوهای تاریخی، 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آرشیوهای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فعالیت ها را به کتاب خانه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سازمان ملل در ژنو شامل سازمان های مربوط به حقوق بشر، شورای اقتصاد سازمان ملل در اروپا و فراهمایی های سازمان ملل در باب توسعه بازرگانی می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ده سال تلاش جهت اصلاح روند مدیریت پرونده ها و فعالیت هایی که برای حفظ و نگهداری بهتر آرشیوهای تاریخی انجام گردیده بود، این آرشیو موروثی شش کیلومتری بیش از پیش برای عموم قابل دسترس شد</w:t>
      </w:r>
      <w:r>
        <w:rPr>
          <w:rFonts w:eastAsia="IRNazanin" w:cs="IRNazanin"/>
          <w:color w:val="111111"/>
          <w:sz w:val="28"/>
          <w:szCs w:val="28"/>
          <w:rtl w:val="true"/>
          <w:lang w:bidi="fa-IR"/>
        </w:rPr>
        <w:t xml:space="preserve">. </w:t>
      </w:r>
      <w:bookmarkStart w:id="1065" w:name="pg9659_94204"/>
    </w:p>
    <w:p>
      <w:pPr>
        <w:pStyle w:val="BookText"/>
        <w:rPr/>
      </w:pPr>
      <w:bookmarkEnd w:id="1065"/>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هنگامی که این آرشیو در یونسکو به ثبت جهانی رسید، ارزش میراث استثنایی آرشیوهای جامعه ملل و اهمیت فوق العاده آن برای پژوهشگران تاریخی در بیشتر کشورهای جهان، چه آن هایی که عضو سازمان بودند و چه آنان که در سازمان عضویت نداشتند،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فعالیت 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ای پی</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گفتگوی تمدن ها </w:t>
      </w:r>
      <w:r>
        <w:rPr>
          <w:rStyle w:val="FootnoteAnchor"/>
          <w:rtl w:val="true"/>
        </w:rPr>
        <w:footnoteReference w:id="1110"/>
      </w:r>
      <w:r>
        <w:rPr>
          <w:rFonts w:ascii="IRNazanin" w:hAnsi="IRNazanin" w:eastAsia="IRNazanin"/>
          <w:color w:val="111111"/>
          <w:sz w:val="28"/>
          <w:sz w:val="28"/>
          <w:szCs w:val="28"/>
          <w:rtl w:val="true"/>
          <w:lang w:bidi="fa-IR"/>
        </w:rPr>
        <w:t xml:space="preserve">به طور رسمی به فهرست وظایف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پیوسته منسجم روی تعهدات خود کار کرده تا به مرکزی برای گسترش هم فکری های دانشگاهی و فرهنگی برای جوامع جهان و به پایگاهی جهت سیاست گذاری های فرهنگی و تبادلات دانشگاهی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مدیریت مجموعه آثار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ملل نیز به فعالیت های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 و از آن پس کتاب خانه متصدی مجموعه ای با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است که اکثر آن ها از سوی ممالک عضو مجمع اهدا شدند</w:t>
      </w:r>
      <w:r>
        <w:rPr>
          <w:rFonts w:eastAsia="IRNazanin" w:cs="IRNazanin"/>
          <w:color w:val="111111"/>
          <w:sz w:val="28"/>
          <w:szCs w:val="28"/>
          <w:rtl w:val="true"/>
          <w:lang w:bidi="fa-IR"/>
        </w:rPr>
        <w:t>.</w:t>
      </w:r>
    </w:p>
    <w:p>
      <w:pPr>
        <w:pStyle w:val="Heading3"/>
        <w:numPr>
          <w:ilvl w:val="2"/>
          <w:numId w:val="1"/>
        </w:numPr>
        <w:rPr/>
      </w:pPr>
      <w:bookmarkStart w:id="1066" w:name="__RefHeading___Toc7826001_2870459653"/>
      <w:bookmarkStart w:id="1067" w:name="_Toc395"/>
      <w:bookmarkEnd w:id="1066"/>
      <w:r>
        <w:rPr/>
        <w:t>2</w:t>
      </w:r>
      <w:r>
        <w:rPr>
          <w:rtl w:val="true"/>
        </w:rPr>
        <w:t xml:space="preserve">. </w:t>
      </w:r>
      <w:r>
        <w:rPr>
          <w:rtl w:val="true"/>
        </w:rPr>
        <w:t>تسهیل در دسترسی و حفظ دارایی های موروثی</w:t>
      </w:r>
      <w:r>
        <w:rPr>
          <w:rtl w:val="true"/>
        </w:rPr>
        <w:t xml:space="preserve">: </w:t>
      </w:r>
      <w:r>
        <w:rPr>
          <w:rtl w:val="true"/>
        </w:rPr>
        <w:t>چالش ها و فرصت ها</w:t>
      </w:r>
      <w:bookmarkEnd w:id="1067"/>
    </w:p>
    <w:p>
      <w:pPr>
        <w:pStyle w:val="Heading4"/>
        <w:numPr>
          <w:ilvl w:val="3"/>
          <w:numId w:val="1"/>
        </w:numPr>
        <w:rPr/>
      </w:pPr>
      <w:bookmarkStart w:id="1068" w:name="__RefHeading___Toc7826003_2870459653"/>
      <w:bookmarkStart w:id="1069" w:name="_Toc396"/>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میراث جامعه ملل به نحو آشکاری در ساختار و عمل کرد سازمان ملل که آژانس های تخصصی آن بر مبنای کارهای جامعه ملل پایه ریزی شده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نیز موقعیت سازمان به عنوان پیشگام تلاش در جهت ایجاد صلح و هم کاری بین الملل، در حوزه هایی هم چون حمایت از پناهندگان گرفته تا بهداشت عمومی، از هم کاری های فکری تا حقوق اقلیت ها، یا از نقل و انتقال ارتباطات گرفته تا راه حل هایی جهت حل بحران اقتصادی قابل مناقشه نیست و کمک های آن توسط بسیاری از پژوهشگران و دانشمندان که تاکنون از این آرشیوها استفاده کرده اند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موروثی، این مجموعه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نمایانگر کوشش های هنری سرتاسر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استثنایی و گران بها از داستان انترناسیونالیسم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ژنو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افزایش فوق العاده توجه به میراث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آرشیوهای معماری و آثار هنری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اخیر نه تنها در میان افراد دانشگاهی بلکه از سوی، ممالک عضو، جوامع متمدن و عموم مردم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سده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مدیریت کتاب خانه با شرایط زیر مواجه 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های موروثی طی این سال ها گردآوری شدند، اما به علت فقدان منابعی که به توان به این حوزه اختصاص داد، لزوماً به نحو شایسته ای نگهداری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تشخیص نیاز مبرم جهت </w:t>
      </w:r>
      <w:bookmarkStart w:id="1070" w:name="pg9659_94205"/>
    </w:p>
    <w:p>
      <w:pPr>
        <w:pStyle w:val="BookText"/>
        <w:rPr/>
      </w:pPr>
      <w:bookmarkEnd w:id="1070"/>
      <w:r>
        <w:rPr>
          <w:rFonts w:ascii="IRNazanin" w:hAnsi="IRNazanin" w:eastAsia="IRNazanin"/>
          <w:color w:val="111111"/>
          <w:sz w:val="28"/>
          <w:sz w:val="28"/>
          <w:szCs w:val="28"/>
          <w:rtl w:val="true"/>
          <w:lang w:bidi="fa-IR"/>
        </w:rPr>
        <w:t xml:space="preserve">اقدامات ترمیمی، به تدریج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از قبیل، نیروی انسانی، مالی و فضا را به منظور ایجاد امکان دسترسی و حفظ این آرشیوها و مجموعه های هنری گران بها نقل و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چند سال اخیر، اقدامات چندی به عمل آمده که اوج آن تعمیر کلی فضای داخلی کتاب خانه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نهایت منجر به احداث بخش حافظه سازمانی شد که اهمیت آن با بخش خدمات کتاب خانه در تعدادی از دفاتر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بخش حافظه سازمانی </w:t>
      </w:r>
      <w:r>
        <w:rPr>
          <w:rStyle w:val="FootnoteAnchor"/>
          <w:rtl w:val="true"/>
        </w:rPr>
        <w:footnoteReference w:id="1112"/>
      </w:r>
      <w:r>
        <w:rPr>
          <w:rFonts w:ascii="IRNazanin" w:hAnsi="IRNazanin" w:eastAsia="IRNazanin"/>
          <w:color w:val="111111"/>
          <w:sz w:val="28"/>
          <w:sz w:val="28"/>
          <w:szCs w:val="28"/>
          <w:rtl w:val="true"/>
          <w:lang w:bidi="fa-IR"/>
        </w:rPr>
        <w:t xml:space="preserve">شامل تمام جنبه های چرخه حیات حافظه سازمانی است که از مدیریت پرونده ها گرفته تا حفظ و نگهداری آرشیوها و انتشار آن ها در بین جوامع بین الملل را شامل می شود؛ و این در حالی است که مأموریت بخش خدمات کتاب خانه </w:t>
      </w:r>
      <w:r>
        <w:rPr>
          <w:rStyle w:val="FootnoteAnchor"/>
          <w:rtl w:val="true"/>
        </w:rPr>
        <w:footnoteReference w:id="1113"/>
      </w:r>
      <w:r>
        <w:rPr>
          <w:rFonts w:ascii="IRNazanin" w:hAnsi="IRNazanin" w:eastAsia="IRNazanin"/>
          <w:color w:val="111111"/>
          <w:sz w:val="28"/>
          <w:sz w:val="28"/>
          <w:szCs w:val="28"/>
          <w:rtl w:val="true"/>
          <w:lang w:bidi="fa-IR"/>
        </w:rPr>
        <w:t>پشتیبانی و تهیه نیازهای اطلاعاتی و منابع مورد نیاز پژوهش سامانه سازمان ملل و سایر کاربران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بخش سوم تکمیل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برنامه ریزی راهبردی </w:t>
      </w:r>
      <w:r>
        <w:rPr>
          <w:rStyle w:val="FootnoteAnchor"/>
          <w:rtl w:val="true"/>
        </w:rPr>
        <w:footnoteReference w:id="1114"/>
      </w:r>
      <w:r>
        <w:rPr>
          <w:rFonts w:ascii="IRNazanin" w:hAnsi="IRNazanin" w:eastAsia="IRNazanin"/>
          <w:color w:val="111111"/>
          <w:sz w:val="28"/>
          <w:sz w:val="28"/>
          <w:szCs w:val="28"/>
          <w:rtl w:val="true"/>
          <w:lang w:bidi="fa-IR"/>
        </w:rPr>
        <w:t xml:space="preserve">، سنجش و ارزیابی برنامه </w:t>
      </w:r>
      <w:r>
        <w:rPr>
          <w:rStyle w:val="FootnoteAnchor"/>
          <w:rtl w:val="true"/>
        </w:rPr>
        <w:footnoteReference w:id="1115"/>
      </w:r>
      <w:r>
        <w:rPr>
          <w:rFonts w:ascii="IRNazanin" w:hAnsi="IRNazanin" w:eastAsia="IRNazanin"/>
          <w:color w:val="111111"/>
          <w:sz w:val="28"/>
          <w:sz w:val="28"/>
          <w:szCs w:val="28"/>
          <w:rtl w:val="true"/>
          <w:lang w:bidi="fa-IR"/>
        </w:rPr>
        <w:t>و توسعه که شامل مدیریت فعالیت های فرهنگی و گردآوری آثار هنری می گردد</w:t>
      </w:r>
      <w:r>
        <w:rPr>
          <w:rFonts w:eastAsia="IRNazanin" w:cs="IRNazanin"/>
          <w:color w:val="111111"/>
          <w:sz w:val="28"/>
          <w:szCs w:val="28"/>
          <w:rtl w:val="true"/>
          <w:lang w:bidi="fa-IR"/>
        </w:rPr>
        <w:t>.</w:t>
      </w:r>
    </w:p>
    <w:p>
      <w:pPr>
        <w:pStyle w:val="Heading4"/>
        <w:numPr>
          <w:ilvl w:val="3"/>
          <w:numId w:val="1"/>
        </w:numPr>
        <w:rPr/>
      </w:pPr>
      <w:bookmarkStart w:id="1071" w:name="__RefHeading___Toc7826005_2870459653"/>
      <w:bookmarkStart w:id="1072" w:name="_Toc397"/>
      <w:bookmarkEnd w:id="1071"/>
      <w:r>
        <w:rPr>
          <w:rtl w:val="true"/>
        </w:rPr>
        <w:t>الف</w:t>
      </w:r>
      <w:r>
        <w:rPr>
          <w:rtl w:val="true"/>
        </w:rPr>
        <w:t xml:space="preserve">- </w:t>
      </w:r>
      <w:r>
        <w:rPr>
          <w:rtl w:val="true"/>
        </w:rPr>
        <w:t>تسهیل دسترسی جهانی به میراث موجود</w:t>
      </w:r>
      <w:bookmarkEnd w:id="1072"/>
    </w:p>
    <w:p>
      <w:pPr>
        <w:pStyle w:val="BookText"/>
        <w:rPr/>
      </w:pPr>
      <w:r>
        <w:rPr>
          <w:rFonts w:ascii="IRNazanin" w:hAnsi="IRNazanin" w:eastAsia="IRNazanin"/>
          <w:color w:val="111111"/>
          <w:sz w:val="28"/>
          <w:sz w:val="28"/>
          <w:szCs w:val="28"/>
          <w:rtl w:val="true"/>
          <w:lang w:bidi="fa-IR"/>
        </w:rPr>
        <w:t xml:space="preserve">چند ماه پیش از تجدید ساختار،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طرح نوسازی در اتاق های مطالعه کتاب خانه شامل تقویت خدمات مرجع فردی </w:t>
      </w:r>
      <w:r>
        <w:rPr>
          <w:rStyle w:val="FootnoteAnchor"/>
          <w:rtl w:val="true"/>
        </w:rPr>
        <w:footnoteReference w:id="1116"/>
      </w:r>
      <w:r>
        <w:rPr>
          <w:rFonts w:ascii="IRNazanin" w:hAnsi="IRNazanin" w:eastAsia="IRNazanin"/>
          <w:color w:val="111111"/>
          <w:sz w:val="28"/>
          <w:sz w:val="28"/>
          <w:szCs w:val="28"/>
          <w:rtl w:val="true"/>
          <w:lang w:bidi="fa-IR"/>
        </w:rPr>
        <w:t>برای آرشیوهای جامعه ملل و سازمان ملل در ژنو در فضایی که پیش تر؛ آن را اتاق مطالعه مجلات ادواری می نامیدند،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به مناسبت هشتاد و پنجمین سالگرد تولد جان دی راکفلر به نام او اسم گذاری شد، این اتاق هم اکنون بهترین شرایط پژوهش را برای محققانی که درباره روابط بین الملل و امور سیاسی از اواخر قرن نوزده به بعد کار می کنند، فراهم کرده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درون آرشیوها به کمک یک سری وسایل کمکی که طی دهه اخیر گسترش یافته و شامل یک فهرست بر خط </w:t>
      </w:r>
      <w:r>
        <w:rPr>
          <w:rStyle w:val="FootnoteAnchor"/>
          <w:rtl w:val="true"/>
        </w:rPr>
        <w:footnoteReference w:id="1117"/>
      </w:r>
      <w:r>
        <w:rPr>
          <w:rFonts w:ascii="IRNazanin" w:hAnsi="IRNazanin" w:eastAsia="IRNazanin"/>
          <w:color w:val="111111"/>
          <w:sz w:val="28"/>
          <w:sz w:val="28"/>
          <w:szCs w:val="28"/>
          <w:rtl w:val="true"/>
          <w:lang w:bidi="fa-IR"/>
        </w:rPr>
        <w:t xml:space="preserve">و راهنمای تحقیق </w:t>
      </w:r>
      <w:r>
        <w:rPr>
          <w:rStyle w:val="FootnoteAnchor"/>
          <w:rtl w:val="true"/>
        </w:rPr>
        <w:footnoteReference w:id="1118"/>
      </w:r>
      <w:r>
        <w:rPr>
          <w:rFonts w:ascii="IRNazanin" w:hAnsi="IRNazanin" w:eastAsia="IRNazanin"/>
          <w:color w:val="111111"/>
          <w:sz w:val="28"/>
          <w:sz w:val="28"/>
          <w:szCs w:val="28"/>
          <w:rtl w:val="true"/>
          <w:lang w:bidi="fa-IR"/>
        </w:rPr>
        <w:t>درباره جامعه ملل می شود، آسان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بر مروری بر مجموعه هایی که برای عموم قابل دسترس هستند را ارائه می دهد و امکان مشاهده استاد رقومی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تحقیق شامل اطلاعات مربوط به موجودی ها و ساختار آرشیوها، فهرست ها و راهنماها، وسایل کمکی جستجوی رقومی، پایگاه های داده مفید و منابع بر خط پیوندهای </w:t>
      </w:r>
      <w:bookmarkStart w:id="1073" w:name="pg9659_94206"/>
    </w:p>
    <w:p>
      <w:pPr>
        <w:pStyle w:val="BookText"/>
        <w:rPr/>
      </w:pPr>
      <w:bookmarkEnd w:id="1073"/>
      <w:r>
        <w:rPr>
          <w:rFonts w:ascii="IRNazanin" w:hAnsi="IRNazanin" w:eastAsia="IRNazanin"/>
          <w:color w:val="111111"/>
          <w:sz w:val="28"/>
          <w:sz w:val="28"/>
          <w:szCs w:val="28"/>
          <w:rtl w:val="true"/>
          <w:lang w:bidi="fa-IR"/>
        </w:rPr>
        <w:t>مربوط به مجموعه های مرتبط و منابع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شهرت روزافزون اسناد بایگانی شده در افزایش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پرسش های مرجع دریافتی،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رقومی سازی منابع در مقیاس وسیع تر را به منظور امکان دسترسی مجازی به بسیاری از اجزا موجود در مجموعه های غنی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طرح رقومی سازی پیش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رقومی سازی مجموعه عکس های جامعه ملل </w:t>
      </w:r>
      <w:r>
        <w:rPr>
          <w:rStyle w:val="FootnoteAnchor"/>
          <w:rtl w:val="true"/>
        </w:rPr>
        <w:footnoteReference w:id="1119"/>
      </w:r>
      <w:r>
        <w:rPr>
          <w:rFonts w:ascii="IRNazanin" w:hAnsi="IRNazanin" w:eastAsia="IRNazanin"/>
          <w:color w:val="111111"/>
          <w:sz w:val="28"/>
          <w:sz w:val="28"/>
          <w:szCs w:val="28"/>
          <w:rtl w:val="true"/>
          <w:lang w:bidi="fa-IR"/>
        </w:rPr>
        <w:t xml:space="preserve">با همکاری و مشارکت دانشگاه ایندیانا امریکا </w:t>
      </w:r>
      <w:r>
        <w:rPr>
          <w:rStyle w:val="FootnoteAnchor"/>
          <w:rtl w:val="true"/>
        </w:rPr>
        <w:footnoteReference w:id="1120"/>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آخرین دبیر کل جامعه ملل، شون لستر </w:t>
      </w:r>
      <w:r>
        <w:rPr>
          <w:rStyle w:val="FootnoteAnchor"/>
          <w:rtl w:val="true"/>
        </w:rPr>
        <w:footnoteReference w:id="1121"/>
      </w:r>
      <w:r>
        <w:rPr>
          <w:rFonts w:ascii="IRNazanin" w:hAnsi="IRNazanin" w:eastAsia="IRNazanin"/>
          <w:color w:val="111111"/>
          <w:sz w:val="28"/>
          <w:sz w:val="28"/>
          <w:szCs w:val="28"/>
          <w:rtl w:val="true"/>
          <w:lang w:bidi="fa-IR"/>
        </w:rPr>
        <w:t xml:space="preserve">، مقالات صلح طلب اتریشی برتا وان سوتنر، مجموعه عکس های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 اِن اُ 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 اصلی مربوط به پیش نویس بیانیه جهانی حقوق بشر رقومی شده و از طریق فهرست بر خط آرشیوها قابل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مهمی که در موزه جامعه ملل نگهداری می شوند از طریق کتاب خانه رقومی جهان </w:t>
      </w:r>
      <w:r>
        <w:rPr>
          <w:rStyle w:val="FootnoteAnchor"/>
          <w:rtl w:val="true"/>
        </w:rPr>
        <w:footnoteReference w:id="1122"/>
      </w:r>
      <w:r>
        <w:rPr>
          <w:rFonts w:ascii="IRNazanin" w:hAnsi="IRNazanin" w:eastAsia="IRNazanin"/>
          <w:color w:val="111111"/>
          <w:sz w:val="28"/>
          <w:sz w:val="28"/>
          <w:szCs w:val="28"/>
          <w:rtl w:val="true"/>
          <w:lang w:bidi="fa-IR"/>
        </w:rPr>
        <w:t>، برای بیشتر مردم قابل دسترس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طرح های در مقیاس کوچک تر که درون سازمان اجرا شد، اسناد رسمی که توسط سازمان های اصلی مجمع، مجلس، شورا و دبیرخانه چاپ شد، در حال حاضر توسط یک شرکت خارجی و با بودجه کتاب خانه رقومی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مورد نیاز برای رقومی سازی مجموعه ها در مقیاس وسیع تر وجود ندارد، هر چند که کتاب خانه همواره به دنبال مشارکت هایی است که این روند را سریع 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مؤسسات دولتی و میراثی بیش تری تمایل خود را در تأمین هزینه رقومی سازی بخشی از آرشیوها را که مورد علاقه آن هاست ابراز داشتند و به تازگی طرح هایی توسط دولت گرجستان، لیتوانی و موزه یادبود هولوکاست </w:t>
      </w:r>
      <w:r>
        <w:rPr>
          <w:rStyle w:val="FootnoteAnchor"/>
          <w:rtl w:val="true"/>
        </w:rPr>
        <w:footnoteReference w:id="1123"/>
      </w:r>
      <w:r>
        <w:rPr>
          <w:rFonts w:ascii="IRNazanin" w:hAnsi="IRNazanin" w:eastAsia="IRNazanin"/>
          <w:color w:val="111111"/>
          <w:sz w:val="28"/>
          <w:sz w:val="28"/>
          <w:szCs w:val="28"/>
          <w:rtl w:val="true"/>
          <w:lang w:bidi="fa-IR"/>
        </w:rPr>
        <w:t>آمریکا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آرشیو مربوط به حمایت از پناهندگان، به وسیله آرشیو ملی نروژ به زودی به صورت بر خط موجود خواهد بود و هم اکنون بحث های پیرامون اجرای طرح های بیشتر با شرکای احتمالی مطرح است</w:t>
      </w:r>
      <w:r>
        <w:rPr>
          <w:rFonts w:eastAsia="IRNazanin" w:cs="IRNazanin"/>
          <w:color w:val="111111"/>
          <w:sz w:val="28"/>
          <w:szCs w:val="28"/>
          <w:rtl w:val="true"/>
          <w:lang w:bidi="fa-IR"/>
        </w:rPr>
        <w:t>.</w:t>
      </w:r>
    </w:p>
    <w:p>
      <w:pPr>
        <w:pStyle w:val="Heading4"/>
        <w:numPr>
          <w:ilvl w:val="3"/>
          <w:numId w:val="1"/>
        </w:numPr>
        <w:rPr/>
      </w:pPr>
      <w:bookmarkStart w:id="1074" w:name="__RefHeading___Toc7826007_2870459653"/>
      <w:bookmarkStart w:id="1075" w:name="_Toc398"/>
      <w:bookmarkEnd w:id="1074"/>
      <w:r>
        <w:rPr>
          <w:rtl w:val="true"/>
        </w:rPr>
        <w:t>ب</w:t>
      </w:r>
      <w:r>
        <w:rPr>
          <w:rtl w:val="true"/>
        </w:rPr>
        <w:t xml:space="preserve">- </w:t>
      </w:r>
      <w:r>
        <w:rPr>
          <w:rtl w:val="true"/>
        </w:rPr>
        <w:t>حفظ و نگهداری میراث موجود</w:t>
      </w:r>
      <w:bookmarkEnd w:id="107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آرشیوهای اوراق </w:t>
      </w:r>
      <w:r>
        <w:rPr>
          <w:rStyle w:val="FootnoteAnchor"/>
          <w:rtl w:val="true"/>
        </w:rPr>
        <w:footnoteReference w:id="1124"/>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مطلوبی هستند، اما به علت محتوای اسیدی آن ها فساد و تخریب طبیعی آن ها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حفاظتی و پیشگیرانه از قبیل انتقال و جابه جایی فایل ها به مکان هایی فاقد مواد اسیدی جهت کاهش این اثر پیوسته در دست </w:t>
      </w:r>
    </w:p>
    <w:p>
      <w:pPr>
        <w:pStyle w:val="BookText"/>
        <w:rPr/>
      </w:pPr>
      <w:r>
        <w:rPr>
          <w:rFonts w:ascii="IRNazanin" w:hAnsi="IRNazanin" w:eastAsia="IRNazanin"/>
          <w:color w:val="111111"/>
          <w:sz w:val="28"/>
          <w:sz w:val="28"/>
          <w:szCs w:val="28"/>
          <w:rtl w:val="true"/>
          <w:lang w:bidi="fa-IR"/>
        </w:rPr>
        <w:t>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صحاف خبره را برای اقدامات حفاظتی فوری استخدام کرده است، فردی که مرمت های بسیار ضروری را برای اجزا مستقل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 سازی بر خط اسناد نیز آن ها را از هرگونه آسیب فیزیکی احتمالی، در حین استفاده، مصون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 های ذخیره سازی و نگهداری مجموعه گران بهای اسناد تاریخی فرهنگی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مجموعه ها در حال گسترش هستند، بنای هفتاد و پنج ساله با مشکلات تعمیر و نگهداری مواجه شده است و خطرات فزاینده ای در حفظ و نگهداری از این اقلام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یک بازدید فنی از شرایط مخزن توسط یک کارشناس تأمین، به دنبال سیلی که بر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توصیه شده کوتاه مدتی که برای محافظت از استاد مقرر شده بود و می توانست از سوی کتاب خانه انجام شود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توصیه هایی برای اقدامات دراز مدت که شامل تهیه مخزن جدید و یا بهینه سازی کامل تسهیلات مخزن،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فعالانه به دنبال یافتن راه حل هایی در درون چارچوب برنامه راهبردی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که با سرپرستی دبیر کل انجام می شود، برای بازسازی کاخ ملل و بهبود و ایجاد مخزنی در سطح استانداردهای بین المللی برای میلیون ها کتاب، نشریه، آرشیو، آثار هنری و اسناد رسمی که بخش جدایی ناپذیر آن هستند برنامه ریزی شده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راهبردی میراث باید مجموعه آثار هنری را به طور ویژه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آثار هنری از سوی کشورهای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ساخت کاخ ملل به این مکان اهدا شده اند و جزء جدایی ناپذیر این اثر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هنری، با سالانه حدود ده مورد هدیه از سوی دولت های عضو سازمان ملل، همواره روبه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مجموعه حاضر درون این بنای عظیم که گاهی از لحاظ اندازه با کاخ ورسای مقایسه می شود، به صورت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مجموعه برای کتاب خانه امری چالش برانگیز است چراکه در حال حاضر هیچ پیش بینی برای افزایش منابع در این حوزه وجود ندارد، به جز استقرار پستی که دوباره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به تأسیس برنامه مدیریت برای یک لیست موجودی کامل مجموعه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همان گونه که قوانین و دستورالعمل های ملل معین می کند که هدایا نباید مستلزم هزینه نگهداری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بعضی از حفاظت های ضروری تنها با تکیه بر اعطاء کننده های خارجی می تواند انجام پذیرد</w:t>
      </w:r>
      <w:r>
        <w:rPr>
          <w:rFonts w:eastAsia="IRNazanin" w:cs="IRNazanin"/>
          <w:color w:val="111111"/>
          <w:sz w:val="28"/>
          <w:szCs w:val="28"/>
          <w:rtl w:val="true"/>
          <w:lang w:bidi="fa-IR"/>
        </w:rPr>
        <w:t xml:space="preserve">. </w:t>
      </w:r>
      <w:bookmarkStart w:id="1076" w:name="pg9659_94208"/>
    </w:p>
    <w:p>
      <w:pPr>
        <w:pStyle w:val="Heading4"/>
        <w:numPr>
          <w:ilvl w:val="3"/>
          <w:numId w:val="1"/>
        </w:numPr>
        <w:rPr/>
      </w:pPr>
      <w:bookmarkStart w:id="1077" w:name="__RefHeading___Toc7826009_2870459653"/>
      <w:bookmarkStart w:id="1078" w:name="_Toc399"/>
      <w:bookmarkEnd w:id="1076"/>
      <w:bookmarkEnd w:id="1077"/>
      <w:r>
        <w:rPr>
          <w:rtl w:val="true"/>
        </w:rPr>
        <w:t>ج</w:t>
      </w:r>
      <w:r>
        <w:rPr>
          <w:rtl w:val="true"/>
        </w:rPr>
        <w:t xml:space="preserve">- </w:t>
      </w:r>
      <w:r>
        <w:rPr>
          <w:rtl w:val="true"/>
        </w:rPr>
        <w:t>نمایان سازی میراث فرهنگی از طریق اقدامات توسعه</w:t>
      </w:r>
      <w:bookmarkEnd w:id="1078"/>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رسانی خود را درون یک چارچوب راهبردی ارتباطات ارتقا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اقدامات توسعه ای نمایان سازی کتاب خانه را به یک سازمان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را به عنوان حافظه سازمانی و میراث موجود سازمان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هدف شامل روسا داخلی از قبیل، مدیر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دیپلمات ها و ماموران دولتی، اشخاص خارجی از قبیل دانشگاهیان، نهادهای آموزشی و فرهنگی، جوامع متمدن و بالأخره عموم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به طور کل و بخش حافظه سازمانی به طور اخص، در قالب گروه های بحث و مذاکره، فراهمایی ها و انجمن های تخصصی در ژنو؛ در سطح بین المللی مشغول هستند، هم چنین کتاب خانه فراهمایی ها و نشست هایی را درباره نشریات تاریخی و فرهنگی مختلف مربوط به فعالیت جامعه ملل و سازمان ملل سازماندهی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خانه فعالانه در هماهنگی و فعالیت های تاریخ شبکه سازمان 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آی اُ ان</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در ژنو پایه ریزی شده که خط مشی را برای تبادل اطلاعات بین پژوهشگران، بایگان ها و افراد دیگر علاقه مند به مطالعه بر روی تاریخچه سازمان های بین المللی فراهم آورده،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امکان درک بهتر محیط دانشگاهی و نیازهای پژوهشی فعلی را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به دست آمده برای تعیین طرح ها و مشارکت های تخصصی مورد استفاده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اندیشی هایی در باب روش شناسی تحقیقات تاریخی برای گروه های دانش آموخته موسسه تحصیلات تکمیلی مطالعات بین المللی و توسعه دانشگاه ژنو </w:t>
      </w:r>
      <w:r>
        <w:rPr>
          <w:rStyle w:val="FootnoteAnchor"/>
          <w:rtl w:val="true"/>
        </w:rPr>
        <w:footnoteReference w:id="1127"/>
      </w:r>
      <w:r>
        <w:rPr>
          <w:rFonts w:ascii="IRNazanin" w:hAnsi="IRNazanin" w:eastAsia="IRNazanin"/>
          <w:color w:val="111111"/>
          <w:sz w:val="28"/>
          <w:sz w:val="28"/>
          <w:szCs w:val="28"/>
          <w:rtl w:val="true"/>
          <w:lang w:bidi="fa-IR"/>
        </w:rPr>
        <w:t xml:space="preserve">و مدارس بین المللی سوئیس </w:t>
      </w:r>
      <w:r>
        <w:rPr>
          <w:rStyle w:val="FootnoteAnchor"/>
          <w:rtl w:val="true"/>
        </w:rPr>
        <w:footnoteReference w:id="1128"/>
      </w:r>
      <w:r>
        <w:rPr>
          <w:rFonts w:ascii="IRNazanin" w:hAnsi="IRNazanin" w:eastAsia="IRNazanin"/>
          <w:color w:val="111111"/>
          <w:sz w:val="28"/>
          <w:sz w:val="28"/>
          <w:szCs w:val="28"/>
          <w:rtl w:val="true"/>
          <w:lang w:bidi="fa-IR"/>
        </w:rPr>
        <w:t>سازمان دهی شده است و تورهای موزه جامعه ملل به دانش آموزان دبیرستانی و دانشگاهی از سرتاسر جهان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موزه جامعه ملل بهترین وسیله مانایی تاریخ برای بازدیدکنندگان خارجی و داخلی در تمام سطوح است که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در ساختمان کتاب خانه ساخته 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آرشیو جامعه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حافظه ثبت جهانی یونسکو، اهمیت این آرشیو را به عنوان میراث جهانی و مسئولیت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مالک آن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فزاینده به این مجموعه نتیجه این ثبت جهانی بود و باعث نوسازی جامعه ملل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دارای یک نمایشگاه دائمی جدید با عنوان از جامعه ملل تا سازمان ملل با فضایی چند رسانه ای و یک فضای </w:t>
      </w:r>
    </w:p>
    <w:p>
      <w:pPr>
        <w:pStyle w:val="BookText"/>
        <w:rPr/>
      </w:pPr>
      <w:r>
        <w:rPr>
          <w:rFonts w:ascii="IRNazanin" w:hAnsi="IRNazanin" w:eastAsia="IRNazanin"/>
          <w:color w:val="111111"/>
          <w:sz w:val="28"/>
          <w:sz w:val="28"/>
          <w:szCs w:val="28"/>
          <w:rtl w:val="true"/>
          <w:lang w:bidi="fa-IR"/>
        </w:rPr>
        <w:t>نمایشگاهی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نمایشگاه آرشیوهای برجسته و منحصر به فرد اسناد بایگانی شده، اشیا خاص و گران بها و هم چنین مواد چند رسانه ای که نه تنها تاریخ مجمع را حکایت می کند، بلکه چگونگی راهگشایی برای فعالیت های سازمان ملل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همکاری با خدمات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اِن اُ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از این مکان در سه سال اخیر بهره گیری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موزه که در عضو انجمن موزه های ژنو است، بخشی از مناظر فرهنگی بین المللی شهر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هفتادمین سال روز تأسیس سازمان ملل و صدمین سال گرد ایجاد جامعه ملل نزدیک تر می شود، ضرورت بیش تر موزه جهت پررنگ کردن پیوستگی دو سازمان باعث تغییر نام آن به موزه سازمان ملل در ژنو و ارائه جنبه های موضوعی تاریخ سازمان ملل و وظیفه فعلی آن گشت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با نزدیک شدن به دارایی میراث فرهنگی و توسعه فعالیت ها با سایر مؤسسات فرهنگی، درخور راهبردهای وسیع تری در مقایسه با آن چه اکنون توسط دفتر سازمان ملل در ژنو اجرا می شود بوده که هدف آن نشان دادن چگونگی تغییر طرز تفکر مردم در سرتاسر دنیا به واسطه فعالیت های سازمان های بین المللی از آغاز قرن بیستم به بعد است</w:t>
      </w:r>
      <w:r>
        <w:rPr>
          <w:rFonts w:eastAsia="IRNazanin" w:cs="IRNazanin"/>
          <w:color w:val="111111"/>
          <w:sz w:val="28"/>
          <w:szCs w:val="28"/>
          <w:rtl w:val="true"/>
          <w:lang w:bidi="fa-IR"/>
        </w:rPr>
        <w:t xml:space="preserve">. </w:t>
      </w:r>
      <w:bookmarkStart w:id="1079" w:name="pg9659_94210"/>
    </w:p>
    <w:p>
      <w:pPr>
        <w:pStyle w:val="Heading2"/>
        <w:numPr>
          <w:ilvl w:val="1"/>
          <w:numId w:val="1"/>
        </w:numPr>
        <w:rPr/>
      </w:pPr>
      <w:bookmarkStart w:id="1080" w:name="__RefHeading___Toc7826011_2870459653"/>
      <w:bookmarkStart w:id="1081" w:name="_Toc400"/>
      <w:bookmarkEnd w:id="1079"/>
      <w:bookmarkEnd w:id="1080"/>
      <w:r>
        <w:rPr>
          <w:rtl w:val="true"/>
        </w:rPr>
        <w:t>چکیده</w:t>
      </w:r>
      <w:bookmarkEnd w:id="1081"/>
    </w:p>
    <w:p>
      <w:pPr>
        <w:pStyle w:val="BookText"/>
        <w:rPr/>
      </w:pPr>
      <w:r>
        <w:rPr>
          <w:rFonts w:ascii="IRNazanin" w:hAnsi="IRNazanin" w:eastAsia="IRNazanin"/>
          <w:color w:val="111111"/>
          <w:sz w:val="28"/>
          <w:sz w:val="28"/>
          <w:szCs w:val="28"/>
          <w:rtl w:val="true"/>
          <w:lang w:bidi="fa-IR"/>
        </w:rPr>
        <w:t xml:space="preserve">با پیوستن کتاب خانه ها به دیگر بخش های دادوستدی جامعه، در انجام عملیات حرفه ای از طریق ابر اینترنتی </w:t>
      </w:r>
      <w:r>
        <w:rPr>
          <w:rStyle w:val="FootnoteAnchor"/>
          <w:rtl w:val="true"/>
        </w:rPr>
        <w:footnoteReference w:id="1129"/>
      </w:r>
      <w:r>
        <w:rPr>
          <w:rFonts w:ascii="IRNazanin" w:hAnsi="IRNazanin" w:eastAsia="IRNazanin"/>
          <w:color w:val="111111"/>
          <w:sz w:val="28"/>
          <w:sz w:val="28"/>
          <w:szCs w:val="28"/>
          <w:rtl w:val="true"/>
          <w:lang w:bidi="fa-IR"/>
        </w:rPr>
        <w:t>، مزایایی در این حوزه که تاکنون کاملاً غیر ممکن می نمود، از این پس به راحتی در دسترس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اما پذیرش یک سامانه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خطر غیر فنی مهم و آشکار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نا کار آمد جنبه های انسانی چنین تغییری، مهم ترین خطر در مهاجرت موفق فناوری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بهترین شیوه ها برای مدیریت جنبه های انسانی تغییراتی که شامل راهکارهای ابری هستند،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نگارندگان، نتایج تحقیقات در این زمینه و تجارب عملی در مدیریت پیاده سازی راهکارهای ابری در صدها کتاب خانه را در کنار هم قرار داده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 ابر، بهترین شیوه ها</w:t>
      </w:r>
      <w:r>
        <w:rPr>
          <w:rFonts w:eastAsia="IRNazanin" w:cs="IRNazanin"/>
          <w:color w:val="111111"/>
          <w:sz w:val="28"/>
          <w:szCs w:val="28"/>
          <w:rtl w:val="true"/>
          <w:lang w:bidi="fa-IR"/>
        </w:rPr>
        <w:t xml:space="preserve">. </w:t>
      </w:r>
      <w:bookmarkStart w:id="1082" w:name="pg9659_94211"/>
    </w:p>
    <w:p>
      <w:pPr>
        <w:pStyle w:val="Heading2"/>
        <w:numPr>
          <w:ilvl w:val="1"/>
          <w:numId w:val="1"/>
        </w:numPr>
        <w:rPr/>
      </w:pPr>
      <w:bookmarkStart w:id="1083" w:name="__RefHeading___Toc7826013_2870459653"/>
      <w:bookmarkStart w:id="1084" w:name="_Toc401"/>
      <w:bookmarkEnd w:id="1082"/>
      <w:bookmarkEnd w:id="1083"/>
      <w:r>
        <w:rPr>
          <w:rtl w:val="true"/>
        </w:rPr>
        <w:t>خطرات ناشی از انتقال به ابر</w:t>
      </w:r>
      <w:r>
        <w:rPr>
          <w:rtl w:val="true"/>
        </w:rPr>
        <w:t xml:space="preserve">: </w:t>
      </w:r>
      <w:r>
        <w:rPr>
          <w:rtl w:val="true"/>
        </w:rPr>
        <w:t>عامل انسانی</w:t>
      </w:r>
      <w:bookmarkEnd w:id="1084"/>
    </w:p>
    <w:p>
      <w:pPr>
        <w:pStyle w:val="Heading3"/>
        <w:numPr>
          <w:ilvl w:val="2"/>
          <w:numId w:val="1"/>
        </w:numPr>
        <w:rPr/>
      </w:pPr>
      <w:bookmarkStart w:id="1085" w:name="__RefHeading___Toc7826015_2870459653"/>
      <w:bookmarkStart w:id="1086" w:name="_Toc402"/>
      <w:bookmarkEnd w:id="1085"/>
      <w:r>
        <w:rPr>
          <w:rtl w:val="true"/>
        </w:rPr>
        <w:t>اشاره</w:t>
      </w:r>
      <w:bookmarkEnd w:id="1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ناشی از انتقال به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انسانی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نوشته پِترا دورِن </w:t>
      </w:r>
      <w:r>
        <w:rPr>
          <w:rStyle w:val="FootnoteAnchor"/>
          <w:rtl w:val="true"/>
        </w:rPr>
        <w:footnoteReference w:id="1131"/>
      </w:r>
      <w:r>
        <w:rPr>
          <w:rFonts w:ascii="IRNazanin" w:hAnsi="IRNazanin" w:eastAsia="IRNazanin"/>
          <w:color w:val="111111"/>
          <w:sz w:val="28"/>
          <w:sz w:val="28"/>
          <w:szCs w:val="28"/>
          <w:rtl w:val="true"/>
          <w:lang w:bidi="fa-IR"/>
        </w:rPr>
        <w:t xml:space="preserve">و راب راس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 مقدمی</w:t>
      </w:r>
    </w:p>
    <w:p>
      <w:pPr>
        <w:pStyle w:val="Heading3"/>
        <w:numPr>
          <w:ilvl w:val="2"/>
          <w:numId w:val="1"/>
        </w:numPr>
        <w:rPr/>
      </w:pPr>
      <w:bookmarkStart w:id="1087" w:name="__RefHeading___Toc7826017_2870459653"/>
      <w:bookmarkStart w:id="1088" w:name="_Toc403"/>
      <w:bookmarkEnd w:id="1087"/>
      <w:r>
        <w:rPr/>
        <w:t>1</w:t>
      </w:r>
      <w:r>
        <w:rPr>
          <w:rtl w:val="true"/>
        </w:rPr>
        <w:t xml:space="preserve">. </w:t>
      </w:r>
      <w:r>
        <w:rPr>
          <w:rtl w:val="true"/>
        </w:rPr>
        <w:t>فناوری ابر برای کتاب خانه ها</w:t>
      </w:r>
      <w:bookmarkEnd w:id="1088"/>
    </w:p>
    <w:p>
      <w:pPr>
        <w:pStyle w:val="Heading4"/>
        <w:numPr>
          <w:ilvl w:val="3"/>
          <w:numId w:val="1"/>
        </w:numPr>
        <w:rPr/>
      </w:pPr>
      <w:bookmarkStart w:id="1089" w:name="__RefHeading___Toc7826019_2870459653"/>
      <w:bookmarkStart w:id="1090" w:name="_Toc404"/>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پیش از پرداختن به مزایای خاص فناوری ابر در کتاب خانه ها، بهتر است در سطحی بالاتر، مزایای این فناوری را برای همه سازمان ها از نظر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پذیرش فناوری ابر را می توان به دو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w:t>
      </w:r>
    </w:p>
    <w:p>
      <w:pPr>
        <w:pStyle w:val="Heading4"/>
        <w:numPr>
          <w:ilvl w:val="3"/>
          <w:numId w:val="1"/>
        </w:numPr>
        <w:rPr/>
      </w:pPr>
      <w:bookmarkStart w:id="1091" w:name="__RefHeading___Toc7826021_2870459653"/>
      <w:bookmarkStart w:id="1092" w:name="_Toc405"/>
      <w:bookmarkEnd w:id="1091"/>
      <w:r>
        <w:rPr>
          <w:rtl w:val="true"/>
        </w:rPr>
        <w:t xml:space="preserve">مزایای عام </w:t>
      </w:r>
      <w:r>
        <w:rPr>
          <w:rtl w:val="true"/>
        </w:rPr>
        <w:t>(</w:t>
      </w:r>
      <w:r>
        <w:rPr>
          <w:rtl w:val="true"/>
        </w:rPr>
        <w:t>فناوری اطلاعات</w:t>
      </w:r>
      <w:r>
        <w:rPr>
          <w:rtl w:val="true"/>
        </w:rPr>
        <w:t>)</w:t>
      </w:r>
      <w:bookmarkEnd w:id="109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فناوری اطلاعات، در انتقال یک محیط توسعه یافته سنتی به ابر، مزایایی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مزایا نه از توسعه عملیات خاص آن حرفه یا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از جانب فناوری، پشتیبانی هم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جهشِ روبه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انتقال مجازی هر صنعتی به ابر، </w:t>
      </w:r>
    </w:p>
    <w:p>
      <w:pPr>
        <w:pStyle w:val="BookText"/>
        <w:rPr/>
      </w:pPr>
      <w:r>
        <w:rPr>
          <w:rFonts w:ascii="IRNazanin" w:hAnsi="IRNazanin" w:eastAsia="IRNazanin"/>
          <w:color w:val="111111"/>
          <w:sz w:val="28"/>
          <w:sz w:val="28"/>
          <w:szCs w:val="28"/>
          <w:rtl w:val="true"/>
          <w:lang w:bidi="fa-IR"/>
        </w:rPr>
        <w:t>رفع نیاز از مدیریت سخت افزارها و ارتقاء، نرم افزارها، به واقعیت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مزایای غیر حرفه ای، به مقیاس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 تحت فناوری ابر می توانند در مواردی چون معماری، چندینه های غلبه بر خرابی </w:t>
      </w:r>
      <w:r>
        <w:rPr>
          <w:rStyle w:val="FootnoteAnchor"/>
          <w:rtl w:val="true"/>
        </w:rPr>
        <w:footnoteReference w:id="1133"/>
      </w:r>
      <w:r>
        <w:rPr>
          <w:rFonts w:ascii="IRNazanin" w:hAnsi="IRNazanin" w:eastAsia="IRNazanin"/>
          <w:color w:val="111111"/>
          <w:sz w:val="28"/>
          <w:sz w:val="28"/>
          <w:szCs w:val="28"/>
          <w:rtl w:val="true"/>
          <w:lang w:bidi="fa-IR"/>
        </w:rPr>
        <w:t>و ظرفیت قابل توسعه تا بی نهایت که غالباً به تنهایی قادر به تأمین بودجه آن ها نیستند، سرمایه 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فناوری های ابر از دیدگاه ساختاری بیشتر به فناوری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گرایش دارند، به گونه ای که فراهم کنندگان برنامه های کاربردی ابر غالباً با ارائه قابلیت هایی چون اِی پی آی </w:t>
      </w:r>
      <w:r>
        <w:rPr>
          <w:rStyle w:val="FootnoteAnchor"/>
          <w:rtl w:val="true"/>
        </w:rPr>
        <w:footnoteReference w:id="1135"/>
      </w:r>
      <w:r>
        <w:rPr>
          <w:rFonts w:ascii="IRNazanin" w:hAnsi="IRNazanin" w:eastAsia="IRNazanin"/>
          <w:color w:val="111111"/>
          <w:sz w:val="28"/>
          <w:sz w:val="28"/>
          <w:szCs w:val="28"/>
          <w:rtl w:val="true"/>
          <w:lang w:bidi="fa-IR"/>
        </w:rPr>
        <w:t xml:space="preserve">ها به سوم شخص ها </w:t>
      </w:r>
      <w:r>
        <w:rPr>
          <w:rStyle w:val="FootnoteAnchor"/>
          <w:rtl w:val="true"/>
        </w:rPr>
        <w:footnoteReference w:id="1136"/>
      </w:r>
      <w:r>
        <w:rPr>
          <w:rFonts w:ascii="IRNazanin" w:hAnsi="IRNazanin" w:eastAsia="IRNazanin"/>
          <w:color w:val="111111"/>
          <w:sz w:val="28"/>
          <w:sz w:val="28"/>
          <w:szCs w:val="28"/>
          <w:rtl w:val="true"/>
          <w:lang w:bidi="fa-IR"/>
        </w:rPr>
        <w:t>و مشتریان، آن ها را قادر به توسعه کاربردهای فناوری های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سکُوی آی اُ اس </w:t>
      </w:r>
      <w:r>
        <w:rPr>
          <w:rStyle w:val="FootnoteAnchor"/>
          <w:rtl w:val="true"/>
        </w:rPr>
        <w:footnoteReference w:id="1137"/>
      </w:r>
      <w:r>
        <w:rPr>
          <w:rFonts w:ascii="IRNazanin" w:hAnsi="IRNazanin" w:eastAsia="IRNazanin"/>
          <w:color w:val="111111"/>
          <w:sz w:val="28"/>
          <w:sz w:val="28"/>
          <w:szCs w:val="28"/>
          <w:rtl w:val="true"/>
          <w:lang w:bidi="fa-IR"/>
        </w:rPr>
        <w:t xml:space="preserve">، متعلق به شرکت اَپِل </w:t>
      </w:r>
      <w:r>
        <w:rPr>
          <w:rStyle w:val="FootnoteAnchor"/>
          <w:rtl w:val="true"/>
        </w:rPr>
        <w:footnoteReference w:id="1138"/>
      </w:r>
      <w:r>
        <w:rPr>
          <w:rFonts w:ascii="IRNazanin" w:hAnsi="IRNazanin" w:eastAsia="IRNazanin"/>
          <w:color w:val="111111"/>
          <w:sz w:val="28"/>
          <w:sz w:val="28"/>
          <w:szCs w:val="28"/>
          <w:rtl w:val="true"/>
          <w:lang w:bidi="fa-IR"/>
        </w:rPr>
        <w:t>، مثالی آشنا از یک فناوری ابر است که در آن، سوم شخص ها، توسط شرکت سازنده به ایجاد و اشتراک گذاری برنامه های کاربردی تشویق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خدمات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بر مبنای تعداد کاربران خود، یک اثر شبکه ای یا نوعی ارزش افزوده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ارزش وب گاه های ویژه نقد و بررسی هم چون یلپ </w:t>
      </w:r>
      <w:r>
        <w:rPr>
          <w:rStyle w:val="FootnoteAnchor"/>
          <w:rtl w:val="true"/>
        </w:rPr>
        <w:footnoteReference w:id="1139"/>
      </w:r>
      <w:r>
        <w:rPr>
          <w:rFonts w:ascii="IRNazanin" w:hAnsi="IRNazanin" w:eastAsia="IRNazanin"/>
          <w:color w:val="111111"/>
          <w:sz w:val="28"/>
          <w:sz w:val="28"/>
          <w:szCs w:val="28"/>
          <w:rtl w:val="true"/>
          <w:lang w:bidi="fa-IR"/>
        </w:rPr>
        <w:t xml:space="preserve">یا تریپ اَدوایزور </w:t>
      </w:r>
      <w:r>
        <w:rPr>
          <w:rStyle w:val="FootnoteAnchor"/>
          <w:rtl w:val="true"/>
        </w:rPr>
        <w:footnoteReference w:id="1140"/>
      </w:r>
      <w:r>
        <w:rPr>
          <w:rFonts w:ascii="IRNazanin" w:hAnsi="IRNazanin" w:eastAsia="IRNazanin"/>
          <w:color w:val="111111"/>
          <w:sz w:val="28"/>
          <w:sz w:val="28"/>
          <w:szCs w:val="28"/>
          <w:rtl w:val="true"/>
          <w:lang w:bidi="fa-IR"/>
        </w:rPr>
        <w:t>که توسط کاربران ایجاد می شوند، مبتنی بر تعداد کاربرانی که در تأمین محتوای وب گاه همکاری می کنند،،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آن ها یک کشش گرانشی را که با افزایش تعداد کاربران عضو، به صورت نمایی </w:t>
      </w:r>
      <w:r>
        <w:rPr>
          <w:rStyle w:val="FootnoteAnchor"/>
          <w:rtl w:val="true"/>
        </w:rPr>
        <w:footnoteReference w:id="1141"/>
      </w:r>
      <w:r>
        <w:rPr>
          <w:rFonts w:ascii="IRNazanin" w:hAnsi="IRNazanin" w:eastAsia="IRNazanin"/>
          <w:color w:val="111111"/>
          <w:sz w:val="28"/>
          <w:sz w:val="28"/>
          <w:szCs w:val="28"/>
          <w:rtl w:val="true"/>
          <w:lang w:bidi="fa-IR"/>
        </w:rPr>
        <w:t>رشد قوی تری می نماید ایجاد می کنند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برخی مزایای پشتیبانی هم وجود دارند که از هم زیستی یک فناوری ابر خاص با مشتریان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مسائلی که بر یک مشتری تأثیر می گذارند بر تمامی مشتریان نیز اثرگذار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مزیت برای مشتریان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صدها و یا هزاران مشتری از ابزار فناوری ابری یکسانی استفاده می کنند و چنان چه مشکلی در ابزار مشاهده شود، پیش از آن که شرکت شما از این </w:t>
      </w:r>
      <w:bookmarkStart w:id="1093" w:name="pg9659_94213"/>
    </w:p>
    <w:p>
      <w:pPr>
        <w:pStyle w:val="BookText"/>
        <w:rPr/>
      </w:pPr>
      <w:bookmarkEnd w:id="1093"/>
      <w:r>
        <w:rPr>
          <w:rFonts w:ascii="IRNazanin" w:hAnsi="IRNazanin" w:eastAsia="IRNazanin"/>
          <w:color w:val="111111"/>
          <w:sz w:val="28"/>
          <w:sz w:val="28"/>
          <w:szCs w:val="28"/>
          <w:rtl w:val="true"/>
          <w:lang w:bidi="fa-IR"/>
        </w:rPr>
        <w:t>طريق تحت تأثیر منفی قرار بگیرد، توسط دیگر شرکت های کاربر به ارائه کننده گزارش شده و مسئله مرتفع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برای ارائه کننده، هیچ چیز بیش از حل مسئله ای که بر تمامی مشتریان او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بخش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تعداد کثیری از مشتریان در معرض خطر باشند، هر مشتری می تواند مطمئن باشد که مسئله در سریع ترین زمان ممکن حل خواهد شد</w:t>
      </w:r>
      <w:r>
        <w:rPr>
          <w:rFonts w:eastAsia="IRNazanin" w:cs="IRNazanin"/>
          <w:color w:val="111111"/>
          <w:sz w:val="28"/>
          <w:szCs w:val="28"/>
          <w:rtl w:val="true"/>
          <w:lang w:bidi="fa-IR"/>
        </w:rPr>
        <w:t>.</w:t>
      </w:r>
    </w:p>
    <w:p>
      <w:pPr>
        <w:pStyle w:val="Heading4"/>
        <w:numPr>
          <w:ilvl w:val="3"/>
          <w:numId w:val="1"/>
        </w:numPr>
        <w:rPr/>
      </w:pPr>
      <w:bookmarkStart w:id="1094" w:name="__RefHeading___Toc7826023_2870459653"/>
      <w:bookmarkStart w:id="1095" w:name="_Toc406"/>
      <w:bookmarkEnd w:id="1094"/>
      <w:r>
        <w:rPr>
          <w:rtl w:val="true"/>
        </w:rPr>
        <w:t xml:space="preserve">مزایای خاص </w:t>
      </w:r>
      <w:r>
        <w:rPr>
          <w:rtl w:val="true"/>
        </w:rPr>
        <w:t>(</w:t>
      </w:r>
      <w:r>
        <w:rPr>
          <w:rtl w:val="true"/>
        </w:rPr>
        <w:t>کسب و کار</w:t>
      </w:r>
      <w:r>
        <w:rPr>
          <w:rtl w:val="true"/>
        </w:rPr>
        <w:t>)</w:t>
      </w:r>
      <w:bookmarkEnd w:id="1095"/>
    </w:p>
    <w:p>
      <w:pPr>
        <w:pStyle w:val="BookText"/>
        <w:rPr/>
      </w:pPr>
      <w:r>
        <w:rPr>
          <w:rFonts w:ascii="IRNazanin" w:hAnsi="IRNazanin" w:eastAsia="IRNazanin"/>
          <w:color w:val="111111"/>
          <w:sz w:val="28"/>
          <w:sz w:val="28"/>
          <w:szCs w:val="28"/>
          <w:rtl w:val="true"/>
          <w:lang w:bidi="fa-IR"/>
        </w:rPr>
        <w:t>ورای مزایای عام فناوری اطلاعات در مهاجرت از یک محیط توسعه یافته محلی به ابر، مزایای مختص صنعت نیز که از سوی فناوری ابر پشتیبانی می شوند،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مزیت فناوری ابر در صنعت کتاب خانه که امروزه نیز مورد تأیید است، افزایش اثر بخشی جریان کار و بهبود و ارتقاء خدمات به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 های بزرگی که البته هنوز محقق نشده است می توان به یک بینش بالقوه حاصل از تجزیه و تحلیل مجموعه های بزرگ داده که نمایشگر فعالیت های هزاران کتاب خانه و صدها هزار نفر از مراجعین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کارایی ها در گردش کار را نمی توان به فناوری ابر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فناوری های ابری در زمره فناوری های نوین به شمار می روند و برخی از کارایی ها در گردش کارهایی که از آن ها منشاً گیرد، نتیجه طراحی جدیدتر و هوشمندتر هستند، به عنوان مثال، بسیاری از نظام های مدیریت کتاب خانه ای میراث، در عصری بناشدهاند که توجه عمده به مواد چاپی معطوف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گردش کار نظام های میراث، بازتاب دهنده جهت گیری آن ها در هم سویی با مدیریت منابع چاپی و ناسازگاری با منابع الکترونیک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نظام های مدیریت کتاب خانه ای، خواه ابری یا غیر آن، با لحاظ امکانات مدیریتی برای منابع الکترونیک ایجاد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تر نیز بیان شد، چندین عامل کارایی مربوط به گردش کار، مستقیماً به فناوری ایجاد شده در ابر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نظام های مدیریت کتاب خانه ای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می توان دریافت که چه سکّوها و پایگاه های اطلاعاتی تحسین برانگیزی قابل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مزایای گردش کار قابل دسترسی توسط ابر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 اشتراکی به هنگام و بی درنگ، امکان ایجاد، ارتقاء و سازمان دهی فراداده ی جامعه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دهه های متمادی است که از فهرستگان ها استفاده می شود اما هر یک از کتاب خانه های عضو می بایست پیشینه های جدید و یا به روز شده را بارگذاری کرده و یا در برخی از شرایط در انتظار اتمام فرایند همگام سازی باقی بمانند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داده های اشتراکی فروشندگان، کارکنان فراهم آوری را از دوباره کاری ها در افزودن و یا </w:t>
      </w:r>
    </w:p>
    <w:p>
      <w:pPr>
        <w:pStyle w:val="BookText"/>
        <w:rPr/>
      </w:pPr>
      <w:r>
        <w:rPr>
          <w:rFonts w:ascii="IRNazanin" w:hAnsi="IRNazanin" w:eastAsia="IRNazanin"/>
          <w:color w:val="111111"/>
          <w:sz w:val="28"/>
          <w:sz w:val="28"/>
          <w:szCs w:val="28"/>
          <w:rtl w:val="true"/>
          <w:lang w:bidi="fa-IR"/>
        </w:rPr>
        <w:t>به روزرسانی اطلاعات مجموعه های مشابه فروشندگان که در پایگاه های داده محلی آن ها وجود دارد، مصون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 زنجیره های بی درنگ که از اطلاعات وارد شده توسط اولین کتاب خانه برای دریافت یک موضوع زنجیره ای استفاده می کند تا به دیگر کتاب خانه هایی که در حال به اشتراک گذاری آن زنجیره هستند هشدار دهد که رونوشت خود را باید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جایگزین مناسبی برای الگوهای پیش بینی سنتی و غیر قابل اعتماد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بی درنگ پایانه ها، که به تمامی کتاب خانه های مالک یک مستند اعلام می کند که آن مستند مورد درخواست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 آن که قلم درخواستی توسط هر یک از کتاب خانه های مذکور تأمین گردید، علامت آگاه سازی به صورت بی درنگ،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مناسبی برای صف های تک مسیره قرض دهی اقلام بوده و در افزایش سرعت خدمات رسانی به ارباب رجوع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بندی های توزیع شده تر برای کارمند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فناوری های ابر می توانند به صورت مجازی در هر کجا در دسترس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هایی که در استخدام کارکنان محدودیت هایی از نظر جغرافیایی دارند اکنون می توانند محدوده جستجوی خود برای یافتن داوطلبان کار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بالقوه این قابلیت در حوزه مورد مطالعه که یافتن یک کتاب دار با مهارت زبانی و مهارت هایی که در یک منطقه جغرافیایی خاص می توانند کمیاب باشند، از اهمیت زیادی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با یک نظام مدیریت کتاب خانه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یک کتاب خانه در ایالات متحده با یک مجموعه افغانستانی مشهور جهانی می تواند یک کتابدار مقیم افغانستان را برای به دست آوردن و فهرست کردن عناوین درون کشور استخدام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شبکه ای یک جامعه فراتر از جامعه محلی کتاب خانه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مثالی درباره مرور مواد کتاب خانه ای توسط مراجعین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 مراجعین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اثر شبکه ای را بررسی کرد در یک راه حل محاسبه گر ابری، یک مرور ثبت شده توسط یک مراجعه کننده کتاب خانه ایکس، توسط تمامی کتاب خانه هایی که دارای آن ماده هستند قابل رؤیت است و آن ها می توانند به یک مراجعه کننده کتاب خانه ایگرگ درباره این که آیا آن ماده به خصوص سودمند است یا خیر، کمک کنند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سرورهای پیشنهاد دهنده به مراجعین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دهندگان ابر، با داشتن یک منبع جمعی از اطلاعات درباره مواد مورد استفاده و افراد استفاده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روابط بین مواد و مراجعین را به صورت هوشمند تجزیه و تحلیل کنند و سپس پیشنهادهای آگاهانه ای را در مورد مواد دیگری که در کتاب خانه هستند و ممکن است مورد علاقه مراجعین باشند، ایجاد می کند</w:t>
      </w:r>
      <w:r>
        <w:rPr>
          <w:rFonts w:eastAsia="IRNazanin" w:cs="IRNazanin"/>
          <w:color w:val="111111"/>
          <w:sz w:val="28"/>
          <w:szCs w:val="28"/>
          <w:rtl w:val="true"/>
          <w:lang w:bidi="fa-IR"/>
        </w:rPr>
        <w:t xml:space="preserve">. </w:t>
      </w:r>
      <w:bookmarkStart w:id="1096" w:name="pg9659_94215"/>
    </w:p>
    <w:p>
      <w:pPr>
        <w:pStyle w:val="BookText"/>
        <w:rPr/>
      </w:pPr>
      <w:bookmarkEnd w:id="10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نیازهای مراجعین از هر کجا، از آن جا که نظام های محاسبه گر ابر از هرکجا که به اینترنت متصل باشد، قابل دسترسی هستند، کتاب خانه ها نیز پاسخگویی به مراجعین در مناطق غیر سنتی را 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کتاب خانه ها اعضای هیئت مرجع مستقر در محوطه کافه تریا هستند که در طول صرف ناهار به دانش آموزانی کمک می کنند که ممکن است در غیر این صورت نتوانند از کتاب خانه فیزیکی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رابطین موضوع در دفاتر خود در حال مشورت با مجموعه آموزشی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کتاب خانه ها اعضای هیئت مرجع را به همایش های حرفه ای اعزام می کنند که در آن اعضای کلیدی مجموعه های آموزشی، در رفع بی درنگ نیازهای اطلاعاتی و ارائه آموزش درباره روش های تحقیق درباره موضوع مورد علاقه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دسترسی به نظام مدیریت کتاب خانه شما در همه 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کتاب خانه ای نیز می توانند به همان خوبی همه جا در دسترس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تر نیز ذکر شد، چندین حوزه بینشی بالقوه وجود دارند که می توانند از تجزیه و تحلیل مجموعه های بزرگ داده حاصل شوند که در این جا به برخی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مجموعه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مسئول گردآوری مجموعه ها را در جریان این که کدام مواد در میان صدها و هزاران موسسه تصاحب شده یا نشده اند و مورد استفاده قرار گرفته یا نگرفته اند،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کتاب خانه ها با دسترسی داشتن به داده های گردآوری شده، حتی آن ها که برای فروش در نظر گرفته شده اند، قادر خواهند بود با دیگر کتاب خانه های عضو تعاونی توسعه مجموعه، به شکل نزدیک تری 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پیشنهاد دهنده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مجموعه های کتاب خانه های متعدد به همراه تاریخ گردآوری آن ها، جمع آوری شده باشد، امکان ارائه پیشنهاد برای مشارکت کتاب خانه ها بر اساس شرایط خاص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کتاب خانه ای با مجموعه بیوفیزیک در حال رشد که در محدوده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کتاب خانه ها امکان می دهد تا مشارکت های با منفعت دوگانه و هدفمندتری را برای کمک به جبران هزینه افزایش یافته محتوا، شکل دهند</w:t>
      </w:r>
      <w:r>
        <w:rPr>
          <w:rFonts w:eastAsia="IRNazanin" w:cs="IRNazanin"/>
          <w:color w:val="111111"/>
          <w:sz w:val="28"/>
          <w:szCs w:val="28"/>
          <w:rtl w:val="true"/>
          <w:lang w:bidi="fa-IR"/>
        </w:rPr>
        <w:t>.</w:t>
      </w:r>
    </w:p>
    <w:p>
      <w:pPr>
        <w:pStyle w:val="Heading3"/>
        <w:numPr>
          <w:ilvl w:val="2"/>
          <w:numId w:val="1"/>
        </w:numPr>
        <w:rPr/>
      </w:pPr>
      <w:bookmarkStart w:id="1097" w:name="__RefHeading___Toc7826025_2870459653"/>
      <w:bookmarkStart w:id="1098" w:name="_Toc407"/>
      <w:bookmarkEnd w:id="1097"/>
      <w:r>
        <w:rPr/>
        <w:t>2</w:t>
      </w:r>
      <w:r>
        <w:rPr>
          <w:rtl w:val="true"/>
        </w:rPr>
        <w:t xml:space="preserve">. </w:t>
      </w:r>
      <w:r>
        <w:rPr>
          <w:rtl w:val="true"/>
        </w:rPr>
        <w:t>مدیریت تغییر برای پشتیبانی از طرح های تغییر عمده</w:t>
      </w:r>
      <w:bookmarkEnd w:id="109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عمده یا عمدی در مقیاس بزرگ را می توان به تغییراتی که موجب فعالیت های گسترده ای شده و بر اغلب بخش های کتاب خانه تأثیر می گذارند،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مشخصه چنین تغییراتی، پیچیدگی </w:t>
      </w:r>
    </w:p>
    <w:p>
      <w:pPr>
        <w:pStyle w:val="BookText"/>
        <w:rPr/>
      </w:pPr>
      <w:r>
        <w:rPr>
          <w:rFonts w:ascii="IRNazanin" w:hAnsi="IRNazanin" w:eastAsia="IRNazanin"/>
          <w:color w:val="111111"/>
          <w:sz w:val="28"/>
          <w:sz w:val="28"/>
          <w:szCs w:val="28"/>
          <w:rtl w:val="true"/>
          <w:lang w:bidi="fa-IR"/>
        </w:rPr>
        <w:t xml:space="preserve">و چالش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می توان به ادغام دو کتاب خانه، پیاده سازی نظام مدیریت آر اف آی دی </w:t>
      </w:r>
      <w:r>
        <w:rPr>
          <w:rStyle w:val="FootnoteAnchor"/>
          <w:rtl w:val="true"/>
        </w:rPr>
        <w:footnoteReference w:id="1143"/>
      </w:r>
      <w:r>
        <w:rPr>
          <w:rFonts w:ascii="IRNazanin" w:hAnsi="IRNazanin" w:eastAsia="IRNazanin"/>
          <w:color w:val="111111"/>
          <w:sz w:val="28"/>
          <w:sz w:val="28"/>
          <w:szCs w:val="28"/>
          <w:rtl w:val="true"/>
          <w:lang w:bidi="fa-IR"/>
        </w:rPr>
        <w:t>کتاب خانه و یا مهاجرت کتاب خانه به ابر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موفقیت آمیز چنین طرح هایی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تغییرات</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اثر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ها در مدیریت تغییر نشان می دهد که پیش از آغاز، طرح تغییر باید به دقت برنامه 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تلاش برای تغییر باید توسط یک فرایند متفکرانه و باثبات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موسسه مادر و مراجعان کتاب خانه، پنج گروه مختلف شامل مدیریت ارشد، رهبران در تمام سطوح مدیریت، مدیران تغییر، آن دسته از کارکنانی که از تغییرات عمده تأثیر پذیرفته اند و هم چنین کسانی که به طور مستقیم تحت تأثیر آن قرار نگرفته اند، می بایست در طرح های بزرگ تغییر در نظر گرفته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دورِن،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اصلی در هر طرح تغییر و در فرآیند مدیریت تغییر، مربوط به موانع شخصی است که از سوی کسانی که تحت تاثیر تغییر قرار گرفته اند، به روز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کروگر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ایده های جدید و تغییرات عمده غالباً به اضطراب و عدم قطعیت منجر می شود که این نیز به نوبه خود، در بیشتر مواقع، مقاومت کارکنان کتاب خانه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برابر هر نوع تغییر امری شایع در افراد است و از واکنش طبیعی آن ها برای حفاظت از خود و استقلال ناشی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یوکل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نه تنها از منافع فردی، بلکه برخاسته از شک و تردیدها، ترس ها و نگرانی های کارکنان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هوفلر </w:t>
      </w:r>
      <w:r>
        <w:rPr>
          <w:rStyle w:val="FootnoteAnchor"/>
          <w:rtl w:val="true"/>
        </w:rPr>
        <w:footnoteReference w:id="1147"/>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های تغییر عمده در کتاب خانه ها نشان می دهد توانایی در مدیریت این نوع طرح ها مستلزم آن است که تمامی افرادی که به نوعی از تغییر تأثیر می پذیرند باید در رابطه با هر چیز نگران کننده ای که بر اثر تغییرات در حال و یا آینده پیش می آید و به آن ها مرتبط است، مطلع نگاه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چنین باید به فرایند تغییر، متصل بوده و در صورت امکان در طرح تغییر، مشارکت نیز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اطلاعات، ارتباطات و مشارکت سه عامل حیاتی موفقیت در مدیریت طرح های بزرگ تغییر هستند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برای حفظ تعادل سنت های حرفه کتاب داری و نیاز به مدیریت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طرح تغییر برای مهاجرت یک کتاب خانه به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یک مسئله حیاتی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اُکانِر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نوآوری </w:t>
      </w:r>
      <w:bookmarkStart w:id="1099" w:name="pg9659_94217"/>
    </w:p>
    <w:p>
      <w:pPr>
        <w:pStyle w:val="Heading3"/>
        <w:numPr>
          <w:ilvl w:val="2"/>
          <w:numId w:val="1"/>
        </w:numPr>
        <w:rPr/>
      </w:pPr>
      <w:bookmarkStart w:id="1100" w:name="__RefHeading___Toc7826027_2870459653"/>
      <w:bookmarkStart w:id="1101" w:name="_Toc408"/>
      <w:bookmarkEnd w:id="1099"/>
      <w:bookmarkEnd w:id="1100"/>
      <w:r>
        <w:rPr/>
        <w:t>3</w:t>
      </w:r>
      <w:r>
        <w:rPr>
          <w:rtl w:val="true"/>
        </w:rPr>
        <w:t xml:space="preserve">. </w:t>
      </w:r>
      <w:r>
        <w:rPr>
          <w:rtl w:val="true"/>
        </w:rPr>
        <w:t>تجارب عملی در مهاجرت کتاب خانه به ابر</w:t>
      </w:r>
      <w:bookmarkEnd w:id="1101"/>
    </w:p>
    <w:p>
      <w:pPr>
        <w:pStyle w:val="BookText"/>
        <w:rPr/>
      </w:pPr>
      <w:r>
        <w:rPr>
          <w:rFonts w:ascii="IRNazanin" w:hAnsi="IRNazanin" w:eastAsia="IRNazanin"/>
          <w:color w:val="111111"/>
          <w:sz w:val="28"/>
          <w:sz w:val="28"/>
          <w:szCs w:val="28"/>
          <w:rtl w:val="true"/>
          <w:lang w:bidi="fa-IR"/>
        </w:rPr>
        <w:t xml:space="preserve">خدمات مدیریت اشتراک جهانی اُ سی ال سی </w:t>
      </w:r>
      <w:r>
        <w:rPr>
          <w:rStyle w:val="FootnoteAnchor"/>
          <w:rtl w:val="true"/>
        </w:rPr>
        <w:footnoteReference w:id="1149"/>
      </w:r>
      <w:r>
        <w:rPr>
          <w:rFonts w:ascii="IRNazanin" w:hAnsi="IRNazanin" w:eastAsia="IRNazanin"/>
          <w:color w:val="111111"/>
          <w:sz w:val="28"/>
          <w:sz w:val="28"/>
          <w:szCs w:val="28"/>
          <w:rtl w:val="true"/>
          <w:lang w:bidi="fa-IR"/>
        </w:rPr>
        <w:t xml:space="preserve">، پرکاربردترین نظام مدیریت کتاب خانه ای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در نُه کشور در حال استفاده از دبلیو اِم اِس به عنوان نظام مدیریت کتاب خانه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دیگر در حال تکمیل مراحل استقرار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کاری اُ سی ال سی در این کتاب خانه ها روشن ساخته است که بیش ترین احتمالات ضرر و زیان در پیاده سازی یک فناوری ابر، نه به عوامل فنی بلکه مرتبط با عوامل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دریافته ایم آماری که در ادبیات مدیریت تغییر به کار می رود در غالب مواقع در مورد کتاب خانه ها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نزدیک به سه چهارم از همه تلاش های تغییر به علت دو موضوع غیر فنی، یعنی مقاومت کارکنان و رفتار مدیریت تغییر غیر اثر بخش، به شکست می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این آمار برای متخصصان فناوری اطلاعات به عنوان یک منبع تسکین بخش، وسوسه انگیز است؛ زیرا برای یک بار هم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خاطر برخی خطاها، این فناوری را سرزنش نخواهد کرد؛ اما متأسفانه، عکس آن هم کاملاً صادق است؛ این فناوری تنها زمانی موفق خواهد بود که کارمندان کتاب خانه که از آن استفاده می کنند ارزش های آن را دریابند، خواهان کار متفاوت باشند، توانایی گذر از شیوه های کهنه را داشته باشند و به وضوح بتوانند چگونگی موفقیت خود با استفاده از آن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چنین جنبه های انسانی هستند که میزان موفقیت حرکت به سوی ابر را تعیین می کنند؛ اما چنان چه حرکت به سوی ابر به واسطه همین جنبه های انسانی </w:t>
      </w:r>
      <w:r>
        <w:rPr>
          <w:rStyle w:val="FootnoteAnchor"/>
          <w:rtl w:val="true"/>
        </w:rPr>
        <w:footnoteReference w:id="1151"/>
      </w:r>
      <w:r>
        <w:rPr>
          <w:rFonts w:ascii="IRNazanin" w:hAnsi="IRNazanin" w:eastAsia="IRNazanin"/>
          <w:color w:val="111111"/>
          <w:sz w:val="28"/>
          <w:sz w:val="28"/>
          <w:szCs w:val="28"/>
          <w:rtl w:val="true"/>
          <w:lang w:bidi="fa-IR"/>
        </w:rPr>
        <w:t>شکست بخورد، خود فناوری آماج بیش ترین سرزنش ها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برخی از رایج ترین رفتارهایی که پذیرش یک فناوری ابر را در معرض خطر قرار می دهند آمده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سندروم خریداران گرچه خرید یک نظام مدیریت کتاب خانه، آسان و سرگرم کننده است؛ ولی فروش آن به کارکنان، سخت بوده و اصلاً سرگرم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کتاب خانه ها معمولاً یک فناوری جدید را با اهداف خوب خریداری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در فروش اثر بخش مزایای آن به کارکنان کتاب خانه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 سی ال سی، ما اغلب به کارکنانی بر می خوریم که هیچ گونه اطلاعاتی درباره این که چرا </w:t>
      </w:r>
    </w:p>
    <w:p>
      <w:pPr>
        <w:pStyle w:val="BookText"/>
        <w:rPr/>
      </w:pPr>
      <w:r>
        <w:rPr>
          <w:rFonts w:ascii="IRNazanin" w:hAnsi="IRNazanin" w:eastAsia="IRNazanin"/>
          <w:color w:val="111111"/>
          <w:sz w:val="28"/>
          <w:sz w:val="28"/>
          <w:szCs w:val="28"/>
          <w:rtl w:val="true"/>
          <w:lang w:bidi="fa-IR"/>
        </w:rPr>
        <w:t>مدیر کتاب خانه آن ها اقدام به پذیرش دبلیو اِم اِس کرده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اضطراب این کارکنان را درباره تغییراتی که انتظار آن را نداشته اند و به شدت فعالیت های روزانه آن ها را تحت تأثیر قرار خواهد داد،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این اضطراب اولیه می توان غلبه کرد، اما ما قویاً مدیران کتاب خانه ها را تشویق به ایفای نقش حمایت اجرایی خود در فرایندهای تغییر، هم چون پذیرش یک سامانه محاسباتی ابر، می کنیم تا برقراری ارتباط گسترده و متناوب، چرایی انتخاب یک فناوری خاص، توانایی های آن برای کتاب خانه، کارکنان، مشتریان یا ارباب رجوع آن ها و اصولاً چرایی نیاز به تغییر را برای کارکنان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دلایل پذیرش یک فناوری جدید می تواند به طور چشم گیری موجب کاهش اضطراب هایی گردد که کارکنان به ناچار باید آن ها را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داران به عنوان متولیان گذشته در مقابل پیشگامان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فرایند یک تغییر مهم نظیر حرکت از یک نظام مدیریت کتاب خانه ای کهنه به یک نظام مدیریت کتاب خانه ای مبتنی بر ابر، کارکنان کتاب خانه اغلب بین دو مسئولیت ظاهراً متضاد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داران احساس می کنند موظف به حفظ گذشته ای هستند که شامل گردش کارها، فراداده ها، سیاست ها و دیگر موارد قدیمی از این دست هم هست، در حالی که آن ها می دانند که باید پیشگامان آینده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تصمیماتی که کتاب داران در طول مهاجرت می گیرند عملیات کتاب خانه را برای سال های پیش رو شکل خواهد داد، توجه دقیق نه تنها به وضعیت فعلی کتاب خانه و نیازهای مراجعین آن، بلکه به کتاب خانه آینده و نیازهای مراجعین آینده، بسیار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کتاب داران برای انطباق خود با آن چه دیگر به گذشته ها وابسته نیست، نیاز به کمک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چشم انداز کتاب خانه های آینده، باید از برخی از شیوه های قدیمی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هایی که به شدت به شیوه های گذشته وابسته اند، به کاهش ضریب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Style w:val="FootnoteAnchor"/>
          <w:rtl w:val="true"/>
        </w:rPr>
        <w:footnoteReference w:id="1152"/>
      </w:r>
      <w:r>
        <w:rPr>
          <w:rFonts w:ascii="IRNazanin" w:hAnsi="IRNazanin" w:eastAsia="IRNazanin"/>
          <w:color w:val="111111"/>
          <w:sz w:val="28"/>
          <w:sz w:val="28"/>
          <w:szCs w:val="28"/>
          <w:rtl w:val="true"/>
          <w:lang w:bidi="fa-IR"/>
        </w:rPr>
        <w:t>در پذیرش یک فناوری ابر، تمایل دارند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برای من چه اهمیتی دارد؟ کارکنان کتاب خانه ها به درک چگونگی جای گیری و موفقیت خود در وضعیت جدید،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نظام های کتاب خانه ای مبتنی بر ابر، به واسطه طراحی خاص خود، مخرب وضعیت گذشته هستند و این حالت تخریبی، موجب اختلال در نقش ها، گردش کارها و حتی ارزش های شغلی کارکنان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های گذشته ممکن است بی ارزش شوند و این در حالی است که اولویت های جدید جای آن 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فرض این که کارکنان، بهترین قابلیت های </w:t>
      </w:r>
      <w:bookmarkStart w:id="1102" w:name="pg9659_94219"/>
    </w:p>
    <w:p>
      <w:pPr>
        <w:pStyle w:val="BookText"/>
        <w:rPr/>
      </w:pPr>
      <w:bookmarkEnd w:id="1102"/>
      <w:r>
        <w:rPr>
          <w:rFonts w:ascii="IRNazanin" w:hAnsi="IRNazanin" w:eastAsia="IRNazanin"/>
          <w:color w:val="111111"/>
          <w:sz w:val="28"/>
          <w:sz w:val="28"/>
          <w:szCs w:val="28"/>
          <w:rtl w:val="true"/>
          <w:lang w:bidi="fa-IR"/>
        </w:rPr>
        <w:t>شخصی خود را در کار صرف می کنند، باز هم احساس از دست دادن و یا اضطراب در زمان وقوع تغییرات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سرپرست کارکنان نتواند مسیری واضح را برای انتقال هر زن و مرد از بحران تغییر تعریف کند، چنین احساساتی به سرعت به مقاومت در برابر تغییر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انتقالی ممکن است شامل یک نقش جدید، گردش های کاری جدید و یا اولویت های جدید باشد و قطعاً شامل بسیاری از فرصت های آموزشی برای کمک به کارکنان برای کسب مهارت ها و دانش مورد نیاز برای موفقیت در وضعیت آینده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محیطی برای آزادی و 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کتاب خانه ها غالباً توجهی به دیدگاه های مخالف در طول فرآیند تغییر ندارند و ترجیح می دهند که فرض کنند دیدگاه های مخالف با گذشت زمان به فراموشی سپرده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متضاد به نظر برسد، اما پذیرش دیدگاه های مخالف به صورت آشکار، شانس موفقیت تلاش ها در جهت تغییر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اعتراضات به صورت باز و آشکار، کارکنان احساس می کنند شنیده می شوند، مشکلات بالقوه شناسایی می شوند، راه حل ها را می توان یافت و بدین سان، امتیازات تغییر از راه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صحبت کردن داده نشود، اعتراضات به فساد می انجامند و این می تواند به تثبیت مخالفت در کارکنان منجر شود</w:t>
      </w:r>
      <w:r>
        <w:rPr>
          <w:rFonts w:eastAsia="IRNazanin" w:cs="IRNazanin"/>
          <w:color w:val="111111"/>
          <w:sz w:val="28"/>
          <w:szCs w:val="28"/>
          <w:rtl w:val="true"/>
          <w:lang w:bidi="fa-IR"/>
        </w:rPr>
        <w:t>.</w:t>
      </w:r>
    </w:p>
    <w:p>
      <w:pPr>
        <w:pStyle w:val="Heading3"/>
        <w:numPr>
          <w:ilvl w:val="2"/>
          <w:numId w:val="1"/>
        </w:numPr>
        <w:rPr/>
      </w:pPr>
      <w:bookmarkStart w:id="1103" w:name="__RefHeading___Toc7826029_2870459653"/>
      <w:bookmarkStart w:id="1104" w:name="_Toc409"/>
      <w:bookmarkEnd w:id="1103"/>
      <w:r>
        <w:rPr/>
        <w:t>4</w:t>
      </w:r>
      <w:r>
        <w:rPr>
          <w:rtl w:val="true"/>
        </w:rPr>
        <w:t xml:space="preserve">. </w:t>
      </w:r>
      <w:r>
        <w:rPr>
          <w:rtl w:val="true"/>
        </w:rPr>
        <w:t>عوامل حیاتی موفقیت در هنگام اتخاذ یک فناوری ابر</w:t>
      </w:r>
      <w:bookmarkEnd w:id="1104"/>
    </w:p>
    <w:p>
      <w:pPr>
        <w:pStyle w:val="BookText"/>
        <w:rPr/>
      </w:pPr>
      <w:r>
        <w:rPr>
          <w:rFonts w:ascii="IRNazanin" w:hAnsi="IRNazanin" w:eastAsia="IRNazanin"/>
          <w:color w:val="111111"/>
          <w:sz w:val="28"/>
          <w:sz w:val="28"/>
          <w:szCs w:val="28"/>
          <w:rtl w:val="true"/>
          <w:lang w:bidi="fa-IR"/>
        </w:rPr>
        <w:t xml:space="preserve">در یک نظر سنجی که در مه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خانه هایی که دبلیو اِم اِس را اجرا کرده بودند به انجام رسید، از پاسخ دهندگان خواسته شد تا در امتیازبندی فعالیت های مدیریت تغییر، از مهم ترین عوامل تا کم اهمیت ترین آن ها، که می توانند به موفقیت در پذیرش فناوری جدید ابر منجر شود،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سه مورد از مهم ترین فعالیت های مدیریت تغییر که به موفقیت آن ها می انجامد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واضح یک چشم انداز یا گزاره ارزشی برای پذیرش دبلیو اِم 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ارتباطات مکرر با کارکنان کتاب خانه در مورد وضعیت پیاده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منظم داخلی برای بحث در مورد طرح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رتبه برای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واضح یک چشم انداز یا گزاره ارزشی برای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اهمیت دخالت پشتیبان اجرایی در موفقیت فرایند پذیرش فناوری جدید ابر را مورد تأکید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کتاب خانه می خواهند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پس طرح تغییر بشنوند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مناسب برای انتقال این پیام، پشتیبان اجرایی و به احتمال زیاد، مدیر یا رئیس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جلسات منظم برای بحث در مورد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دهنده اهمیت نسبی برای ارتباطات منظم و مداوم در فرایند </w:t>
      </w:r>
    </w:p>
    <w:p>
      <w:pPr>
        <w:pStyle w:val="BookText"/>
        <w:rPr/>
      </w:pPr>
      <w:r>
        <w:rPr>
          <w:rFonts w:ascii="IRNazanin" w:hAnsi="IRNazanin" w:eastAsia="IRNazanin"/>
          <w:color w:val="111111"/>
          <w:sz w:val="28"/>
          <w:sz w:val="28"/>
          <w:szCs w:val="28"/>
          <w:rtl w:val="true"/>
          <w:lang w:bidi="fa-IR"/>
        </w:rPr>
        <w:t>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کتاب خانه خواستار آن هستند که از وضعیت تغییر مطلع نگاه داشته شوند و فرصت های متعددی برای به اشتراک گذاشتن افکار و نگرانی های خود در مورد تغییر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گزاره ارزشی برای پذیرش دبلیو اِم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ارتباطات متعدد با کارکنان کتاب خانه درباره وضعیت 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جلسات منظم داخلی برای بحث درباره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یک طرح ارتباطاتی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موضوعات در حال توسعه درباره پذیرش طرح دبلیو اِم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گروه های کاری 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ارتباطات متعدد با مراجعین به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علمی، دانشجویان، جامعه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وضعیت پیاده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بندی عوامل موفقیت مدیریت تغییر از مهم ترین تا کم اهمیت ترین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فعالیت های اضافی مدیریت تغییر که احتمال موفقیت یک طرح را افزایش می دهد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ذینفعان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سازمان یافته درباره تغییر متفاوت برای مخاطبان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مدرسان؛ کارمندان کتاب خانه داخلی، مشتریان و مراجعین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کردن یک نفر برای توزیع و انتشار ارتباطات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نشر خلاصه موضوعات برای همه کارکنان به طوری که آن ها نیز بتوانند به شیوه ای سازگار در مورد تغییر صحبت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تغییر پس از اتمام طرح با هدف کمک به مخالفان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جلوگیری از رفتارهای رایجی که پیشتر نیز ذکر آن ها به میان رفت و می توانند پذیرش فناوری جدید ابر را در معرض خطر قرار دهند، تغییر همیشه باید بر پایه راهبرد کتاب خانه استوار گردد و نه در انزوا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سندروم خریدار </w:t>
      </w:r>
      <w:r>
        <w:rPr>
          <w:rStyle w:val="FootnoteAnchor"/>
          <w:rtl w:val="true"/>
        </w:rPr>
        <w:footnoteReference w:id="1154"/>
      </w:r>
      <w:r>
        <w:rPr>
          <w:rFonts w:ascii="IRNazanin" w:hAnsi="IRNazanin" w:eastAsia="IRNazanin"/>
          <w:color w:val="111111"/>
          <w:sz w:val="28"/>
          <w:sz w:val="28"/>
          <w:szCs w:val="28"/>
          <w:rtl w:val="true"/>
          <w:lang w:bidi="fa-IR"/>
        </w:rPr>
        <w:t>،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پذیرش فناوری های جدید، حتی اگر نوآورانه و جالب توجه باشند و با هدف ارائه خدمات کتاب خانه ای برای رفع نیازها و خواسته های جدید کاربران نیز به اجرا درآیند، اما چنان چه همه این موارد در راهبرد تغییر لحاظ نشده باشند، به دشواری می توان به موفقیت دست یافت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همیشه مهم است، اما در زمان تغییرات سریع و اساسی، اهمیت بیشتری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اُکانِر،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رهبران، به عنوان آغازگران و مجریان تغییر، برای اجرا و تکمیل موفقیت آمیز طرح های تغییر بزرگ مقیاس، حیاتی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مطالعه در آلمان نشان داد که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اصلی شکست فرآیندهای تغییر، فقدان حمایت کافی از سوی مدیریت میانی و پایین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کارکنانی هستند که به موجب تأثیرات واقعی یا ذهنی حاصل از تغییر، احساس برنده بودن یا بازنده بودن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کروگر،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 مستلزم آن است که رهبران قادر به شناسایی حامیان تغییر و به ویژه مخالفان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پارچه سازی و سپس برنده شدن، ایجاد ارتباطات گسترده با هدف تأکید بر مزایای طرح تغییر،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باید مربیان اعضای گروه </w:t>
      </w:r>
    </w:p>
    <w:p>
      <w:pPr>
        <w:pStyle w:val="BookText"/>
        <w:rPr/>
      </w:pPr>
      <w:r>
        <w:rPr>
          <w:rFonts w:ascii="IRNazanin" w:hAnsi="IRNazanin" w:eastAsia="IRNazanin"/>
          <w:color w:val="111111"/>
          <w:sz w:val="28"/>
          <w:sz w:val="28"/>
          <w:szCs w:val="28"/>
          <w:rtl w:val="true"/>
          <w:lang w:bidi="fa-IR"/>
        </w:rPr>
        <w:t>خود باشند، در صورت نیاز دوره های آموزشی را برای آن ها سازمان دهی کنند و از کنترل همه جانبه افراد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آن ها، اگر چیزی مطابق برنامه ریزی کار نمی کند نباید عصبانی شوند و باید قادر به تحمل هرگونه خشم بروز یافته احتمالی از سوی اعضای گروه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کرامِیکر و وُگِل دریافتند زمانی که رهبران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و اهداف تغییر را توضیح می دهند، زیردستان نیز علیرغم افزایش حجم کار، معنای بیشتری را در کار خود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کرامِیكر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وُگِل،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رهبری به استقبال تغییر نمی رود، مگر در زمانی که نیاز به روش ها و یا فناوری های نوین احساس شده و هیچ گزینه جایگزین دیگری نیز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روتگِر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Style w:val="FootnoteAnchor"/>
          <w:rtl w:val="true"/>
        </w:rPr>
        <w:footnoteReference w:id="1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اولین گام در مدیریت تغییر آن است که مدیران خود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ارشد موظف است در رهبران اقشار میانی و پایین، در سراسر فرایند تغییر، ایجاد انگیزه نماید و آن ها را به عنوان مروج تغییر، از طریق ارائه اطلاعات و مشارکت در فرایند، توانمند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هویِن،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باید خود را به مدیران و یا عوامل تغییر، تبدیل کنند تا قادر باشند به آن چه از کارکنان خود طلب می کنند، رفتار نمایند و از طریق اعتماد، پشتیبانی و تعامل منظم با کارکنانی که تحت تأثیر چنین تغییر عمده ای، هم چون پذیرش یک فناوری ابر، قرار گرفته اند، بتوانند در نقش قانع کننده، انگیزه بخش و الهام دهنده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رهبری در سبک رهبری تحول تدوین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دورِن،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دورِن،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جنبه های مختلف این سبک رهبری را در رابطه با سه مرحله از یک طرح تغییر دید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مختلف رهبری تحول گرا در طول فرایند تغییر</w:t>
      </w:r>
    </w:p>
    <w:p>
      <w:pPr>
        <w:pStyle w:val="BookText"/>
        <w:rPr/>
      </w:pPr>
      <w:r>
        <w:rPr>
          <w:rFonts w:ascii="IRNazanin" w:hAnsi="IRNazanin" w:eastAsia="IRNazanin"/>
          <w:color w:val="111111"/>
          <w:sz w:val="28"/>
          <w:sz w:val="28"/>
          <w:szCs w:val="28"/>
          <w:rtl w:val="true"/>
          <w:lang w:bidi="fa-IR"/>
        </w:rPr>
        <w:t xml:space="preserve">رهبران باید یک چشم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رتبه بندی فعالیت های مدیریت تغییر از مهم ترین تا کم اهمیت ترین عامل برای موفقیت، 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راهبردی، چند هدف و ایده اولیه ای برای هر تغییر عمده در کتاب خانه یا گروه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باید با برقراری ارتباطات با اعضای گروه خود و دیگر کارکنان کتاب خانه، کارشناسان خارجی و هم کارانی در کتاب خانه های دیگر که در حال پذیرش فناوری ابر هستند، درباره این موارد به بحث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دورِن،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چالش، مدیریت ترس کارکنان کتاب خانه و انتظارات آن 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ناسبامر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مِرکلی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کارکنانی که نگران فرآیندهای تغییر هستند، غالباً احساس دوگانه ای نسبت به تغییر دارند و فرایندهای تغییر را خطرناک و بسیار ناهم خوان می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هوبِن،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حتی کسانی هم که به طور مستقیم از تغییر، تأثیر نمی پذیرند و جایگاه آن ها به واسطه طرح تغییر، جا به جا نمی شود، به شفافیت در اهداف و تأثیرات آن و هم چنین به مشوق هایی در این زمینه،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کورگِر،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شناخت مقاومت در زمان مقتضی و واکنش مناسب به آن برای پیشرفت هر طرح تغییر مهم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داپلر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لاتربورگ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رهبران باید قادر به شناسایی بیم ها و نگرانی های کارکنان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نسبت به کارکنان خود احساس هم دلی داشته باشند و این احساسات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باید ارتباطات آشکاری را در مورد اضطراب ها و نگرانی ها برقرار کنند و به اعضای گروه خود کمک کنند تا آن ها را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دورِن، </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ارتباطات تغییر همدلانه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اِکو</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که شامل اجزای زیر است، می تواند به رهبران در مدیریت اضطراب و نگرانی کارکنان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هم دلی،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فرد نسبت به ارتباطات کلامی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فرد نسبت به ارتباطات غیر کلامی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بخشیدن به قابلیت اطمینان و امنیت،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خشم و نگرانی به عنوان محرکی برای تغییرات،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کار خوب 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نقش یک الگو </w:t>
      </w:r>
      <w:bookmarkStart w:id="1105" w:name="pg9659_94224"/>
    </w:p>
    <w:p>
      <w:pPr>
        <w:pStyle w:val="Heading3"/>
        <w:numPr>
          <w:ilvl w:val="2"/>
          <w:numId w:val="1"/>
        </w:numPr>
        <w:rPr/>
      </w:pPr>
      <w:bookmarkStart w:id="1106" w:name="__RefHeading___Toc7826031_2870459653"/>
      <w:bookmarkStart w:id="1107" w:name="_Toc410"/>
      <w:bookmarkEnd w:id="1105"/>
      <w:bookmarkEnd w:id="1106"/>
      <w:r>
        <w:rPr/>
        <w:t>5</w:t>
      </w:r>
      <w:r>
        <w:rPr>
          <w:rtl w:val="true"/>
        </w:rPr>
        <w:t xml:space="preserve">. </w:t>
      </w:r>
      <w:r>
        <w:rPr>
          <w:rtl w:val="true"/>
        </w:rPr>
        <w:t>نتیجه گیری</w:t>
      </w:r>
      <w:bookmarkEnd w:id="1107"/>
    </w:p>
    <w:p>
      <w:pPr>
        <w:pStyle w:val="BookText"/>
        <w:rPr/>
      </w:pPr>
      <w:r>
        <w:rPr>
          <w:rFonts w:ascii="IRNazanin" w:hAnsi="IRNazanin" w:eastAsia="IRNazanin"/>
          <w:color w:val="111111"/>
          <w:sz w:val="28"/>
          <w:sz w:val="28"/>
          <w:szCs w:val="28"/>
          <w:rtl w:val="true"/>
          <w:lang w:bidi="fa-IR"/>
        </w:rPr>
        <w:t>چنان که پیش تر نیز بیان شد، حرکت به سوی فناوری ابر، از مزایای بسیاری برای کتاب خانه 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تغییر عمده ای، به ویژه در وضعیتی که کارکنان پس از تغییر عهده دار وظایف و نقش های جدیدی می گردند، باید به دقت و با استفاده از فنون پیشرفته، برنامه ریزی شده و نیازها و نگرانی های انسانی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تأکید بیشتر بر مدیریت تغییر بسیار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کارکنان معنای استفاده از یک فناوری را ندانند و با آغوش باز آن را نپذیرند، حتی بهترین فناوری در جهان هم موفقیتی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مهاجرت موفقیت آمیز به ابر، از میان قلب ها و ذهن های کارکنان تمامی سطوح کتاب خانه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چالش های هر تغییر عمده نه تنها بر دستیابی به دانش و توانایی ها و ظرفیت های جدید، بلکه بر تغییر نگرش اعضای گروه، ارزش ها و الگوهای رفتاری آن ها نیز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کروگِر،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رهبران باید بر همه سطوح متمرکز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موفقیت سازمان هایی که طرح تغییر را شروع کرده و یا در حال پیاده سازی هستند، وجود رهبران، لازم و حیاتی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متفاوت رهبران امروزی آن جا نمایان می شود که آن ها باید با برقراری ارتباطات قوی و استوار با کارکنان، تفکر راهبردی و شنیدن صدای دیگران، قادر به تجزیه و تحلیل راه های جدید با استفاده از اطلاعات موجود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اُکانِر،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Heading3"/>
        <w:numPr>
          <w:ilvl w:val="2"/>
          <w:numId w:val="1"/>
        </w:numPr>
        <w:rPr/>
      </w:pPr>
      <w:bookmarkStart w:id="1108" w:name="__RefHeading___Toc7826033_2870459653"/>
      <w:bookmarkStart w:id="1109" w:name="_Toc411"/>
      <w:bookmarkEnd w:id="1108"/>
      <w:r>
        <w:rPr>
          <w:rtl w:val="true"/>
        </w:rPr>
        <w:t>منابع</w:t>
      </w:r>
      <w:bookmarkEnd w:id="1109"/>
    </w:p>
    <w:p>
      <w:pPr>
        <w:pStyle w:val="BookText"/>
        <w:rPr/>
      </w:pPr>
      <w:r>
        <w:rPr>
          <w:rFonts w:eastAsia="Times New Roman" w:cs="Times New Roman" w:ascii="Times New Roman" w:hAnsi="Times New Roman"/>
          <w:color w:val="111111"/>
          <w:sz w:val="28"/>
          <w:szCs w:val="28"/>
          <w:lang w:val="en-US" w:bidi="en-US"/>
        </w:rPr>
        <w:t>DOPPLER, Claus/Lauterburg, Christoph (2008) Change Management: Den Unternehmenswandel gestalten. 12th Edition. Frankfurt/New York: Campus Verlag, 2008. ISBN 978-3-593-38707-9</w:t>
      </w:r>
    </w:p>
    <w:p>
      <w:pPr>
        <w:pStyle w:val="BookText"/>
        <w:rPr/>
      </w:pPr>
      <w:r>
        <w:rPr>
          <w:rFonts w:eastAsia="Times New Roman" w:cs="Times New Roman" w:ascii="Times New Roman" w:hAnsi="Times New Roman"/>
          <w:color w:val="111111"/>
          <w:sz w:val="28"/>
          <w:szCs w:val="28"/>
          <w:lang w:val="en-US" w:bidi="en-US"/>
        </w:rPr>
        <w:t>DÜRE, Petra (2014) Change communication can be so simple! Presentation at the QQML2014 6th International Conference on Qualitative and Quantitative Methods in Libraries. Not yet published</w:t>
      </w:r>
    </w:p>
    <w:p>
      <w:pPr>
        <w:pStyle w:val="BookText"/>
        <w:rPr/>
      </w:pPr>
      <w:r>
        <w:rPr>
          <w:rFonts w:eastAsia="Times New Roman" w:cs="Times New Roman" w:ascii="Times New Roman" w:hAnsi="Times New Roman"/>
          <w:color w:val="111111"/>
          <w:sz w:val="28"/>
          <w:szCs w:val="28"/>
          <w:lang w:val="en-US" w:bidi="en-US"/>
        </w:rPr>
        <w:t>DÜREN, Petra (2013) Leadership in Academic and Public Libraries A time of change. Oxford: Chandos Publishing, 2013. ISBN 978-1-84334-690-6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DÜREN, Petra (2009)Einfluss von Führungsverhalten und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Unternehmenskultur auf die Steuerung öffentlicher Einrichtungen: Modellentwicklung, Empirie und Gestaltungsempfehlungen für eine Balanced Scorecard-Einführung. München und Mering: Rainer Hampp Verlag, 2009. ISBN 978-3-86618-321-6</w:t>
      </w:r>
    </w:p>
    <w:p>
      <w:pPr>
        <w:pStyle w:val="BookText"/>
        <w:rPr/>
      </w:pPr>
      <w:r>
        <w:rPr>
          <w:rFonts w:eastAsia="Times New Roman" w:cs="Times New Roman" w:ascii="Times New Roman" w:hAnsi="Times New Roman"/>
          <w:color w:val="111111"/>
          <w:sz w:val="28"/>
          <w:szCs w:val="28"/>
          <w:lang w:val="en-US" w:bidi="en-US"/>
        </w:rPr>
        <w:t>HÖFLER, Manfred et al. (2012) Abenteuer Change Management. Handfeste Tipps aus der Praxis für alle, die etwas bewegen wollen. 3rd Edition. Frankfurt am Main: Frankfurter Allgemeine Buch, 2012. ISBN 978-3-89981-242-8</w:t>
      </w:r>
    </w:p>
    <w:p>
      <w:pPr>
        <w:pStyle w:val="BookText"/>
        <w:rPr/>
      </w:pPr>
      <w:r>
        <w:rPr>
          <w:rFonts w:eastAsia="Times New Roman" w:cs="Times New Roman" w:ascii="Times New Roman" w:hAnsi="Times New Roman"/>
          <w:color w:val="111111"/>
          <w:sz w:val="28"/>
          <w:szCs w:val="28"/>
          <w:lang w:val="en-US" w:bidi="en-US"/>
        </w:rPr>
        <w:t>HOUBEN, Anabel (2008) Men in the Middle. In: Personal, 07-08/2008, pp. 18-19</w:t>
      </w:r>
    </w:p>
    <w:p>
      <w:pPr>
        <w:pStyle w:val="BookText"/>
        <w:rPr/>
      </w:pPr>
      <w:r>
        <w:rPr>
          <w:rFonts w:eastAsia="Times New Roman" w:cs="Times New Roman" w:ascii="Times New Roman" w:hAnsi="Times New Roman"/>
          <w:color w:val="111111"/>
          <w:sz w:val="28"/>
          <w:szCs w:val="28"/>
          <w:lang w:val="en-US" w:bidi="en-US"/>
        </w:rPr>
        <w:t>KELLER, Scott/Aiken, Carolyn (2009)The Inconvenient Truth About Change Management-Why it isn't working and what to do about it. In: The McKinsey Quarterly, 2009, URL: http://www.mckinsey.com/app-media/reports/financial_services/the_inconvenient_truth_about_change-management.pdf</w:t>
      </w:r>
    </w:p>
    <w:p>
      <w:pPr>
        <w:pStyle w:val="BookText"/>
        <w:rPr/>
      </w:pPr>
      <w:r>
        <w:rPr>
          <w:rFonts w:eastAsia="Times New Roman" w:cs="Times New Roman" w:ascii="Times New Roman" w:hAnsi="Times New Roman"/>
          <w:color w:val="111111"/>
          <w:sz w:val="28"/>
          <w:szCs w:val="28"/>
          <w:lang w:val="en-US" w:bidi="en-US"/>
        </w:rPr>
        <w:t>KRÜGER, Wilfried (2009a) Das 3W-Modell: Bezugsrahmen für das Wandlungsmanagement. In: Krüger, Wilfried (Ed.). Excellence in Change: Wege zur strategischen Erneuerung. 4th Edition. Wiesbaden: Gabler Verlag, 2009, pp. 19-44. ISBN 978-3-8349-1253-4</w:t>
      </w:r>
    </w:p>
    <w:p>
      <w:pPr>
        <w:pStyle w:val="BookText"/>
        <w:rPr/>
      </w:pPr>
      <w:r>
        <w:rPr>
          <w:rFonts w:eastAsia="Times New Roman" w:cs="Times New Roman" w:ascii="Times New Roman" w:hAnsi="Times New Roman"/>
          <w:color w:val="111111"/>
          <w:sz w:val="28"/>
          <w:szCs w:val="28"/>
          <w:lang w:val="en-US" w:bidi="en-US"/>
        </w:rPr>
        <w:t>KRÜGER, Wilfried (2009b)Topmanager als Promotoren und Enabler des Wandels. In: Krüger, Wilfried (Ed.). Excellence in Change: Wege zur strategischen Erneuerung. 4th Edition. Wiesbaden: Gabler Verlag, 2009, pp. 143-191. ISBN 978-3-8349-1253-4</w:t>
      </w:r>
    </w:p>
    <w:p>
      <w:pPr>
        <w:pStyle w:val="BookText"/>
        <w:rPr/>
      </w:pPr>
      <w:r>
        <w:rPr>
          <w:rFonts w:eastAsia="Times New Roman" w:cs="Times New Roman" w:ascii="Times New Roman" w:hAnsi="Times New Roman"/>
          <w:color w:val="111111"/>
          <w:sz w:val="28"/>
          <w:szCs w:val="28"/>
          <w:lang w:val="en-US" w:bidi="en-US"/>
        </w:rPr>
        <w:t>KRUMMAKER, Stefan/Vogel, Bernd (2012) An In-Depth View of the Facets, Antecedents, and Effects of Leaders' Change Competency: Lessons From A Case Study. In: The Journal of Applied Behavioral Science, 2012, 49(3), pp. 279-307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NUSSBAUMER, Alison/Merkley, Wendy (2010) The path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transformational change. In: Library Management, 2010, Vol. 31, No. 8/9, pp. 678-689. DOI: 10.1108/01435121011093441</w:t>
      </w:r>
    </w:p>
    <w:p>
      <w:pPr>
        <w:pStyle w:val="BookText"/>
        <w:rPr/>
      </w:pPr>
      <w:r>
        <w:rPr>
          <w:rFonts w:eastAsia="Times New Roman" w:cs="Times New Roman" w:ascii="Times New Roman" w:hAnsi="Times New Roman"/>
          <w:color w:val="111111"/>
          <w:sz w:val="28"/>
          <w:szCs w:val="28"/>
          <w:lang w:val="en-US" w:bidi="en-US"/>
        </w:rPr>
        <w:t>O'CONNOR, Steve (2014) Leadership for future libraries. In: Library Management, 2014, Vol. 35, No. 1/2, pp. 78-87. DOI 10.1108/LM-06-2013-0047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PUGH, Lyndon (2007) Change Management in Information Services. 2nd Edition. Aldershot: Ashgate, 2007. ISBN 978-0754646655 ROSS, Rob (2014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Change Management survey. May, 2014</w:t>
      </w:r>
    </w:p>
    <w:p>
      <w:pPr>
        <w:pStyle w:val="BookText"/>
        <w:rPr/>
      </w:pPr>
      <w:r>
        <w:rPr>
          <w:rFonts w:eastAsia="Times New Roman" w:cs="Times New Roman" w:ascii="Times New Roman" w:hAnsi="Times New Roman"/>
          <w:color w:val="111111"/>
          <w:sz w:val="28"/>
          <w:szCs w:val="28"/>
          <w:lang w:val="en-US" w:bidi="en-US"/>
        </w:rPr>
        <w:t>http://www5.oclc.org/downloads/presentations/changemgmt-surveyresults-may2014.xls</w:t>
      </w:r>
    </w:p>
    <w:p>
      <w:pPr>
        <w:pStyle w:val="BookText"/>
        <w:rPr/>
      </w:pPr>
      <w:r>
        <w:rPr>
          <w:rFonts w:eastAsia="Times New Roman" w:cs="Times New Roman" w:ascii="Times New Roman" w:hAnsi="Times New Roman"/>
          <w:color w:val="111111"/>
          <w:sz w:val="28"/>
          <w:szCs w:val="28"/>
          <w:lang w:val="en-US" w:bidi="en-US"/>
        </w:rPr>
        <w:t>VOB, Andreas/Röttger, Ulrike (2008) Individuenorientierte Veränderungskommunikation. In: prmagazin, 4/2008, pp. 61-68</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YUKL, Gary (2010) Leadership in Organizations. 7th Edition. Upper Saddle River, NJ: Pearson Education, 2010. ISBN 978-0-13-815714-2</w:t>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0" w:name="pg9659_94228"/>
      <w:bookmarkStart w:id="1111" w:name="pg9659_94228"/>
      <w:bookmarkEnd w:id="1111"/>
    </w:p>
    <w:p>
      <w:pPr>
        <w:pStyle w:val="Heading2"/>
        <w:numPr>
          <w:ilvl w:val="1"/>
          <w:numId w:val="1"/>
        </w:numPr>
        <w:rPr/>
      </w:pPr>
      <w:bookmarkStart w:id="1112" w:name="pg9659_94228"/>
      <w:bookmarkStart w:id="1113" w:name="__RefHeading___Toc7826035_2870459653"/>
      <w:bookmarkStart w:id="1114" w:name="_Toc412"/>
      <w:bookmarkEnd w:id="1112"/>
      <w:bookmarkEnd w:id="1113"/>
      <w:r>
        <w:rPr>
          <w:rtl w:val="true"/>
        </w:rPr>
        <w:t>چکیده</w:t>
      </w:r>
      <w:bookmarkEnd w:id="1114"/>
    </w:p>
    <w:p>
      <w:pPr>
        <w:pStyle w:val="BookText"/>
        <w:rPr/>
      </w:pPr>
      <w:r>
        <w:rPr>
          <w:rFonts w:ascii="IRNazanin" w:hAnsi="IRNazanin" w:eastAsia="IRNazanin"/>
          <w:color w:val="111111"/>
          <w:sz w:val="28"/>
          <w:sz w:val="28"/>
          <w:szCs w:val="28"/>
          <w:rtl w:val="true"/>
          <w:lang w:bidi="fa-IR"/>
        </w:rPr>
        <w:t>کتاب خانه های عمومی در حومه مناطق چند فرهنگی با چالش های بسیاری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کتاب خانه ها، می بایستی دسترسی یکسانی را برای انواع اطلاعات در دنیای مدرن ما با فرهنگ ها و زبان های متفاوت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دسترسی باید جهانی، عمومی، اجتماعی، بی طرفانه و با فضایی خوشایند برای هر ارباب رجوعی باشد؛ و منبعی منحصر به فرد برای پیشرفت شخصی، بالا بردن تخصص های فردی و البته با روابط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 توانید تمام این ها را در کارهای روزمره کتاب خانه ای تشخیص دهید؟</w:t>
      </w:r>
    </w:p>
    <w:p>
      <w:pPr>
        <w:pStyle w:val="BookText"/>
        <w:rPr/>
      </w:pPr>
      <w:r>
        <w:rPr>
          <w:rFonts w:ascii="IRNazanin" w:hAnsi="IRNazanin" w:eastAsia="IRNazanin"/>
          <w:color w:val="111111"/>
          <w:sz w:val="28"/>
          <w:sz w:val="28"/>
          <w:szCs w:val="28"/>
          <w:rtl w:val="true"/>
          <w:lang w:bidi="fa-IR"/>
        </w:rPr>
        <w:t xml:space="preserve">مسروریم که با مقاله خود تجربیاتمان را در اختیار شما بگذاریم روش ها را توضیح دهیم و نظراتی را در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بیسکوپسگاردن</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در گوتنبرگ </w:t>
      </w:r>
      <w:r>
        <w:rPr>
          <w:rStyle w:val="FootnoteAnchor"/>
          <w:rtl w:val="true"/>
        </w:rPr>
        <w:footnoteReference w:id="1162"/>
      </w:r>
      <w:r>
        <w:rPr>
          <w:rFonts w:ascii="IRNazanin" w:hAnsi="IRNazanin" w:eastAsia="IRNazanin"/>
          <w:color w:val="111111"/>
          <w:sz w:val="28"/>
          <w:sz w:val="28"/>
          <w:szCs w:val="28"/>
          <w:rtl w:val="true"/>
          <w:lang w:bidi="fa-IR"/>
        </w:rPr>
        <w:t>در کشور سوئد را به عنوان نقطه شروع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را در مورد نقش و امکانات یک کتاب خانه محلی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ما برخی از اطلاعاتمان را از سر مقاله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خانه ی چند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اتوپیای مهم</w:t>
      </w:r>
      <w:r>
        <w:rPr>
          <w:rFonts w:eastAsia="IRNazanin" w:cs="IRNazanin"/>
          <w:color w:val="111111"/>
          <w:sz w:val="28"/>
          <w:szCs w:val="28"/>
          <w:rtl w:val="true"/>
          <w:lang w:bidi="fa-IR"/>
        </w:rPr>
        <w:t xml:space="preserve">»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تی جی فورلنگ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بیسکوپسگاردن یک حوزه ی شهری بافرهنگ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خاطر مشکلات جدی اجتماعی که منجر به ایجاد تضادهایی شده بود، توسط عموم مردم در رسانه های سوئدی مورد اتهاماتی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عمومی در بیسکوپسگاردن شریکی طبیعی است در میان انبوهی دیگر از شرکای مثبت و خلاقی که با هدف تغییر حوزه شهری و تصویر شهر در افکار عمومی ایجاد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ما روش های موفقی چون کافه های زبان آموزی، دوره های رایانه، برنامه های فرهنگی، آموزشیار درسی و پشتیبان تکالیف منزل را معرفی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کتاب خانه را به عنوان عرصه ای دمکرات معرفی خواهیم کرد؛ دموکرات بدین معنی که اهمیت آزادی و بدون تعصب رفتار کردن در آن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شبکه ای و امکانات مفرحی دارد که احتمالاً این جمع دوستی خلاق مورد بحث ما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مقاله مشخص کردن وظیفه اصلی آموزشی تربیتی کتاب خانه های عمومی است و هم چنین از دیگر اهداف ما ارائه امکانات، تولید علم و مشارکت در پیشرفت های علمی برای همه مردم با صرف نظر از پیشینه نژادی، آموزشی و تربیتی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پیش حیطه کار در مورد جمعیت بومی طبقه کارگر با تحصیلات اندک بود در حالی که امروزه این آموزش در مورد مهاجران و پناهندگان تازه ای هم هست که نیاز به یادگیری زبان جدید و ابزارهای دیگری دارند تا بتوانند در جامعه نقش فعالی داشته باشند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خدمات کتاب خانه های چند زبانه، سازمان دهی اجتماع، محرومیت اجتماعی، سوئد </w:t>
      </w:r>
      <w:bookmarkStart w:id="1115" w:name="pg9659_94229"/>
    </w:p>
    <w:p>
      <w:pPr>
        <w:pStyle w:val="Heading2"/>
        <w:numPr>
          <w:ilvl w:val="1"/>
          <w:numId w:val="1"/>
        </w:numPr>
        <w:rPr/>
      </w:pPr>
      <w:bookmarkStart w:id="1116" w:name="__RefHeading___Toc7826037_2870459653"/>
      <w:bookmarkStart w:id="1117" w:name="_Toc413"/>
      <w:bookmarkEnd w:id="1115"/>
      <w:bookmarkEnd w:id="1116"/>
      <w:r>
        <w:rPr>
          <w:rtl w:val="true"/>
        </w:rPr>
        <w:t>نیازها، مطالعات و امکانات یک کتاب خانه شهری در محیط چند فرهنگی</w:t>
      </w:r>
      <w:bookmarkEnd w:id="1117"/>
    </w:p>
    <w:p>
      <w:pPr>
        <w:pStyle w:val="Heading3"/>
        <w:numPr>
          <w:ilvl w:val="2"/>
          <w:numId w:val="1"/>
        </w:numPr>
        <w:rPr/>
      </w:pPr>
      <w:bookmarkStart w:id="1118" w:name="__RefHeading___Toc7826039_2870459653"/>
      <w:bookmarkStart w:id="1119" w:name="_Toc414"/>
      <w:bookmarkEnd w:id="1118"/>
      <w:r>
        <w:rPr>
          <w:rtl w:val="true"/>
        </w:rPr>
        <w:t>اشاره</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نیازها، مطالعات و امکانات یک کتاب خانه شهری در محیط چند فرهنگی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نوشته اینگرید اَتلِستام </w:t>
      </w:r>
      <w:r>
        <w:rPr>
          <w:rStyle w:val="FootnoteAnchor"/>
          <w:rtl w:val="true"/>
        </w:rPr>
        <w:footnoteReference w:id="1166"/>
      </w:r>
      <w:r>
        <w:rPr>
          <w:rFonts w:ascii="Amiri" w:hAnsi="Amiri" w:eastAsia="Amiri" w:cs="Amiri"/>
          <w:color w:val="111111"/>
          <w:sz w:val="28"/>
          <w:sz w:val="28"/>
          <w:szCs w:val="28"/>
          <w:rtl w:val="true"/>
          <w:lang w:bidi="ar-SA"/>
        </w:rPr>
        <w:t xml:space="preserve">و رَندی مایر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عصمت مؤمنی </w:t>
      </w:r>
      <w:r>
        <w:rPr>
          <w:rStyle w:val="FootnoteAnchor"/>
          <w:rtl w:val="true"/>
        </w:rPr>
        <w:footnoteReference w:id="1168"/>
      </w:r>
    </w:p>
    <w:p>
      <w:pPr>
        <w:pStyle w:val="Heading3"/>
        <w:numPr>
          <w:ilvl w:val="2"/>
          <w:numId w:val="1"/>
        </w:numPr>
        <w:rPr/>
      </w:pPr>
      <w:bookmarkStart w:id="1120" w:name="__RefHeading___Toc7826041_2870459653"/>
      <w:bookmarkStart w:id="1121" w:name="_Toc415"/>
      <w:bookmarkEnd w:id="1120"/>
      <w:r>
        <w:rPr>
          <w:rtl w:val="true"/>
        </w:rPr>
        <w:t>نیازها مطالعات و امکانات یک کتاب خانه شهری در محیطی چند فرهنگی</w:t>
      </w:r>
      <w:bookmarkEnd w:id="1121"/>
    </w:p>
    <w:p>
      <w:pPr>
        <w:pStyle w:val="BookText"/>
        <w:rPr/>
      </w:pPr>
      <w:r>
        <w:rPr>
          <w:rFonts w:ascii="IRNazanin" w:hAnsi="IRNazanin" w:eastAsia="IRNazanin"/>
          <w:color w:val="111111"/>
          <w:sz w:val="28"/>
          <w:sz w:val="28"/>
          <w:szCs w:val="28"/>
          <w:rtl w:val="true"/>
          <w:lang w:bidi="fa-IR"/>
        </w:rPr>
        <w:t>بعد از جنگ جهانی دوم، افراد زیادی برای فرار از جنگ و آزار و اذیت های آن و به دنبال اشتغال به سوئد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این مهاجرت، تغییر جامعه سوئدی در مدت زمان نسبتاً کوتاهی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 پنجم جمعیت سوئد نسل اولی های کشورهای دیگر هستند و بیشتر از چهار پنجم دیگر نیز اصالتاً اهل خارج از کشور سوئد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عضو اتحادیه اروپا </w:t>
      </w:r>
      <w:r>
        <w:rPr>
          <w:rStyle w:val="FootnoteAnchor"/>
          <w:rtl w:val="true"/>
        </w:rPr>
        <w:footnoteReference w:id="1169"/>
      </w:r>
      <w:r>
        <w:rPr>
          <w:rFonts w:ascii="IRNazanin" w:hAnsi="IRNazanin" w:eastAsia="IRNazanin"/>
          <w:color w:val="111111"/>
          <w:sz w:val="28"/>
          <w:sz w:val="28"/>
          <w:szCs w:val="28"/>
          <w:rtl w:val="true"/>
          <w:lang w:bidi="fa-IR"/>
        </w:rPr>
        <w:t xml:space="preserve">بودن البته در محدوده شنگن </w:t>
      </w:r>
      <w:r>
        <w:rPr>
          <w:rStyle w:val="FootnoteAnchor"/>
          <w:rtl w:val="true"/>
        </w:rPr>
        <w:footnoteReference w:id="1170"/>
      </w:r>
      <w:r>
        <w:rPr>
          <w:rFonts w:ascii="IRNazanin" w:hAnsi="IRNazanin" w:eastAsia="IRNazanin"/>
          <w:color w:val="111111"/>
          <w:sz w:val="28"/>
          <w:sz w:val="28"/>
          <w:szCs w:val="28"/>
          <w:rtl w:val="true"/>
          <w:lang w:bidi="fa-IR"/>
        </w:rPr>
        <w:t>شامل جا به جایی های اولیه رایگان، کالایی، خدمات و افراد و مهاجران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جدید آزادی خواهانه زیادی در مهاجرت کاری از سراسر جهان، همسو با سیاست های محدود کننده پناهندگی، منجر به ایجاد شرایط جدید و متغیری تحت عنوان زبان شناسی و پراکندگی فرهنگی در سراسر کشور شده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 xml:space="preserve">به هر جامعه ای، کتاب خانه ها باید بزرگ تر، جهانی تر و در عین حال </w:t>
      </w:r>
      <w:bookmarkStart w:id="1122" w:name="pg9659_94230"/>
    </w:p>
    <w:p>
      <w:pPr>
        <w:pStyle w:val="BookText"/>
        <w:rPr/>
      </w:pPr>
      <w:bookmarkEnd w:id="1122"/>
      <w:r>
        <w:rPr>
          <w:rFonts w:ascii="IRNazanin" w:hAnsi="IRNazanin" w:eastAsia="IRNazanin"/>
          <w:color w:val="111111"/>
          <w:sz w:val="28"/>
          <w:sz w:val="28"/>
          <w:szCs w:val="28"/>
          <w:rtl w:val="true"/>
          <w:lang w:bidi="fa-IR"/>
        </w:rPr>
        <w:t xml:space="preserve">ارائه دهنده محیطی امن در زندگی روزمره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منطقه ای</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مقاله امیدواریم که عقاید و دانشمان به سمت موقعیت های فوق العاده ای که کتاب خانه ها دارند، سوق داده شود تا به نیرویی پویا تبدیل شوند و در جامعه ای که پراکندگی ثروت ایجاد می کند، نگرش و فهمی خاص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موضوع کارایی مدنی و دموکراتیک کتاب خانه را برای ایجاد پراکندگی در صدر مذاکراتمان قرار دهیم که سبب شود جایگاه طبیعی خود را در خدمات کتاب خانه 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کتاب خانه به اتاق نشیمن بین المللی در زندگی روزمره هم چالش هایی دارد و هم یک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ایده ها جدید نیستند، اما در سال های اخیر زمانی که کتاب خانه می بایست انرژی و کارهای خود را بر روی پیشرفت فناوری اطلاعات </w:t>
      </w:r>
      <w:r>
        <w:rPr>
          <w:rStyle w:val="FootnoteAnchor"/>
          <w:rtl w:val="true"/>
        </w:rPr>
        <w:footnoteReference w:id="1173"/>
      </w:r>
      <w:r>
        <w:rPr>
          <w:rFonts w:ascii="IRNazanin" w:hAnsi="IRNazanin" w:eastAsia="IRNazanin"/>
          <w:color w:val="111111"/>
          <w:sz w:val="28"/>
          <w:sz w:val="28"/>
          <w:szCs w:val="28"/>
          <w:rtl w:val="true"/>
          <w:lang w:bidi="fa-IR"/>
        </w:rPr>
        <w:t>متمرکز کنند در صدر دغدغه های سوئد هم نبوده اند، با توجه به کاهش بودجه، بالاجبار به دنبال وام های کلان بودند</w:t>
      </w:r>
      <w:r>
        <w:rPr>
          <w:rFonts w:eastAsia="IRNazanin" w:cs="IRNazanin"/>
          <w:color w:val="111111"/>
          <w:sz w:val="28"/>
          <w:szCs w:val="28"/>
          <w:rtl w:val="true"/>
          <w:lang w:bidi="fa-IR"/>
        </w:rPr>
        <w:t>.</w:t>
      </w:r>
    </w:p>
    <w:p>
      <w:pPr>
        <w:pStyle w:val="Heading3"/>
        <w:numPr>
          <w:ilvl w:val="2"/>
          <w:numId w:val="1"/>
        </w:numPr>
        <w:rPr/>
      </w:pPr>
      <w:bookmarkStart w:id="1123" w:name="__RefHeading___Toc7826043_2870459653"/>
      <w:bookmarkStart w:id="1124" w:name="_Toc416"/>
      <w:bookmarkEnd w:id="1123"/>
      <w:r>
        <w:rPr>
          <w:rtl w:val="true"/>
        </w:rPr>
        <w:t>چالش ها</w:t>
      </w:r>
      <w:bookmarkEnd w:id="1124"/>
    </w:p>
    <w:p>
      <w:pPr>
        <w:pStyle w:val="BookText"/>
        <w:rPr/>
      </w:pPr>
      <w:r>
        <w:rPr>
          <w:rFonts w:ascii="IRNazanin" w:hAnsi="IRNazanin" w:eastAsia="IRNazanin"/>
          <w:color w:val="111111"/>
          <w:sz w:val="28"/>
          <w:sz w:val="28"/>
          <w:szCs w:val="28"/>
          <w:rtl w:val="true"/>
          <w:lang w:bidi="fa-IR"/>
        </w:rPr>
        <w:t>شهرهای چند زبانه، با چالش های جدی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دعوت این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ایفلا</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آن ها می بایستی دسترسی یکسانی برای انواع اطلاعات در دنیای مدرن ما با فرهنگ ها و زبان های متفاوت به وجود آورند؛ جهانی، عمومی، اجتماعی و بی طرف با فضایی خوشایند برای هر ارباب رجوعی باشند؛ و منبعی منحصر به فرد برای پیشرفت شخصی باشند؛ هم چنین ایجاد ارتباطات و اشتغال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قریب به اتفاق تمامی کتاب خانه های عمومی سربه زیر برف کرده اند و نمی خواهند ببینند که خارج از محدوده کتاب خانه، واقعیت جاری کاملاً متفاوت از آن چیزی است که فقط در یک نسل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تعدادی کتاب خانه جالب هم هستند که به قضیه تسلط پیدا کرده اند و نقش خود را به عنوان عرصه ای برای یادگیری مادام العمر در جوامع محلی به خوبی پذیرفته اند و از پس آن برآمده اند</w:t>
      </w:r>
      <w:r>
        <w:rPr>
          <w:rFonts w:eastAsia="IRNazanin" w:cs="IRNazanin"/>
          <w:color w:val="111111"/>
          <w:sz w:val="28"/>
          <w:szCs w:val="28"/>
          <w:rtl w:val="true"/>
          <w:lang w:bidi="fa-IR"/>
        </w:rPr>
        <w:t>.</w:t>
      </w:r>
    </w:p>
    <w:p>
      <w:pPr>
        <w:pStyle w:val="Heading3"/>
        <w:numPr>
          <w:ilvl w:val="2"/>
          <w:numId w:val="1"/>
        </w:numPr>
        <w:rPr/>
      </w:pPr>
      <w:bookmarkStart w:id="1125" w:name="__RefHeading___Toc7826045_2870459653"/>
      <w:bookmarkStart w:id="1126" w:name="_Toc417"/>
      <w:bookmarkEnd w:id="1125"/>
      <w:r>
        <w:rPr>
          <w:rtl w:val="true"/>
        </w:rPr>
        <w:t>نمونه مورد بررسی</w:t>
      </w:r>
      <w:r>
        <w:rPr>
          <w:rtl w:val="true"/>
        </w:rPr>
        <w:t xml:space="preserve">: </w:t>
      </w:r>
      <w:r>
        <w:rPr>
          <w:rtl w:val="true"/>
        </w:rPr>
        <w:t>بیسکوپسگاردن</w:t>
      </w:r>
      <w:bookmarkEnd w:id="112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نقطه شروع کتاب خانه بیسکوپسگاردن را بر می گزینیم، می خواهیم قدری از تجربیاتمان را با هم در میان بگذاریم، روش هایی را توضیح دهیم و پیشنهادهایی در مورد نقش و فرصت های کتاب خانه های عمومی شهری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افتخار آن را داریم که قدری از اطلاعاتی را که در ویرایش کتاب کتاب خانه چند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اتوپیای ضروری و کار در طرح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دوزبانه</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خانه ها </w:t>
      </w:r>
    </w:p>
    <w:p>
      <w:pPr>
        <w:pStyle w:val="BookText"/>
        <w:rPr/>
      </w:pPr>
      <w:r>
        <w:rPr>
          <w:rFonts w:ascii="IRNazanin" w:hAnsi="IRNazanin" w:eastAsia="IRNazanin"/>
          <w:color w:val="111111"/>
          <w:sz w:val="28"/>
          <w:sz w:val="28"/>
          <w:szCs w:val="28"/>
          <w:rtl w:val="true"/>
          <w:lang w:bidi="fa-IR"/>
        </w:rPr>
        <w:t>برای همه</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کسب کرده ایم را در اختیارتان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حومه شهری بیسکوپسگاردن در شمال غربی گوتنبرگ، به خاطر مشکلات جدی اجتماعی که منجر به ایجاد تضادهایی شده بود، توسط عموم مردم و رسانه های سوئدی مورد اتهام و انتقادات مهلکی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گوتنبرگ، دومین شهر بزرگ سوئد،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خیلی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حومه ها نصف جمعیت مهاجر هستند و در نواحی نزدیک به حومه، تمامی ساکنین نسل اول و دوم مهاجران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از کشورهای متفاوتی هستند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بیسکوپسگاردن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ها در این مناطق نرخ بیکاری مخصوصاً در بین جوانان،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مناطق سطح سواد، درآمد خانواده و بهداشت عمومی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محرومیت های اجتماعی منجر به مشکلات عدیده ی اجتماعی می شود؛ چنان که تعدادی از جوانان ترغیب به رقابت با گروه های بزهکاری شده و این رقابت منجر به خشونت و نیز به راحتی مرتکب جرم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منطقه شهرشان را ناامن توصیف می کنند و به محض این که بتوانند آن جا را ترک می کنند؛ بنابراین تفکیک و از هم گسیختگی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تأثیر گذار از این نوع خشونت ها در رسانه، چهره کاملاً منفی از بیسکوپسگاردن را به بیگانگان نشان می دهد که باز هم منجر به افزایش تفکیک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نه فقط مقامات پلیس، بلکه افراد و سازمان های مردم نهاد </w:t>
      </w:r>
      <w:r>
        <w:rPr>
          <w:rStyle w:val="FootnoteAnchor"/>
          <w:rtl w:val="true"/>
        </w:rPr>
        <w:footnoteReference w:id="1177"/>
      </w:r>
      <w:r>
        <w:rPr>
          <w:rFonts w:ascii="IRNazanin" w:hAnsi="IRNazanin" w:eastAsia="IRNazanin"/>
          <w:color w:val="111111"/>
          <w:sz w:val="28"/>
          <w:sz w:val="28"/>
          <w:szCs w:val="28"/>
          <w:rtl w:val="true"/>
          <w:lang w:bidi="fa-IR"/>
        </w:rPr>
        <w:t>تلاش های زیادی کرده اند تا این رویداد منفی را خنثی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کتاب خانه عمومی در بیسکوپسگاردن اعتبار مالی زیادی دریافت نمی کند، اما در اکثر کارهای مثبت و خلاقان هی جاری، یک عضو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مشارکت کارکنان، کتاب خانه فعالانه با مقامات، سازمان ها و شبکه های محلی متفاوتی که با هدف تغییر واقعیت و چهره ی منطقه به وجود آمده اند، مشارکت می 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بیسکوپسگاردن بدون مشکل نیست و اعتبارات مالی بیشتر برایش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شمال بیسکوپسگاردن، کتاب خانه ای بزرگ تر بود که سال ها پیش با توجه به اقتصاد محدود منطقه، سیاستمداران تصمیم تعطیلی 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سیاستمداران این بود که کتاب خانه در رقابتی مالی با آموزش، بهداشت و خدمات اجتماعی قرار داشت</w:t>
      </w:r>
      <w:r>
        <w:rPr>
          <w:rFonts w:eastAsia="IRNazanin" w:cs="IRNazanin"/>
          <w:color w:val="111111"/>
          <w:sz w:val="28"/>
          <w:szCs w:val="28"/>
          <w:rtl w:val="true"/>
          <w:lang w:bidi="fa-IR"/>
        </w:rPr>
        <w:t xml:space="preserve">. </w:t>
      </w:r>
      <w:bookmarkStart w:id="1127" w:name="pg9659_94232"/>
    </w:p>
    <w:p>
      <w:pPr>
        <w:pStyle w:val="Heading3"/>
        <w:numPr>
          <w:ilvl w:val="2"/>
          <w:numId w:val="1"/>
        </w:numPr>
        <w:rPr/>
      </w:pPr>
      <w:bookmarkStart w:id="1128" w:name="__RefHeading___Toc7826047_2870459653"/>
      <w:bookmarkStart w:id="1129" w:name="_Toc418"/>
      <w:bookmarkEnd w:id="1127"/>
      <w:bookmarkEnd w:id="1128"/>
      <w:r>
        <w:rPr>
          <w:rtl w:val="true"/>
        </w:rPr>
        <w:t>روش های موفق</w:t>
      </w:r>
      <w:bookmarkEnd w:id="1129"/>
    </w:p>
    <w:p>
      <w:pPr>
        <w:pStyle w:val="BookText"/>
        <w:rPr/>
      </w:pPr>
      <w:r>
        <w:rPr>
          <w:rFonts w:ascii="IRNazanin" w:hAnsi="IRNazanin" w:eastAsia="IRNazanin"/>
          <w:color w:val="111111"/>
          <w:sz w:val="28"/>
          <w:sz w:val="28"/>
          <w:szCs w:val="28"/>
          <w:rtl w:val="true"/>
          <w:lang w:bidi="fa-IR"/>
        </w:rPr>
        <w:t>کتاب خانه می تواند بر کاهش محرومیت های اجتماعی، تسهیل یک پارچگی و اتحاد در اکثریت جامعه تأثیر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خواهیم روش هایی را نشان دهیم که در چند کتاب خانه در سوئد به وجود آمده اند و بعدها مورد قبول و پیشرفت در کتاب خانه های دیگر واقع شدند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بیسکوپسگاردن</w:t>
      </w:r>
      <w:r>
        <w:rPr>
          <w:rFonts w:eastAsia="IRNazanin" w:cs="IRNazanin"/>
          <w:color w:val="111111"/>
          <w:sz w:val="28"/>
          <w:szCs w:val="28"/>
          <w:rtl w:val="true"/>
          <w:lang w:bidi="fa-IR"/>
        </w:rPr>
        <w:t>».</w:t>
      </w:r>
    </w:p>
    <w:p>
      <w:pPr>
        <w:pStyle w:val="Heading3"/>
        <w:numPr>
          <w:ilvl w:val="2"/>
          <w:numId w:val="1"/>
        </w:numPr>
        <w:rPr/>
      </w:pPr>
      <w:bookmarkStart w:id="1130" w:name="__RefHeading___Toc7826049_2870459653"/>
      <w:bookmarkStart w:id="1131" w:name="_Toc419"/>
      <w:bookmarkEnd w:id="1130"/>
      <w:r>
        <w:rPr>
          <w:rtl w:val="true"/>
        </w:rPr>
        <w:t xml:space="preserve">به چالش طلبیدن مطبوعات </w:t>
      </w:r>
      <w:r>
        <w:rPr>
          <w:rtl w:val="true"/>
        </w:rPr>
        <w:t xml:space="preserve">- </w:t>
      </w:r>
      <w:r>
        <w:rPr>
          <w:rtl w:val="true"/>
        </w:rPr>
        <w:t>دوره مقدماتی رایانه</w:t>
      </w:r>
      <w:bookmarkEnd w:id="1131"/>
    </w:p>
    <w:p>
      <w:pPr>
        <w:pStyle w:val="BookText"/>
        <w:rPr/>
      </w:pPr>
      <w:r>
        <w:rPr>
          <w:rFonts w:ascii="IRNazanin" w:hAnsi="IRNazanin" w:eastAsia="IRNazanin"/>
          <w:color w:val="111111"/>
          <w:sz w:val="28"/>
          <w:sz w:val="28"/>
          <w:szCs w:val="28"/>
          <w:rtl w:val="true"/>
          <w:lang w:bidi="fa-IR"/>
        </w:rPr>
        <w:t>علم رقومی خلاءیی است بین مردمی با دسترسی مؤثر به فناوری اطلاعات و عده ای با دسترسی محدود و یا عدم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جامعه به شدت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کتاب خانه های سوئدی دوره های مقدماتی اینترنتی را از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معمولاً دوره ها مخصوص شهروندان ارشد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های عمومی در گاملستادن </w:t>
      </w:r>
      <w:r>
        <w:rPr>
          <w:rStyle w:val="FootnoteAnchor"/>
          <w:rtl w:val="true"/>
        </w:rPr>
        <w:footnoteReference w:id="1178"/>
      </w:r>
      <w:r>
        <w:rPr>
          <w:rFonts w:ascii="IRNazanin" w:hAnsi="IRNazanin" w:eastAsia="IRNazanin"/>
          <w:color w:val="111111"/>
          <w:sz w:val="28"/>
          <w:sz w:val="28"/>
          <w:szCs w:val="28"/>
          <w:rtl w:val="true"/>
          <w:lang w:bidi="fa-IR"/>
        </w:rPr>
        <w:t xml:space="preserve">و کورتد الا </w:t>
      </w:r>
      <w:r>
        <w:rPr>
          <w:rStyle w:val="FootnoteAnchor"/>
          <w:rtl w:val="true"/>
        </w:rPr>
        <w:footnoteReference w:id="1179"/>
      </w:r>
      <w:r>
        <w:rPr>
          <w:rFonts w:ascii="IRNazanin" w:hAnsi="IRNazanin" w:eastAsia="IRNazanin"/>
          <w:color w:val="111111"/>
          <w:sz w:val="28"/>
          <w:sz w:val="28"/>
          <w:szCs w:val="28"/>
          <w:rtl w:val="true"/>
          <w:lang w:bidi="fa-IR"/>
        </w:rPr>
        <w:t>، کتاب خانه های فرعی در گوتنبرگ، درخواست اعتبارات مالی کردند تا بتوانند طرح های متعدد با هدف ارائه دوره های مبتدی اینترنتی برای عموم مردم در مقیاس بزرگ و نه تنها فقط برای بزرگسالان را تأمین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گروه های اصلی هدف، عده کثیری از مهاجران شمال شرقی گوتنبرگ بودند که بسیاری از آن ها سابقه آموزشی ضعیفی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دوره هایی توسط معلمان بر پاشد که نه تنها سوئدی بلکه زبان هایی چون عربی، فارسی، سومالیایی، صربی، چینی و دیگر زبان ها نیز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معلوم شد اکثر مردمی با زبان مادری غیر سوئدی، ترجیح می دهند که معلم سوئدی زبان داشته باشند چراکه فرصت تمرین زبان جدید هم برایشان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اکثر کتاب خانه ها در سوئد برای افرادی که قرار است شهروند رقومی شوند، دوره های مبتدی رایگان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آتی نیاز بیشتری به این گونه خدمات به وجود خواهد آمد مخصوصاً برای افرادی که فرصت یادگیری فناوری ارتباطات و اطلاعات </w:t>
      </w:r>
      <w:r>
        <w:rPr>
          <w:rStyle w:val="FootnoteAnchor"/>
          <w:rtl w:val="true"/>
        </w:rPr>
        <w:footnoteReference w:id="1180"/>
      </w:r>
      <w:r>
        <w:rPr>
          <w:rFonts w:ascii="IRNazanin" w:hAnsi="IRNazanin" w:eastAsia="IRNazanin"/>
          <w:color w:val="111111"/>
          <w:sz w:val="28"/>
          <w:sz w:val="28"/>
          <w:szCs w:val="28"/>
          <w:rtl w:val="true"/>
          <w:lang w:bidi="fa-IR"/>
        </w:rPr>
        <w:t>را در مدرسه و یا محیط کار نداشته اند</w:t>
      </w:r>
      <w:r>
        <w:rPr>
          <w:rFonts w:eastAsia="IRNazanin" w:cs="IRNazanin"/>
          <w:color w:val="111111"/>
          <w:sz w:val="28"/>
          <w:szCs w:val="28"/>
          <w:rtl w:val="true"/>
          <w:lang w:bidi="fa-IR"/>
        </w:rPr>
        <w:t>.</w:t>
      </w:r>
    </w:p>
    <w:p>
      <w:pPr>
        <w:pStyle w:val="Heading3"/>
        <w:numPr>
          <w:ilvl w:val="2"/>
          <w:numId w:val="1"/>
        </w:numPr>
        <w:rPr/>
      </w:pPr>
      <w:bookmarkStart w:id="1132" w:name="__RefHeading___Toc7826051_2870459653"/>
      <w:bookmarkStart w:id="1133" w:name="_Toc420"/>
      <w:bookmarkEnd w:id="1132"/>
      <w:r>
        <w:rPr>
          <w:rtl w:val="true"/>
        </w:rPr>
        <w:t>کافه زبان</w:t>
      </w:r>
      <w:bookmarkEnd w:id="113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 زبان</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روش یادگیری است که از کتاب خانه کورتد الا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آن از دوره های مقدماتی </w:t>
      </w:r>
    </w:p>
    <w:p>
      <w:pPr>
        <w:pStyle w:val="BookText"/>
        <w:rPr/>
      </w:pPr>
      <w:r>
        <w:rPr>
          <w:rFonts w:ascii="IRNazanin" w:hAnsi="IRNazanin" w:eastAsia="IRNazanin"/>
          <w:color w:val="111111"/>
          <w:sz w:val="28"/>
          <w:sz w:val="28"/>
          <w:szCs w:val="28"/>
          <w:rtl w:val="true"/>
          <w:lang w:bidi="fa-IR"/>
        </w:rPr>
        <w:t xml:space="preserve">رایانه ای سرچشمه می گیرد که از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پشت رایانه نشستن، نیاز به استراحت و نوشیدن قهوه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وقت های استراحت طولانی تر شد و مکالمات بی حاشیه و سالم در این میان با ارزش شدند چرا که کسی به زبان، سن، سابقه و موقعیت اجتماعی افراد حاضر حساسیتی نشان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استراحت برای نوشیدن قهوه با این حقیقت که مردم به کتاب خانه می روند تا زبان سوئدی بیاموزند، ترکیب شد و کارکنان را تشویق کرد تا فعالیتی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کافه اتصال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با سوئدی آسان</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هفته ای یک بار گروه مکالمه عصرانه ای با موضوع خاص برگزار می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کارهای روزمره و یا یک موضوع برای مناظره در بعضی مناسبت ها مهمانی دعوت می 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نیروی امنیت اجتماعی یا کارمندی از داروخانه محلی گرداننده گفتگو مسئول این بود که فرصت صحبت کردن را به هر کدام از شرکت کنندگان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بایستی بحث را طوری رهبری کند که خیلی شخصی، مسبب تنش سیاسی و ماهیتی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ایجاد فضای گفتمان است نه ایجاد مناظره و جروبحث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کتاب خانه های زیادی در گوتنبرگ و جاهای دیگر سوئد، کافه های زبان آنی، رایگان و متنوعی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کافه ها در پاره ای موارد توسط کارکنان کتاب خانه اداره می شوند، در سایر موارد توسط سازمان های غیر دولتی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 قرمز</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شرکت کنندگان متغیر است؛ عده ای از مردم، تمام گوتنبرگ را زیر پا می گذارند تا بتوانند در گفتمان کافه های بیشتری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آناکارین الف </w:t>
      </w:r>
      <w:r>
        <w:rPr>
          <w:rStyle w:val="FootnoteAnchor"/>
          <w:rtl w:val="true"/>
        </w:rPr>
        <w:footnoteReference w:id="1184"/>
      </w:r>
      <w:r>
        <w:rPr>
          <w:rFonts w:ascii="IRNazanin" w:hAnsi="IRNazanin" w:eastAsia="IRNazanin"/>
          <w:color w:val="111111"/>
          <w:sz w:val="28"/>
          <w:sz w:val="28"/>
          <w:szCs w:val="28"/>
          <w:rtl w:val="true"/>
          <w:lang w:bidi="fa-IR"/>
        </w:rPr>
        <w:t>، کتابدار کتاب خانه بیسکوپسگاردن، به عنوان قسمتی از طرح تحقیقاتی خود، روش کافه های زبان را آنالیز کرده و ارتقاء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کافه زبانی با حضور تمامی شرکت کنندگان در گروهی بزرگ بنیان نهاد و سپس آن ها را به گروه های کوچک تری تقسیم کرد تا همه فرصت صحبت کردن و شرکت فعال در مکالمه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گروه های کوچک، کسی وجود داشت که با زبان و جامعه سوئدی کاملاً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تمرین زبان، کافه زبان شرایطی را فراهم می کرد تا افراد متوجه تفاوت کارها در سوئد و دیگر کشورها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به نوعی معاوضه بین فرهنگی شده و منجر به اتحاد دو طرفه می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کتاب خانه ها مثل کتاب خانه بیسکوپسگاردن هم چنین کافه های رایگان انگلیسی ارائه می دهند که نه فقط چون مهاجران سابق از آن استفاده می کنند بلکه به عنوان منبعی برای یادگیری </w:t>
      </w:r>
      <w:bookmarkStart w:id="1134" w:name="pg9659_94234"/>
    </w:p>
    <w:p>
      <w:pPr>
        <w:pStyle w:val="BookText"/>
        <w:rPr/>
      </w:pPr>
      <w:bookmarkEnd w:id="1134"/>
      <w:r>
        <w:rPr>
          <w:rFonts w:ascii="IRNazanin" w:hAnsi="IRNazanin" w:eastAsia="IRNazanin"/>
          <w:color w:val="111111"/>
          <w:sz w:val="28"/>
          <w:sz w:val="28"/>
          <w:szCs w:val="28"/>
          <w:rtl w:val="true"/>
          <w:lang w:bidi="fa-IR"/>
        </w:rPr>
        <w:t>انگلیسی در تحصیلات تکمیلی در کشور سوئد مورد تقدیر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سایر زبان هایی که در کشور صحبت می شود هم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بیسکوپسگاردن کافه زبان ترکی و کردی را هم امتحان کرده است و کتاب خانه های دیگر کافه های عربی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پایان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می توانند تبدیل به مکانی شوند که نه تنها می توان از آن ها کتاب امانت گرفت بلکه می توان زبان جدید هم فرا گرفت</w:t>
      </w:r>
      <w:r>
        <w:rPr>
          <w:rFonts w:eastAsia="IRNazanin" w:cs="IRNazanin"/>
          <w:color w:val="111111"/>
          <w:sz w:val="28"/>
          <w:szCs w:val="28"/>
          <w:rtl w:val="true"/>
          <w:lang w:bidi="fa-IR"/>
        </w:rPr>
        <w:t>.</w:t>
      </w:r>
    </w:p>
    <w:p>
      <w:pPr>
        <w:pStyle w:val="Heading3"/>
        <w:numPr>
          <w:ilvl w:val="2"/>
          <w:numId w:val="1"/>
        </w:numPr>
        <w:rPr/>
      </w:pPr>
      <w:bookmarkStart w:id="1135" w:name="__RefHeading___Toc7826053_2870459653"/>
      <w:bookmarkStart w:id="1136" w:name="_Toc421"/>
      <w:bookmarkEnd w:id="1135"/>
      <w:r>
        <w:rPr>
          <w:rtl w:val="true"/>
        </w:rPr>
        <w:t>حمایت یادگیری مادام العمر</w:t>
      </w:r>
      <w:bookmarkEnd w:id="1136"/>
    </w:p>
    <w:p>
      <w:pPr>
        <w:pStyle w:val="BookText"/>
        <w:rPr/>
      </w:pPr>
      <w:r>
        <w:rPr>
          <w:rFonts w:ascii="IRNazanin" w:hAnsi="IRNazanin" w:eastAsia="IRNazanin"/>
          <w:color w:val="111111"/>
          <w:sz w:val="28"/>
          <w:sz w:val="28"/>
          <w:szCs w:val="28"/>
          <w:rtl w:val="true"/>
          <w:lang w:bidi="fa-IR"/>
        </w:rPr>
        <w:t>برای تازه واردان به سوئد، اولین گام برای ورود به جامعه شروع یادگیری زبان سوئدی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مهاجران بزرگ سال معمولاً هفته ای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سوئدی آموزش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سوئدی برای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اکثراً مورد حمایت های مالی در اولین دوره های آموزشی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مهاجران، برای کسانی که به عنوان ساکنین سوئد ثبت نام کرده اند و شماره ملی سوئدی دریافت کرده اند شهریه رایگان است؛ بنابراین مهاجران بیکار اروپایی که برای اشتغال به سوئد آمده اند، دوره های زبان رایگان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شهرهای استکهلم، گوتنبرگ و مالمو </w:t>
      </w:r>
      <w:r>
        <w:rPr>
          <w:rStyle w:val="FootnoteAnchor"/>
          <w:rtl w:val="true"/>
        </w:rPr>
        <w:footnoteReference w:id="1185"/>
      </w:r>
      <w:r>
        <w:rPr>
          <w:rFonts w:ascii="IRNazanin" w:hAnsi="IRNazanin" w:eastAsia="IRNazanin"/>
          <w:color w:val="111111"/>
          <w:sz w:val="28"/>
          <w:sz w:val="28"/>
          <w:szCs w:val="28"/>
          <w:rtl w:val="true"/>
          <w:lang w:bidi="fa-IR"/>
        </w:rPr>
        <w:t>، مهاجران اروپایی و بدون مدرک می توانند کارت کتاب خانه رایگان دریافت کنند و از تمامی خدمات کتاب خانه عمومی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مدارسی که دوره های زبان سوئدی برای تازه واردان ارائه می دهند، به ندرت کتاب خانه ای از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ایجاد نیاز وافری به کتاب خانه ای عمومی برای رسانه، فناوری ارتباطات و اطلاعات کارکنان آموزش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 خانه ها نیاز خود را با حمایت از طرح ها رفع کرده اند و یا به عنوان نمونه ای در هر کتاب خانه ای در فعالیت روزمره شان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گوتنبرگ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آی ال</w:t>
      </w:r>
      <w:r>
        <w:rPr>
          <w:rFonts w:eastAsia="IRNazanin" w:cs="IRNazanin"/>
          <w:color w:val="111111"/>
          <w:sz w:val="28"/>
          <w:szCs w:val="28"/>
          <w:rtl w:val="true"/>
          <w:lang w:bidi="fa-IR"/>
        </w:rPr>
        <w:t xml:space="preserve">»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سالان در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انجام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های شرکت کننده، شامل بیسکوپسگاردن، منابع رسانه ای مضاعف و محیط یادگیری رقومی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امکانات برای ترغیب یادگیری زبان سوئدی به عنوان زبان خارجی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تعدادی از افراد می خواهند انگلیسی مقدماتی بیاموزند؛ برای این دسته منابع انگلیسی به زبان مادری خود مثلاً عربی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هم چنین کتب درسی در مقاطع مختلف هم به زبان سوئدی هم دیگر زبان ها را در اختیار کاربران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کتاب خانه ها با دوره های رایانه و کافه های زبان هم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کنندگان می توانند راهنمایی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فردی مثل آی سی تی </w:t>
      </w:r>
      <w:r>
        <w:rPr>
          <w:rStyle w:val="FootnoteAnchor"/>
          <w:rtl w:val="true"/>
        </w:rPr>
        <w:footnoteReference w:id="1187"/>
      </w:r>
      <w:r>
        <w:rPr>
          <w:rFonts w:ascii="IRNazanin" w:hAnsi="IRNazanin" w:eastAsia="IRNazanin"/>
          <w:color w:val="111111"/>
          <w:sz w:val="28"/>
          <w:sz w:val="28"/>
          <w:szCs w:val="28"/>
          <w:rtl w:val="true"/>
          <w:lang w:bidi="fa-IR"/>
        </w:rPr>
        <w:t xml:space="preserve">، جستجوی اطلاعات </w:t>
      </w:r>
      <w:bookmarkStart w:id="1137" w:name="pg9659_94235"/>
    </w:p>
    <w:p>
      <w:pPr>
        <w:pStyle w:val="BookText"/>
        <w:rPr/>
      </w:pPr>
      <w:bookmarkEnd w:id="1137"/>
      <w:r>
        <w:rPr>
          <w:rFonts w:ascii="IRNazanin" w:hAnsi="IRNazanin" w:eastAsia="IRNazanin"/>
          <w:color w:val="111111"/>
          <w:sz w:val="28"/>
          <w:sz w:val="28"/>
          <w:szCs w:val="28"/>
          <w:rtl w:val="true"/>
          <w:lang w:bidi="fa-IR"/>
        </w:rPr>
        <w:t>و مشاوره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فعالیت هایی که توضیح داده شد در محیطی آموزشی در کتاب خانه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محیط هایی هستند که به طور خاص برای ایجاد فضایی فعال و تشویق افراد به یادگیری بیشتر ساخته شده اند</w:t>
      </w:r>
      <w:r>
        <w:rPr>
          <w:rFonts w:eastAsia="IRNazanin" w:cs="IRNazanin"/>
          <w:color w:val="111111"/>
          <w:sz w:val="28"/>
          <w:szCs w:val="28"/>
          <w:rtl w:val="true"/>
          <w:lang w:bidi="fa-IR"/>
        </w:rPr>
        <w:t>.</w:t>
      </w:r>
    </w:p>
    <w:p>
      <w:pPr>
        <w:pStyle w:val="Heading3"/>
        <w:numPr>
          <w:ilvl w:val="2"/>
          <w:numId w:val="1"/>
        </w:numPr>
        <w:rPr/>
      </w:pPr>
      <w:bookmarkStart w:id="1138" w:name="__RefHeading___Toc7826055_2870459653"/>
      <w:bookmarkStart w:id="1139" w:name="_Toc422"/>
      <w:bookmarkEnd w:id="1138"/>
      <w:r>
        <w:rPr>
          <w:rtl w:val="true"/>
        </w:rPr>
        <w:t>آموزشیاران تکالیف منزل</w:t>
      </w:r>
      <w:bookmarkEnd w:id="1139"/>
    </w:p>
    <w:p>
      <w:pPr>
        <w:pStyle w:val="BookText"/>
        <w:rPr/>
      </w:pPr>
      <w:r>
        <w:rPr>
          <w:rFonts w:ascii="IRNazanin" w:hAnsi="IRNazanin" w:eastAsia="IRNazanin"/>
          <w:color w:val="111111"/>
          <w:sz w:val="28"/>
          <w:sz w:val="28"/>
          <w:szCs w:val="28"/>
          <w:rtl w:val="true"/>
          <w:lang w:bidi="fa-IR"/>
        </w:rPr>
        <w:t>انجام تکالیف می تواند برای خیلی از فراگیران در مقاطع مختلف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جوانان، والدین و بزرگسالانی که دانش کافی از زبان سوئدی ندارند، با بیش ترین مشکل مواجهه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کتاب خانه های عمومی زیادی در مناطق مهاجر پذیر هفته ای یک یا دو بار کمک هایی در انجام تکالیف به فراگیران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این گونه فعالیت ها توسط سازمان های مردم نهاد با دانش آموزان داوطلب یا شهروندان سطح بالا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انجام تکالیف هم از طرف بزرگسالان و هم جوانان در مقاطع متفاوت مورد استقبال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تمرین ها در زمینه ی خاصی چون علوم و ریاضی هستند، اما اکثراً داوطلبان تمامی موضوع ها را با تلاشی منسجم و استفاده از منابع کتاب خانه ای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خانه بیسکوپسگاردن گروه جوانان تقاطع قرمز </w:t>
      </w:r>
      <w:r>
        <w:rPr>
          <w:rStyle w:val="FootnoteAnchor"/>
          <w:rtl w:val="true"/>
        </w:rPr>
        <w:footnoteReference w:id="1188"/>
      </w:r>
      <w:r>
        <w:rPr>
          <w:rFonts w:ascii="IRNazanin" w:hAnsi="IRNazanin" w:eastAsia="IRNazanin"/>
          <w:color w:val="111111"/>
          <w:sz w:val="28"/>
          <w:sz w:val="28"/>
          <w:szCs w:val="28"/>
          <w:rtl w:val="true"/>
          <w:lang w:bidi="fa-IR"/>
        </w:rPr>
        <w:t>مطلوب ترین پشتیبان حل تمرینی را ارائه می دهند</w:t>
      </w:r>
      <w:r>
        <w:rPr>
          <w:rFonts w:eastAsia="IRNazanin" w:cs="IRNazanin"/>
          <w:color w:val="111111"/>
          <w:sz w:val="28"/>
          <w:szCs w:val="28"/>
          <w:rtl w:val="true"/>
          <w:lang w:bidi="fa-IR"/>
        </w:rPr>
        <w:t>.</w:t>
      </w:r>
    </w:p>
    <w:p>
      <w:pPr>
        <w:pStyle w:val="Heading3"/>
        <w:numPr>
          <w:ilvl w:val="2"/>
          <w:numId w:val="1"/>
        </w:numPr>
        <w:rPr/>
      </w:pPr>
      <w:bookmarkStart w:id="1140" w:name="__RefHeading___Toc7826057_2870459653"/>
      <w:bookmarkStart w:id="1141" w:name="_Toc423"/>
      <w:bookmarkEnd w:id="1140"/>
      <w:r>
        <w:rPr>
          <w:rtl w:val="true"/>
        </w:rPr>
        <w:t>داستان سرایی برای بچه ها</w:t>
      </w:r>
      <w:bookmarkEnd w:id="1141"/>
    </w:p>
    <w:p>
      <w:pPr>
        <w:pStyle w:val="BookText"/>
        <w:rPr/>
      </w:pPr>
      <w:r>
        <w:rPr>
          <w:rFonts w:ascii="IRNazanin" w:hAnsi="IRNazanin" w:eastAsia="IRNazanin"/>
          <w:color w:val="111111"/>
          <w:sz w:val="28"/>
          <w:sz w:val="28"/>
          <w:szCs w:val="28"/>
          <w:rtl w:val="true"/>
          <w:lang w:bidi="fa-IR"/>
        </w:rPr>
        <w:t>داستان سرایی به زبان سوئدی در اکثر کتاب خانه ها رخ می دهد که به روش های مختلفی توسعه داده شده تا فراگیرتر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کشورهای زیادی را می توان به زبان سوئدی خواند؛ که این خود یکی از راه های جذب بچه ها و والدینشان از کشورهای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افسانه های محلی را به زبان ساده سوئدی تعریف کرد و آن ها را به گونه ای همه فهم به نمایش درآورد و همگان را وارد این زبان آموزی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بچه ها شباهت های افسانه های محلی که قبلاً در خانه شنیده اند را با نوعی که در فضای متفاوت با حیوانات و منظره متفاوت کتاب خانه ارائه می شود را متوجه می شوند؛ بنابراین بچه ها تجربه معمولی را خواهند داشت چرا که این اتفاق نوعی تبادل فرای مرزهای فرهنگی است و منجر به تشخیصی می شود که بسیاری از داستان ها در تمامی فرهنگ ها مشابه هستند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کتاب خانه ها به زبان های متفاوتی داستان سرایی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کارکنان مهارت های زبانی دارند، یا حتی کتاب خانه معلم های پیش دبستانی و والدین را هم در این امر شرکت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w:t>
      </w:r>
      <w:bookmarkStart w:id="1142" w:name="pg9659_94236"/>
    </w:p>
    <w:p>
      <w:pPr>
        <w:pStyle w:val="BookText"/>
        <w:rPr/>
      </w:pPr>
      <w:bookmarkEnd w:id="1142"/>
      <w:r>
        <w:rPr>
          <w:rFonts w:ascii="IRNazanin" w:hAnsi="IRNazanin" w:eastAsia="IRNazanin"/>
          <w:color w:val="111111"/>
          <w:sz w:val="28"/>
          <w:sz w:val="28"/>
          <w:szCs w:val="28"/>
          <w:rtl w:val="true"/>
          <w:lang w:bidi="fa-IR"/>
        </w:rPr>
        <w:t>بیسکوپسگاردن داستان سرایی های متفاوتی به زبان های مختلفی را با استفاده از معلمان چند زبانه به عنوان گوینده و پیش دبستانی های دو زبانه به عنوان بازیگر، برای سایر پیش دبستانی ها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امر پسندیده درست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داستان سوئدی</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نه تنها به عنوان یک طرح، بلکه به عنوان پشتوانه ای کامل در فعالیت های معمول کتاب خانه در می آید</w:t>
      </w:r>
      <w:r>
        <w:rPr>
          <w:rFonts w:eastAsia="IRNazanin" w:cs="IRNazanin"/>
          <w:color w:val="111111"/>
          <w:sz w:val="28"/>
          <w:szCs w:val="28"/>
          <w:rtl w:val="true"/>
          <w:lang w:bidi="fa-IR"/>
        </w:rPr>
        <w:t>.</w:t>
      </w:r>
    </w:p>
    <w:p>
      <w:pPr>
        <w:pStyle w:val="Heading3"/>
        <w:numPr>
          <w:ilvl w:val="2"/>
          <w:numId w:val="1"/>
        </w:numPr>
        <w:rPr/>
      </w:pPr>
      <w:bookmarkStart w:id="1143" w:name="__RefHeading___Toc7826059_2870459653"/>
      <w:bookmarkStart w:id="1144" w:name="_Toc424"/>
      <w:bookmarkEnd w:id="1143"/>
      <w:r>
        <w:rPr>
          <w:rtl w:val="true"/>
        </w:rPr>
        <w:t>جمع بندی</w:t>
      </w:r>
      <w:bookmarkEnd w:id="1144"/>
    </w:p>
    <w:p>
      <w:pPr>
        <w:pStyle w:val="BookText"/>
        <w:rPr/>
      </w:pPr>
      <w:r>
        <w:rPr>
          <w:rFonts w:ascii="IRNazanin" w:hAnsi="IRNazanin" w:eastAsia="IRNazanin"/>
          <w:color w:val="111111"/>
          <w:sz w:val="28"/>
          <w:sz w:val="28"/>
          <w:szCs w:val="28"/>
          <w:rtl w:val="true"/>
          <w:lang w:bidi="fa-IR"/>
        </w:rPr>
        <w:t>ویژگی معمول روش هایی که در بالا ارائه شد این است که همه ی افراد برای شرکت در آن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مقدماتی رایانه، کافه های زبان و کمک های درسی خدمات رایگان عمومی هستند حتی برای کسانی که زبان مادری شان سوئدی نیست و نیاز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فعالیت ها در منطقی با تنوع جمعیتی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فعالیت ها برای عموم آزاد است، کتاب خانه ها تبدیل به مکان های مهمی برای نشست ها، عرصه ای برای مکالمات، هم کاری و ملاقات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روش ها نیاز به توسعه هوشمندانه ای در کارهای کتاب خانه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موفقیت هم هم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می بایستی با سایر فعالین محلی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آموزشی از پیش دبستانی گرفته تا بزرگسالان، خدمات اجتماعی و سازمان های مردم نهاد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آناکارین الف، مدیر کتاب خانه بیسکوپسگاردن و اولیورا جاجا </w:t>
      </w:r>
      <w:r>
        <w:rPr>
          <w:rStyle w:val="FootnoteAnchor"/>
          <w:rtl w:val="true"/>
        </w:rPr>
        <w:footnoteReference w:id="1190"/>
      </w:r>
      <w:r>
        <w:rPr>
          <w:rFonts w:ascii="IRNazanin" w:hAnsi="IRNazanin" w:eastAsia="IRNazanin"/>
          <w:color w:val="111111"/>
          <w:sz w:val="28"/>
          <w:sz w:val="28"/>
          <w:szCs w:val="28"/>
          <w:rtl w:val="true"/>
          <w:lang w:bidi="fa-IR"/>
        </w:rPr>
        <w:t>هر دو تأکید بر اهمیت ارتباط مداوم با سازمان ها و داوطلبان در ارائه خدمات کتاب خانه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داشته باشیم که خدمات می بایستی از کیفیت خوبی برخوردار باشند و در بردارنده ارزش های کتاب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سیاسی و مذهبی بی طرف باشند و به حقوق بشر احترام بگذارند</w:t>
      </w:r>
      <w:r>
        <w:rPr>
          <w:rFonts w:eastAsia="IRNazanin" w:cs="IRNazanin"/>
          <w:color w:val="111111"/>
          <w:sz w:val="28"/>
          <w:szCs w:val="28"/>
          <w:rtl w:val="true"/>
          <w:lang w:bidi="fa-IR"/>
        </w:rPr>
        <w:t>.</w:t>
      </w:r>
    </w:p>
    <w:p>
      <w:pPr>
        <w:pStyle w:val="Heading3"/>
        <w:numPr>
          <w:ilvl w:val="2"/>
          <w:numId w:val="1"/>
        </w:numPr>
        <w:rPr/>
      </w:pPr>
      <w:bookmarkStart w:id="1145" w:name="__RefHeading___Toc7826061_2870459653"/>
      <w:bookmarkStart w:id="1146" w:name="_Toc425"/>
      <w:bookmarkEnd w:id="1145"/>
      <w:r>
        <w:rPr>
          <w:rtl w:val="true"/>
        </w:rPr>
        <w:t>انجمن های دوستان کتاب خانه ای</w:t>
      </w:r>
      <w:bookmarkEnd w:id="114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های عمومی سوئدی سابقه طولانی و متفاوتی از انجمن های دوستی کتاب خانه ای </w:t>
      </w:r>
      <w:r>
        <w:rPr>
          <w:rStyle w:val="FootnoteAnchor"/>
          <w:rtl w:val="true"/>
        </w:rPr>
        <w:footnoteReference w:id="1191"/>
      </w:r>
      <w:r>
        <w:rPr>
          <w:rFonts w:ascii="IRNazanin" w:hAnsi="IRNazanin" w:eastAsia="IRNazanin"/>
          <w:color w:val="111111"/>
          <w:sz w:val="28"/>
          <w:sz w:val="28"/>
          <w:szCs w:val="28"/>
          <w:rtl w:val="true"/>
          <w:lang w:bidi="fa-IR"/>
        </w:rPr>
        <w:t>دارند؛ که با اهداف متفاوت در ارتباط با کتاب خانه های خاصی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سال های اخیر گروه های اجرایی متفاوتی برای دفاع در برابر تهدید بسته شدن کتاب خانه ها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انجمن های دوستان کتاب خانه ای در بیسکوپسگاردن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اتحادیه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ها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میزگردی مشورتی برای بهبود کارهای بین فرهنگی در کتاب خانه بیسکوپسگاردن به عنوان </w:t>
      </w:r>
    </w:p>
    <w:p>
      <w:pPr>
        <w:pStyle w:val="BookText"/>
        <w:rPr/>
      </w:pPr>
      <w:r>
        <w:rPr>
          <w:rFonts w:ascii="IRNazanin" w:hAnsi="IRNazanin" w:eastAsia="IRNazanin"/>
          <w:color w:val="111111"/>
          <w:sz w:val="28"/>
          <w:sz w:val="28"/>
          <w:szCs w:val="28"/>
          <w:rtl w:val="true"/>
          <w:lang w:bidi="fa-IR"/>
        </w:rPr>
        <w:t>کتاب خانه راهنما،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گردهمایی مشورتی و بین فرهنگی بیشتر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شریک سوئدی طرح، یعنی موسسه مهاجران، سه کارآموز از دانش آموزان بین المللی تحصیلات تکمیلی در رشته ارتباطات بین فرهنگی از دانشگاه گوتنبرگ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گولوزار تونا </w:t>
      </w:r>
      <w:r>
        <w:rPr>
          <w:rStyle w:val="FootnoteAnchor"/>
          <w:rtl w:val="true"/>
        </w:rPr>
        <w:footnoteReference w:id="1192"/>
      </w:r>
      <w:r>
        <w:rPr>
          <w:rFonts w:ascii="IRNazanin" w:hAnsi="IRNazanin" w:eastAsia="IRNazanin"/>
          <w:color w:val="111111"/>
          <w:sz w:val="28"/>
          <w:sz w:val="28"/>
          <w:szCs w:val="28"/>
          <w:rtl w:val="true"/>
          <w:lang w:bidi="fa-IR"/>
        </w:rPr>
        <w:t>در بیسکوپسگاردن بزرگ شده و یکی از اعضای میزگرد مشورتی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چگونگی عمل کرد میزگرد مشورتی است که توسط آناکارین الف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کار را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ساکنینی شروع کردیم که اصلی ترین زبان های خارجی را در بیسکوپسگاردن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ها کاربران همیشگی کتاب خانه بودند و شبکه بزرگی در منطقه محلی داشتند به آن ها گفتیم که نه تنها خودشان، بلکه شبکه خود در داخل و خارج از کتاب خانه را در اختیارمان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کتاب دارها هم بودند؛ برایشان از عمق افکار و عقایدمان در مورد توسعه کتاب خانه ها به عنوان محله تبادلات فرهنگی و جایگاهی برای یادگیری مادام العمر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دو موضوع مهم هم ذکر شد اول این که تجهیزات ما آن قدر جذاب نیست و دیگر این که بسیاری از بازدیدکنندگان در ابتدا برای دستیابی به موارد مورد نظرشان دچار مشکل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در شهر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استفاده شان از کتاب خانه و خدماتش نظر سنجی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خواسته شد تا پیشنهادها خود را برای بهبود اوضاع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پاسخ افراد و هدف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اِم اِس ایی</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گروه پنج دسته مهم از مواردی برای ارائه الگوهای جدید در خدمات کتاب خانه ای ارائه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کتاب خانه به عنوان جایی برای یادگیری زبان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پلی برای پر کردن طلا فناوری رقومی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کتاب خانه به عنوان محله برای تبادلات فرهنگی و ارائه فعالیت های فرهنگی برای بچه ها، جوانان و خانواده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محیط کتاب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امکانات رفاهی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اطلاعات و بازاریابی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اول عقاید با ریسک فراوان و اشتیاق زیاد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الهام گرفتن عقاید با کتاب خانه های دیگر هم در ارتباط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بودجه اتحادیه اروپا، توانستیم منابع ادبی به زبان های دیگر، فرهنگ لغت، دوره های یادگیری زبان، متون ساده به زبان سوئدی و به عبارت بهتر هر آن چه ممکن بود را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نشانه های متفاوتی به انواع زبان ها برای گروه های غیر سوئدی فراهم کردیم </w:t>
      </w:r>
    </w:p>
    <w:p>
      <w:pPr>
        <w:pStyle w:val="BookText"/>
        <w:rPr/>
      </w:pPr>
      <w:r>
        <w:rPr>
          <w:rFonts w:ascii="IRNazanin" w:hAnsi="IRNazanin" w:eastAsia="IRNazanin"/>
          <w:color w:val="111111"/>
          <w:sz w:val="28"/>
          <w:sz w:val="28"/>
          <w:szCs w:val="28"/>
          <w:rtl w:val="true"/>
          <w:lang w:bidi="fa-IR"/>
        </w:rPr>
        <w:t>و به کمک اعضا میزگرد مشورتی و کارآموزان، اطلاعاتمان را به زبان های متعدد ترجمه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تمامی کارها فعالانه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دور هم جمع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فعالیت های مستمر در کتاب خانه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بعد از طرح،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تصمیم گرفتند به جای هر ماه، هر ترمی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نشست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نیاز بود چرا که در این مدت قادر بودیم دستاوردهایمان را ارزیابی کنیم و بدانیم چگونه می خواهیم کار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سال اول، جایگزین فعالیت های کندتری در سال های بعد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تمام شد اما ما همگی خواهان ادامه همکاری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 ملاقاتی نبود و قادر نبودیم تغییرات پرهزینه داشته باشیم، منجر به نحوه ی متفاوتی از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گولوزار تونا یکی از اعضا میزگرد، به عنوان کاربر كتاب خانه طرح را از دیدگاه خود چنین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طرح، زمانی که برای امانت و رزرو کتاب به کتاب خانه بیسکوپسگاردن می رفتم، بیش از همه محل هایی برای ملاقات دوستانم و صرف فنجانی چای و قهوه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مکان و زمان عوامل نوستالژی کتاب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امکان را برای من و دیگر دوستانم فراهم آورد تا در شکل دادن، پیشبرد و به عرصه ظهور درآوردن تمامی افکارمان در مورد کتاب خانه، علائم و خرید رسانه ای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تبادلات بی طرفانه این امکان را به وجود آورد تا افکاری را که قبلاً غیر قابل اجرا می دیدم، کاربردی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انعکاس عقاید جامعه محلی مهم بود که ساکنین محلی هم عضو میزگرد یا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کتاب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بیسکوپسگاردن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نماینده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نمایندگان جامعه ای چند فرهنگی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نمی توانیم نیاز تمامی افراد را پیش بینی کنیم اما تلاش می کنیم که به اندازه کافی پذیرای تمامی پیشرفت ها و تغییرات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احتیاجات ساکنین را منعکس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علائق، عقاید و سلیقه های دوستان را به کتابداران و دیگر دوستان کتاب خانه ای منعکس می کنیم و اگر پیشنهادها ممکن و عملی باشند،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و خواسته های ساکنین، ما محل خاصی را برای همه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اطمینان به ما زمانی افزایش یافت که ساکنین در فعالیت های کتاب خانه شرکت کردند و با گذشت زمان این گردهمایی ها قوی تر شد و ارتباطات عمیق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وظایف جدیدی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خطیری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لیست موضوعی کتب، ارتقاء برنامه های کتاب خانه، درخواست از نویسندگان برای حضور در جلسات، ارائه کافه های زبان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ارتقاء سطح اعتماد به نفس افراد عادی به عنوان شریکی در توسعه کارهای کتاب خانه، نکته مثبتی در ایجاد اتحاد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که کتاب داران فعالانه به ایجاد مشارکت کاربران با نیازها و برنامه های کتاب خانه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چیزی مابین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همگی استعدادها و دانش هایی داریم که نمود خارجی ندارند؛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جستجوی آپارتمان در اینترنت یا دانلود کتاب صوتی و غیره می تواند مثال هایی از نمود خارجی دانش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که آیا همه ی این اقدامات به صورت داوطلبانه است؟ و کتاب خانه چند کاربر وفادار دارد؟ تمامی افرادی سوابق، علائق و سطح علمی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اگر کتاب خانه می خواهد پیشرفت کند و محیط جامعه را نشان دهد می بایستی اعضا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کند و از ما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دعوت طرفداران برای همکاری و کمک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فقط با ارتباط مستقیم با افراد و سؤال کردن و تبادل نظر با آن هاست که متوجه آرزوها و خواسته هایشان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ساکنین هستند که کتاب خانه ها را به محلی برای ملاقات چند فرهنگی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افراد طبیعتاً یک دست می شوند و ارتباط و هم کاری ها همیشگی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شروع فعالیت های جدید کتاب خانه، انجمن ها و نشست های جدید هم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همکاری بین کتاب خانه و ساکنین بیسکوپسگاردن، چه مهاجران چه افراد بومی سوئدی، ارتباط جدیدی به وجود می آید که منجر به ارتباط بین فرهنگی افراد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ایجاد می شود که دست رد به سینه کسی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و محیط اطرافم فکر می کنم به فرصت هایی که ایجاد شده و چقدر ما می توانیم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 چون قبل کتاب خانه بیسکوپسگاردن هم محبوب ترین کتاب خانه برای من است و هم نقش مهمی در زندگی 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طرح و بعد از اتمام آن من به عنوان یکی از ساکنین با کتابداران و دیگر ساکنین گردهمایی هایی ترتیب دادیم؛ که این نشست ها شروع یک همکاری و دوستی مادام العمر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چیز ممکن است اگر کتاب خانه فرصت مالی را برایمان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اعتماد به ما، اعتقاد به ما و اعتقاد به نیروی جمعی </w:t>
      </w:r>
      <w:r>
        <w:rPr>
          <w:rStyle w:val="FootnoteAnchor"/>
          <w:rtl w:val="true"/>
        </w:rPr>
        <w:footnoteReference w:id="1194"/>
      </w:r>
      <w:r>
        <w:rPr>
          <w:rFonts w:ascii="IRNazanin" w:hAnsi="IRNazanin" w:eastAsia="IRNazanin"/>
          <w:color w:val="111111"/>
          <w:sz w:val="28"/>
          <w:sz w:val="28"/>
          <w:szCs w:val="28"/>
          <w:rtl w:val="true"/>
          <w:lang w:bidi="fa-IR"/>
        </w:rPr>
        <w:t>ساکنین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کتاب خانه ای در بیسکوپسگاردن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سازمانی مردم نهاد معرفی شد که هم کارکنان و هم افراد عادی در آن عضو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درخواست اختصاص بودجه داد و از طرف شهرداری منطقه و دیگر سازمان ها بودجه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میزگرد و شرکت اعضا منجر به فعالیت های جدیدی در کتاب خانه شد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 های خانوادگی</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 xml:space="preserve">، سخنرانی به زبان های بین المللی، اجراهایی توسط نویسندگان محلی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 چنین کافه کتاب خانه را در کنار دیگر فعالیت ها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شنبه خانوادگی گروهی از پسران سومالیایی برای بازدید کنندگان کلوچه پختند</w:t>
      </w:r>
      <w:r>
        <w:rPr>
          <w:rFonts w:eastAsia="IRNazanin" w:cs="IRNazanin"/>
          <w:color w:val="111111"/>
          <w:sz w:val="28"/>
          <w:szCs w:val="28"/>
          <w:rtl w:val="true"/>
          <w:lang w:bidi="fa-IR"/>
        </w:rPr>
        <w:t xml:space="preserve">. </w:t>
      </w:r>
      <w:bookmarkStart w:id="1147" w:name="pg9659_94240"/>
    </w:p>
    <w:p>
      <w:pPr>
        <w:pStyle w:val="BookText"/>
        <w:rPr/>
      </w:pPr>
      <w:bookmarkEnd w:id="1147"/>
      <w:r>
        <w:rPr>
          <w:rFonts w:ascii="IRNazanin" w:hAnsi="IRNazanin" w:eastAsia="IRNazanin"/>
          <w:color w:val="111111"/>
          <w:sz w:val="28"/>
          <w:sz w:val="28"/>
          <w:szCs w:val="28"/>
          <w:rtl w:val="true"/>
          <w:lang w:bidi="fa-IR"/>
        </w:rPr>
        <w:t>سازمان خود را در اینترنت و فیس بوک این 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کتاب خانه ای در بیسکوپسگاردن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غیر دولتی به دور از مسائل سیاسی و مذهبی است که به عنوان پل اتصالی بین ساکنین شهر و کتاب خانه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هم کاری بین ساکنین کتاب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کتاب خانه به عنوان محلی برای نشست های بین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فعالیت های فرهنگی و آموزشی برای بچه ها، بزرگسالان و خانواده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فضای کتاب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کردن خلأ آموزش رایانه ای</w:t>
      </w:r>
    </w:p>
    <w:p>
      <w:pPr>
        <w:pStyle w:val="BookText"/>
        <w:rPr/>
      </w:pPr>
      <w:r>
        <w:rPr>
          <w:rFonts w:ascii="IRNazanin" w:hAnsi="IRNazanin" w:eastAsia="IRNazanin"/>
          <w:color w:val="111111"/>
          <w:sz w:val="28"/>
          <w:sz w:val="28"/>
          <w:szCs w:val="28"/>
          <w:rtl w:val="true"/>
          <w:lang w:bidi="fa-IR"/>
        </w:rPr>
        <w:t>آناکارین الف و اليورا جاجا هر دو به نقش مهم ارتباطی سازمان اذعان دارند و برای کارهای آینده حضور اعضا جدید انتظارات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این باورند که حضور کارکنان و اعضا به طور هم زمان برای تأمین و مشارکت مداوم در کتاب خانه الزامی است</w:t>
      </w:r>
      <w:r>
        <w:rPr>
          <w:rFonts w:eastAsia="IRNazanin" w:cs="IRNazanin"/>
          <w:color w:val="111111"/>
          <w:sz w:val="28"/>
          <w:szCs w:val="28"/>
          <w:rtl w:val="true"/>
          <w:lang w:bidi="fa-IR"/>
        </w:rPr>
        <w:t>.</w:t>
      </w:r>
    </w:p>
    <w:p>
      <w:pPr>
        <w:pStyle w:val="Heading3"/>
        <w:numPr>
          <w:ilvl w:val="2"/>
          <w:numId w:val="1"/>
        </w:numPr>
        <w:rPr/>
      </w:pPr>
      <w:bookmarkStart w:id="1148" w:name="__RefHeading___Toc7826063_2870459653"/>
      <w:bookmarkStart w:id="1149" w:name="_Toc426"/>
      <w:bookmarkEnd w:id="1148"/>
      <w:r>
        <w:rPr>
          <w:rtl w:val="true"/>
        </w:rPr>
        <w:t>عرصه ای دموکراتیک</w:t>
      </w:r>
      <w:bookmarkEnd w:id="1149"/>
    </w:p>
    <w:p>
      <w:pPr>
        <w:pStyle w:val="BookText"/>
        <w:rPr/>
      </w:pPr>
      <w:r>
        <w:rPr>
          <w:rFonts w:ascii="IRNazanin" w:hAnsi="IRNazanin" w:eastAsia="IRNazanin"/>
          <w:color w:val="111111"/>
          <w:sz w:val="28"/>
          <w:sz w:val="28"/>
          <w:szCs w:val="28"/>
          <w:rtl w:val="true"/>
          <w:lang w:bidi="fa-IR"/>
        </w:rPr>
        <w:t>اکثر ساکنین سوئد عضو کتاب خانه ها هستند و هر کسی نسبت به آن چه هست و می بایست باشد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متفاوتی به کتاب خانه می روند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گرفتن برای حل تکالیف، مطالعه روزنامه به زبان کشور مبدأ، کمک گرفتن برای تکمیل فرم، امانت گرفتن کتاب به زبانی که ترجیح می دهند، تحقیق شجره نامه ای، شرکت در مراسم های فرهنگی، گرفتن توصیه های بهداشتی، مطالعه مجله، یادگیری زبان سوئدی یا دیگر زبان ها، دیدن نمایشگاه، دور هم جمع شدن دوستان، شطرنج بازی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کتاب خانه ها را محل ملاقاتی با تنش کم تر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هر کدام از ما با توجه به نیازمان می توانیم از منابع عمومی استفاده کنیم، چه فردی چه جمعی؛ البته بدون هیچ نیازی به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که این چنین مکانی با تنش کم تر نسبت به مکان های رسمی تر با حوزه علائق خاص مثل باشگاه شطرنج یا مؤسسات قومی، توانسته اتحاد بیشتری ایجاد 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سوئد مذهب و ایدئولوژی به عنوان نظام های توجیهی قدرتشان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ها به اکثر افراد مفاهیم معمول زندگی را ارائه می کنند؛ بنابراین موجب اتحاد جامعه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به دنبال چیز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دیگر یک فرد قادر به پاسخگویی آن نیست اما کتاب خانه عرصه ای متنوع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محل برای تمامی افراد قابل استفاده است، جایی است برای یافتن راه حل های ساده و توافقی به دور از اختلاف نظرها در دنیای پیچیده امروز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مکان علم و تجربه مهم ترین موسسه ای است که می توان مراسم های بین فرهنگی در آن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امکان توسعه بیشتر تقابلت فرهنگی را به وجود می آورد و ضروری است که از این میان از غنا و پراکندگی که برای افراد و جامعه به وجود می آید بهره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را به عنوان صخره مرجانی جدایی نمی توان در نظر گرفت که رشد می کند و در همان جای نسل قبل قرار دارد؛ بلکه می توان آن را به عنوان زمینی مغناطیسی در نظر گرفت که دائماً در حال تغییر و تحول و ایجاد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فرهنگ بیشتر در نمودهایی چون ارتباطات و آینده عینی شده است و دیگر مثل قبل به معنی آداب و رسوم و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صخره های مرجانی و هم زمین مغناطیسی دو روش متفاوت برای بیان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متون، یکی از نظریه ها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زمین مغناطیسی برای اداره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فرهنگی</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کشورهای اندکی و شاید هم هیچ کشوری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ساکن</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 xml:space="preserve">داشته باشند و با فناوری مدرن دیگر نیاز به یک سرزمین مشترک نیست چراکه همه زیر مجموعه های فرهنگی که روبه افزایش هستند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جهانی</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عضوی از فرهنگ های متفاوت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کتاب دار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هم جنس گرایی که ساکن سوئد است و مادرش فنلاندی و پدرش هندی که گیاه خوار، جامعه شناس و بودائی است و بزرگ ترین علاقه اش حرکت های سنتی هندی است، او با نگاه منزوی و یک طرفه قابل درک نیست و نمی توان بدون ایهام او را تحت یک عنوان طبقه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مسائل بین فرهنگی و یک پارچگی بیشتر بیش از همیشه مهم به نظر می رسد و البته گاهی لحنی توهین 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ارشد اذعان دارند که مسائل بین فرهنگی با شکست روبرو شده و مردم راست گرا هم با سرعت وحشتناکی در حال افزایش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همه ما در جامعه ای چند فرهنگی زندگی می کنیم و به جای تمرکز روی مشکلات، بهتر است به داشته ها و فرصت هایی که این جامعه چند فرهنگی برایمان ایجاد می کند، توجه کنیم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اصلی این است که امکانات و ارتباطات را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فرهنگی</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گسترش دهیم تا وجه مشترک فرهنگی اجتماعی بزرگی بسازیم؛ قاعدتاً کتاب خانه بخش مهمی از این وجه مشترک است، در حالی که نیز این امکان را برای پرورش استعدادهای شخصی به وجود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خانه های عمومی به نظر راه حلی صریح و منطقی هستند چرا که می توانند نیازها و علائق مخالف را پاسخگو باشند و هم زمان باعث ایجاد پراکندگی عمومی و مشارکت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متفاوت می شوند و کتاب خانه می تواند محلی برای ادعاهای زیادی باشد که هویت ملی و تاریخ را با هم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 متعددی مشابه بیسکوپسگاردن، من الجمله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فيسكساترا</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در ناکا، کتاب خانه های زیادی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بودکِرکا</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و هر دو شهرداری استکهلم، در ایجاد فضای دموکراتیک بین فرهنگی نسبت به سایرین موفق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فیسکساترا مراودات فرهنگی بین مذهبی بین نمایندگان مسلمان، یهودی و مسیحی راه انداخته است که منجر به ساخت مشارکتی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حتی موزه یا آرشیوی از داستان زندگی ساکنین فیسکساترا و نمونه های هنری سراسر جهان راه انداخته است که در واقع روشی برای ایجاد هویت منطقه ای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خود را عرصه ای برای مردم سالاری می داند چراکه وسایل کاربردی هم چون بلندگو و سایر وسایلی که در نشست ها و اجراها نیاز است را در اختیار عموم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غیر مسقف </w:t>
      </w:r>
      <w:r>
        <w:rPr>
          <w:rStyle w:val="FootnoteAnchor"/>
          <w:rtl w:val="true"/>
        </w:rPr>
        <w:footnoteReference w:id="1204"/>
      </w:r>
      <w:r>
        <w:rPr>
          <w:rFonts w:ascii="IRNazanin" w:hAnsi="IRNazanin" w:eastAsia="IRNazanin"/>
          <w:color w:val="111111"/>
          <w:sz w:val="28"/>
          <w:sz w:val="28"/>
          <w:szCs w:val="28"/>
          <w:rtl w:val="true"/>
          <w:lang w:bidi="fa-IR"/>
        </w:rPr>
        <w:t xml:space="preserve">و نشست های آزاد </w:t>
      </w:r>
      <w:r>
        <w:rPr>
          <w:rStyle w:val="FootnoteAnchor"/>
          <w:rtl w:val="true"/>
        </w:rPr>
        <w:footnoteReference w:id="1205"/>
      </w:r>
      <w:r>
        <w:rPr>
          <w:rFonts w:ascii="IRNazanin" w:hAnsi="IRNazanin" w:eastAsia="IRNazanin"/>
          <w:color w:val="111111"/>
          <w:sz w:val="28"/>
          <w:sz w:val="28"/>
          <w:szCs w:val="28"/>
          <w:rtl w:val="true"/>
          <w:lang w:bidi="fa-IR"/>
        </w:rPr>
        <w:t xml:space="preserve">و نمایشگاه کتاب بین المللی از جمله امکانات مردمی کتاب خانه هالوندا </w:t>
      </w:r>
      <w:r>
        <w:rPr>
          <w:rStyle w:val="FootnoteAnchor"/>
          <w:rtl w:val="true"/>
        </w:rPr>
        <w:footnoteReference w:id="1206"/>
      </w:r>
      <w:r>
        <w:rPr>
          <w:rFonts w:ascii="IRNazanin" w:hAnsi="IRNazanin" w:eastAsia="IRNazanin"/>
          <w:color w:val="111111"/>
          <w:sz w:val="28"/>
          <w:sz w:val="28"/>
          <w:szCs w:val="28"/>
          <w:rtl w:val="true"/>
          <w:lang w:bidi="fa-IR"/>
        </w:rPr>
        <w:t>در بودکِر کا است که برای نشست های بین فرهنگی و مباحث و اجراها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طرحی را برای کاهش بی سوادی در بین تازه واردان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باسواد بودن شرط اصلی شهروند فعال بودن است و موجب کمک به کتاب خانه و افزایش اطلاعات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کتاب خانه های عمومی سوئد به عنوان حوزه های برجسته رأی گیری در انتخابات عمومی، سال ها مورد استفاده قرار گرفته اند که در واقع توسعه ای عادی در منشور دموکراتیک کتاب خانه ها به حساب می آید و باعث انشعاب بیشتر آن ها در حومه مثل بیسکوپسگاردن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کتاب خانه فیسکساترا و هالبو </w:t>
      </w:r>
      <w:r>
        <w:rPr>
          <w:rStyle w:val="FootnoteAnchor"/>
          <w:rtl w:val="true"/>
        </w:rPr>
        <w:footnoteReference w:id="1207"/>
      </w:r>
      <w:r>
        <w:rPr>
          <w:rFonts w:ascii="IRNazanin" w:hAnsi="IRNazanin" w:eastAsia="IRNazanin"/>
          <w:color w:val="111111"/>
          <w:sz w:val="28"/>
          <w:sz w:val="28"/>
          <w:szCs w:val="28"/>
          <w:rtl w:val="true"/>
          <w:lang w:bidi="fa-IR"/>
        </w:rPr>
        <w:t>در گوتنبرگ از مردم خواسته اند تا بعد از مراسم سوگواری افراد سرشناس، در محل گرد هم آیند چرا که کتاب خانه مکان عادی برای کارهای روزمره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بیسکوپسگاردن و دیگر انجمن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كتاب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مشترکشان به کتاب خانه به عنوان پلی بین فرهنگی، در هر زمینه ای فرصت هایی برای توسعه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نظرشان این است که کتاب خانه را توسعه دهند و انجمن های دیگر مثل شهروندان ارشد را در اداره کافه های زبان مشارکت </w:t>
      </w:r>
      <w:bookmarkStart w:id="1150" w:name="pg9659_94243"/>
    </w:p>
    <w:p>
      <w:pPr>
        <w:pStyle w:val="BookText"/>
        <w:rPr/>
      </w:pPr>
      <w:bookmarkEnd w:id="1150"/>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آن ها را بیشتر در خدمات کتاب خانه شرکت دهند بنابراین با توجه به پذیرش تغییرات، نقش کتاب خانه می تواند وسیع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اولیورا جاجا، رئیس کتاب خانه، از دیگر موسسه ها و سازمان ها و مقامات شهری درخواست حضور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افکار داخلی و اندیشه های باریک بینانه و با افزایش امنیت اجتماعی منطقه را بیشتر باز و قابل دسترس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همگی بین ساعت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به افراد نیاز داریم کار می کنند؟ چرا سازمان ها خود را در مکانشان منزوی می کنند زمانی که در همان محلشان می توانند اطلاعات را به اشتراک بگذارند مثل کتاب خانه ها</w:t>
      </w:r>
      <w:r>
        <w:rPr>
          <w:rFonts w:eastAsia="IRNazanin" w:cs="IRNazanin"/>
          <w:color w:val="111111"/>
          <w:sz w:val="28"/>
          <w:szCs w:val="28"/>
          <w:rtl w:val="true"/>
          <w:lang w:bidi="fa-IR"/>
        </w:rPr>
        <w:t>.</w:t>
      </w:r>
    </w:p>
    <w:p>
      <w:pPr>
        <w:pStyle w:val="Heading3"/>
        <w:numPr>
          <w:ilvl w:val="2"/>
          <w:numId w:val="1"/>
        </w:numPr>
        <w:rPr/>
      </w:pPr>
      <w:bookmarkStart w:id="1151" w:name="__RefHeading___Toc7826065_2870459653"/>
      <w:bookmarkStart w:id="1152" w:name="_Toc427"/>
      <w:bookmarkEnd w:id="1151"/>
      <w:r>
        <w:rPr>
          <w:rtl w:val="true"/>
        </w:rPr>
        <w:t>مطالعات و نیازها</w:t>
      </w:r>
      <w:bookmarkEnd w:id="1152"/>
    </w:p>
    <w:p>
      <w:pPr>
        <w:pStyle w:val="BookText"/>
        <w:rPr/>
      </w:pPr>
      <w:r>
        <w:rPr>
          <w:rFonts w:ascii="IRNazanin" w:hAnsi="IRNazanin" w:eastAsia="IRNazanin"/>
          <w:color w:val="111111"/>
          <w:sz w:val="28"/>
          <w:sz w:val="28"/>
          <w:szCs w:val="28"/>
          <w:rtl w:val="true"/>
          <w:lang w:bidi="fa-IR"/>
        </w:rPr>
        <w:t xml:space="preserve">جان پیتمن </w:t>
      </w:r>
      <w:r>
        <w:rPr>
          <w:rStyle w:val="FootnoteAnchor"/>
          <w:rtl w:val="true"/>
        </w:rPr>
        <w:footnoteReference w:id="1208"/>
      </w:r>
      <w:r>
        <w:rPr>
          <w:rFonts w:ascii="IRNazanin" w:hAnsi="IRNazanin" w:eastAsia="IRNazanin"/>
          <w:color w:val="111111"/>
          <w:sz w:val="28"/>
          <w:sz w:val="28"/>
          <w:szCs w:val="28"/>
          <w:rtl w:val="true"/>
          <w:lang w:bidi="fa-IR"/>
        </w:rPr>
        <w:t xml:space="preserve">و جان وینسنت </w:t>
      </w:r>
      <w:r>
        <w:rPr>
          <w:rStyle w:val="FootnoteAnchor"/>
          <w:rtl w:val="true"/>
        </w:rPr>
        <w:footnoteReference w:id="1209"/>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های عمومی و عدالت اجتماعی</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از ما می پرسند که آیا کتاب خانه ها باید روی نیازها تمرکز کنند یا روی مطالعات؟ آیا رسالت کتاب خانه ها از تهیه کتاب برای مطالعه به تلاش برای جلب رضایت جامعه جهان پیچیده تغییر یافته است؟ جواب در سؤال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کتاب خانه های قدیمی تمام شده است؛ اما نباید به طور کلی کنار گذاشته شوند بلکه باید نکات مثبت آن ها را فرا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این جمله کلیشه ای را زیاد می شنویم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فقط کتاب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نادرستی است که کتاب ها قدیمی شده اند، چرا که امروزه کتاب خانه ها خیلی هم به روز شده اند و امکانات مدرن زیادی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ها چیزی بیش از امانت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مثل کتب، روزنامه، مجلات و غیره که بازدید کنندگان انتظار دارند کتاب خانه ارائه کند و انتقال آثار نوشتاری که مسئولیت منحصر به فرد کتاب خانه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چیزهای دیگری که کتاب خانه ها انجام می دهند، مثل برگزاری رویدادهای فرهنگی، دوره ها آموزشی، نشست ها، و نمایشگاه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توانند سایر سازمان 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کارهایی از جمله کافه های زبان، کمک در انجام تکالیف، کمک های آموزشی و خدمات دیگری است که باعث افزایش اتحاد می شوند نیز می تواند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کسی اهمیت نمی دهد اما کتاب خانه ها گاهی خدمات تخصصی توسط کارمندان زبده را برای نیازهای خاص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بسیار قابل تقدیر است و معمولاً جای اصلی این گونه خدمات هستند؛ اما خطر نادیده گرفته شدن مسئولیت اصلی کتاب خانه در تهیه و تنظیم اطلاعات رسانه ای افزایش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نزدیکی کتاب خانه بیسکوپسگاردن یک دفتر اجتماعی در حال بازگشایی است که موظف است خیلی از موضوع ها و مسائلی که کتاب خانه انجام می دهد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مشکلات فردی و اجتماعی مردم، پیشنهاد راهنمایی های شخصی، اطلاعات خانه داری، خدمات مسئولیتی و مشاوره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دیگری هم هستند که در نظر دارند هم کافه زبان دایر کنند و هم در انجام تکالیف به فراگیران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کتاب خانه این خیلی مثبت است که افراد فعالانه در ارائه خدمات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حالت رقابتی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با مشکلات فراوان هرکسی می بایستی به یک سمت مشترک حرکت کند؛ بنابراین خوشبختانه کتاب خانه می تواند بیشتر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چون کار با رسانه، خرید و امانت کتب، مجلات و روزنامه ها به زبان های متعدد دشوار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این را کاری سخت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 امانت ها بازخورد کم کتاب خانه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فرهنگ لغت معادل با قیمت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 دی موسیقی پرطرفدار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مدت زمانی که فرهنگ لغت امانت داده می شود، سی دی 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امانت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کتاب خانه ها بر اساس گردش امانت آن ها</w:t>
      </w:r>
    </w:p>
    <w:p>
      <w:pPr>
        <w:pStyle w:val="BookText"/>
        <w:rPr/>
      </w:pPr>
      <w:r>
        <w:rPr>
          <w:rFonts w:ascii="IRNazanin" w:hAnsi="IRNazanin" w:eastAsia="IRNazanin"/>
          <w:color w:val="111111"/>
          <w:sz w:val="28"/>
          <w:sz w:val="28"/>
          <w:szCs w:val="28"/>
          <w:rtl w:val="true"/>
          <w:lang w:bidi="fa-IR"/>
        </w:rPr>
        <w:t>است، که امروزه برای کتاب خانه ها خیلی چشم گیر و مهم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پیشرفت خدمات کتاب خانه های چند زبانه که هر جای کشور می توانند دایر باشند، تمایل دارند هر چیزی باشند جز خرید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ساخت بنایی مربوط به رسانه و زبان های متعدد، این شما هستید که تعیین می کنید چه چیز جلب توجه می کند و موفقیت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اقساطی</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شعار فراگیری بود؛ اما اکثر بازدیدکنندگان آن چه را می خواستند،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همه کتاب خانه برای کسانی که مشکل زبان دارند محیطی مناسب ایجاد کرده و نه آن چه در فهرست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بسیاری از بازدیدکنندگان به دنبال مجلات و گاهنامه ها به زبان مبدأشان هستند، ایجاد کتاب خانه های چند زبانه ی واقعی چالشی است که امروزه تعداد اندکی از کتاب خانه ها 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تر به نظر می رسد که تمامی ادوات رسانه ای به زبان سوئدی را برای ایجاد اتحاد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از قبیل دوره کتب آموزشی، فرهنگ لغات، کتاب های آسان، کتب درسی برای پیش دبستانی ها و مدارس راهنمایی، مجلات به زبان سوئدی آسان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کتاب خانه ها خلاً زیادی در تهیه این امکانات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بیشتر توسط میزگرد مشورتی بیان می شدند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فرصت های خوبی برای خدمات کتاب خانه چند زبانه ایجاد کرده است؛ بنابراین نیاز است که هر کتاب خانه تعداد زیادی رایانه مجهز و نیروهای زبده برای آموزش و راهنمایی کاربران داشته باشد</w:t>
      </w:r>
      <w:r>
        <w:rPr>
          <w:rFonts w:eastAsia="IRNazanin" w:cs="IRNazanin"/>
          <w:color w:val="111111"/>
          <w:sz w:val="28"/>
          <w:szCs w:val="28"/>
          <w:rtl w:val="true"/>
          <w:lang w:bidi="fa-IR"/>
        </w:rPr>
        <w:t xml:space="preserve">. </w:t>
      </w:r>
      <w:bookmarkStart w:id="1153" w:name="pg9659_94245"/>
    </w:p>
    <w:p>
      <w:pPr>
        <w:pStyle w:val="BookText"/>
        <w:rPr/>
      </w:pPr>
      <w:bookmarkEnd w:id="1153"/>
      <w:r>
        <w:rPr>
          <w:rFonts w:ascii="IRNazanin" w:hAnsi="IRNazanin" w:eastAsia="IRNazanin"/>
          <w:color w:val="111111"/>
          <w:sz w:val="28"/>
          <w:sz w:val="28"/>
          <w:szCs w:val="28"/>
          <w:rtl w:val="true"/>
          <w:lang w:bidi="fa-IR"/>
        </w:rPr>
        <w:t>تلویزیون، رادیو، روزنامه، پایگاه های خبری، فرهنگ لغات، دوره های زبان و بخش های دیگری از جهان هنوز در هاله ای از ابهام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مسیرشان را برای کمک پیدا کرده اند، اما کارمندان کتاب خانه می بایستی در فضای رقومی به روز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همه این ها آشنایی با اصول اصلی رایانه است که امروزه کتاب خانه ها پیشنهاد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رسانه ای رقومی یا آثار منتشر شده هنوز از داشته های منحصر به فرد کتاب خانه ها هستند؛ بنابراین هم مطالعات هم نیازها</w:t>
      </w:r>
      <w:r>
        <w:rPr>
          <w:rFonts w:eastAsia="IRNazanin" w:cs="IRNazanin"/>
          <w:color w:val="111111"/>
          <w:sz w:val="28"/>
          <w:szCs w:val="28"/>
          <w:rtl w:val="true"/>
          <w:lang w:bidi="fa-IR"/>
        </w:rPr>
        <w:t>!</w:t>
      </w:r>
    </w:p>
    <w:p>
      <w:pPr>
        <w:pStyle w:val="Heading3"/>
        <w:numPr>
          <w:ilvl w:val="2"/>
          <w:numId w:val="1"/>
        </w:numPr>
        <w:rPr/>
      </w:pPr>
      <w:bookmarkStart w:id="1154" w:name="__RefHeading___Toc7826067_2870459653"/>
      <w:bookmarkStart w:id="1155" w:name="_Toc428"/>
      <w:bookmarkEnd w:id="1154"/>
      <w:r>
        <w:rPr>
          <w:rtl w:val="true"/>
        </w:rPr>
        <w:t>آموزش و شرکت فعال</w:t>
      </w:r>
      <w:bookmarkEnd w:id="1155"/>
    </w:p>
    <w:p>
      <w:pPr>
        <w:pStyle w:val="BookText"/>
        <w:rPr/>
      </w:pPr>
      <w:r>
        <w:rPr>
          <w:rFonts w:ascii="IRNazanin" w:hAnsi="IRNazanin" w:eastAsia="IRNazanin"/>
          <w:color w:val="111111"/>
          <w:sz w:val="28"/>
          <w:sz w:val="28"/>
          <w:szCs w:val="28"/>
          <w:rtl w:val="true"/>
          <w:lang w:bidi="fa-IR"/>
        </w:rPr>
        <w:t>نه فقط در بیسکوپسگاردن بلکه در همه جا کتاب خانه می تواند تنش ها و شرایط کلی جامعه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مکانی برای ملاقات، مکالمه ها و آموزش، پیشرفت ها و آمادگی بازدیدکنندگان برای مرتفع کردن نیازهایشان وجود دارد، اما کتاب خانه ها می توانند نقطه عطفی برای راهنمایی افراد روبه جلو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نقش اصلی کتاب خانه های عمومی است که با صرف نظر از پیشینه و آموزش، با استفاده از فرصت ها و کسب دانش و شرکت در توسعه جمعی، نقش کتاب خانه ها را می توان ارتقاء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بحث فقط در مورد طبقه کارگر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بحث در مورد تازه واردانی است که به زبان و دیگر مهارت ها برای حضور در جامعه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آناکارین الف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سواد بودن ما را قادر به حرکت هدفمندانه در جامعه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جایی برای یادگیری است</w:t>
      </w:r>
      <w:r>
        <w:rPr>
          <w:rFonts w:eastAsia="IRNazanin" w:cs="IRNazanin"/>
          <w:color w:val="111111"/>
          <w:sz w:val="28"/>
          <w:szCs w:val="28"/>
          <w:rtl w:val="true"/>
          <w:lang w:bidi="fa-IR"/>
        </w:rPr>
        <w:t>».</w:t>
      </w:r>
    </w:p>
    <w:p>
      <w:pPr>
        <w:pStyle w:val="Heading3"/>
        <w:numPr>
          <w:ilvl w:val="2"/>
          <w:numId w:val="1"/>
        </w:numPr>
        <w:rPr/>
      </w:pPr>
      <w:bookmarkStart w:id="1156" w:name="__RefHeading___Toc7826069_2870459653"/>
      <w:bookmarkStart w:id="1157" w:name="_Toc429"/>
      <w:bookmarkEnd w:id="1156"/>
      <w:r>
        <w:rPr>
          <w:rtl w:val="true"/>
        </w:rPr>
        <w:t>آراء جديد قابل توجه</w:t>
      </w:r>
      <w:bookmarkEnd w:id="115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بعدی کپی برداری از فیسکساترا است؛ کتاب خانه ای که تبدیل به محل ابراز آرا و خلق میراث فرهنگی 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دموکراتیک مهم است که چه کسی و چگونه تاریخ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مردم هم می خوانند و هم می توانند نظراتشان را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در رسانه می بینیم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گروه خاصی از جوانان مورد قدردانی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چیز ثابتی نیست اما آن چه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تغییر باشد، می تواند منجر به روشنفکری و توسعه دیدگاهمان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با مربیان محبوب و دیگر سازمان ها، می تواند در ساخت تاریخ محلی جدید و تأثیر گذار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کتاب خانه ها در هر کشوری مجموعه ای محلی از ادبیات در مورد شهر و حومه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نقطه شروع خوبی برای جمع آوری داستان ها و استفاده از رسانه های متفاوت برای انعکاس آن ها و این که چطور هویت ملی تغییر می کند و چگونه هویت های جدید شکل می گیرد</w:t>
      </w:r>
      <w:r>
        <w:rPr>
          <w:rFonts w:eastAsia="IRNazanin" w:cs="IRNazanin"/>
          <w:color w:val="111111"/>
          <w:sz w:val="28"/>
          <w:szCs w:val="28"/>
          <w:rtl w:val="true"/>
          <w:lang w:bidi="fa-IR"/>
        </w:rPr>
        <w:t xml:space="preserve">. </w:t>
      </w:r>
      <w:bookmarkStart w:id="1158" w:name="pg9659_94246"/>
    </w:p>
    <w:p>
      <w:pPr>
        <w:pStyle w:val="BookText"/>
        <w:rPr/>
      </w:pPr>
      <w:bookmarkEnd w:id="1158"/>
      <w:r>
        <w:rPr>
          <w:rFonts w:ascii="IRNazanin" w:hAnsi="IRNazanin" w:eastAsia="IRNazanin"/>
          <w:color w:val="111111"/>
          <w:sz w:val="28"/>
          <w:sz w:val="28"/>
          <w:szCs w:val="28"/>
          <w:rtl w:val="true"/>
          <w:lang w:bidi="fa-IR"/>
        </w:rPr>
        <w:t xml:space="preserve">با امکانات و فناوری جدید کتاب خانه ها قادرند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جدید منابع</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شوند و فضایی را برای روزنامه نگاران جدید ایجاد کنند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نگاری فرامحلی</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و انتشار کتب، انتشار موارد درخواست شده و چاپ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 ویِنر </w:t>
      </w:r>
      <w:r>
        <w:rPr>
          <w:rStyle w:val="FootnoteAnchor"/>
          <w:rtl w:val="true"/>
        </w:rPr>
        <w:footnoteReference w:id="1214"/>
      </w:r>
      <w:r>
        <w:rPr>
          <w:rFonts w:ascii="IRNazanin" w:hAnsi="IRNazanin" w:eastAsia="IRNazanin"/>
          <w:color w:val="111111"/>
          <w:sz w:val="28"/>
          <w:sz w:val="28"/>
          <w:szCs w:val="28"/>
          <w:rtl w:val="true"/>
          <w:lang w:bidi="fa-IR"/>
        </w:rPr>
        <w:t xml:space="preserve">معاون تحقیقات در گارتنر </w:t>
      </w:r>
      <w:r>
        <w:rPr>
          <w:rStyle w:val="FootnoteAnchor"/>
          <w:rtl w:val="true"/>
        </w:rPr>
        <w:footnoteReference w:id="1215"/>
      </w:r>
      <w:r>
        <w:rPr>
          <w:rFonts w:ascii="IRNazanin" w:hAnsi="IRNazanin" w:eastAsia="IRNazanin"/>
          <w:color w:val="111111"/>
          <w:sz w:val="28"/>
          <w:sz w:val="28"/>
          <w:szCs w:val="28"/>
          <w:rtl w:val="true"/>
          <w:lang w:bidi="fa-IR"/>
        </w:rPr>
        <w:t xml:space="preserve">از این مفاهیم در نشستی که در نوامبر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خانه ها را تشویق به استفاده از فرصت هایی می کند که فناوری به وجود می آورد و هم چنین آن ها را تشویق به کار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سازمان های آموزشی کارگاه های رسانه ای ارائه می دهند و شرکت کنندگان متون و تصاویری خلق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کتاب خانه ها امکان توسعه فرآیندهای حاضر در این گروه ها و ایجاد حلقه های درسی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توانند خود را به دیگران نشان دهند و بر جامعه تأثیر گذارند؛ بنابراین می توانید توانایی توسعه و میراث فرهنگی ایجاد کنید</w:t>
      </w:r>
      <w:r>
        <w:rPr>
          <w:rFonts w:eastAsia="IRNazanin" w:cs="IRNazanin"/>
          <w:color w:val="111111"/>
          <w:sz w:val="28"/>
          <w:szCs w:val="28"/>
          <w:rtl w:val="true"/>
          <w:lang w:bidi="fa-IR"/>
        </w:rPr>
        <w:t>.</w:t>
      </w:r>
    </w:p>
    <w:p>
      <w:pPr>
        <w:pStyle w:val="Heading3"/>
        <w:numPr>
          <w:ilvl w:val="2"/>
          <w:numId w:val="1"/>
        </w:numPr>
        <w:rPr/>
      </w:pPr>
      <w:bookmarkStart w:id="1159" w:name="__RefHeading___Toc7826071_2870459653"/>
      <w:bookmarkStart w:id="1160" w:name="_Toc430"/>
      <w:bookmarkEnd w:id="1159"/>
      <w:r>
        <w:rPr>
          <w:rtl w:val="true"/>
        </w:rPr>
        <w:t>منابع</w:t>
      </w:r>
      <w:bookmarkEnd w:id="1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Atlestam, Ingrid &amp; Myhre, Randi (Ed.). Det mångspråkiga biblioteket-en nödvändig utopi. BTJ. 2012. Pateman, John &amp; Vincent, John. Public Libraries and Social Justice. Ashgate Publishing Limited. 2010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Internet Source Biblioteksvännerna i Biskopsgården (Library Friends in Biskopsgården) http://bibvannerna.blogspot.se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Biskopsgården Language Café http://biskops gardensprakcafe.blogspot. se</w:t>
      </w:r>
    </w:p>
    <w:p>
      <w:pPr>
        <w:pStyle w:val="BookText"/>
        <w:rPr/>
      </w:pPr>
      <w:r>
        <w:rPr>
          <w:rFonts w:eastAsia="Times New Roman" w:cs="Times New Roman" w:ascii="Times New Roman" w:hAnsi="Times New Roman"/>
          <w:color w:val="111111"/>
          <w:sz w:val="28"/>
          <w:szCs w:val="28"/>
          <w:lang w:val="en-US" w:bidi="en-US"/>
        </w:rPr>
        <w:t>Biskopsgården Library http://goteborg.se/wps po%D8%B2c?urile=wcm%3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http://goteborg.se/wps/poc?urile=wcm%3Apath%3Agoteborg.se</w:t>
      </w:r>
      <w:r>
        <w:rPr>
          <w:rFonts w:eastAsia="Times New Roman" w:cs="Times New Roman" w:ascii="Times New Roman" w:hAnsi="Times New Roman"/>
          <w:color w:val="111111"/>
          <w:sz w:val="28"/>
          <w:szCs w:val="28"/>
          <w:rtl w:val="true"/>
          <w:lang w:val="en-US" w:bidi="en-US"/>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1" w:name="pg9659_94248"/>
      <w:bookmarkStart w:id="1162" w:name="pg9659_94248"/>
      <w:bookmarkEnd w:id="1162"/>
    </w:p>
    <w:p>
      <w:pPr>
        <w:pStyle w:val="Heading2"/>
        <w:numPr>
          <w:ilvl w:val="1"/>
          <w:numId w:val="1"/>
        </w:numPr>
        <w:rPr/>
      </w:pPr>
      <w:bookmarkStart w:id="1163" w:name="pg9659_94248"/>
      <w:bookmarkStart w:id="1164" w:name="__RefHeading___Toc7826073_2870459653"/>
      <w:bookmarkStart w:id="1165" w:name="_Toc431"/>
      <w:bookmarkEnd w:id="1163"/>
      <w:bookmarkEnd w:id="1164"/>
      <w:r>
        <w:rPr>
          <w:rtl w:val="true"/>
        </w:rPr>
        <w:t>چکیده</w:t>
      </w:r>
      <w:bookmarkEnd w:id="1165"/>
    </w:p>
    <w:p>
      <w:pPr>
        <w:pStyle w:val="BookText"/>
        <w:rPr/>
      </w:pPr>
      <w:r>
        <w:rPr>
          <w:rFonts w:ascii="IRNazanin" w:hAnsi="IRNazanin" w:eastAsia="IRNazanin"/>
          <w:color w:val="111111"/>
          <w:sz w:val="28"/>
          <w:sz w:val="28"/>
          <w:szCs w:val="28"/>
          <w:rtl w:val="true"/>
          <w:lang w:bidi="fa-IR"/>
        </w:rPr>
        <w:t xml:space="preserve">خدمات اطلاع رسانی پارلمانی </w:t>
      </w:r>
      <w:r>
        <w:rPr>
          <w:rStyle w:val="FootnoteAnchor"/>
          <w:rtl w:val="true"/>
        </w:rPr>
        <w:footnoteReference w:id="1217"/>
      </w:r>
      <w:r>
        <w:rPr>
          <w:rFonts w:ascii="IRNazanin" w:hAnsi="IRNazanin" w:eastAsia="IRNazanin"/>
          <w:color w:val="111111"/>
          <w:sz w:val="28"/>
          <w:sz w:val="28"/>
          <w:szCs w:val="28"/>
          <w:rtl w:val="true"/>
          <w:lang w:bidi="fa-IR"/>
        </w:rPr>
        <w:t>به عنوان یک منبع اطلاعاتی به دو گروه اعضای پارلمان و جامعه ایفای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پارلمان به سبب نقش آن ها در تصمیم گیری و مواجه شدن با چالش رفع نیازهای جامعه در یک محیط متغیر و شهروندان جامعه به سبب مرکز و کانونی بودن در فرآیند قانون گذاری در کسب اطلاعات، مهم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 کردن با این دو گروه از مشتریان می تواند چالش 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فرآیندهای کاری خوب تعریف و ایجاد نشود، کارایی وظایف تحت تأثیر قرار خواهد گرفت و مشکلاتی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خدمات و ارائه آن به اعضای پارلمان تاکنون کارهای زیادی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ها به سبب تمایل به نزدیک شدن به شهروندان، پاسخ به پرسش های اطلاعاتی و گوش دادن به درخواست های آنان، راه های ارتباطاتی متعددی را طراحی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می تواند ناموفق باشد و موانعی را در اجرای ارتباط خوب بین پارلمان و جامعه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چنین تلاشی می تواند بسیار وقت گیر باشد و کل نظام فراهم آوری اطلاعات را برای اعضای پارلمان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علم بر این چالش و روبرو بودن با راه های ارتباطاتی متعدد، هم چنین ساختارهای فناوری مختلف و کارکنان، دفتر نمایندگان برزیل </w:t>
      </w:r>
      <w:r>
        <w:rPr>
          <w:rStyle w:val="FootnoteAnchor"/>
          <w:rtl w:val="true"/>
        </w:rPr>
        <w:footnoteReference w:id="1218"/>
      </w:r>
      <w:r>
        <w:rPr>
          <w:rFonts w:ascii="IRNazanin" w:hAnsi="IRNazanin" w:eastAsia="IRNazanin"/>
          <w:color w:val="111111"/>
          <w:sz w:val="28"/>
          <w:sz w:val="28"/>
          <w:szCs w:val="28"/>
          <w:rtl w:val="true"/>
          <w:lang w:bidi="fa-IR"/>
        </w:rPr>
        <w:t xml:space="preserve">طرحی را تعریف کردند که یک الگو شرکتی پیشرویی </w:t>
      </w:r>
      <w:r>
        <w:rPr>
          <w:rStyle w:val="FootnoteAnchor"/>
          <w:rtl w:val="true"/>
        </w:rPr>
        <w:footnoteReference w:id="1219"/>
      </w:r>
      <w:r>
        <w:rPr>
          <w:rFonts w:ascii="IRNazanin" w:hAnsi="IRNazanin" w:eastAsia="IRNazanin"/>
          <w:color w:val="111111"/>
          <w:sz w:val="28"/>
          <w:sz w:val="28"/>
          <w:szCs w:val="28"/>
          <w:rtl w:val="true"/>
          <w:lang w:bidi="fa-IR"/>
        </w:rPr>
        <w:t>را برای ارتباط با کاربران درونی و بیرونی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طرح، تعریف و پیاده سازی یک نظام مدیریت یک پارچه برای مواجهه با درخواست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ایجاد سیاست هایی برای پاسخ گویی به نیازهای اطلاعاتی در قالب جنبش هم کاری مستمر بین حوزه های اجرایی مسئول مدیریت راه های ارتباطی از دیگر اهداف این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انتظار می رفت الگو مدیریت ارتباط بتواند به سطح بالایی از برتری در پاسخ گویی به سؤالات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می توانست از طریق تعیین صلاحیت هایی برای رسیدگی به نیازها، حذف افزونگی، حفظ و نگهداری فایل های یک پارچه و اطلاعات درباره افراد و ارائه حمایت شخصی </w:t>
      </w:r>
      <w:r>
        <w:rPr>
          <w:rStyle w:val="FootnoteAnchor"/>
          <w:rtl w:val="true"/>
        </w:rPr>
        <w:footnoteReference w:id="1220"/>
      </w: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شهروندان، کمک به آموزش شهروندان و درک آن ها از مجلس، مشارکت در بحث های درون مجلس را ترویج می دهد و شهروندی را ارتقاء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 رسانی و مستندسازی</w:t>
      </w:r>
    </w:p>
    <w:p>
      <w:pPr>
        <w:pStyle w:val="BookText"/>
        <w:rPr/>
      </w:pP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با توجه به تخصص در برخورد با سؤالات، برای مدیریت طرح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باهدف توضیح طرح، ارائه نتایج و نشان دادن چگونگی تغییر و بهبود فرآیندهای دسترس پذیر ساختن اطلاعات برای اعضای پارلمان و جامعه انجام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های پارلمانی، فراهم آوری اطلاعات، خدمات اطلاع رسانی، مدیریت ارتباط با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آر اِم</w:t>
      </w:r>
      <w:r>
        <w:rPr>
          <w:rFonts w:eastAsia="IRNazanin" w:cs="IRNazanin"/>
          <w:color w:val="111111"/>
          <w:sz w:val="28"/>
          <w:szCs w:val="28"/>
          <w:rtl w:val="true"/>
          <w:lang w:bidi="fa-IR"/>
        </w:rPr>
        <w:t xml:space="preserve">) </w:t>
      </w:r>
      <w:r>
        <w:rPr>
          <w:rStyle w:val="FootnoteAnchor"/>
          <w:rtl w:val="true"/>
        </w:rPr>
        <w:footnoteReference w:id="1223"/>
      </w:r>
      <w:bookmarkStart w:id="1166" w:name="pg9659_94249"/>
    </w:p>
    <w:p>
      <w:pPr>
        <w:pStyle w:val="Heading2"/>
        <w:numPr>
          <w:ilvl w:val="1"/>
          <w:numId w:val="1"/>
        </w:numPr>
        <w:rPr/>
      </w:pPr>
      <w:bookmarkStart w:id="1167" w:name="__RefHeading___Toc7826075_2870459653"/>
      <w:bookmarkStart w:id="1168" w:name="_Toc432"/>
      <w:bookmarkEnd w:id="1166"/>
      <w:bookmarkEnd w:id="1167"/>
      <w:r>
        <w:rPr>
          <w:rtl w:val="true"/>
        </w:rPr>
        <w:t>مدیریت ارتباط با مشتری</w:t>
      </w:r>
      <w:r>
        <w:rPr>
          <w:rtl w:val="true"/>
        </w:rPr>
        <w:t xml:space="preserve">: </w:t>
      </w:r>
      <w:r>
        <w:rPr>
          <w:rtl w:val="true"/>
        </w:rPr>
        <w:t>طرحی برای خدمات اطلاع رسانی پارلمانی</w:t>
      </w:r>
      <w:bookmarkEnd w:id="1168"/>
    </w:p>
    <w:p>
      <w:pPr>
        <w:pStyle w:val="Heading3"/>
        <w:numPr>
          <w:ilvl w:val="2"/>
          <w:numId w:val="1"/>
        </w:numPr>
        <w:rPr/>
      </w:pPr>
      <w:bookmarkStart w:id="1169" w:name="__RefHeading___Toc7826077_2870459653"/>
      <w:bookmarkStart w:id="1170" w:name="_Toc433"/>
      <w:bookmarkEnd w:id="1169"/>
      <w:r>
        <w:rPr>
          <w:rtl w:val="true"/>
        </w:rPr>
        <w:t>اشاره</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ارتباط با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برای خدمات اطلاع رسانی پارلمانی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نوشته کریستین کوئیلو پایوا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اعظم نجفقلی نژاد </w:t>
      </w:r>
      <w:r>
        <w:rPr>
          <w:rStyle w:val="FootnoteAnchor"/>
          <w:rtl w:val="true"/>
        </w:rPr>
        <w:footnoteReference w:id="1226"/>
      </w:r>
    </w:p>
    <w:p>
      <w:pPr>
        <w:pStyle w:val="Heading3"/>
        <w:numPr>
          <w:ilvl w:val="2"/>
          <w:numId w:val="1"/>
        </w:numPr>
        <w:rPr/>
      </w:pPr>
      <w:bookmarkStart w:id="1171" w:name="__RefHeading___Toc7826079_2870459653"/>
      <w:bookmarkStart w:id="1172" w:name="_Toc434"/>
      <w:bookmarkEnd w:id="1171"/>
      <w:r>
        <w:rPr/>
        <w:t>1</w:t>
      </w:r>
      <w:r>
        <w:rPr>
          <w:rtl w:val="true"/>
        </w:rPr>
        <w:t xml:space="preserve">- </w:t>
      </w:r>
      <w:r>
        <w:rPr>
          <w:rtl w:val="true"/>
        </w:rPr>
        <w:t>مقدمه</w:t>
      </w:r>
      <w:bookmarkEnd w:id="1172"/>
    </w:p>
    <w:p>
      <w:pPr>
        <w:pStyle w:val="Heading4"/>
        <w:numPr>
          <w:ilvl w:val="3"/>
          <w:numId w:val="1"/>
        </w:numPr>
        <w:rPr/>
      </w:pPr>
      <w:bookmarkStart w:id="1173" w:name="__RefHeading___Toc7826081_2870459653"/>
      <w:bookmarkStart w:id="1174" w:name="_Toc435"/>
      <w:bookmarkEnd w:id="1173"/>
      <w:r>
        <w:rPr>
          <w:rtl w:val="true"/>
        </w:rPr>
        <w:t>اشاره</w:t>
      </w:r>
      <w:bookmarkEnd w:id="1174"/>
    </w:p>
    <w:p>
      <w:pPr>
        <w:pStyle w:val="BookText"/>
        <w:rPr/>
      </w:pPr>
      <w:r>
        <w:rPr>
          <w:rFonts w:ascii="IRNazanin" w:hAnsi="IRNazanin" w:eastAsia="IRNazanin"/>
          <w:color w:val="111111"/>
          <w:sz w:val="28"/>
          <w:sz w:val="28"/>
          <w:szCs w:val="28"/>
          <w:rtl w:val="true"/>
          <w:lang w:bidi="fa-IR"/>
        </w:rPr>
        <w:t>کتاب خانه ها و خدمات تحقیقاتی ساختارهای حیاتی هستند که پارلمان ها را در دستیابی به اهداف روزانه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می توانند در تمام مراحل فرآیند قانون گذاری به دو شکل ارائه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پاسخ به درخواست اطلاعات به طور مستقیم به اعضای پارلمان و کارکنان مشاور و یا به طور غیر مستقیم با فراهم کردن اطلاعات به شهروندانی که در نهایت درگیر عرصه سیاست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اعضای پارلمان هستند که به اطلاعات به روز و قابل اعتماد در انجام وظایف مجلس و نقش نمایندگی خود وابسته هستند؛ بنابراین، کتاب خانه ها و خدمات تحقیقاتی نه تنها نیازمند داشتن منابع، ابزارهای پژوهش و یک گروه بسیار عالی هستند بلکه هم چنین نیازمند فرآیندها و مراحل سازمان یافته برای کسب موفقیت در چنین چالشی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تا درخواست ها برای تطبیق تراکنش ها با نیازهای فردی مدیریت شود و اطلاعات دقیق و مرتبط فراهم گردد و برای بهبود خدمات، مشتریان را ترغیب به بازخورد نماید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شهروندان هستند که درخواست هایی دارند اما آن ها به دنبال نوع خاصی از اطلاعات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جستجوی داده هایی هستند که به آن ها اتخاذ تصمیم در ابعاد مختلف زندگی را امکان 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فردی ممکن است نیازمند اطلاعاتی درباره قوانین خاص بازنشستگی و یا مسائل بهداشتی و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شهروندان ممکن است بخواهند درباره چگونگی عمل کرد مجلس مطلع شوند و یا درباره صورت حساب های بحث برانگیز اطلاعاتی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آن ها نیازمند اطلاعات آموزشی </w:t>
      </w:r>
      <w:r>
        <w:rPr>
          <w:rStyle w:val="FootnoteAnchor"/>
          <w:rtl w:val="true"/>
        </w:rPr>
        <w:footnoteReference w:id="122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تحصیل کرده می توانند نقش مهمی در توسعه و پیشرفت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پارلمان ها لازم است خدمات مناسبی را به این شهروندان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توسط کتاب خانه ها و یا سایر انواع خدمات اطلاع رسانی برای ارائه اطلاعات قانونی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این دو بعد از تحویل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اعضای مجلس و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چالش است که بستگی به فرآیندهای سازمان یافته، سیاست های قانونی و اولویت ها و منابع کافی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فرآیندها معمولاً به عنوان یک سری مراحل و گام هایی اطلاق می شود که برای به انجام رساندن کاری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انجام فعالیت های مربوط به یک فرآیند، برخی منابع نظیر نیروی انسانی، فناوری، سرمایه گذاری و غیره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لازم است مسئولیت ها، استانداردها و ارزش ها تعریف شود تا تعیین آیا فرآیند موفق بوده است یا به اهداف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داشتن فرآیند سازمان یافته ضروری است روال کاری کارکنان تنظیم شود، بهترین عمل کردها تعیین گردد، دستنامه ها ایجاد شود، محصولات توسعه یابد، نظام ها ادغام گردد و طیف وسیعی از مزایایی که باعث تقویت نهادها می شود، ترویج یابد تا این نهادها وظایف خود را به صورت کارآمد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معمولاً نهادها خدماتی را شناسایی می کنند که برای پیشبرد آن ها از هیچ نوع نقشه از پیش تعیین شده ای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می تواند تشخیص دهد و یا حتی احساس کند که فعالیت خاصی نیازمند تغییر است و یا ارتباط با دیگر مراحل فرآیند، نیازمند برنامه ریزی است اما همین فرد قادر به ایجاد فرصت برای تغییر مؤثر نیست بنابراین فرآیند سازمان یافته برای موفقیت یک نظام حیاتی و ضروری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پارلمان ها، مدیریت تعامل بین خدمات اطلاع رسانی، مشتریان درون سازمانی و برون سازمانی ممکن است فرآیند ساده ای نباشد، چراکه خدمات می تواند از طریق راه های مختلف ارائه شود حتی ممکن است تنظیم گردش کاری که تمام تعاملات را در برگرفته و با آن هماهنگ باشد، پیچیده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پارلمان ها ممکن است ترجیح دهند تا این دو بُعد اشاعه را کاملاً از هم جدا کنند تا بتوانند گردش کار را تسهیل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خدمات تحویل اطلاعات با سطوح مختلف پیچیدگی باید بهبودی </w:t>
      </w:r>
    </w:p>
    <w:p>
      <w:pPr>
        <w:pStyle w:val="BookText"/>
        <w:rPr/>
      </w:pPr>
      <w:r>
        <w:rPr>
          <w:rFonts w:ascii="IRNazanin" w:hAnsi="IRNazanin" w:eastAsia="IRNazanin"/>
          <w:color w:val="111111"/>
          <w:sz w:val="28"/>
          <w:sz w:val="28"/>
          <w:szCs w:val="28"/>
          <w:rtl w:val="true"/>
          <w:lang w:bidi="fa-IR"/>
        </w:rPr>
        <w:t>فرآیندها را با تهیه نقشه کار و بازسازی فرآیندها بر طبق اهداف واضح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این الگوی کاری، پارلمان ها می توانند اثر بخشی تحویل اطلاعات به روز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پارلمان ها می توانند از مزایایی از قبیل خود کارسازی، حذف مراحل بی کاربرد، ساخت و ساز یک پایگاه دانش و تقسیم بندی مشتریان </w:t>
      </w:r>
      <w:r>
        <w:rPr>
          <w:rStyle w:val="FootnoteAnchor"/>
          <w:rtl w:val="true"/>
        </w:rPr>
        <w:footnoteReference w:id="1228"/>
      </w:r>
      <w:r>
        <w:rPr>
          <w:rFonts w:ascii="IRNazanin" w:hAnsi="IRNazanin" w:eastAsia="IRNazanin"/>
          <w:color w:val="111111"/>
          <w:sz w:val="28"/>
          <w:sz w:val="28"/>
          <w:szCs w:val="28"/>
          <w:rtl w:val="true"/>
          <w:lang w:bidi="fa-IR"/>
        </w:rPr>
        <w:t>برخوردار باشند</w:t>
      </w:r>
    </w:p>
    <w:p>
      <w:pPr>
        <w:pStyle w:val="BookText"/>
        <w:rPr/>
      </w:pPr>
      <w:r>
        <w:rPr>
          <w:rFonts w:ascii="IRNazanin" w:hAnsi="IRNazanin" w:eastAsia="IRNazanin"/>
          <w:color w:val="111111"/>
          <w:sz w:val="28"/>
          <w:sz w:val="28"/>
          <w:szCs w:val="28"/>
          <w:rtl w:val="true"/>
          <w:lang w:bidi="fa-IR"/>
        </w:rPr>
        <w:t>شناسایی گروه های مشتریان، تنظیم اولویت ها و اتخاذ سیاست هایی برای انتقال اطلاعات نیز از اهمیت زیادی برخوردار است خصوصاً برای تعیین این که چه تعاملاتی قرار است در اولویت پیگیری و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مشتریان بسته به موقعیت خود، علایق متنوع و نیازهای اطلاعاتی سطحی و عمیق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پارلمان ها، نظیر نهادهای دولتی، تحت تأثیر نوسانات نظام حاکم بر قدرت هستند که می تواند سیاست های مربوط به اولویت های مشتریان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دیگر گروه ها و کارکنان دولتی نیز لازم است با سطح معینی از اولویت، با توجه به روابط موجود میان آن ها و پارلمان، به عنوان کاربر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خدمات اطلاع رسانی ممکن است هنوز هم با درخواست های عموم مردم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تنشی را ایجاد می کند خصوصاً زمانی که کشور قوانین خاصی را در مورد دسترسی به اطلاعات و محدودیت زمانی برای 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سیاست های اولویت تأثیر زیادی بر مدیریت درخواست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 سرمایه گذاری، مجموعه های فیزیکی و الکترونیکی و ارتباط مناسب با دیگر گروه های دولتی منابعی هستند که برای انجام رسالت پاسخ درست به درخواست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مجموعه و تعداد کارکنان مطمئناً بسته به اندازه خدمات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منابع ضروری، نیروی انسانی مهم ترین منبع محسوب می شود چرا که آن ها در ارتباط مستقیم با مشتریان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با مشتریان به صورت شخصی و اغلب اوقات به مدت طولانی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منبع با ارزش، فرآیندها، مجموعه ها و سیاست ها ارزش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مجموعه های الکترونیکی می توانند بر اساس استقلال مشتریان ارائه شوند اما برای درخواست های پیچیده، خدمات اطلاع رسانی بدون کارکنان آموزش دیده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فرآیندهای سازمان یافته، سیاست ها، اولویت ها و منابع، عناصر کلیدی هستند که موفقیت یک خدمت اطلاعاتی را تضمین می کنند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علم به ارزش این عناصر، دفتر نمایندگان برزیل </w:t>
      </w:r>
      <w:r>
        <w:rPr>
          <w:rStyle w:val="FootnoteAnchor"/>
          <w:rtl w:val="true"/>
        </w:rPr>
        <w:footnoteReference w:id="1229"/>
      </w:r>
      <w:r>
        <w:rPr>
          <w:rFonts w:ascii="IRNazanin" w:hAnsi="IRNazanin" w:eastAsia="IRNazanin"/>
          <w:color w:val="111111"/>
          <w:sz w:val="28"/>
          <w:sz w:val="28"/>
          <w:szCs w:val="28"/>
          <w:rtl w:val="true"/>
          <w:lang w:bidi="fa-IR"/>
        </w:rPr>
        <w:t>همواره در تلاش بوده اند تا متخصصانی را به استخدام درآورده و در توسعه و فراهم آوری مجموعه هایی سرمایه گذاری کنند، گرچه هنوز موفق به تعریف اولویت ها، سیاست ها، و فرآیندهای سازمان یافته در کار تحویل اطلاعات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w:t>
      </w:r>
      <w:bookmarkStart w:id="1175" w:name="pg9659_94252"/>
    </w:p>
    <w:p>
      <w:pPr>
        <w:pStyle w:val="BookText"/>
        <w:rPr/>
      </w:pPr>
      <w:bookmarkEnd w:id="117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طرح شرکتی </w:t>
      </w:r>
      <w:r>
        <w:rPr>
          <w:rStyle w:val="FootnoteAnchor"/>
          <w:rtl w:val="true"/>
        </w:rPr>
        <w:footnoteReference w:id="1230"/>
      </w:r>
      <w:r>
        <w:rPr>
          <w:rFonts w:ascii="IRNazanin" w:hAnsi="IRNazanin" w:eastAsia="IRNazanin"/>
          <w:color w:val="111111"/>
          <w:sz w:val="28"/>
          <w:sz w:val="28"/>
          <w:szCs w:val="28"/>
          <w:rtl w:val="true"/>
          <w:lang w:bidi="fa-IR"/>
        </w:rPr>
        <w:t xml:space="preserve">برای تعریف یک الگو عملیاتی پیشرو </w:t>
      </w:r>
      <w:r>
        <w:rPr>
          <w:rStyle w:val="FootnoteAnchor"/>
          <w:rtl w:val="true"/>
        </w:rPr>
        <w:footnoteReference w:id="1231"/>
      </w:r>
      <w:r>
        <w:rPr>
          <w:rFonts w:ascii="IRNazanin" w:hAnsi="IRNazanin" w:eastAsia="IRNazanin"/>
          <w:color w:val="111111"/>
          <w:sz w:val="28"/>
          <w:sz w:val="28"/>
          <w:szCs w:val="28"/>
          <w:rtl w:val="true"/>
          <w:lang w:bidi="fa-IR"/>
        </w:rPr>
        <w:t>برای ارتباط با مشتریان درونی و بیرونی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طرح قصد داشت تا یک نظام مدیریت جامع را برای فرآیندهای تحویل اطلاعات ایجاد کند چراکه راه های متعددی برای ارتباط با عموم مردم وجود داشت که توسط این دفتر نمایندگان ارائه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قصد دارد تا چگونگی اجرای این طرح و تأثیر آن بر دفتر نمایندگان را توصیف نماید</w:t>
      </w:r>
      <w:r>
        <w:rPr>
          <w:rFonts w:eastAsia="IRNazanin" w:cs="IRNazanin"/>
          <w:color w:val="111111"/>
          <w:sz w:val="28"/>
          <w:szCs w:val="28"/>
          <w:rtl w:val="true"/>
          <w:lang w:bidi="fa-IR"/>
        </w:rPr>
        <w:t>.</w:t>
      </w:r>
    </w:p>
    <w:p>
      <w:pPr>
        <w:pStyle w:val="Heading4"/>
        <w:numPr>
          <w:ilvl w:val="3"/>
          <w:numId w:val="1"/>
        </w:numPr>
        <w:rPr/>
      </w:pPr>
      <w:bookmarkStart w:id="1176" w:name="__RefHeading___Toc7826083_2870459653"/>
      <w:bookmarkStart w:id="1177" w:name="_Toc436"/>
      <w:bookmarkEnd w:id="1176"/>
      <w:r>
        <w:rPr/>
        <w:t>1/2</w:t>
      </w:r>
      <w:r>
        <w:rPr>
          <w:rtl w:val="true"/>
        </w:rPr>
        <w:t xml:space="preserve">. </w:t>
      </w:r>
      <w:r>
        <w:rPr>
          <w:rtl w:val="true"/>
        </w:rPr>
        <w:t>زمینه و مرور مسئله</w:t>
      </w:r>
      <w:bookmarkEnd w:id="1177"/>
    </w:p>
    <w:p>
      <w:pPr>
        <w:pStyle w:val="BookText"/>
        <w:rPr/>
      </w:pPr>
      <w:r>
        <w:rPr>
          <w:rFonts w:ascii="IRNazanin" w:hAnsi="IRNazanin" w:eastAsia="IRNazanin"/>
          <w:color w:val="111111"/>
          <w:sz w:val="28"/>
          <w:sz w:val="28"/>
          <w:szCs w:val="28"/>
          <w:rtl w:val="true"/>
          <w:lang w:bidi="fa-IR"/>
        </w:rPr>
        <w:t xml:space="preserve">فعالیت های تحویل اطلاعات در دفتر نمایندگان در سال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کتاب خانه و آرشیو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توجه بین المللی به این مرکز، دفتر مذکور این امکانات و دیگر نوآوری های مربوط به فراهم آوری اطلاعات را در یک دپارتمان به نام مرکز مستندسازی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سی دی در بین دیگر نهادها مسئولیت پشتیبانی از محصولات و خدمات اطلاعاتی را در بین کاربران داخلی و خارجی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ایجاد تعادل بین این دو گروه داخلی و خارجی به منظور ارائه خدمات کارآمد همیشه به عنوان یک چالش بزرگ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بدانید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دولتی شروع به تغییر رویه خود به سمت شهروندگرا </w:t>
      </w:r>
      <w:r>
        <w:rPr>
          <w:rStyle w:val="FootnoteAnchor"/>
          <w:rtl w:val="true"/>
        </w:rPr>
        <w:footnoteReference w:id="1232"/>
      </w:r>
      <w:r>
        <w:rPr>
          <w:rFonts w:ascii="IRNazanin" w:hAnsi="IRNazanin" w:eastAsia="IRNazanin"/>
          <w:color w:val="111111"/>
          <w:sz w:val="28"/>
          <w:sz w:val="28"/>
          <w:szCs w:val="28"/>
          <w:rtl w:val="true"/>
          <w:lang w:bidi="fa-IR"/>
        </w:rPr>
        <w:t>بودن برای ارائه خدمات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ها آغاز به ایجاد راه های متعدد ارتباط با جامعه کردند با این هدف که از ارتباط با آن ها بهره بگیرند، نیازهای آن ها را بهتر درک کنند، خدمات بهتری را ارائه کرده و با سیاست های عمومی، رضایت آن ها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نمایندگان نیز همین رویه را در پیش گرفت؛ در نتیجه راه های جدید ارتباط با جامعه ایجاد شد بدون این که با راه های موجود ادغام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مشکلاتی در ارائه خدمات مؤثر به شهروندان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خدمات، فقدان الگوها و قوانین مشترک و فقدان تقسیم مسئولیت واضح در بین بخش هایی که راه های ارتباطی در حال اجرا داشتند، از دلایل اصلی ایجاد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رایج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درخواست مشابهی را به راه های ارتباطی مختلف می فرستادند، همان درخواست توسط بیش از یک گروه پاسخ داده می شد، به همان سؤال مشابه پاسخ های متفاوتی داده می شد و انتقال درخواست ها از یک گروه به گروه دیگر پاسخ دهی به موقع را تحت تأثیر قرار می داد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شدن با این مشکلات برای این موسسه بسیار وقت گیر و نگران کننده بود و تصور موجود از دفتر نمایندگان را بسیار تحت تأثیر قرار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زمانی که این وضعیت پیش آمد دفتر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مدیریت راهبردی خود را شروع کرد، در نتیجه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راهبردی حقوقی دفتر نمایندگان اهداف خود را برای دوره زمانی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 که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کیفیت بالای استانداردهای خدمات ارائه شده به نمایندگان، بدنه دانشگاهی </w:t>
      </w:r>
      <w:r>
        <w:rPr>
          <w:rStyle w:val="FootnoteAnchor"/>
          <w:rtl w:val="true"/>
        </w:rPr>
        <w:footnoteReference w:id="1233"/>
      </w:r>
      <w:r>
        <w:rPr>
          <w:rFonts w:ascii="IRNazanin" w:hAnsi="IRNazanin" w:eastAsia="IRNazanin"/>
          <w:color w:val="111111"/>
          <w:sz w:val="28"/>
          <w:sz w:val="28"/>
          <w:szCs w:val="28"/>
          <w:rtl w:val="true"/>
          <w:lang w:bidi="fa-IR"/>
        </w:rPr>
        <w:t xml:space="preserve">و شهروندان و بهینه سازی فرآیندها و راه های ارتباطی،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با جامعه برای ارتقای شهروندی،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از بدنه دانشگاهی با تصمیم گیری مناسب،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کمک با نمایندگان خوب</w:t>
      </w:r>
    </w:p>
    <w:p>
      <w:pPr>
        <w:pStyle w:val="BookText"/>
        <w:rPr/>
      </w:pPr>
      <w:r>
        <w:rPr>
          <w:rFonts w:ascii="IRNazanin" w:hAnsi="IRNazanin" w:eastAsia="IRNazanin"/>
          <w:color w:val="111111"/>
          <w:sz w:val="28"/>
          <w:sz w:val="28"/>
          <w:szCs w:val="28"/>
          <w:rtl w:val="true"/>
          <w:lang w:bidi="fa-IR"/>
        </w:rPr>
        <w:t>این اهداف به شدت با نقش پارلمانی در یک راستا است و آن تسهیل دسترسی عموم مردم به اطلاعات دولت و حمایت از اعضای مجلس در رسیدن به اطلاعات به موقع، قابل اعتماد و راهبردی است تا آن ها را در نیل به تعهدات خود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دفتر نمایندگان، برنامه ریزی راهبردی خود را پیش می برد، سی دی به دلایل داخلی، مجبور بود قبل از این که فرآیند موسسه کامل گردد، در معرض برنامه ریزی راهبردی خود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امر منجر به پیشرفت بزرگی شد و آن آمادگی برای انجام نقشی بود که سی دی قرار بود در آینده نزدیک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سی دی مسئول و یا شرکت کننده در شش طرح از ده طرحی بود که توسط فرآیند برنامه ریزی راهبردی دفتر نمایندگان تنظیم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نمایشان این طرح ها،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ارتباط</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وجود داشت که هدفش اتخاذ یک الگو شرکتی پیشرو </w:t>
      </w:r>
      <w:r>
        <w:rPr>
          <w:rStyle w:val="FootnoteAnchor"/>
          <w:rtl w:val="true"/>
        </w:rPr>
        <w:footnoteReference w:id="1235"/>
      </w:r>
      <w:r>
        <w:rPr>
          <w:rFonts w:ascii="IRNazanin" w:hAnsi="IRNazanin" w:eastAsia="IRNazanin"/>
          <w:color w:val="111111"/>
          <w:sz w:val="28"/>
          <w:sz w:val="28"/>
          <w:szCs w:val="28"/>
          <w:rtl w:val="true"/>
          <w:lang w:bidi="fa-IR"/>
        </w:rPr>
        <w:t>برای ارتباط با نمایندگان و جامعه در زمینه فراهم آوری اطلاعات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کلی از این طرح تعریف و پیاده سازی نظام یک پارچه برای مدیریت اشاعه در روند کمک به نمایندگان و جامعه در تأمین نیازهای اطلاعاتی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مدیریت دانش و ارتقاء شهروندی و تأثیر بر ایجاد تصویر مثبت از پارلمان از دیگر اهداف این طرح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اهداف خاص طرح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صلاحیت ها و مسئولیت های هر حوزه درگیر فرآیند تحویل اطلاعات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 xml:space="preserve">اولویت بندی </w:t>
      </w:r>
      <w:r>
        <w:rPr>
          <w:rStyle w:val="FootnoteAnchor"/>
          <w:rtl w:val="true"/>
        </w:rPr>
        <w:footnoteReference w:id="1237"/>
      </w:r>
      <w:r>
        <w:rPr>
          <w:rFonts w:ascii="IRNazanin" w:hAnsi="IRNazanin" w:eastAsia="IRNazanin"/>
          <w:color w:val="111111"/>
          <w:sz w:val="28"/>
          <w:sz w:val="28"/>
          <w:szCs w:val="28"/>
          <w:rtl w:val="true"/>
          <w:lang w:bidi="fa-IR"/>
        </w:rPr>
        <w:t xml:space="preserve">و راهنمایی فرآیندها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حذف موانع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استانداردسازی رویه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مشتریان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شفافیت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داده و شاخص هایی برای حمایت از پیشرفت و توسعه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تعریف این طرح، دیگر طرح های مجزا که هماهنگ با سی دی بودند، با هدف ارتقاء پیوند بین عوامل درگیر در فرآیند تحویل اطلاعات اتخاذ شده بودند اما به دلیل کمبود کمک و حمایت بدنه </w:t>
      </w:r>
    </w:p>
    <w:p>
      <w:pPr>
        <w:pStyle w:val="BookText"/>
        <w:rPr/>
      </w:pPr>
      <w:r>
        <w:rPr>
          <w:rFonts w:ascii="IRNazanin" w:hAnsi="IRNazanin" w:eastAsia="IRNazanin"/>
          <w:color w:val="111111"/>
          <w:sz w:val="28"/>
          <w:sz w:val="28"/>
          <w:szCs w:val="28"/>
          <w:rtl w:val="true"/>
          <w:lang w:bidi="fa-IR"/>
        </w:rPr>
        <w:t>اجرایی دفتر نمایندگان، موفقیتی حاصل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طرح ها برای موفقیت طرح مورد نظر تعیین کننده بودند چرا که مشکلات قبلاً مشخص شده بود و با برنامه ریزی راهبردی دفتر نمایندگان تطبیق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اجرای این طرح رویداد مهمی برای جامعه برزیل رخ داد و آن اجرای قانون دسترسی به اطلاعات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12,527/2011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قانون اساسی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قبلاً حق دسترسی به اطلاعات دولتی را اعطا کرده بود، تعدیل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رویه عملی افشای اطلاعات، پردازش درخواست ها و محدودیت های زمانی پاسخ ها را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تأثیر قابل توجهی بر بازسازی فرآیندهای طرح داشت که می بایست برمبنای دستورالعمل قانون طراحی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دفتر نمایندگان، دیگر راه های ارتباط با جامعه را اتخاذ کند، که جدا از سی دی بودند، اکثر درخواست های شهروندان توسط واحد پرس و جوی مرکزی </w:t>
      </w:r>
      <w:r>
        <w:rPr>
          <w:rStyle w:val="FootnoteAnchor"/>
          <w:rtl w:val="true"/>
        </w:rPr>
        <w:footnoteReference w:id="1239"/>
      </w:r>
      <w:r>
        <w:rPr>
          <w:rFonts w:ascii="IRNazanin" w:hAnsi="IRNazanin" w:eastAsia="IRNazanin"/>
          <w:color w:val="111111"/>
          <w:sz w:val="28"/>
          <w:sz w:val="28"/>
          <w:szCs w:val="28"/>
          <w:rtl w:val="true"/>
          <w:lang w:bidi="fa-IR"/>
        </w:rPr>
        <w:t>پاسخ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برمبنای مفاهیم سنتی انتقال اطلاعات، که از علوم کتابداری مشتق شده بود،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مفاهیم عمده متخصصان این حوزه این بود که آن ها واسطه ای بین کاربر و اطلاعات درخواستی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میانجی گری به طور سنتی با ارائه مجموعه، راهنمایی برای استفاده از منابع و جستجو در پایگاه های اطلاعاتی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فناوری و توسعه جامعه اطلاعاتی، این میانجی گری تخصصی تر شد و به ارائه محصولات و خدمات اطلاعاتی به صورت شخصی تر </w:t>
      </w:r>
      <w:r>
        <w:rPr>
          <w:rStyle w:val="FootnoteAnchor"/>
          <w:rtl w:val="true"/>
        </w:rPr>
        <w:footnoteReference w:id="1240"/>
      </w:r>
      <w:r>
        <w:rPr>
          <w:rFonts w:ascii="IRNazanin" w:hAnsi="IRNazanin" w:eastAsia="IRNazanin"/>
          <w:color w:val="111111"/>
          <w:sz w:val="28"/>
          <w:sz w:val="28"/>
          <w:szCs w:val="28"/>
          <w:rtl w:val="true"/>
          <w:lang w:bidi="fa-IR"/>
        </w:rPr>
        <w:t>تبدیل وضعیت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زمان و فعالیت را برای بازآموزی خود در مورد فنون ارتباطاتی و مهارت های جستجو و تحقیق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تأثیر زیادی بر تعاملات بین کاربران درونی و بیرونی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همراه با تولید دیگر راه های ارتباطاتی با جامعه چالش جدیدی را به ارمغان آورد آن ایجاد هم افزایی و همکاری بین حوزه های جدید مسئول در پاسخگویی به سؤالات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تنها با پذیرش فلسفه و فنون مورد استفاده توسط کتابداران و متخصصان اطلاع رسانی حاصل نمی شد بلکه این هم افزایی مستلزم در نظر گرفتن عناصری مانند ایده ها و روش های مورد استفاده از نظر ارتباطات، اهداف، فرآیند کاری و چشم انداز آینده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داشت تا فلسفه جدیدی ظهور کند که قادر به جمع کردن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عناصر و ایجاد یک همکاری مناسب برای پاسخ به درخواست های اطلاعاتی بر طبق الگوهای کیفیت عام </w:t>
      </w:r>
      <w:r>
        <w:rPr>
          <w:rStyle w:val="FootnoteAnchor"/>
          <w:rtl w:val="true"/>
        </w:rPr>
        <w:footnoteReference w:id="1241"/>
      </w:r>
      <w:r>
        <w:rPr>
          <w:rFonts w:ascii="IRNazanin" w:hAnsi="IRNazanin" w:eastAsia="IRNazanin"/>
          <w:color w:val="111111"/>
          <w:sz w:val="28"/>
          <w:sz w:val="28"/>
          <w:szCs w:val="28"/>
          <w:rtl w:val="true"/>
          <w:lang w:bidi="fa-IR"/>
        </w:rPr>
        <w:t>و گردش کار یک پارچه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امکان فراهم شد تا سایر رویکردها درباره تعاملات و تراکنش هایی که بین متخصصان اطلاع رسانی و مشتریان اتفاق می افتد، مورد ملاحظه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تمامی ویژگی های فوق منجر به پذیرش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راهبرد در جهت رسیدن به اهداف طرح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خصوصی، مدیریت ارتباط با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آر ام</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 xml:space="preserve">به طور گسترده ای شناخته شده و معروف است و دارای چشم انداز مشتری یابی </w:t>
      </w:r>
      <w:r>
        <w:rPr>
          <w:rStyle w:val="FootnoteAnchor"/>
          <w:rtl w:val="true"/>
        </w:rPr>
        <w:footnoteReference w:id="1243"/>
      </w:r>
      <w:r>
        <w:rPr>
          <w:rFonts w:ascii="IRNazanin" w:hAnsi="IRNazanin" w:eastAsia="IRNazanin"/>
          <w:color w:val="111111"/>
          <w:sz w:val="28"/>
          <w:sz w:val="28"/>
          <w:szCs w:val="28"/>
          <w:rtl w:val="true"/>
          <w:lang w:bidi="fa-IR"/>
        </w:rPr>
        <w:t>، ایجاد ارتباط طولانی با مشتریان و بهینه سازی سود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اولین مذاکرات درباره طرح و تعیین دامنه مسئله، مفهوم سی آر ام گزینه مناسب تر و راهبرد رایجی به نظر رسید که در مواجهه با چالش مدیریت تعاملات با مشتریان می 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عناصر سی آر ام در دولت کاربرد ندارد اما تا حد زیادی می تواند با هر خدمت فراهم آوری اطلاعات برای کاربران درونی و بیرونی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تعاريف متفاوتی از سی آرام در ادبیات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شِلونگ </w:t>
      </w:r>
      <w:r>
        <w:rPr>
          <w:rStyle w:val="FootnoteAnchor"/>
          <w:rtl w:val="true"/>
        </w:rPr>
        <w:footnoteReference w:id="1244"/>
      </w:r>
      <w:r>
        <w:rPr>
          <w:rFonts w:ascii="IRNazanin" w:hAnsi="IRNazanin" w:eastAsia="IRNazanin"/>
          <w:color w:val="111111"/>
          <w:sz w:val="28"/>
          <w:sz w:val="28"/>
          <w:szCs w:val="28"/>
          <w:rtl w:val="true"/>
          <w:lang w:bidi="fa-IR"/>
        </w:rPr>
        <w:t xml:space="preserve">در کتاب مدیریت ارتباط با شهروندان </w:t>
      </w:r>
      <w:r>
        <w:rPr>
          <w:rStyle w:val="FootnoteAnchor"/>
          <w:rtl w:val="true"/>
        </w:rPr>
        <w:footnoteReference w:id="1245"/>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آر ام را این 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ای از فلسفه ها، راهبردها و شیوه های تسهیل شده با فناوری که برای ساخت یک سازمان مشتری محور </w:t>
      </w:r>
      <w:r>
        <w:rPr>
          <w:rStyle w:val="FootnoteAnchor"/>
          <w:rtl w:val="true"/>
        </w:rPr>
        <w:footnoteReference w:id="1246"/>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شِلونگ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آر ام را برای دولت به عنوان روش بهبود خدمات مشتریان با چشم انداز شهروندگرا </w:t>
      </w:r>
      <w:r>
        <w:rPr>
          <w:rStyle w:val="FootnoteAnchor"/>
          <w:rtl w:val="true"/>
        </w:rPr>
        <w:footnoteReference w:id="1247"/>
      </w:r>
      <w:r>
        <w:rPr>
          <w:rFonts w:ascii="IRNazanin" w:hAnsi="IRNazanin" w:eastAsia="IRNazanin"/>
          <w:color w:val="111111"/>
          <w:sz w:val="28"/>
          <w:sz w:val="28"/>
          <w:szCs w:val="28"/>
          <w:rtl w:val="true"/>
          <w:lang w:bidi="fa-IR"/>
        </w:rPr>
        <w:t>قابل اجرا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سی آر ام برای تضمین خدمات رسانی کارآمد به مشتریان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و با ملاحظه ویژه اصول و الگوهای ارتباط که در ادبیات یافت می شود می توان تأیید کرد سی آر ام برای دولت کاملاً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اصول اساسی برای سی آر ام، شِلونگ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زیر را شناسایی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سازی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اطلاعات،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مشتری </w:t>
      </w:r>
      <w:r>
        <w:rPr>
          <w:rStyle w:val="FootnoteAnchor"/>
          <w:rtl w:val="true"/>
        </w:rPr>
        <w:footnoteReference w:id="1249"/>
      </w:r>
      <w:r>
        <w:rPr>
          <w:rFonts w:ascii="IRNazanin" w:hAnsi="IRNazanin" w:eastAsia="IRNazanin"/>
          <w:color w:val="111111"/>
          <w:sz w:val="28"/>
          <w:sz w:val="28"/>
          <w:szCs w:val="28"/>
          <w:rtl w:val="true"/>
          <w:lang w:bidi="fa-IR"/>
        </w:rPr>
        <w:t xml:space="preserve">و نزدیکی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فرآیندهای برنامه ریزی، توسعه محصول 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کانال ها، ارتباط طولانی مدت، بررسی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مشتریانی که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سود را عاید می کنند، پایان دادن به مشتریان بی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در واقع راهبردهایی است که مدیریت کیفیت و فرهنگ مشتری محوری را تضمین می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الگوها، اندرسن </w:t>
      </w:r>
      <w:r>
        <w:rPr>
          <w:rStyle w:val="FootnoteAnchor"/>
          <w:rtl w:val="true"/>
        </w:rPr>
        <w:footnoteReference w:id="1250"/>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شِلونگ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مروری بر </w:t>
      </w:r>
      <w:bookmarkStart w:id="1178" w:name="pg9659_94256"/>
    </w:p>
    <w:p>
      <w:pPr>
        <w:pStyle w:val="BookText"/>
        <w:rPr/>
      </w:pPr>
      <w:bookmarkEnd w:id="1178"/>
      <w:r>
        <w:rPr>
          <w:rFonts w:ascii="IRNazanin" w:hAnsi="IRNazanin" w:eastAsia="IRNazanin"/>
          <w:color w:val="111111"/>
          <w:sz w:val="28"/>
          <w:sz w:val="28"/>
          <w:szCs w:val="28"/>
          <w:rtl w:val="true"/>
          <w:lang w:bidi="fa-IR"/>
        </w:rPr>
        <w:t xml:space="preserve">الگوهای ایجاد ارتباط،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را در تبادل ارتباط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قبل از ارتباط </w:t>
      </w:r>
      <w:r>
        <w:rPr>
          <w:rStyle w:val="FootnoteAnchor"/>
          <w:rtl w:val="true"/>
        </w:rPr>
        <w:footnoteReference w:id="1251"/>
      </w:r>
      <w:r>
        <w:rPr>
          <w:rFonts w:ascii="IRNazanin" w:hAnsi="IRNazanin" w:eastAsia="IRNazanin"/>
          <w:color w:val="111111"/>
          <w:sz w:val="28"/>
          <w:sz w:val="28"/>
          <w:szCs w:val="28"/>
          <w:rtl w:val="true"/>
          <w:lang w:bidi="fa-IR"/>
        </w:rPr>
        <w:t xml:space="preserve">، مذاکره </w:t>
      </w:r>
      <w:r>
        <w:rPr>
          <w:rStyle w:val="FootnoteAnchor"/>
          <w:rtl w:val="true"/>
        </w:rPr>
        <w:footnoteReference w:id="1252"/>
      </w:r>
      <w:r>
        <w:rPr>
          <w:rFonts w:ascii="IRNazanin" w:hAnsi="IRNazanin" w:eastAsia="IRNazanin"/>
          <w:color w:val="111111"/>
          <w:sz w:val="28"/>
          <w:sz w:val="28"/>
          <w:szCs w:val="28"/>
          <w:rtl w:val="true"/>
          <w:lang w:bidi="fa-IR"/>
        </w:rPr>
        <w:t>، توسعه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مشابهی زمانی که ما در فرآیند فراهم آوری اطلاعات، تعاملی برقرار می کنیم ما این فرآیند را به مراحلی که چرخه مذاکره نامیده می شود و به خدمتی که دارای همان مراحل فوق است، می 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ارتباط می تواند به عنوان فرآیند ارتباط که بین دو یا چند بخش ایجاد می شود،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تعاملاتی در گذشته اتفاق افتاده و تبادلاتی در آینده ممکن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دلالت بر اعتماد، احترام، تعهد و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ارتباط بر پایه این ستون هاست که می تواند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پاسخ دولت به عموم مردم، این ستون ها بسیار مهم هستند چرا که آن ها مستقیماً نهادها را تحت 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فلسفه سی آر ام به مفاهیم استوارتر ارتباط پیوند خورده است، ارتباط به عنوان مرجعی برای توالی طرح انتخاب شد</w:t>
      </w:r>
      <w:r>
        <w:rPr>
          <w:rFonts w:eastAsia="IRNazanin" w:cs="IRNazanin"/>
          <w:color w:val="111111"/>
          <w:sz w:val="28"/>
          <w:szCs w:val="28"/>
          <w:rtl w:val="true"/>
          <w:lang w:bidi="fa-IR"/>
        </w:rPr>
        <w:t>.</w:t>
      </w:r>
    </w:p>
    <w:p>
      <w:pPr>
        <w:pStyle w:val="Heading3"/>
        <w:numPr>
          <w:ilvl w:val="2"/>
          <w:numId w:val="1"/>
        </w:numPr>
        <w:rPr/>
      </w:pPr>
      <w:bookmarkStart w:id="1179" w:name="__RefHeading___Toc7826085_2870459653"/>
      <w:bookmarkStart w:id="1180" w:name="_Toc437"/>
      <w:bookmarkEnd w:id="1179"/>
      <w:r>
        <w:rPr/>
        <w:t>2</w:t>
      </w:r>
      <w:r>
        <w:rPr>
          <w:rtl w:val="true"/>
        </w:rPr>
        <w:t xml:space="preserve">- </w:t>
      </w:r>
      <w:r>
        <w:rPr>
          <w:rtl w:val="true"/>
        </w:rPr>
        <w:t>طرح مدیریت ارتباط</w:t>
      </w:r>
      <w:bookmarkEnd w:id="1180"/>
    </w:p>
    <w:p>
      <w:pPr>
        <w:pStyle w:val="BookText"/>
        <w:rPr/>
      </w:pPr>
      <w:r>
        <w:rPr>
          <w:rFonts w:ascii="IRNazanin" w:hAnsi="IRNazanin" w:eastAsia="IRNazanin"/>
          <w:color w:val="111111"/>
          <w:sz w:val="28"/>
          <w:sz w:val="28"/>
          <w:szCs w:val="28"/>
          <w:rtl w:val="true"/>
          <w:lang w:bidi="fa-IR"/>
        </w:rPr>
        <w:t>طرح مدیریت ارتباط تیمی متشکل از حوزه های مختلف دفتر نمایندگان، چه از افراد درون سازمانی و چه برون سازمانی که همه آن ها درگیر فرآیند تعامل برای فراهم آوری اطلاعات هستند،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بازرسی </w:t>
      </w:r>
      <w:r>
        <w:rPr>
          <w:rStyle w:val="FootnoteAnchor"/>
          <w:rtl w:val="true"/>
        </w:rPr>
        <w:footnoteReference w:id="1253"/>
      </w:r>
      <w:r>
        <w:rPr>
          <w:rFonts w:ascii="IRNazanin" w:hAnsi="IRNazanin" w:eastAsia="IRNazanin"/>
          <w:color w:val="111111"/>
          <w:sz w:val="28"/>
          <w:sz w:val="28"/>
          <w:szCs w:val="28"/>
          <w:rtl w:val="true"/>
          <w:lang w:bidi="fa-IR"/>
        </w:rPr>
        <w:t xml:space="preserve">، رئیس دفتر قانون گذاری </w:t>
      </w:r>
      <w:r>
        <w:rPr>
          <w:rStyle w:val="FootnoteAnchor"/>
          <w:rtl w:val="true"/>
        </w:rPr>
        <w:footnoteReference w:id="1254"/>
      </w:r>
      <w:r>
        <w:rPr>
          <w:rFonts w:ascii="IRNazanin" w:hAnsi="IRNazanin" w:eastAsia="IRNazanin"/>
          <w:color w:val="111111"/>
          <w:sz w:val="28"/>
          <w:sz w:val="28"/>
          <w:szCs w:val="28"/>
          <w:rtl w:val="true"/>
          <w:lang w:bidi="fa-IR"/>
        </w:rPr>
        <w:t xml:space="preserve">، دبیرخانه ارتباطات، بخش تندنگاری </w:t>
      </w:r>
      <w:r>
        <w:rPr>
          <w:rStyle w:val="FootnoteAnchor"/>
          <w:rtl w:val="true"/>
        </w:rPr>
        <w:footnoteReference w:id="1255"/>
      </w:r>
      <w:r>
        <w:rPr>
          <w:rFonts w:ascii="IRNazanin" w:hAnsi="IRNazanin" w:eastAsia="IRNazanin"/>
          <w:color w:val="111111"/>
          <w:sz w:val="28"/>
          <w:sz w:val="28"/>
          <w:szCs w:val="28"/>
          <w:rtl w:val="true"/>
          <w:lang w:bidi="fa-IR"/>
        </w:rPr>
        <w:t xml:space="preserve">، مرکز مستندسازی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کمیته و واحد مرکزی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متخصص مدیریت طرح از دفتر مشاوره طرح </w:t>
      </w:r>
      <w:r>
        <w:rPr>
          <w:rStyle w:val="FootnoteAnchor"/>
          <w:rtl w:val="true"/>
        </w:rPr>
        <w:footnoteReference w:id="1256"/>
      </w:r>
      <w:r>
        <w:rPr>
          <w:rFonts w:ascii="IRNazanin" w:hAnsi="IRNazanin" w:eastAsia="IRNazanin"/>
          <w:color w:val="111111"/>
          <w:sz w:val="28"/>
          <w:sz w:val="28"/>
          <w:szCs w:val="28"/>
          <w:rtl w:val="true"/>
          <w:lang w:bidi="fa-IR"/>
        </w:rPr>
        <w:t>جهت کمک به این طرح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حامی، رئیس دفتر قانون گذاری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به عنوان مدیریت طرح انتخاب شد چرا که به عنوان حوزه ای شناسایی شده بود که متخصص در فراهم آوری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واحدهای سی دی، واحد پرس و جوی مرکزی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کورپی</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است که مسئول تعاملات و فراهم آوری اطلاعات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حوزه ها در طرح های دیگر، به منظور درک بهتر صلاحیت ها و مسئولیت های پاسخگویی به سؤالات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روند فرآیند ایجاد و توسعه طرح را آسان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 با توجه به ادغام شدن دیگر حوزه ها، صرف زمان برای دور جدیدی از مذاکرات برای بررسی مشکل، </w:t>
      </w:r>
    </w:p>
    <w:p>
      <w:pPr>
        <w:pStyle w:val="BookText"/>
        <w:rPr/>
      </w:pPr>
      <w:r>
        <w:rPr>
          <w:rFonts w:ascii="IRNazanin" w:hAnsi="IRNazanin" w:eastAsia="IRNazanin"/>
          <w:color w:val="111111"/>
          <w:sz w:val="28"/>
          <w:sz w:val="28"/>
          <w:szCs w:val="28"/>
          <w:rtl w:val="true"/>
          <w:lang w:bidi="fa-IR"/>
        </w:rPr>
        <w:t>درک مطلب در مورد دامنه کلی مسائل درگیر و به حداقل رساندن عدم تعادل در مورد مفهوم سی آر ام اعمال شده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اتخاذ شده بر اساس بهترین شیوه های موسسه مدیریت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ام آی </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 xml:space="preserve">همراه با فنون ترسیم فرآیند مشارکتی </w:t>
      </w:r>
      <w:r>
        <w:rPr>
          <w:rStyle w:val="FootnoteAnchor"/>
          <w:rtl w:val="true"/>
        </w:rPr>
        <w:footnoteReference w:id="126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چه ما دامنه کلی مشکل را داشتیم و برخی از فرآیندها ترسیم شده بود اما پیمایشی با کارکنان حوزه های درگیر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پیمایش، روش گروه کانونی </w:t>
      </w:r>
      <w:r>
        <w:rPr>
          <w:rStyle w:val="FootnoteAnchor"/>
          <w:rtl w:val="true"/>
        </w:rPr>
        <w:footnoteReference w:id="1261"/>
      </w:r>
      <w:r>
        <w:rPr>
          <w:rFonts w:ascii="IRNazanin" w:hAnsi="IRNazanin" w:eastAsia="IRNazanin"/>
          <w:color w:val="111111"/>
          <w:sz w:val="28"/>
          <w:sz w:val="28"/>
          <w:szCs w:val="28"/>
          <w:rtl w:val="true"/>
          <w:lang w:bidi="fa-IR"/>
        </w:rPr>
        <w:t>استفاده شد که به وسیله یک پرسشنامه طراحی شده،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گروه کانونی جمع آوری داده های کیفی درباره مشکلات، درک ها و پیشنهادها درباره کار فراهم آوری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انواع تعاملات، انواع اطلاعات فراهم شده، تقسیم بندی کاربران، منابع، ساختار و حمایت های فناوری از دیگر اهداف این پیمایش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کارهای منسوب به این گروه، ارائه قوانین یا اسناد رسمی تثبیت شده، صلاحیت ها و مسئولیت های مربوط به فعالیت های فراهم آوری اطلاعات یا پاسخ به سؤالات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پیمایش، گروه طرح قادر به گروه بندی داده ها به حوزه های کلیدی نظیر زیر ساخت، منابع انسانی، سازمان دهی، شیوه ها و استانداردها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حوزه های کلیدی زیر مجموعه هایی داشتند که حجم بزرگی از مشکلات واضح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مرحله تجزیه و تحلیل این مشکلات از منظر راه حل ها بود به طوری که امکان تلفیق علائم از مشکلات واقعی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از مشکلات رایج، کمبود کارکنان برای فراهم کردن اطلاعات به کاربران خارجی بود و این که این کار چقدر در مسیر مسئولیت های بخش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از حوزه ها این کار را تقبل کردند چرا که همانند خدمت گزاران عمومی به صورت خودکار خود را در معرض مسئولیت فراهم آوری اطلاعات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منجر به جستجوی حمایت فناوری برای حفظ پرونده کاربران و دیگر منابع برای مدیریت درخواست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کار، آن ها می توانستند درخواست را به بخش دیگری انتقال دهند که مسئولیت اصلی آن ها فراهم آوری خدمات اطلاع رسانی به نیازمندان اطلاعات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کار، گروه قادر به شناسایی یک مشکل اصلی شد که می باید حل می شد و در نتیجه آن دیگر مشکلات موجود نیز حل می شد و آن هدایت طرح به اهداف اصلی خود بود که عبارت از تدارک یک الگو شرکتی پیشرو برای ارتباط با نمایندگان و شهروندان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کانونی تشخیص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مدیریت، سازمان دهی و استانداردها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روند خدمات رسانی به کاربران دفتر نمایندگان بود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شناسایی مشکل اصلی، گونه شناسی </w:t>
      </w:r>
      <w:r>
        <w:rPr>
          <w:rStyle w:val="FootnoteAnchor"/>
          <w:rtl w:val="true"/>
        </w:rPr>
        <w:footnoteReference w:id="1262"/>
      </w:r>
      <w:r>
        <w:rPr>
          <w:rFonts w:ascii="IRNazanin" w:hAnsi="IRNazanin" w:eastAsia="IRNazanin"/>
          <w:color w:val="111111"/>
          <w:sz w:val="28"/>
          <w:sz w:val="28"/>
          <w:szCs w:val="28"/>
          <w:rtl w:val="true"/>
          <w:lang w:bidi="fa-IR"/>
        </w:rPr>
        <w:t xml:space="preserve">تعاملات ترسیم شد و اصطلاح نامه ای شروع به تولید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تعاملات عمومی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های اطلاعاتی، فسخ و شکایات </w:t>
      </w:r>
      <w:r>
        <w:rPr>
          <w:rStyle w:val="FootnoteAnchor"/>
          <w:rtl w:val="true"/>
        </w:rPr>
        <w:footnoteReference w:id="1263"/>
      </w:r>
      <w:r>
        <w:rPr>
          <w:rFonts w:ascii="IRNazanin" w:hAnsi="IRNazanin" w:eastAsia="IRNazanin"/>
          <w:color w:val="111111"/>
          <w:sz w:val="28"/>
          <w:sz w:val="28"/>
          <w:szCs w:val="28"/>
          <w:rtl w:val="true"/>
          <w:lang w:bidi="fa-IR"/>
        </w:rPr>
        <w:t xml:space="preserve">، بیانات سیاسی </w:t>
      </w:r>
      <w:r>
        <w:rPr>
          <w:rStyle w:val="FootnoteAnchor"/>
          <w:rtl w:val="true"/>
        </w:rPr>
        <w:footnoteReference w:id="1264"/>
      </w:r>
      <w:r>
        <w:rPr>
          <w:rFonts w:ascii="IRNazanin" w:hAnsi="IRNazanin" w:eastAsia="IRNazanin"/>
          <w:color w:val="111111"/>
          <w:sz w:val="28"/>
          <w:sz w:val="28"/>
          <w:szCs w:val="28"/>
          <w:rtl w:val="true"/>
          <w:lang w:bidi="fa-IR"/>
        </w:rPr>
        <w:t xml:space="preserve">، پیشنهادها و تعارفات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هم زمان، آیین نامه های داخلی که برای هر یک از صلاحیت ها و مسئولیت های حوزه ها به تصویب رسیده بود، مورد تجزیه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پرتو مفاهیم پذیرفته شده برای انواع تعاملات و نقش هر کدام از آن ها در سازمان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قطعی بود تا به وضوح فرآیندهای کاری نیازمند تغییر را شناسایی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درک و توافق تمام این اطلاعات، فعالیت دیگری انجام شد و آن تعریف سطوح تعامل بر طبق نوع و پیچیدگی درخواست ها و نیز ترسیم یک گردش کار کلی درباره مسئولیت های هر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نقطه، موافقت نامه های خدمات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مرحله، بزرگ ترین چالشی که می بایست با آن روبرو می شد متقاعد کردن ذینفعان اصلی درباره تغییر و قضایایی که گروه در نهایت به آن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مورد استفاده برای مذاکره درباره فرآیند تغییر با حضور دائمی حامی طرح انجام شد که علاوه بر حامی بودن، بالاترین مسئولیت را در بين ذينفعان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برگزاری جلسات، برنامه ریزی و فرضیه های تغییر ارائه و به طور عمیق درباره آن ها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هر کسی می تواند تمام مزایای تغییر را نه تنها برای حوزه های خود بلکه برای کل سازمان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قوانین مورد توافق، یک آیین نامه جدید با اولین راهنماهایی برای ارتباط با جامعه توسط رئیس دفتر نمایندگان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جدید هم چنین شامل گردش کار عمومی بود برای تعاملاتی که با جامعه برقرار می شد و در بردارنده مسئولیت های هر حوزه و ارتباطات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تنها درباره ارتباط با شهروندان کاربرد داشت چراکه این گروه در آن موقعیت، مهم ترین مشکل اساسی بود که فرآیند را تحت تأثیر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تعاملات با کاربران داخلی به طور خودکار پیشرفت هایی با مزایای کسب شده از طرح گسترش یافت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پشتیبانی از این گردش کار کلی لازم بود تا یک راه حل فناوری که در حال حاضر در دفتر نمایندگان استفاده می شد،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مرکزی فناوری، راه حل ها را از حوزه بازرسی و سی دی اقتباس کرد تا به عنوان یک راه حل موقتی استفاده شود تا زمانی که فراهم آوری و ایجاد یک نظام مناسب تر و دائمی برای پشتیبانی از مدیریت ارتباط تحقق یابد و تمام جزئیات آن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تصمیم گرفته شد که فرآیند فراهم آوری چنین نظامی، پس از ترسیم دقیق تر فرآیند، از طریق طرح دیگری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ترسیم فرآیند باید شامل گردش کار مفصل برای هر نوع تعامل، محدودیت های زمانی پاسخ دهی، تقسیم بندی مشتریان، سابقه تراکنش ها </w:t>
      </w:r>
      <w:r>
        <w:rPr>
          <w:rStyle w:val="FootnoteAnchor"/>
          <w:rtl w:val="true"/>
        </w:rPr>
        <w:footnoteReference w:id="1266"/>
      </w:r>
      <w:r>
        <w:rPr>
          <w:rFonts w:ascii="IRNazanin" w:hAnsi="IRNazanin" w:eastAsia="IRNazanin"/>
          <w:color w:val="111111"/>
          <w:sz w:val="28"/>
          <w:sz w:val="28"/>
          <w:szCs w:val="28"/>
          <w:rtl w:val="true"/>
          <w:lang w:bidi="fa-IR"/>
        </w:rPr>
        <w:t>و دسترسی به امکانات و ابزارهای جانبی لازم برای انجام فعالیت های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فرآیند کاری که به تفصیل بیان شد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اطلاعات</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 xml:space="preserve">بود که برای تحقق الزامات قانون دسترسی به اطلاعات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این گردش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اطلاع رسانی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به دلیل نیاز قانون فوق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اطلاعات رسمی غیرسرّی و اسنادی درباره پارلمان و عملکرد آن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گردش کار، گروه طرح مقررات خاصی را ایجاد کردند که در بردارنده قوانین انتقال در بین بخش های درگیر در فراهم آوری اطلاعات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ضروری بود چراکه برخی اطلاعات ممکن است حساس باشند اما هنوز رده بندی نشده باشند، بنابراین قبل از تحویل باید مورد تحلیل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اطلاعات مورد نیاز شهروندان پس از به اجرا گذاشته شدن قانون، مربوط به مخارج و قراردادها، طرح ها و دیگر اطلاعات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ارائه شده ملزم به عمومی بودن، مستقل از درخواست، اطلاعات برجسته قانون و در جهت شفاف سازی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تعریف این قوانین، گردش کارها، روش ها و ابزارها، گروه برای ایجاد یک کمیته راهبری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مدیریت ارتباط</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متولد شد که مسئول حرکت روبه جلو مجموعه ای از توافقات حاکمیتی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از طریق کورپی هماهنگی کمیته را بر عهده گرفت و اعضاء از طریق ذینفعان مشخص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طرح هم چنین فهرستی از الزاماتی را که باید برای حمایت فناورانه مدیریت ارتباط موجود باشد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ذینفعان برای یک طرح جدید برای حل و فصل مسائل فناوری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تصویب شد و در حال حاضر بخشی از طرح شرکتی دفتر نمایندگان </w:t>
      </w:r>
      <w:r>
        <w:rPr>
          <w:rStyle w:val="FootnoteAnchor"/>
          <w:rtl w:val="true"/>
        </w:rPr>
        <w:footnoteReference w:id="1270"/>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مدیریت ارتباط توسط بخش مدیریت راهبردی، ذینفعان و گروه، تجربه موفقی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نه تنها از دیدگاه تحویل اطلاعات وعده داده شده، مهم است بلکه از دید تأثیری که در سازمان ایجاد می کند، حائز اهمیت است</w:t>
      </w:r>
      <w:r>
        <w:rPr>
          <w:rFonts w:eastAsia="IRNazanin" w:cs="IRNazanin"/>
          <w:color w:val="111111"/>
          <w:sz w:val="28"/>
          <w:szCs w:val="28"/>
          <w:rtl w:val="true"/>
          <w:lang w:bidi="fa-IR"/>
        </w:rPr>
        <w:t xml:space="preserve">. </w:t>
      </w:r>
      <w:bookmarkStart w:id="1181" w:name="pg9659_94260"/>
    </w:p>
    <w:p>
      <w:pPr>
        <w:pStyle w:val="BookText"/>
        <w:rPr/>
      </w:pPr>
      <w:bookmarkEnd w:id="1181"/>
      <w:r>
        <w:rPr>
          <w:rFonts w:ascii="IRNazanin" w:hAnsi="IRNazanin" w:eastAsia="IRNazanin"/>
          <w:color w:val="111111"/>
          <w:sz w:val="28"/>
          <w:sz w:val="28"/>
          <w:szCs w:val="28"/>
          <w:rtl w:val="true"/>
          <w:lang w:bidi="fa-IR"/>
        </w:rPr>
        <w:t>اول از همه، این طرح به عنوان یک طرح شرکتی به حساب می آید که متکی بر تعامل ذینفعان، یک گروه با انگیزه و ماهر و یک حامی است که کاملاً متعهد تسهیل حمایت سازمانی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درک درستی از دامنه مشکل و هم ترازی ایده ها، باعث ایجاد هم افزایی و احترام متقابل شد و تغییر قابل توجهی را در فرآیندهای کاری امکان پذیر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گروه را برای مدیریت خطرهایی که در طول اجرای طرح خود را نشان داد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محض شناسایی مشکلات، فرآیندهای کاری شروع به تغییر کردند و توافقات کاری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ثابت شد فرآیندهای جدید خوب و مناسب هستند، گروه در طی مسیر تغییر احساس قدرت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انبار سؤالات حذف شدند و درخواست های اطلاعاتی به صورت کارآمدی به عموم مردم تحویل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مزایای دیگری کسب شد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مستمر فرآیند؛ ایجاد استانداردها؛ ساخت و ساز یک پایگاه دانش عمومی؛ انجمن برای مواجه شدن با مسائل مربوط به تحویل اطلاعات؛ و ایجاد یک هیئت مشاوره برای مدیریت ارتباط با مشتریان برای مسائل مربوط به فراهم آوری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هنوز هم چالش های دیگری برای مواجه شدن وجود دارد مانند اجرای یک نظام فناوری جدید و امکان یک پارچه سازی قطعی تمام حوزه ها و فرآیندهای ضروری برای ارتباط با مشتریان؛ اما اعتقاد بر این است که سخت ترین موانع مرتفع شده است چراکه هر فردی مسئولیت های خود را می داند و به صورت مشارکتی در فراهم آوردن اطلاعات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تعاملات به صورت مؤثرتری انجام می گیرد و در منظر پارلمان به طرز مثبتی منعکس می شود</w:t>
      </w:r>
      <w:r>
        <w:rPr>
          <w:rFonts w:eastAsia="IRNazanin" w:cs="IRNazanin"/>
          <w:color w:val="111111"/>
          <w:sz w:val="28"/>
          <w:szCs w:val="28"/>
          <w:rtl w:val="true"/>
          <w:lang w:bidi="fa-IR"/>
        </w:rPr>
        <w:t>.</w:t>
      </w:r>
    </w:p>
    <w:p>
      <w:pPr>
        <w:pStyle w:val="Heading3"/>
        <w:numPr>
          <w:ilvl w:val="2"/>
          <w:numId w:val="1"/>
        </w:numPr>
        <w:rPr/>
      </w:pPr>
      <w:bookmarkStart w:id="1182" w:name="__RefHeading___Toc7826087_2870459653"/>
      <w:bookmarkStart w:id="1183" w:name="_Toc438"/>
      <w:bookmarkEnd w:id="1182"/>
      <w:r>
        <w:rPr>
          <w:rtl w:val="true"/>
        </w:rPr>
        <w:t>منابع</w:t>
      </w:r>
      <w:bookmarkEnd w:id="1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Accart, Jean Philippe, 2012, Serviço de referência: do presencial ao virtual, Briquet de Lemos, Brasília</w:t>
      </w:r>
    </w:p>
    <w:p>
      <w:pPr>
        <w:pStyle w:val="BookText"/>
        <w:rPr/>
      </w:pPr>
      <w:r>
        <w:rPr>
          <w:rFonts w:eastAsia="Times New Roman" w:cs="Times New Roman" w:ascii="Times New Roman" w:hAnsi="Times New Roman"/>
          <w:color w:val="111111"/>
          <w:sz w:val="28"/>
          <w:szCs w:val="28"/>
          <w:lang w:val="en-US" w:bidi="en-US"/>
        </w:rPr>
        <w:t>Furtado, Adolfo, Bastos Elzuila, Jardim, Cristiane, Maia, Cristiane &amp; Oliveira, Dalvaleze, Changes toward efficiency: information strategic management in the Brazilian Chamber of Deputies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Quadros, Moacir, 2010, pl: teoria, prática e ferramentas, Visual Books, Florianópolis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Schelong, Alexander, 2008, Citizen Relationship Management, Peter Lang, Germany</w:t>
      </w: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4" w:name="pg9659_94262"/>
      <w:bookmarkStart w:id="1185" w:name="pg9659_94262"/>
      <w:bookmarkEnd w:id="1185"/>
    </w:p>
    <w:p>
      <w:pPr>
        <w:pStyle w:val="Heading2"/>
        <w:numPr>
          <w:ilvl w:val="1"/>
          <w:numId w:val="1"/>
        </w:numPr>
        <w:rPr/>
      </w:pPr>
      <w:bookmarkStart w:id="1186" w:name="pg9659_94262"/>
      <w:bookmarkStart w:id="1187" w:name="__RefHeading___Toc7826089_2870459653"/>
      <w:bookmarkStart w:id="1188" w:name="_Toc439"/>
      <w:bookmarkEnd w:id="1186"/>
      <w:bookmarkEnd w:id="1187"/>
      <w:r>
        <w:rPr>
          <w:rtl w:val="true"/>
        </w:rPr>
        <w:t>چکیده</w:t>
      </w:r>
      <w:bookmarkEnd w:id="1188"/>
    </w:p>
    <w:p>
      <w:pPr>
        <w:pStyle w:val="BookText"/>
        <w:rPr/>
      </w:pPr>
      <w:r>
        <w:rPr>
          <w:rFonts w:ascii="IRNazanin" w:hAnsi="IRNazanin" w:eastAsia="IRNazanin"/>
          <w:color w:val="111111"/>
          <w:sz w:val="28"/>
          <w:sz w:val="28"/>
          <w:szCs w:val="28"/>
          <w:rtl w:val="true"/>
          <w:lang w:bidi="fa-IR"/>
        </w:rPr>
        <w:t>نظام مراقبت بهداشتی ترکیه،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اطلاعات جامع در مورد خدمات بهداشتی فعلی در اجتماع برای تعیین سطح سواد بهداشتی و برآوردن نیازهای مراجعان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بهداشتی، سازمان های بهداشتی دولتی، سازمان های ملی، وزارت خانه ها، مطالب آموزشی، وب گاه ها و کتاب خانه ها نقش مهمی را در ارتباط دادن مراجعان با خدمات مناسب بهداشتی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مطالعه، توسعه طرح های سواد بهداشتی را توصیف خواهد نمود که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انجام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مطالعه،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نوشتاری و گزارش هایی بررسی شده اند و دو تا از آن ها بسیار مهم بوده و طرح های مهمی برای مطالعات سواد بهداشتی در ترکیه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تهدیدها و فرصت های ارائه مطالعات سواد بهداشتی در دسترس در این مقاله از طریق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مطرح می شوند که شامل موارد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ملی بهداشت </w:t>
      </w:r>
      <w:r>
        <w:rPr>
          <w:rStyle w:val="FootnoteAnchor"/>
          <w:rtl w:val="true"/>
        </w:rPr>
        <w:footnoteReference w:id="1271"/>
      </w:r>
      <w:r>
        <w:rPr>
          <w:rFonts w:ascii="IRNazanin" w:hAnsi="IRNazanin" w:eastAsia="IRNazanin"/>
          <w:color w:val="111111"/>
          <w:sz w:val="28"/>
          <w:sz w:val="28"/>
          <w:szCs w:val="28"/>
          <w:rtl w:val="true"/>
          <w:lang w:bidi="fa-IR"/>
        </w:rPr>
        <w:t>و طرح 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ملی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تناسب مطالب نوشتاری</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برای ارزیابی مطالب موجود آموزشی برای بیمار در مراکز بهداشت شکل گرفته است و دیسِن </w:t>
      </w:r>
      <w:r>
        <w:rPr>
          <w:rStyle w:val="FootnoteAnchor"/>
          <w:rtl w:val="true"/>
        </w:rPr>
        <w:footnoteReference w:id="1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میارهای کیفیت برای اطلاعات بهداشتی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ابزاری در این مطالعه برای تعیین پایایی و کیفیت اطلاعات مطالب آموزشی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آنکارا</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 داده ها از طریق مصاحبه رو در رو با بیماران گردآوری شده و با استفاده از آزمون آنُوا یک طرفه </w:t>
      </w:r>
      <w:r>
        <w:rPr>
          <w:rStyle w:val="FootnoteAnchor"/>
          <w:rtl w:val="true"/>
        </w:rPr>
        <w:footnoteReference w:id="1275"/>
      </w:r>
      <w:r>
        <w:rPr>
          <w:rFonts w:ascii="IRNazanin" w:hAnsi="IRNazanin" w:eastAsia="IRNazanin"/>
          <w:color w:val="111111"/>
          <w:sz w:val="28"/>
          <w:sz w:val="28"/>
          <w:szCs w:val="28"/>
          <w:rtl w:val="true"/>
          <w:lang w:bidi="fa-IR"/>
        </w:rPr>
        <w:t xml:space="preserve">، آزمون تی </w:t>
      </w:r>
      <w:r>
        <w:rPr>
          <w:rStyle w:val="FootnoteAnchor"/>
          <w:rtl w:val="true"/>
        </w:rPr>
        <w:footnoteReference w:id="1276"/>
      </w:r>
      <w:r>
        <w:rPr>
          <w:rFonts w:ascii="IRNazanin" w:hAnsi="IRNazanin" w:eastAsia="IRNazanin"/>
          <w:color w:val="111111"/>
          <w:sz w:val="28"/>
          <w:sz w:val="28"/>
          <w:szCs w:val="28"/>
          <w:rtl w:val="true"/>
          <w:lang w:bidi="fa-IR"/>
        </w:rPr>
        <w:t xml:space="preserve">و آزمون های کای اِسکوئر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مورد تحلیل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این دو مطالعه، هدف، توصیف خلا اطلاعاتی موجود برای تقاضای فزاینده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اطلاعات، دسترسی به اطلاعات در مورد مطالعات سواد اطلاعاتی را در ترکیه تسهیل می نماید، می توان در مورد فرصت ها و تهدیدهای چشم اندازی برای خدمات برابر اطلاعاتی در بهداشت به بحث پرداخت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بهداشتی، اطلاعات بهداشتی، بهداشت اجتماع، نظام بهداشت، ارزیابی پیشینه های سواد بهداشتی ترکیه </w:t>
      </w:r>
      <w:bookmarkStart w:id="1189" w:name="pg9659_94263"/>
    </w:p>
    <w:p>
      <w:pPr>
        <w:pStyle w:val="Heading2"/>
        <w:numPr>
          <w:ilvl w:val="1"/>
          <w:numId w:val="1"/>
        </w:numPr>
        <w:rPr/>
      </w:pPr>
      <w:bookmarkStart w:id="1190" w:name="__RefHeading___Toc7826091_2870459653"/>
      <w:bookmarkStart w:id="1191" w:name="_Toc440"/>
      <w:bookmarkEnd w:id="1189"/>
      <w:bookmarkEnd w:id="1190"/>
      <w:r>
        <w:rPr>
          <w:rtl w:val="true"/>
        </w:rPr>
        <w:t>تصمیمات حیاتی</w:t>
      </w:r>
      <w:r>
        <w:rPr>
          <w:rtl w:val="true"/>
        </w:rPr>
        <w:t xml:space="preserve">: </w:t>
      </w:r>
      <w:r>
        <w:rPr>
          <w:rtl w:val="true"/>
        </w:rPr>
        <w:t>نگاهی منتقدانه به سواد بهداشتی در ترکیه</w:t>
      </w:r>
      <w:bookmarkEnd w:id="1191"/>
    </w:p>
    <w:p>
      <w:pPr>
        <w:pStyle w:val="Heading3"/>
        <w:numPr>
          <w:ilvl w:val="2"/>
          <w:numId w:val="1"/>
        </w:numPr>
        <w:rPr/>
      </w:pPr>
      <w:bookmarkStart w:id="1192" w:name="__RefHeading___Toc7826093_2870459653"/>
      <w:bookmarkStart w:id="1193" w:name="_Toc441"/>
      <w:bookmarkEnd w:id="1192"/>
      <w:r>
        <w:rPr>
          <w:rtl w:val="true"/>
        </w:rPr>
        <w:t>اشاره</w:t>
      </w:r>
      <w:bookmarkEnd w:id="1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منتقدانه به سواد بهداشتی در ترکیه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نوشته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اینجی اُنال </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لیلا نعمتی انارکی </w:t>
      </w:r>
      <w:r>
        <w:rPr>
          <w:rStyle w:val="FootnoteAnchor"/>
          <w:rtl w:val="true"/>
        </w:rPr>
        <w:footnoteReference w:id="1280"/>
      </w:r>
    </w:p>
    <w:p>
      <w:pPr>
        <w:pStyle w:val="Heading3"/>
        <w:numPr>
          <w:ilvl w:val="2"/>
          <w:numId w:val="1"/>
        </w:numPr>
        <w:rPr/>
      </w:pPr>
      <w:bookmarkStart w:id="1194" w:name="__RefHeading___Toc7826095_2870459653"/>
      <w:bookmarkStart w:id="1195" w:name="_Toc442"/>
      <w:bookmarkEnd w:id="1194"/>
      <w:r>
        <w:rPr/>
        <w:t>1</w:t>
      </w:r>
      <w:r>
        <w:rPr>
          <w:rtl w:val="true"/>
        </w:rPr>
        <w:t xml:space="preserve">. </w:t>
      </w:r>
      <w:r>
        <w:rPr>
          <w:rtl w:val="true"/>
        </w:rPr>
        <w:t>مقدمه</w:t>
      </w:r>
      <w:bookmarkEnd w:id="1195"/>
    </w:p>
    <w:p>
      <w:pPr>
        <w:pStyle w:val="BookText"/>
        <w:rPr/>
      </w:pPr>
      <w:r>
        <w:rPr>
          <w:rFonts w:ascii="IRNazanin" w:hAnsi="IRNazanin" w:eastAsia="IRNazanin"/>
          <w:color w:val="111111"/>
          <w:sz w:val="28"/>
          <w:sz w:val="28"/>
          <w:szCs w:val="28"/>
          <w:rtl w:val="true"/>
          <w:lang w:bidi="fa-IR"/>
        </w:rPr>
        <w:t>تأکید فزاینده بر ارائه خدمات بهداشت و سلامت، مجموعه ای کلی از تقاضاهای متفاوت را در نظام بهداشتی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خانه پزشکی و کتاب خانه بیمارستان، درگذشته امری رایج بوده اند، سواد بهداشتی بیماران، عاملی مهم و تأثیر گذار در نتایج و ارتباط بهداشتی جامعه به حساب می آید به گونه ای که دانش، مهارت های فردی، سبک های متغیر زندگی و شرایط زندگی می توانند بر مراقبت از بیمار تأثیر زیادی داشته باشند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مطالعه، توسعه طرح های سواد بهداشتی را در حالی که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انجام می گرفته اند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مطالعه،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و گزارش نوشتاری مورد بررسی قرار گرفته و دوتای آن ها بسیار مهم تلقی شده و جزء طرح های مهم برای مطالعات سواد بهداشتی در ترکیه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و تهدیدهای رایج برای ارائه مطالعات در دسترس سواد بهداشتی در این مقاله از طریق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ارائه می شوند که شامل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ملی بهداشت و طرح 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این دو مطالعه، هدف، کاهش خلأ اطلاعاتی موجود برای نیاز فزاینده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مطالعه دسترسی به اطلاعات در مورد مطالعات سواد بهداشتی را در ترکیه تسهیل </w:t>
      </w:r>
      <w:bookmarkStart w:id="1196" w:name="pg9659_94264"/>
    </w:p>
    <w:p>
      <w:pPr>
        <w:pStyle w:val="BookText"/>
        <w:rPr/>
      </w:pPr>
      <w:bookmarkEnd w:id="1196"/>
      <w:r>
        <w:rPr>
          <w:rFonts w:ascii="IRNazanin" w:hAnsi="IRNazanin" w:eastAsia="IRNazanin"/>
          <w:color w:val="111111"/>
          <w:sz w:val="28"/>
          <w:sz w:val="28"/>
          <w:szCs w:val="28"/>
          <w:rtl w:val="true"/>
          <w:lang w:bidi="fa-IR"/>
        </w:rPr>
        <w:t>می نماید، بحث در مورد فرصت ها و تهدیدها را برای چشم انداز خدمات بهداشتی برابر در بهداشت ممکن می سازد</w:t>
      </w:r>
      <w:r>
        <w:rPr>
          <w:rFonts w:eastAsia="IRNazanin" w:cs="IRNazanin"/>
          <w:color w:val="111111"/>
          <w:sz w:val="28"/>
          <w:szCs w:val="28"/>
          <w:rtl w:val="true"/>
          <w:lang w:bidi="fa-IR"/>
        </w:rPr>
        <w:t>.</w:t>
      </w:r>
    </w:p>
    <w:p>
      <w:pPr>
        <w:pStyle w:val="Heading3"/>
        <w:numPr>
          <w:ilvl w:val="2"/>
          <w:numId w:val="1"/>
        </w:numPr>
        <w:rPr/>
      </w:pPr>
      <w:bookmarkStart w:id="1197" w:name="__RefHeading___Toc7826097_2870459653"/>
      <w:bookmarkStart w:id="1198" w:name="_Toc443"/>
      <w:bookmarkEnd w:id="1197"/>
      <w:r>
        <w:rPr/>
        <w:t>2</w:t>
      </w:r>
      <w:r>
        <w:rPr>
          <w:rtl w:val="true"/>
        </w:rPr>
        <w:t xml:space="preserve">. </w:t>
      </w:r>
      <w:r>
        <w:rPr>
          <w:rtl w:val="true"/>
        </w:rPr>
        <w:t>نظام بهداشت ترکیه</w:t>
      </w:r>
      <w:bookmarkEnd w:id="1198"/>
    </w:p>
    <w:p>
      <w:pPr>
        <w:pStyle w:val="BookText"/>
        <w:rPr/>
      </w:pPr>
      <w:r>
        <w:rPr>
          <w:rFonts w:ascii="IRNazanin" w:hAnsi="IRNazanin" w:eastAsia="IRNazanin"/>
          <w:color w:val="111111"/>
          <w:sz w:val="28"/>
          <w:sz w:val="28"/>
          <w:szCs w:val="28"/>
          <w:rtl w:val="true"/>
          <w:lang w:bidi="fa-IR"/>
        </w:rPr>
        <w:t xml:space="preserve">سازمان ارائه خدمات بهداشت، تعریف نقش وزارت بهداشت </w:t>
      </w:r>
      <w:r>
        <w:rPr>
          <w:rStyle w:val="FootnoteAnchor"/>
          <w:rtl w:val="true"/>
        </w:rPr>
        <w:footnoteReference w:id="1281"/>
      </w:r>
      <w:r>
        <w:rPr>
          <w:rFonts w:ascii="IRNazanin" w:hAnsi="IRNazanin" w:eastAsia="IRNazanin"/>
          <w:color w:val="111111"/>
          <w:sz w:val="28"/>
          <w:sz w:val="28"/>
          <w:szCs w:val="28"/>
          <w:rtl w:val="true"/>
          <w:lang w:bidi="fa-IR"/>
        </w:rPr>
        <w:t xml:space="preserve">به عنوان تنها ارائه کننده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بهداشت در ترکیه، متشکل از ایستگاه های بهداشت، پست های بهداشت، مراکز بهداشت، بیمارستان ها، سازمان های پیشگیری کننده متفاوت، بیمارستان های منطقه ای، آزمایشگاه های منطقه ای، گروه های آموزشی و سازمان مرکزی وزارت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76667864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در شش منطقه وسیع جغرافیایی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پزشک، </w:t>
      </w:r>
      <w:r>
        <w:rPr>
          <w:rFonts w:eastAsia="IRNazanin" w:cs="IRNazanin"/>
          <w:color w:val="111111"/>
          <w:sz w:val="28"/>
          <w:szCs w:val="28"/>
          <w:lang w:bidi="fa-IR"/>
        </w:rPr>
        <w:t>176887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کل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بهداشت که در ترکیه کار می کنند را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آماری ترکیه،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طرح اجتماعی سازی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 صرفاً جمعیت های روستایی و ضعیف شهری از تسهیلات اصلی بهداشت بهره مند شدند، در حالی که جمعیت های بیمه شده و مرفه تر مستقیماً به بیمارستان ها فرستاده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ترکیبی اما نابرابر ایجاد شد که قبل از ابتکار عمل اصلاح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وضع موجود را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بهداشت کارمندان و اعضای صندوق بازنشستگی جامع بودند و دربردارنده درمان، معاینات آزمایشگاهی و بالینی، بستری و داروهای ضروری و تجهیزات درمانی شدند و آن ها می توانستند این مزایا را از بیمارستان های دولتی، آسایشگاه ها، مراکز توان بخشی، خانه های درمان و معاینه، پزشکان دولتی و شهری و پست های بهداشتی دریافت کنند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پرستار و ماما، مشکل مزمنی بود که مکرر در اسناد مهم بهداشتی و همراه با کمبود رویکردی مداوم به توسعه خدمات اصلی بهداشت و ضعف وزارت از نظر برنامه ریزی سازمان خدمات بهداشتی ذکر شده است با شروع قرن جدید، بهبودهای قابل ملاحظه ای در موقعیت بهداشتی جمعیت ترکیه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مهم، به لطف بهبود در شرایط زندگی، مداخلات بهداشتی دولتی و پیشرفت مراقبت طبی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گزارش ها سازمان همکاری اقتصادی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ایی سی دی</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 xml:space="preserve">نشان می دهند، ترکیه، یکی از بزرگ ترین دستاوردها را در انتظار میزان طول عمر بین سال 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رسانده است و افزایش کلی به میزان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شاهد بوده است که به سرعت، خلاً موجود در میزان متوسط در کشورهای اُ ایی سی دی 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bookmarkStart w:id="1199" w:name="pg9659_94265"/>
    </w:p>
    <w:p>
      <w:pPr>
        <w:pStyle w:val="BookText"/>
        <w:rPr/>
      </w:pPr>
      <w:bookmarkEnd w:id="1199"/>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انتظار طول عمر در ترکیه،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 اساس اطلاعات موجود،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این میزان به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مقایسه با میزان متوسط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ایی سی 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مرگ نوزادان نیز به طور قابل ملاحظه ای در طول چند دهه اخیر کاهش داشته است و از میزان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آگارتان،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 xml:space="preserve">؛ اُ ایی سی دی،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اُ ایی سی دی،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Heading3"/>
        <w:numPr>
          <w:ilvl w:val="2"/>
          <w:numId w:val="1"/>
        </w:numPr>
        <w:rPr/>
      </w:pPr>
      <w:bookmarkStart w:id="1200" w:name="__RefHeading___Toc7826099_2870459653"/>
      <w:bookmarkStart w:id="1201" w:name="_Toc444"/>
      <w:bookmarkEnd w:id="1200"/>
      <w:r>
        <w:rPr/>
        <w:t>3</w:t>
      </w:r>
      <w:r>
        <w:rPr>
          <w:rtl w:val="true"/>
        </w:rPr>
        <w:t xml:space="preserve">. </w:t>
      </w:r>
      <w:r>
        <w:rPr>
          <w:rtl w:val="true"/>
        </w:rPr>
        <w:t>ارکان سواد بهداشتی</w:t>
      </w:r>
      <w:bookmarkEnd w:id="1201"/>
    </w:p>
    <w:p>
      <w:pPr>
        <w:pStyle w:val="BookText"/>
        <w:rPr/>
      </w:pPr>
      <w:r>
        <w:rPr>
          <w:rFonts w:ascii="IRNazanin" w:hAnsi="IRNazanin" w:eastAsia="IRNazanin"/>
          <w:color w:val="111111"/>
          <w:sz w:val="28"/>
          <w:sz w:val="28"/>
          <w:szCs w:val="28"/>
          <w:rtl w:val="true"/>
          <w:lang w:bidi="fa-IR"/>
        </w:rPr>
        <w:t>نشر توصیه های بهداشتی برای عموم همواره حائز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بهداشتی صرفاً به معنای دانش بهداشتی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به رشد دائمی در جستجوی اطلاعات پزشکی به بیماران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بهداشتی، موضوعی نسبتاً جدید در مراقبت های بهداشتی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سواد بهداشتی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کاری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بهداشتی، برنامه ای را با تمرکز بر موارد زیر ارائه کرده است</w:t>
      </w:r>
      <w:r>
        <w:rPr>
          <w:rFonts w:eastAsia="IRNazanin" w:cs="IRNazanin"/>
          <w:color w:val="111111"/>
          <w:sz w:val="28"/>
          <w:szCs w:val="28"/>
          <w:rtl w:val="true"/>
          <w:lang w:bidi="fa-IR"/>
        </w:rPr>
        <w:t>:</w:t>
      </w:r>
    </w:p>
    <w:p>
      <w:pPr>
        <w:pStyle w:val="Heading3"/>
        <w:numPr>
          <w:ilvl w:val="2"/>
          <w:numId w:val="1"/>
        </w:numPr>
        <w:rPr/>
      </w:pPr>
      <w:bookmarkStart w:id="1202" w:name="__RefHeading___Toc7826101_2870459653"/>
      <w:bookmarkStart w:id="1203" w:name="_Toc445"/>
      <w:bookmarkEnd w:id="1202"/>
      <w:r>
        <w:rPr/>
        <w:t>1</w:t>
      </w:r>
      <w:r>
        <w:rPr>
          <w:rtl w:val="true"/>
        </w:rPr>
        <w:t xml:space="preserve">. </w:t>
      </w:r>
      <w:r>
        <w:rPr>
          <w:rtl w:val="true"/>
        </w:rPr>
        <w:t>اطلاعات بهداشتی مصرف کننده</w:t>
      </w:r>
      <w:bookmarkEnd w:id="1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جامع</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که به مردم عادی ارائه می شود و شیوه ارائه، ممکن است رسمی یا غیر رسمی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پردازش و درک اطلاعات و خدمات اساسی بهداشتی مورد نیاز برای اتخاذ تصمیمات بهداشتی مناسب</w:t>
      </w:r>
      <w:r>
        <w:rPr>
          <w:rFonts w:eastAsia="IRNazanin" w:cs="IRNazanin"/>
          <w:color w:val="111111"/>
          <w:sz w:val="28"/>
          <w:szCs w:val="28"/>
          <w:rtl w:val="true"/>
          <w:lang w:bidi="fa-IR"/>
        </w:rPr>
        <w:t>.</w:t>
      </w:r>
    </w:p>
    <w:p>
      <w:pPr>
        <w:pStyle w:val="Heading3"/>
        <w:numPr>
          <w:ilvl w:val="2"/>
          <w:numId w:val="1"/>
        </w:numPr>
        <w:rPr/>
      </w:pPr>
      <w:bookmarkStart w:id="1204" w:name="__RefHeading___Toc7826103_2870459653"/>
      <w:bookmarkStart w:id="1205" w:name="_Toc446"/>
      <w:bookmarkEnd w:id="1204"/>
      <w:r>
        <w:rPr/>
        <w:t>2</w:t>
      </w:r>
      <w:r>
        <w:rPr>
          <w:rtl w:val="true"/>
        </w:rPr>
        <w:t xml:space="preserve">. </w:t>
      </w:r>
      <w:r>
        <w:rPr>
          <w:rtl w:val="true"/>
        </w:rPr>
        <w:t>رفتار جستجوی اطلاعات بهداشتی</w:t>
      </w:r>
      <w:bookmarkEnd w:id="1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اصطلاحات جدید، با استفاده از ساختار متن برای کمک به درک دیسِن لغت و سازمان دهی و ادغام اطلاعات جدید به عنوان مهارت خواندن؛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دانش موقعیت یا رخدادی خاص؛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فعالیت انجام شده برای انجام تحقیق یا یافتن پاسخ برای سؤال</w:t>
      </w:r>
      <w:r>
        <w:rPr>
          <w:rFonts w:eastAsia="IRNazanin" w:cs="IRNazanin"/>
          <w:color w:val="111111"/>
          <w:sz w:val="28"/>
          <w:szCs w:val="28"/>
          <w:rtl w:val="true"/>
          <w:lang w:bidi="fa-IR"/>
        </w:rPr>
        <w:t>.</w:t>
      </w:r>
    </w:p>
    <w:p>
      <w:pPr>
        <w:pStyle w:val="Heading3"/>
        <w:numPr>
          <w:ilvl w:val="2"/>
          <w:numId w:val="1"/>
        </w:numPr>
        <w:rPr/>
      </w:pPr>
      <w:bookmarkStart w:id="1206" w:name="__RefHeading___Toc7826105_2870459653"/>
      <w:bookmarkStart w:id="1207" w:name="_Toc447"/>
      <w:bookmarkEnd w:id="1206"/>
      <w:r>
        <w:rPr/>
        <w:t>3</w:t>
      </w:r>
      <w:r>
        <w:rPr>
          <w:rtl w:val="true"/>
        </w:rPr>
        <w:t xml:space="preserve">. </w:t>
      </w:r>
      <w:r>
        <w:rPr>
          <w:rtl w:val="true"/>
        </w:rPr>
        <w:t>سواد بهداشتی</w:t>
      </w:r>
      <w:bookmarkEnd w:id="12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درک بطری های نسخه، یادداشت های وقت ملاقات و سایر مطالب ضروری مربوط به بهداشت؛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درک تعداد و انجام محاسبات ریاضیاتی اساسی به عنوان مهارت عددی؛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توانایی برای جایابی، ارزیابی و استفاده مؤثر از اطلاعات مورد نیاز</w:t>
      </w:r>
      <w:r>
        <w:rPr>
          <w:rFonts w:eastAsia="IRNazanin" w:cs="IRNazanin"/>
          <w:color w:val="111111"/>
          <w:sz w:val="28"/>
          <w:szCs w:val="28"/>
          <w:rtl w:val="true"/>
          <w:lang w:bidi="fa-IR"/>
        </w:rPr>
        <w:t xml:space="preserve">. </w:t>
      </w:r>
      <w:bookmarkStart w:id="1208" w:name="pg9659_94266"/>
    </w:p>
    <w:p>
      <w:pPr>
        <w:pStyle w:val="Heading3"/>
        <w:numPr>
          <w:ilvl w:val="2"/>
          <w:numId w:val="1"/>
        </w:numPr>
        <w:rPr/>
      </w:pPr>
      <w:bookmarkStart w:id="1209" w:name="__RefHeading___Toc7826107_2870459653"/>
      <w:bookmarkStart w:id="1210" w:name="_Toc448"/>
      <w:bookmarkEnd w:id="1208"/>
      <w:bookmarkEnd w:id="1209"/>
      <w:r>
        <w:rPr/>
        <w:t>4</w:t>
      </w:r>
      <w:r>
        <w:rPr>
          <w:rtl w:val="true"/>
        </w:rPr>
        <w:t xml:space="preserve">. </w:t>
      </w:r>
      <w:r>
        <w:rPr>
          <w:rtl w:val="true"/>
        </w:rPr>
        <w:t>ارزیابی معیارها</w:t>
      </w:r>
      <w:bookmarkEnd w:id="1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معیارهای خاص کیفیتی برای سنجش توانمندی ارزیابی اطلاعات بهداشتی مصرف کننده کاربران مطالعه مربوطه؛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توانمندسازی، فضا، انگیزش و ارزیابی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پِلِزنت و کوروویلا،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 xml:space="preserve">؛ رولندز،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 xml:space="preserve">؛ یی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7826109_2870459653"/>
      <w:bookmarkStart w:id="1212" w:name="_Toc449"/>
      <w:bookmarkEnd w:id="1211"/>
      <w:r>
        <w:rPr/>
        <w:t>4</w:t>
      </w:r>
      <w:r>
        <w:rPr>
          <w:rtl w:val="true"/>
        </w:rPr>
        <w:t xml:space="preserve">. </w:t>
      </w:r>
      <w:r>
        <w:rPr>
          <w:rtl w:val="true"/>
        </w:rPr>
        <w:t>روندها در پیشینه ترکیه</w:t>
      </w:r>
      <w:bookmarkEnd w:id="1212"/>
    </w:p>
    <w:p>
      <w:pPr>
        <w:pStyle w:val="Heading4"/>
        <w:numPr>
          <w:ilvl w:val="3"/>
          <w:numId w:val="1"/>
        </w:numPr>
        <w:rPr/>
      </w:pPr>
      <w:bookmarkStart w:id="1213" w:name="__RefHeading___Toc7826111_2870459653"/>
      <w:bookmarkStart w:id="1214" w:name="_Toc450"/>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پیشینه سواد بهداشتی به شدت در دهه اخیر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هفت مقاله در پیشینه بهداشت وجود داشته است که بر سواد کلی و مسائل بهداشتی 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به ویژه پس از نتایج نظام جدید بهداشت، تمرکز زیادی بر سواد بهداشتی و تأثیر آن بر دانش از بیماری و نتایج بهداشتی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پیشینه، بر افرادی متمرکز بوده است که دو یا چند عامل ریسک برای بیماری های قلبی عروقی، دیابت، سیگار کشیدن، فشارخون، استفاده از مواد و غیره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بروشور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سواد بهداشتی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و بروشورها به طور عمده بر فرم های پزشکی بیمار و مطالب آموزشی بهداشتی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دائمی را از نظر تعداد مقالات چاپ شده شاهد بود این مقالات بر توسعه ارزیابی های سواد بهداشتی و تفاوت های دانش در مورد بیماری در میان بیماران با سطوح سواد بهداشتی متفاوت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فعلی، هم چنان شاهد تعداد افزایش یافته چاپ مطالب به ویژه رساله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اکثریت مقالات هم چنان بر سطوح سواد مربوط به مطالب آموزشی بهداشتی تأکید دارند، تغییر قابل ملاحظه ای برای مستندسازی مداخلات طراحی شده</w:t>
      </w:r>
    </w:p>
    <w:p>
      <w:pPr>
        <w:pStyle w:val="BookText"/>
        <w:rPr/>
      </w:pPr>
      <w:r>
        <w:rPr>
          <w:rFonts w:ascii="IRNazanin" w:hAnsi="IRNazanin" w:eastAsia="IRNazanin"/>
          <w:color w:val="111111"/>
          <w:sz w:val="28"/>
          <w:sz w:val="28"/>
          <w:szCs w:val="28"/>
          <w:rtl w:val="true"/>
          <w:lang w:bidi="fa-IR"/>
        </w:rPr>
        <w:t>برای آزمودن سازوکارها و فناوری های متعدد در تعدادی از ارزیابی های سواد بهداشتی، افزایش شناسایی تقاضاهای متعدد بیماران و تمرکز بر تبادل شفاهی اطلاعات بهداشتی وجود دارد</w:t>
      </w:r>
      <w:r>
        <w:rPr>
          <w:rFonts w:eastAsia="IRNazanin" w:cs="IRNazanin"/>
          <w:color w:val="111111"/>
          <w:sz w:val="28"/>
          <w:szCs w:val="28"/>
          <w:rtl w:val="true"/>
          <w:lang w:bidi="fa-IR"/>
        </w:rPr>
        <w:t>.</w:t>
      </w:r>
    </w:p>
    <w:p>
      <w:pPr>
        <w:pStyle w:val="Heading3"/>
        <w:numPr>
          <w:ilvl w:val="2"/>
          <w:numId w:val="1"/>
        </w:numPr>
        <w:rPr/>
      </w:pPr>
      <w:bookmarkStart w:id="1215" w:name="__RefHeading___Toc7826113_2870459653"/>
      <w:bookmarkStart w:id="1216" w:name="_Toc451"/>
      <w:bookmarkEnd w:id="1215"/>
      <w:r>
        <w:rPr/>
        <w:t>5</w:t>
      </w:r>
      <w:r>
        <w:rPr>
          <w:rtl w:val="true"/>
        </w:rPr>
        <w:t xml:space="preserve">. </w:t>
      </w:r>
      <w:r>
        <w:rPr>
          <w:rtl w:val="true"/>
        </w:rPr>
        <w:t>تحقیقات و توسعه</w:t>
      </w:r>
      <w:bookmarkEnd w:id="1216"/>
    </w:p>
    <w:p>
      <w:pPr>
        <w:pStyle w:val="Heading4"/>
        <w:numPr>
          <w:ilvl w:val="3"/>
          <w:numId w:val="1"/>
        </w:numPr>
        <w:rPr/>
      </w:pPr>
      <w:bookmarkStart w:id="1217" w:name="__RefHeading___Toc7826115_2870459653"/>
      <w:bookmarkStart w:id="1218" w:name="_Toc452"/>
      <w:bookmarkEnd w:id="1217"/>
      <w:r>
        <w:rPr>
          <w:rtl w:val="true"/>
        </w:rPr>
        <w:t>اشاره</w:t>
      </w:r>
      <w:bookmarkEnd w:id="121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و توسعه مطالعات سواد بهداشتی، برای ترغیب تحقیقات در بهداشت، مهارت های ارتباطی و به اشتراک گذاشتن اطلاعات بهداشتی با بیماران به گونه ای قابل فهم،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وظیفه ای </w:t>
      </w:r>
      <w:bookmarkStart w:id="1219" w:name="pg9659_94267"/>
    </w:p>
    <w:p>
      <w:pPr>
        <w:pStyle w:val="BookText"/>
        <w:rPr/>
      </w:pPr>
      <w:bookmarkEnd w:id="1219"/>
      <w:r>
        <w:rPr>
          <w:rFonts w:ascii="IRNazanin" w:hAnsi="IRNazanin" w:eastAsia="IRNazanin"/>
          <w:color w:val="111111"/>
          <w:sz w:val="28"/>
          <w:sz w:val="28"/>
          <w:szCs w:val="28"/>
          <w:rtl w:val="true"/>
          <w:lang w:bidi="fa-IR"/>
        </w:rPr>
        <w:t>اخلاقی و قانونی برای امکان پذیر ساختن نیازهای ارتباطی مردم با توسعه فن های جدید، نظام ها و تجهیزات برای ذخیره و بازیابی اطلاعات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 به سه دسته تقسیم می شوند</w:t>
      </w:r>
      <w:r>
        <w:rPr>
          <w:rFonts w:eastAsia="IRNazanin" w:cs="IRNazanin"/>
          <w:color w:val="111111"/>
          <w:sz w:val="28"/>
          <w:szCs w:val="28"/>
          <w:rtl w:val="true"/>
          <w:lang w:bidi="fa-IR"/>
        </w:rPr>
        <w:t>:</w:t>
      </w:r>
    </w:p>
    <w:p>
      <w:pPr>
        <w:pStyle w:val="Heading4"/>
        <w:numPr>
          <w:ilvl w:val="3"/>
          <w:numId w:val="1"/>
        </w:numPr>
        <w:rPr/>
      </w:pPr>
      <w:bookmarkStart w:id="1220" w:name="__RefHeading___Toc7826117_2870459653"/>
      <w:bookmarkStart w:id="1221" w:name="_Toc453"/>
      <w:bookmarkEnd w:id="1220"/>
      <w:r>
        <w:rPr/>
        <w:t>1/5</w:t>
      </w:r>
      <w:r>
        <w:rPr>
          <w:rtl w:val="true"/>
        </w:rPr>
        <w:t xml:space="preserve">. </w:t>
      </w:r>
      <w:r>
        <w:rPr>
          <w:rtl w:val="true"/>
        </w:rPr>
        <w:t>تعریف سواد بهداشتی</w:t>
      </w:r>
      <w:r>
        <w:rPr>
          <w:rtl w:val="true"/>
        </w:rPr>
        <w:t>:</w:t>
      </w:r>
      <w:bookmarkEnd w:id="1221"/>
    </w:p>
    <w:p>
      <w:pPr>
        <w:pStyle w:val="BookText"/>
        <w:rPr/>
      </w:pPr>
      <w:r>
        <w:rPr>
          <w:rFonts w:ascii="IRNazanin" w:hAnsi="IRNazanin" w:eastAsia="IRNazanin"/>
          <w:color w:val="111111"/>
          <w:sz w:val="28"/>
          <w:sz w:val="28"/>
          <w:szCs w:val="28"/>
          <w:rtl w:val="true"/>
          <w:lang w:bidi="fa-IR"/>
        </w:rPr>
        <w:t>مطالعات پیشین در ترکیه بر تعریف سواد بهداشتی و اطلاعات بهداشتی متمرکز بوده اند و به دنبال رفتارهای کاربران شامل نیازهای اطلاعاتی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نیازهای کاربر را از نظر موارد زیر شناسایی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جمعیتی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آوجِ، سونماز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 xml:space="preserve">؛ بیلیر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 xml:space="preserve">؛ چینار لو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 اِربایداش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 اَرکوچ، یار دوم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 یوجیک، آلکان، آریجا، آتِش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 گیچلو، اُیسال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 میدانگُل، اِمیرول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 سِواش، کِرهان، سِکا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Style w:val="FootnoteAnchor"/>
          <w:rtl w:val="true"/>
        </w:rPr>
        <w:footnoteReference w:id="1296"/>
      </w:r>
      <w:r>
        <w:rPr>
          <w:rFonts w:ascii="IRNazanin" w:hAnsi="IRNazanin" w:eastAsia="IRNazanin"/>
          <w:color w:val="111111"/>
          <w:sz w:val="28"/>
          <w:sz w:val="28"/>
          <w:szCs w:val="28"/>
          <w:rtl w:val="true"/>
          <w:lang w:bidi="fa-IR"/>
        </w:rPr>
        <w:t xml:space="preserve">؛ شِناش، ساموش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 xml:space="preserve">توباش، یِریش، جان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1298"/>
      </w:r>
      <w:r>
        <w:rPr>
          <w:rFonts w:ascii="Amiri" w:hAnsi="Amiri" w:eastAsia="Amiri" w:cs="Amiri"/>
          <w:color w:val="111111"/>
          <w:sz w:val="28"/>
          <w:sz w:val="28"/>
          <w:szCs w:val="28"/>
          <w:rtl w:val="true"/>
          <w:lang w:bidi="ar-SA"/>
        </w:rPr>
        <w:t>؛ یِلدِس، آتِش، یِلدیریم، راسین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موضوعات بهداشتی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بیلیر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جیتین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 هَرگِنچ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 سافَش، کِنان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مسائل و چالش های مرتبط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آکلین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 آتِش، اِربایداش، اُسان، جِوایِش، ایشچِ، دمیر کوران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 xml:space="preserve">؛ آوجِ، سونماز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آیاز، تیزجان، آکینجی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 اَیرانج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 بیلیر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چینارلو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اَرکوچ، یار دوم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هَرگِنچ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 شِناش، ساموش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و سِزَش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22" w:name="pg9659_94268"/>
    </w:p>
    <w:p>
      <w:pPr>
        <w:pStyle w:val="BookText"/>
        <w:rPr/>
      </w:pPr>
      <w:bookmarkEnd w:id="12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مطالب اطلاعاتی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آوجِ، سونماز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جیتین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دِمیر، اُزسیکَش، اُزجان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اُرلو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3" w:name="__RefHeading___Toc7826119_2870459653"/>
      <w:bookmarkStart w:id="1224" w:name="_Toc454"/>
      <w:bookmarkEnd w:id="1223"/>
      <w:r>
        <w:rPr/>
        <w:t>2.5</w:t>
      </w:r>
      <w:r>
        <w:rPr>
          <w:rtl w:val="true"/>
        </w:rPr>
        <w:t xml:space="preserve">. </w:t>
      </w:r>
      <w:r>
        <w:rPr>
          <w:rtl w:val="true"/>
        </w:rPr>
        <w:t>سنجش سواد بهداشتی</w:t>
      </w:r>
      <w:r>
        <w:rPr>
          <w:rtl w:val="true"/>
        </w:rPr>
        <w:t>:</w:t>
      </w:r>
      <w:bookmarkEnd w:id="1224"/>
    </w:p>
    <w:p>
      <w:pPr>
        <w:pStyle w:val="BookText"/>
        <w:rPr/>
      </w:pPr>
      <w:r>
        <w:rPr>
          <w:rFonts w:ascii="IRNazanin" w:hAnsi="IRNazanin" w:eastAsia="IRNazanin"/>
          <w:color w:val="111111"/>
          <w:sz w:val="28"/>
          <w:sz w:val="28"/>
          <w:szCs w:val="28"/>
          <w:rtl w:val="true"/>
          <w:lang w:bidi="fa-IR"/>
        </w:rPr>
        <w:t>اگر چه سواد بهداشتی، سازه ای چند جانبه و پیچیده است، محققان ترکیه ای از ابزارهای متعددی برای ارزیابی سواد بهداشتی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ارزیابی سواد بهداشتی موجود و کاربردهای آنان در پیشینه سواد بهداشتی ترکیه ای در چهار دسته قرار می گیرند که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سواد بهداشتی عمل کردی در میان بزرگ سالان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چاپی و نوشتن و حساب </w:t>
      </w:r>
      <w:r>
        <w:rPr>
          <w:rStyle w:val="FootnoteAnchor"/>
          <w:rtl w:val="true"/>
        </w:rPr>
        <w:footnoteReference w:id="1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آكلين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جيتين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اَرکوچ، یاردوم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هَرگِنچ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سریع سواد بزرگ سالان در پزشکی </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آلم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سواد چاپی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جیتین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آرکوچ، یاردوم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هَر گِنچ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اُزدِمیش، آلپِش، اُنجو، بیل گِل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سواد فعالیت های بهداشت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چاپی و نوشتن و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آکلین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آتِش، اربایداش، دمیر کوران، اُسان، جِوایش، ایشجی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جیتین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آرکوچ، یار دوم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هَرگِنچ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جدیدترین علامت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وی اِس</w:t>
      </w:r>
      <w:r>
        <w:rPr>
          <w:rFonts w:eastAsia="IRNazanin" w:cs="IRNazanin"/>
          <w:color w:val="111111"/>
          <w:sz w:val="28"/>
          <w:szCs w:val="28"/>
          <w:rtl w:val="true"/>
          <w:lang w:bidi="fa-IR"/>
        </w:rPr>
        <w:t xml:space="preserve">) </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چاپی و نوشتن و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جیتین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آرکوچ، ياردوم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هَرگِنج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اُزدمیش، آلپِش، اُنجو، بیل گل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توباش، یِریش و جان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225" w:name="__RefHeading___Toc7826121_2870459653"/>
      <w:bookmarkStart w:id="1226" w:name="_Toc455"/>
      <w:bookmarkEnd w:id="1225"/>
      <w:r>
        <w:rPr/>
        <w:t>3/5</w:t>
      </w:r>
      <w:r>
        <w:rPr>
          <w:rtl w:val="true"/>
        </w:rPr>
        <w:t xml:space="preserve">. </w:t>
      </w:r>
      <w:r>
        <w:rPr>
          <w:rtl w:val="true"/>
        </w:rPr>
        <w:t>ارتقای سواد بهداشتی</w:t>
      </w:r>
      <w:bookmarkEnd w:id="1226"/>
    </w:p>
    <w:p>
      <w:pPr>
        <w:pStyle w:val="BookText"/>
        <w:rPr/>
      </w:pPr>
      <w:r>
        <w:rPr>
          <w:rFonts w:ascii="IRNazanin" w:hAnsi="IRNazanin" w:eastAsia="IRNazanin"/>
          <w:color w:val="111111"/>
          <w:sz w:val="28"/>
          <w:sz w:val="28"/>
          <w:szCs w:val="28"/>
          <w:rtl w:val="true"/>
          <w:lang w:bidi="fa-IR"/>
        </w:rPr>
        <w:t>به طور ویژه، ارتقای مطالعات سواد بهداشتی در پیشینه ترکیه ای به چهار حیطه تقسیم می شوند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ارتباط بین فراهم آورندگان بهداشت و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آوجِ، سونماز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آیاز تیِزجان، اُكينجِ </w:t>
      </w:r>
      <w:r>
        <w:rPr>
          <w:rStyle w:val="FootnoteAnchor"/>
        </w:rPr>
        <w:footnoteReference w:id="1316"/>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جیتین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چینارلو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اِربایداش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گیچلو، اُیسال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میدانگل، اِمیرول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اوکی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سافَش، کِنان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سِواش، کِرهان، سِکا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شِناش، ساموش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سِزَش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یِلدِس، آتِش، یِلدیریم، راسینسکی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27" w:name="pg9659_94269"/>
    </w:p>
    <w:p>
      <w:pPr>
        <w:pStyle w:val="BookText"/>
        <w:rPr/>
      </w:pPr>
      <w:bookmarkEnd w:id="12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 به شکل های متفاوت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دمیش </w:t>
      </w:r>
      <w:r>
        <w:rPr>
          <w:rStyle w:val="FootnoteAnchor"/>
          <w:rtl w:val="true"/>
        </w:rPr>
        <w:footnoteReference w:id="1317"/>
      </w:r>
      <w:r>
        <w:rPr>
          <w:rFonts w:ascii="Amiri" w:hAnsi="Amiri" w:eastAsia="Amiri" w:cs="Amiri"/>
          <w:color w:val="111111"/>
          <w:sz w:val="28"/>
          <w:sz w:val="28"/>
          <w:szCs w:val="28"/>
          <w:rtl w:val="true"/>
          <w:lang w:bidi="ar-SA"/>
        </w:rPr>
        <w:t xml:space="preserve">، اُزسیکَش </w:t>
      </w:r>
      <w:r>
        <w:rPr>
          <w:rStyle w:val="FootnoteAnchor"/>
          <w:rtl w:val="true"/>
        </w:rPr>
        <w:footnoteReference w:id="1318"/>
      </w:r>
      <w:r>
        <w:rPr>
          <w:rFonts w:ascii="Amiri" w:hAnsi="Amiri" w:eastAsia="Amiri" w:cs="Amiri"/>
          <w:color w:val="111111"/>
          <w:sz w:val="28"/>
          <w:sz w:val="28"/>
          <w:szCs w:val="28"/>
          <w:rtl w:val="true"/>
          <w:lang w:bidi="ar-SA"/>
        </w:rPr>
        <w:t xml:space="preserve">، اُزجان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شِناش، ساموش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اُرلو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بهبود دسترسی به خدمات بهداشت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اربایداش، دِمیر کوران، اُزها، جِوایش، ایشجِ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چینارلو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دمیش، اُزسیکش، اُزجان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آرکوچ، یار دوم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اوکی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سزش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توباش، پریش، جان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چگونگی کمک فراهم آورندگان بهداشت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آوج، سونماز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آیاز، ت ی زجان، آکینجی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جیتین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یوجیک، آلکان، آریجا، آتش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هرگنج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میدانگل، امیرول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سافش، کنان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شناش، ساموش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اُرلو</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Heading3"/>
        <w:numPr>
          <w:ilvl w:val="2"/>
          <w:numId w:val="1"/>
        </w:numPr>
        <w:rPr/>
      </w:pPr>
      <w:bookmarkStart w:id="1228" w:name="__RefHeading___Toc7826123_2870459653"/>
      <w:bookmarkStart w:id="1229" w:name="_Toc456"/>
      <w:bookmarkEnd w:id="1228"/>
      <w:r>
        <w:rPr/>
        <w:t>6</w:t>
      </w:r>
      <w:r>
        <w:rPr>
          <w:rtl w:val="true"/>
        </w:rPr>
        <w:t xml:space="preserve">. </w:t>
      </w:r>
      <w:r>
        <w:rPr>
          <w:rtl w:val="true"/>
        </w:rPr>
        <w:t>کاربردهای تحقیقاتی</w:t>
      </w:r>
      <w:bookmarkEnd w:id="1229"/>
    </w:p>
    <w:p>
      <w:pPr>
        <w:pStyle w:val="Heading4"/>
        <w:numPr>
          <w:ilvl w:val="3"/>
          <w:numId w:val="1"/>
        </w:numPr>
        <w:rPr/>
      </w:pPr>
      <w:bookmarkStart w:id="1230" w:name="__RefHeading___Toc7826125_2870459653"/>
      <w:bookmarkStart w:id="1231" w:name="_Toc457"/>
      <w:bookmarkEnd w:id="1230"/>
      <w:r>
        <w:rPr>
          <w:rtl w:val="true"/>
        </w:rPr>
        <w:t>اشاره</w:t>
      </w:r>
      <w:bookmarkEnd w:id="1231"/>
    </w:p>
    <w:p>
      <w:pPr>
        <w:pStyle w:val="BookText"/>
        <w:rPr/>
      </w:pPr>
      <w:r>
        <w:rPr>
          <w:rFonts w:ascii="IRNazanin" w:hAnsi="IRNazanin" w:eastAsia="IRNazanin"/>
          <w:color w:val="111111"/>
          <w:sz w:val="28"/>
          <w:sz w:val="28"/>
          <w:szCs w:val="28"/>
          <w:rtl w:val="true"/>
          <w:lang w:bidi="fa-IR"/>
        </w:rPr>
        <w:t>داده های پیمایش حاضر، فرصت هایی غنی را برای تحقیقات بنیادی با هدف درک بهتر مطالعات سواد بهداشتی در ترکیه که تحت تأثیر پیچیده و اغلب متضاد، تکامل می یابند و برای تحقیقات کاربردی برای بهبود خدمات سواد بهداشتی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مطالعه،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نوشتاری بررسی شدند و دوتای آن ها طرح هایی بسیار مهم و اساسی برای مطالعات سواد بهداشتی در ترکیه محسوب می شدند؛ بنابراین، در این جا، کار خود را به توصیف دو مطالعه تحقیقاتی به طور جزئی و در قالب تلاش های مشخصی که باید برای به کارگیری سواد بهداشتی صورت گیرد، محدود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ویژه، این دو مطالعه سواد بهداشتی در ترکیه که مطابق با ارکان سواد بهداشتی </w:t>
      </w:r>
      <w:r>
        <w:rPr>
          <w:rStyle w:val="FootnoteAnchor"/>
          <w:rtl w:val="true"/>
        </w:rPr>
        <w:footnoteReference w:id="1319"/>
      </w:r>
      <w:r>
        <w:rPr>
          <w:rFonts w:ascii="IRNazanin" w:hAnsi="IRNazanin" w:eastAsia="IRNazanin"/>
          <w:color w:val="111111"/>
          <w:sz w:val="28"/>
          <w:sz w:val="28"/>
          <w:szCs w:val="28"/>
          <w:rtl w:val="true"/>
          <w:lang w:bidi="fa-IR"/>
        </w:rPr>
        <w:t>مورد بررسی قرار می گیرند دربردارنده موارد زیر هستند</w:t>
      </w:r>
      <w:r>
        <w:rPr>
          <w:rFonts w:eastAsia="IRNazanin" w:cs="IRNazanin"/>
          <w:color w:val="111111"/>
          <w:sz w:val="28"/>
          <w:szCs w:val="28"/>
          <w:rtl w:val="true"/>
          <w:lang w:bidi="fa-IR"/>
        </w:rPr>
        <w:t>:</w:t>
      </w:r>
    </w:p>
    <w:p>
      <w:pPr>
        <w:pStyle w:val="Heading4"/>
        <w:numPr>
          <w:ilvl w:val="3"/>
          <w:numId w:val="1"/>
        </w:numPr>
        <w:rPr/>
      </w:pPr>
      <w:bookmarkStart w:id="1232" w:name="__RefHeading___Toc7826127_2870459653"/>
      <w:bookmarkStart w:id="1233" w:name="_Toc458"/>
      <w:bookmarkEnd w:id="1232"/>
      <w:r>
        <w:rPr/>
        <w:t>1/6</w:t>
      </w:r>
      <w:r>
        <w:rPr>
          <w:rtl w:val="true"/>
        </w:rPr>
        <w:t xml:space="preserve">. </w:t>
      </w:r>
      <w:r>
        <w:rPr>
          <w:rtl w:val="true"/>
        </w:rPr>
        <w:t>شبکه بهداشت ملی</w:t>
      </w:r>
      <w:bookmarkEnd w:id="1233"/>
    </w:p>
    <w:p>
      <w:pPr>
        <w:pStyle w:val="BookText"/>
        <w:rPr/>
      </w:pPr>
      <w:r>
        <w:rPr>
          <w:rFonts w:ascii="IRNazanin" w:hAnsi="IRNazanin" w:eastAsia="IRNazanin"/>
          <w:color w:val="111111"/>
          <w:sz w:val="28"/>
          <w:sz w:val="28"/>
          <w:szCs w:val="28"/>
          <w:rtl w:val="true"/>
          <w:lang w:bidi="fa-IR"/>
        </w:rPr>
        <w:t>اُزدمیش، اچ، آلپش،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اُنجو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بیل گل، ان</w:t>
      </w:r>
      <w:r>
        <w:rPr>
          <w:rFonts w:eastAsia="IRNazanin" w:cs="IRNazanin"/>
          <w:color w:val="111111"/>
          <w:sz w:val="28"/>
          <w:szCs w:val="28"/>
          <w:rtl w:val="true"/>
          <w:lang w:bidi="fa-IR"/>
        </w:rPr>
        <w:t>. (</w:t>
      </w:r>
      <w:r>
        <w:rPr>
          <w:rFonts w:eastAsia="IRNazanin" w:cs="IRNazanin"/>
          <w:color w:val="111111"/>
          <w:sz w:val="28"/>
          <w:szCs w:val="28"/>
          <w:lang w:bidi="fa-IR"/>
        </w:rPr>
        <w:t>2010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 سلامت درمیان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از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آموزش و پژوهش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Style w:val="FootnoteAnchor"/>
          <w:rtl w:val="true"/>
        </w:rPr>
        <w:footnoteReference w:id="1320"/>
      </w:r>
    </w:p>
    <w:p>
      <w:pPr>
        <w:pStyle w:val="Heading3"/>
        <w:numPr>
          <w:ilvl w:val="2"/>
          <w:numId w:val="1"/>
        </w:numPr>
        <w:rPr/>
      </w:pPr>
      <w:bookmarkStart w:id="1234" w:name="__RefHeading___Toc7826129_2870459653"/>
      <w:bookmarkStart w:id="1235" w:name="_Toc459"/>
      <w:bookmarkEnd w:id="1234"/>
      <w:r>
        <w:rPr/>
        <w:t>1</w:t>
      </w:r>
      <w:r>
        <w:rPr>
          <w:rtl w:val="true"/>
        </w:rPr>
        <w:t xml:space="preserve">. </w:t>
      </w:r>
      <w:r>
        <w:rPr>
          <w:rtl w:val="true"/>
        </w:rPr>
        <w:t>اطلاعات سلامت مصرف کننده</w:t>
      </w:r>
      <w:bookmarkEnd w:id="123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بهداشتی بیماران به طور فزاینده ای به عنوان عاملی مهم است که بر ارتباط بهداشتی و نتایج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با هدف ارزیابی سطوح سواد بهداشتی به واسطه استفاده از ابزارهای برآورد سریع سواد بزرگ سالان در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ایی ای ال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جدیدترین علامت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bookmarkStart w:id="1236" w:name="pg9659_94270"/>
    </w:p>
    <w:p>
      <w:pPr>
        <w:pStyle w:val="BookText"/>
        <w:rPr/>
      </w:pPr>
      <w:bookmarkEnd w:id="12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در ناحیهٔ حومه شهر کلان شهر در ترکیه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مطالعه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سن شرکت کنندگان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مؤنث، از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گروه مطالعه بوده و اغلب شرکت کنندگان، تحصیلات ابتدایی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مشاغل در میان شرکت کنندگان مذکر وجود داشتند اما اغلب شرکت کنندگان مؤنث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باید اطلاعات و خدمات اساسی بهداشت را درک می کردند</w:t>
      </w:r>
      <w:r>
        <w:rPr>
          <w:rFonts w:eastAsia="IRNazanin" w:cs="IRNazanin"/>
          <w:color w:val="111111"/>
          <w:sz w:val="28"/>
          <w:szCs w:val="28"/>
          <w:rtl w:val="true"/>
          <w:lang w:bidi="fa-IR"/>
        </w:rPr>
        <w:t>.</w:t>
      </w:r>
    </w:p>
    <w:p>
      <w:pPr>
        <w:pStyle w:val="Heading3"/>
        <w:numPr>
          <w:ilvl w:val="2"/>
          <w:numId w:val="1"/>
        </w:numPr>
        <w:rPr/>
      </w:pPr>
      <w:bookmarkStart w:id="1237" w:name="__RefHeading___Toc7826131_2870459653"/>
      <w:bookmarkStart w:id="1238" w:name="_Toc460"/>
      <w:bookmarkEnd w:id="1237"/>
      <w:r>
        <w:rPr/>
        <w:t>2</w:t>
      </w:r>
      <w:r>
        <w:rPr>
          <w:rtl w:val="true"/>
        </w:rPr>
        <w:t xml:space="preserve">. </w:t>
      </w:r>
      <w:r>
        <w:rPr>
          <w:rtl w:val="true"/>
        </w:rPr>
        <w:t>رفتار جستجوی اطلاعاتی</w:t>
      </w:r>
      <w:bookmarkEnd w:id="12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های ری آلم وان وی اِس به زبان ترکی موجود نبودند؛ بنابراین نخست این آزمون ها به زبان ترکی بازگردانده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پزشکی در ابزار اصلی ری آلم، به منظور مشکل در تلفظ در زبان ترکی، از نو ترتیب داده شدند و با کلمات تک سیلابی شروع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قرص، دوز، چشم و آنفولانزا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کلمات چند سیلابی به اتمام می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پوکی استخوان، آنتی بیوتیک، پتاسیم، چاقی مفرط و افسردگی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آماری معناداری بین سن، دستاورد تحصیلی، شرایط اقتصادی و جنسیت و نمرات آزمون های ری آلم وان وی اِس یافته شد</w:t>
      </w:r>
      <w:r>
        <w:rPr>
          <w:rFonts w:eastAsia="IRNazanin" w:cs="IRNazanin"/>
          <w:color w:val="111111"/>
          <w:sz w:val="28"/>
          <w:szCs w:val="28"/>
          <w:rtl w:val="true"/>
          <w:lang w:bidi="fa-IR"/>
        </w:rPr>
        <w:t>.</w:t>
      </w:r>
    </w:p>
    <w:p>
      <w:pPr>
        <w:pStyle w:val="Heading3"/>
        <w:numPr>
          <w:ilvl w:val="2"/>
          <w:numId w:val="1"/>
        </w:numPr>
        <w:rPr/>
      </w:pPr>
      <w:bookmarkStart w:id="1239" w:name="__RefHeading___Toc7826133_2870459653"/>
      <w:bookmarkStart w:id="1240" w:name="_Toc461"/>
      <w:bookmarkEnd w:id="1239"/>
      <w:r>
        <w:rPr/>
        <w:t>3</w:t>
      </w:r>
      <w:r>
        <w:rPr>
          <w:rtl w:val="true"/>
        </w:rPr>
        <w:t xml:space="preserve">. </w:t>
      </w:r>
      <w:r>
        <w:rPr>
          <w:rtl w:val="true"/>
        </w:rPr>
        <w:t>سواد اطلاعاتی</w:t>
      </w:r>
      <w:bookmarkEnd w:id="1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آزمون، سطوح سواد بهداشتی بیماران را مشخص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نمرات آزمون ری آلم نشان داده اند که به ترتیب،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 سواد بهداشتی غیر کافی، متوسط و کافی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نمره آزمونان وی اِس، چنین یافته شد که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 سواد بهداشتی کافی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تحصیلی، مهم ترین ویژگی جمعیت شناختی بود که رابطه آن با سواد بهداشتی مشخص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خواندن و لغات بهتر از توانمندی های عددی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با شرایط اقتصادی ضعیف و تحصیل کرده ابتدایی و مؤنث و افرادی که مسن تر بودند، نمرات پایین تری در هر دو آزمون داشتند</w:t>
      </w:r>
      <w:r>
        <w:rPr>
          <w:rFonts w:eastAsia="IRNazanin" w:cs="IRNazanin"/>
          <w:color w:val="111111"/>
          <w:sz w:val="28"/>
          <w:szCs w:val="28"/>
          <w:rtl w:val="true"/>
          <w:lang w:bidi="fa-IR"/>
        </w:rPr>
        <w:t>.</w:t>
      </w:r>
    </w:p>
    <w:p>
      <w:pPr>
        <w:pStyle w:val="Heading3"/>
        <w:numPr>
          <w:ilvl w:val="2"/>
          <w:numId w:val="1"/>
        </w:numPr>
        <w:rPr/>
      </w:pPr>
      <w:bookmarkStart w:id="1241" w:name="__RefHeading___Toc7826135_2870459653"/>
      <w:bookmarkStart w:id="1242" w:name="_Toc462"/>
      <w:bookmarkEnd w:id="1241"/>
      <w:r>
        <w:rPr/>
        <w:t>4</w:t>
      </w:r>
      <w:r>
        <w:rPr>
          <w:rtl w:val="true"/>
        </w:rPr>
        <w:t xml:space="preserve">. </w:t>
      </w:r>
      <w:r>
        <w:rPr>
          <w:rtl w:val="true"/>
        </w:rPr>
        <w:t>ارزیابی معیارها</w:t>
      </w:r>
      <w:bookmarkEnd w:id="1242"/>
    </w:p>
    <w:p>
      <w:pPr>
        <w:pStyle w:val="Heading4"/>
        <w:numPr>
          <w:ilvl w:val="3"/>
          <w:numId w:val="1"/>
        </w:numPr>
        <w:rPr/>
      </w:pPr>
      <w:bookmarkStart w:id="1243" w:name="__RefHeading___Toc7826137_2870459653"/>
      <w:bookmarkStart w:id="1244" w:name="_Toc463"/>
      <w:bookmarkEnd w:id="1243"/>
      <w:r>
        <w:rPr>
          <w:rtl w:val="true"/>
        </w:rPr>
        <w:t>اشاره</w:t>
      </w:r>
      <w:bookmarkEnd w:id="124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از محدودیت های متعددی استفاده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ناحیهٔ جغرافیایی بومی شده ای انجام شد، آزمون های ری آلم و اِن وی اِس به زبان ترکی ترجمه شدند چون نسخه ترکی </w:t>
      </w:r>
      <w:bookmarkStart w:id="1245" w:name="pg9659_94271"/>
    </w:p>
    <w:p>
      <w:pPr>
        <w:pStyle w:val="BookText"/>
        <w:rPr/>
      </w:pPr>
      <w:bookmarkEnd w:id="1245"/>
      <w:r>
        <w:rPr>
          <w:rFonts w:ascii="IRNazanin" w:hAnsi="IRNazanin" w:eastAsia="IRNazanin"/>
          <w:color w:val="111111"/>
          <w:sz w:val="28"/>
          <w:sz w:val="28"/>
          <w:szCs w:val="28"/>
          <w:rtl w:val="true"/>
          <w:lang w:bidi="fa-IR"/>
        </w:rPr>
        <w:t xml:space="preserve">معتبری نداشتند، سبک های ارتباطی فراهم آورندگان بهداشت، مورد سنجش قرار نگرفتند و رابطهٔ فراهم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تعیین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تمام این موارد، مشخص شد که این نتایج نمی تواند نشان دهنده کل ترکیه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بیماران و تمایل آن ها به ارزیابی سواد، عواملی مهم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مطالعات سواد بهداشتی در ترکیه، خاطرنشان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سواد بهداشتی، به بهداشت اجتماع کمک خواهد کرد</w:t>
      </w:r>
      <w:r>
        <w:rPr>
          <w:rFonts w:eastAsia="IRNazanin" w:cs="IRNazanin"/>
          <w:color w:val="111111"/>
          <w:sz w:val="28"/>
          <w:szCs w:val="28"/>
          <w:rtl w:val="true"/>
          <w:lang w:bidi="fa-IR"/>
        </w:rPr>
        <w:t>.</w:t>
      </w:r>
    </w:p>
    <w:p>
      <w:pPr>
        <w:pStyle w:val="Heading4"/>
        <w:numPr>
          <w:ilvl w:val="3"/>
          <w:numId w:val="1"/>
        </w:numPr>
        <w:rPr/>
      </w:pPr>
      <w:bookmarkStart w:id="1246" w:name="__RefHeading___Toc7826139_2870459653"/>
      <w:bookmarkStart w:id="1247" w:name="_Toc464"/>
      <w:bookmarkEnd w:id="1246"/>
      <w:r>
        <w:rPr/>
        <w:t>2.6</w:t>
      </w:r>
      <w:r>
        <w:rPr>
          <w:rtl w:val="true"/>
        </w:rPr>
        <w:t xml:space="preserve">. </w:t>
      </w:r>
      <w:r>
        <w:rPr>
          <w:rtl w:val="true"/>
        </w:rPr>
        <w:t>طرح آنکارا</w:t>
      </w:r>
      <w:bookmarkEnd w:id="1247"/>
    </w:p>
    <w:p>
      <w:pPr>
        <w:pStyle w:val="BookText"/>
        <w:rPr/>
      </w:pPr>
      <w:r>
        <w:rPr>
          <w:rFonts w:ascii="IRNazanin" w:hAnsi="IRNazanin" w:eastAsia="IRNazanin"/>
          <w:color w:val="111111"/>
          <w:sz w:val="28"/>
          <w:sz w:val="28"/>
          <w:szCs w:val="28"/>
          <w:rtl w:val="true"/>
          <w:lang w:bidi="fa-IR"/>
        </w:rPr>
        <w:t>اُرلو، زد</w:t>
      </w:r>
      <w:r>
        <w:rPr>
          <w:rFonts w:eastAsia="IRNazanin" w:cs="IRNazanin"/>
          <w:color w:val="111111"/>
          <w:sz w:val="28"/>
          <w:szCs w:val="28"/>
          <w:rtl w:val="true"/>
          <w:lang w:bidi="fa-IR"/>
        </w:rPr>
        <w:t>.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سواد سلامت و تناسب مواد آموزشی به سواد سلامت از بیمارانی که به مراکز بهداشتی درمانی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دانشگاه به اسکنت گروه علوم بهداشت و درمان در ترکیه</w:t>
      </w:r>
      <w:r>
        <w:rPr>
          <w:rFonts w:eastAsia="IRNazanin" w:cs="IRNazanin"/>
          <w:color w:val="111111"/>
          <w:sz w:val="28"/>
          <w:szCs w:val="28"/>
          <w:rtl w:val="true"/>
          <w:lang w:bidi="fa-IR"/>
        </w:rPr>
        <w:t>]</w:t>
      </w:r>
    </w:p>
    <w:p>
      <w:pPr>
        <w:pStyle w:val="Heading3"/>
        <w:numPr>
          <w:ilvl w:val="2"/>
          <w:numId w:val="1"/>
        </w:numPr>
        <w:rPr/>
      </w:pPr>
      <w:bookmarkStart w:id="1248" w:name="__RefHeading___Toc7826141_2870459653"/>
      <w:bookmarkStart w:id="1249" w:name="_Toc465"/>
      <w:bookmarkEnd w:id="1248"/>
      <w:r>
        <w:rPr/>
        <w:t>1</w:t>
      </w:r>
      <w:r>
        <w:rPr>
          <w:rtl w:val="true"/>
        </w:rPr>
        <w:t xml:space="preserve">. </w:t>
      </w:r>
      <w:r>
        <w:rPr>
          <w:rtl w:val="true"/>
        </w:rPr>
        <w:t>اطلاعات سلامت مصرف کننده</w:t>
      </w:r>
      <w:bookmarkEnd w:id="1249"/>
    </w:p>
    <w:p>
      <w:pPr>
        <w:pStyle w:val="BookText"/>
        <w:rPr/>
      </w:pPr>
      <w:r>
        <w:rPr>
          <w:rFonts w:ascii="IRNazanin" w:hAnsi="IRNazanin" w:eastAsia="IRNazanin"/>
          <w:color w:val="111111"/>
          <w:sz w:val="28"/>
          <w:sz w:val="28"/>
          <w:szCs w:val="28"/>
          <w:rtl w:val="true"/>
          <w:lang w:bidi="fa-IR"/>
        </w:rPr>
        <w:t>این مطالعه در تلاش برای تعیین سواد بهداشتی بیمارانی بود که در مراکز بهداشت و سلامت درخواست داده بودند و به ارزیابی متناسب بودن مطالب آموزشی می پرداخت که در این مراکز برای سواد بهداشتی مورد استفاده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از طریق استفاده از پرسشنامه ای برای ارزیابی سواد بهداشتی، پیمایش بهداشت کلی، جمع آوری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مطالب نوشتاری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ارزشیابی مطالب آموزشی بیماران موجود در مراکز بهداشت و سلامت شکل گرفت، ابزار دیسِن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کیفیت برای اطلاعات بهداشت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پایایی و کیفیت اطلاعات مطالب آموزشی مورداستفاده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در بیمارستان آنکارا دانشگاه به اسکنت و بیمارستان دولتی پروفسور دکتر جلال اِرتوگ اِتیمسکوت </w:t>
      </w:r>
      <w:r>
        <w:rPr>
          <w:rStyle w:val="FootnoteAnchor"/>
          <w:rtl w:val="true"/>
        </w:rPr>
        <w:footnoteReference w:id="1321"/>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شامل،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بود که به طور داوطلبانه در مصاحبه شرکت کرده بودند و قادر بودند به شکل کلامی، ارتباط برقرار کنند؛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از بیمارستان آنکارا دانشگاه به اسکنت 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از بیمارستان دولتی پروفسور دکتر جلال اِرتوگ اِتیمسکوت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متوسط بیماران، </w:t>
      </w: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بیش از نیمی از آن ها متأهل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ها کار نمی کردند و یک سوم، درآمدی کم تر از مخارج داشتند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باید اطلاعات و خدمات بهداشتی اساسی را درک کنند</w:t>
      </w:r>
      <w:r>
        <w:rPr>
          <w:rFonts w:eastAsia="IRNazanin" w:cs="IRNazanin"/>
          <w:color w:val="111111"/>
          <w:sz w:val="28"/>
          <w:szCs w:val="28"/>
          <w:rtl w:val="true"/>
          <w:lang w:bidi="fa-IR"/>
        </w:rPr>
        <w:t xml:space="preserve">. </w:t>
      </w:r>
      <w:bookmarkStart w:id="1250" w:name="pg9659_94272"/>
    </w:p>
    <w:p>
      <w:pPr>
        <w:pStyle w:val="Heading3"/>
        <w:numPr>
          <w:ilvl w:val="2"/>
          <w:numId w:val="1"/>
        </w:numPr>
        <w:rPr/>
      </w:pPr>
      <w:bookmarkStart w:id="1251" w:name="__RefHeading___Toc7826143_2870459653"/>
      <w:bookmarkStart w:id="1252" w:name="_Toc466"/>
      <w:bookmarkEnd w:id="1250"/>
      <w:bookmarkEnd w:id="1251"/>
      <w:r>
        <w:rPr/>
        <w:t>2</w:t>
      </w:r>
      <w:r>
        <w:rPr>
          <w:rtl w:val="true"/>
        </w:rPr>
        <w:t xml:space="preserve">. </w:t>
      </w:r>
      <w:r>
        <w:rPr>
          <w:rtl w:val="true"/>
        </w:rPr>
        <w:t>رفتار جستجوی اطلاعات بهداشتی</w:t>
      </w:r>
      <w:bookmarkEnd w:id="12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مطالب آموزشی نوشتاری مانند کتاب ها، بروشورها، اعلانات، نسخه ها، داروهای آتی وب گاه های خاص اینترنتی، برنامه های رژیم و غیره مورد بررسی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مطالب نیز از نظر سبک نوشتاری، تصاویر و ترتیب مطالب بر اساس دیسِن مورد بررسی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پیمایش بهداشت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اِچ اِس</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 مطالبی آموزشی که برای بیماری های خاصی مناسب بودند،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برخی اصطلاحات در مورد بیماری ها از بیماران پرسیده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مطالب آموزشی از نظر کیفیت و تناسب اطلاعات نامناسب بودند</w:t>
      </w:r>
      <w:r>
        <w:rPr>
          <w:rFonts w:eastAsia="IRNazanin" w:cs="IRNazanin"/>
          <w:color w:val="111111"/>
          <w:sz w:val="28"/>
          <w:szCs w:val="28"/>
          <w:rtl w:val="true"/>
          <w:lang w:bidi="fa-IR"/>
        </w:rPr>
        <w:t>.</w:t>
      </w:r>
    </w:p>
    <w:p>
      <w:pPr>
        <w:pStyle w:val="Heading3"/>
        <w:numPr>
          <w:ilvl w:val="2"/>
          <w:numId w:val="1"/>
        </w:numPr>
        <w:rPr/>
      </w:pPr>
      <w:bookmarkStart w:id="1253" w:name="__RefHeading___Toc7826145_2870459653"/>
      <w:bookmarkStart w:id="1254" w:name="_Toc467"/>
      <w:bookmarkEnd w:id="1253"/>
      <w:r>
        <w:rPr/>
        <w:t>3</w:t>
      </w:r>
      <w:r>
        <w:rPr>
          <w:rtl w:val="true"/>
        </w:rPr>
        <w:t xml:space="preserve">. </w:t>
      </w:r>
      <w:r>
        <w:rPr>
          <w:rtl w:val="true"/>
        </w:rPr>
        <w:t>سواد بهداشتی</w:t>
      </w:r>
      <w:bookmarkEnd w:id="1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سواد بهداشتی بیماران و سطوح جی اچ اس بیماران، پایین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آموزشی که بر اساس دیسِن بررسی شدند، ناکافی بودند</w:t>
      </w:r>
      <w:r>
        <w:rPr>
          <w:rFonts w:eastAsia="IRNazanin" w:cs="IRNazanin"/>
          <w:color w:val="111111"/>
          <w:sz w:val="28"/>
          <w:szCs w:val="28"/>
          <w:rtl w:val="true"/>
          <w:lang w:bidi="fa-IR"/>
        </w:rPr>
        <w:t>.</w:t>
      </w:r>
    </w:p>
    <w:p>
      <w:pPr>
        <w:pStyle w:val="Heading3"/>
        <w:numPr>
          <w:ilvl w:val="2"/>
          <w:numId w:val="1"/>
        </w:numPr>
        <w:rPr/>
      </w:pPr>
      <w:bookmarkStart w:id="1255" w:name="__RefHeading___Toc7826147_2870459653"/>
      <w:bookmarkStart w:id="1256" w:name="_Toc468"/>
      <w:bookmarkEnd w:id="1255"/>
      <w:r>
        <w:rPr/>
        <w:t>4</w:t>
      </w:r>
      <w:r>
        <w:rPr>
          <w:rtl w:val="true"/>
        </w:rPr>
        <w:t xml:space="preserve">. </w:t>
      </w:r>
      <w:r>
        <w:rPr>
          <w:rtl w:val="true"/>
        </w:rPr>
        <w:t>ارزیابی معیارها</w:t>
      </w:r>
      <w:bookmarkEnd w:id="12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به دست آمد که مطالب بهداشتی باید مطابق با معیارهای دیسِن و ویژگی های اجتماعی در قالب محتوا و طرح فیزیکی در کل کشور آماده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چنین تصمیم گیری شد که محققان در مورد مطالب آموزشی، باید در بیمارستان های متعددی اجرا شوند</w:t>
      </w:r>
      <w:r>
        <w:rPr>
          <w:rFonts w:eastAsia="IRNazanin" w:cs="IRNazanin"/>
          <w:color w:val="111111"/>
          <w:sz w:val="28"/>
          <w:szCs w:val="28"/>
          <w:rtl w:val="true"/>
          <w:lang w:bidi="fa-IR"/>
        </w:rPr>
        <w:t>.</w:t>
      </w:r>
    </w:p>
    <w:p>
      <w:pPr>
        <w:pStyle w:val="Heading3"/>
        <w:numPr>
          <w:ilvl w:val="2"/>
          <w:numId w:val="1"/>
        </w:numPr>
        <w:rPr/>
      </w:pPr>
      <w:bookmarkStart w:id="1257" w:name="__RefHeading___Toc7826149_2870459653"/>
      <w:bookmarkStart w:id="1258" w:name="_Toc469"/>
      <w:bookmarkEnd w:id="1257"/>
      <w:r>
        <w:rPr/>
        <w:t>1</w:t>
      </w:r>
      <w:r>
        <w:rPr>
          <w:rtl w:val="true"/>
        </w:rPr>
        <w:t xml:space="preserve">. </w:t>
      </w:r>
      <w:r>
        <w:rPr>
          <w:rtl w:val="true"/>
        </w:rPr>
        <w:t>نتایج</w:t>
      </w:r>
      <w:bookmarkEnd w:id="1258"/>
    </w:p>
    <w:p>
      <w:pPr>
        <w:pStyle w:val="BookText"/>
        <w:rPr/>
      </w:pPr>
      <w:r>
        <w:rPr>
          <w:rFonts w:ascii="IRNazanin" w:hAnsi="IRNazanin" w:eastAsia="IRNazanin"/>
          <w:color w:val="111111"/>
          <w:sz w:val="28"/>
          <w:sz w:val="28"/>
          <w:szCs w:val="28"/>
          <w:rtl w:val="true"/>
          <w:lang w:bidi="fa-IR"/>
        </w:rPr>
        <w:t>این مطالعه، نگاهی اجمالی به پیشینه سواد بهداشتی را در ترکیه پیش رو می دهد که به درک توسعه های گذشته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بهداشتی، به مسئله ای مهم مبدل شده است که به شیوه های متعددی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پیشین بر موارد زیر متمرکز بوده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بهداشتی؛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جستجوی اطلاعات بهداشتی کاربران شامل نیازهای اطلاعاتی؛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بهداشتی شامل بیماری فیزیکی، پیشگیری از بیماری و حفظ سلامتی؛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اقتصادی، اجتماعی و مالی بیماری؛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کاربر به مطالب اطلاعاتی در شکل های متفاوت؛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چاپ شده به دانش در مورد مسئله خاص بهداشت بستگی دارد</w:t>
      </w:r>
      <w:r>
        <w:rPr>
          <w:rFonts w:eastAsia="IRNazanin" w:cs="IRNazanin"/>
          <w:color w:val="111111"/>
          <w:sz w:val="28"/>
          <w:szCs w:val="28"/>
          <w:rtl w:val="true"/>
          <w:lang w:bidi="fa-IR"/>
        </w:rPr>
        <w:t xml:space="preserve">. </w:t>
      </w:r>
      <w:bookmarkStart w:id="1259" w:name="pg9659_94273"/>
    </w:p>
    <w:p>
      <w:pPr>
        <w:pStyle w:val="BookText"/>
        <w:rPr/>
      </w:pPr>
      <w:bookmarkEnd w:id="1259"/>
      <w:r>
        <w:rPr>
          <w:rFonts w:ascii="IRNazanin" w:hAnsi="IRNazanin" w:eastAsia="IRNazanin"/>
          <w:color w:val="111111"/>
          <w:sz w:val="28"/>
          <w:sz w:val="28"/>
          <w:szCs w:val="28"/>
          <w:rtl w:val="true"/>
          <w:lang w:bidi="fa-IR"/>
        </w:rPr>
        <w:t>مطالعه حاضر احتمالاً، مطالعه ای مهم در ترکیه است که در مورد سواد بهداشتی در کتابداری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نقش مهم کتاب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خانه های علم بهداشتی، کتاب خانه های بیمارستانی، کتاب خانه های پزشکی، کتاب خانه های عمومی، کتاب خانه های دانشگاهی، کتاب خانه های تخصصی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ارائه اطلاعات بهداشت مصرف کننده، انتشار اطلاعات برای خدمت رسانی به کاربر و ارائه توصیه های عملی برای فراهم آورندگان بهداشت، شراکت در میان بخش های اصلی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دولت ها، نهادهای تحقیقاتی، دانشگاه ها، فراهم آورندگان بهداشت و کتابداران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ضروری است</w:t>
      </w:r>
      <w:r>
        <w:rPr>
          <w:rFonts w:eastAsia="IRNazanin" w:cs="IRNazanin"/>
          <w:color w:val="111111"/>
          <w:sz w:val="28"/>
          <w:szCs w:val="28"/>
          <w:rtl w:val="true"/>
          <w:lang w:bidi="fa-IR"/>
        </w:rPr>
        <w:t>.</w:t>
      </w:r>
    </w:p>
    <w:p>
      <w:pPr>
        <w:pStyle w:val="Heading3"/>
        <w:numPr>
          <w:ilvl w:val="2"/>
          <w:numId w:val="1"/>
        </w:numPr>
        <w:rPr/>
      </w:pPr>
      <w:bookmarkStart w:id="1260" w:name="__RefHeading___Toc7826151_2870459653"/>
      <w:bookmarkStart w:id="1261" w:name="_Toc470"/>
      <w:bookmarkEnd w:id="1260"/>
      <w:r>
        <w:rPr/>
        <w:t>2</w:t>
      </w:r>
      <w:r>
        <w:rPr>
          <w:rtl w:val="true"/>
        </w:rPr>
        <w:t xml:space="preserve">. </w:t>
      </w:r>
      <w:r>
        <w:rPr>
          <w:rtl w:val="true"/>
        </w:rPr>
        <w:t>راهبردهای پیشنهادی برای کتاب خانه ها</w:t>
      </w:r>
      <w:bookmarkEnd w:id="1261"/>
    </w:p>
    <w:p>
      <w:pPr>
        <w:pStyle w:val="BookText"/>
        <w:rPr/>
      </w:pPr>
      <w:r>
        <w:rPr>
          <w:rFonts w:ascii="IRNazanin" w:hAnsi="IRNazanin" w:eastAsia="IRNazanin"/>
          <w:color w:val="111111"/>
          <w:sz w:val="28"/>
          <w:sz w:val="28"/>
          <w:szCs w:val="28"/>
          <w:rtl w:val="true"/>
          <w:lang w:bidi="fa-IR"/>
        </w:rPr>
        <w:t>در وهله اول، بهداشت عمومی است و برای هر کسی عاری از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شغل پزشک، مسئله ای مربوط به بهداشت،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ارتباطی مؤثر برای پزشکان، پرستاران و فراهم آورندگان بهداشت برای توسعه و حفظ این رابطه درمانی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استفاده از ابزار ارزیابی سواد بهداشتی، راهبردهای مناسب تری توصیه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کوچک، کتاب خانه های آتی را مؤثرتر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های عمومی، احتمالاً فعالیت های آموزشی بهداشتی و رقابت های متعددی را فراهم می آورند که به جای افراد حرفه ای بهداشت، بخشی از نظام بهداشت و درمان اولیه محسوب می شود چون آن ها به طور کلی، نمی توانند چنین خدماتی را به علت محدودیت زمانی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این فعالیت ها، کتاب خانه های عمومی خدمات اطلاعات بهداشتی خود را تقویت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تهدیدها و فرصت های اصلی که در شبکه ملی برای دستیابی به اجتماعی گسترده تر شناسایی شده اند فرصتی برای دعوت از کاربران جدید خدمات به کمک کتاب خانه ها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تسهیم منابع و اطلاع دهی به بیماران در مورد حقوق بیماران، حیطه های مؤثر و ضروری برای کتاب خانه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به کاربران برای یافتن پاسخ های اشباع شدنی برای سؤالات بهداشتی کمک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می توانند شواهدی با کیفیت بالا ارائه کنند که بر اساس اطلاعات بهداشتی است که یا به شکل چاپی و یا به شکل الکترونیک هستند و به کمک فراهم آورندگان اطلاعات بهداشتی حرفه ای مانند کتابداران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 می توانند برنامه های آموزشی و هم اندیشی های موضوعی را برای بهبود مهارت های سواد بهداشتی برای عموم ارائه نمایند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هرگز توصیه های پزشکی یا بهداشتی برای کاربران و بر اساس دانش فردی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کتابداران احتمالاً کاربران را به بحث در مورد اطلاعات بهداشتی که آن ها به واسطه </w:t>
      </w:r>
      <w:bookmarkStart w:id="1262" w:name="pg9659_94274"/>
    </w:p>
    <w:p>
      <w:pPr>
        <w:pStyle w:val="BookText"/>
        <w:rPr/>
      </w:pPr>
      <w:bookmarkEnd w:id="1262"/>
      <w:r>
        <w:rPr>
          <w:rFonts w:ascii="IRNazanin" w:hAnsi="IRNazanin" w:eastAsia="IRNazanin"/>
          <w:color w:val="111111"/>
          <w:sz w:val="28"/>
          <w:sz w:val="28"/>
          <w:szCs w:val="28"/>
          <w:rtl w:val="true"/>
          <w:lang w:bidi="fa-IR"/>
        </w:rPr>
        <w:t>افراد حرفه ای بهداشت می یابند ترغیب می کنند</w:t>
      </w:r>
      <w:r>
        <w:rPr>
          <w:rFonts w:eastAsia="IRNazanin" w:cs="IRNazanin"/>
          <w:color w:val="111111"/>
          <w:sz w:val="28"/>
          <w:szCs w:val="28"/>
          <w:rtl w:val="true"/>
          <w:lang w:bidi="fa-IR"/>
        </w:rPr>
        <w:t>.</w:t>
      </w:r>
    </w:p>
    <w:p>
      <w:pPr>
        <w:pStyle w:val="Heading3"/>
        <w:numPr>
          <w:ilvl w:val="2"/>
          <w:numId w:val="1"/>
        </w:numPr>
        <w:rPr/>
      </w:pPr>
      <w:bookmarkStart w:id="1263" w:name="__RefHeading___Toc7826153_2870459653"/>
      <w:bookmarkStart w:id="1264" w:name="_Toc471"/>
      <w:bookmarkEnd w:id="1263"/>
      <w:r>
        <w:rPr/>
        <w:t>3</w:t>
      </w:r>
      <w:r>
        <w:rPr>
          <w:rtl w:val="true"/>
        </w:rPr>
        <w:t xml:space="preserve">. </w:t>
      </w:r>
      <w:r>
        <w:rPr>
          <w:rtl w:val="true"/>
        </w:rPr>
        <w:t>نتیجه گیری ها</w:t>
      </w:r>
      <w:bookmarkEnd w:id="1264"/>
    </w:p>
    <w:p>
      <w:pPr>
        <w:pStyle w:val="BookText"/>
        <w:rPr/>
      </w:pPr>
      <w:r>
        <w:rPr>
          <w:rFonts w:ascii="IRNazanin" w:hAnsi="IRNazanin" w:eastAsia="IRNazanin"/>
          <w:color w:val="111111"/>
          <w:sz w:val="28"/>
          <w:sz w:val="28"/>
          <w:szCs w:val="28"/>
          <w:rtl w:val="true"/>
          <w:lang w:bidi="fa-IR"/>
        </w:rPr>
        <w:t>ارزیابی سواد بهداشتی، حیطه ای نادیده گرفته شده در ترکیه است و تحقیقات مرتبط به این موضوع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گذشته، تغییرات در نظام بهداشتی، بهبودهایی در حیطه های اجتماعی، اقتصادی و فرهنگی و نیازهای متغیر بیماران، دیدگاه سنتی را واداشته است که در مورد این که بیماران چگونه می توانند بخشی از تصمیماتی باشند که به بهداشت آن ها مربوط می شود بار دیگر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نظام بهداشت، بیماران عادت نداشتند مجبور به مطالعه، درک و پر کردن یا امضا کردن هیچ فرمی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نیاز داشتند این اقدامات را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میان مؤسسات بهداشت و سلامت، بیمارستان ها و کتاب خانه ها به طور بالقوه می توانند سواد بهداشتی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روبه رشد بر سواد بهداشتی، به واسطه برخی سیاست ها، پیشینه موجود در مورد موضوع که حتی در این دنیای پزشکی ماشینی و رایانه ای شده، استانداردسازی و جهانی شده مورد نیاز است، منعکس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عوامل می توانند بر تصمیمات حیاتی بیماران و تمایل آن ها به اجرای راهبردهای توصیه شده تأثیر بگذارند</w:t>
      </w:r>
      <w:r>
        <w:rPr>
          <w:rFonts w:eastAsia="IRNazanin" w:cs="IRNazanin"/>
          <w:color w:val="111111"/>
          <w:sz w:val="28"/>
          <w:szCs w:val="28"/>
          <w:rtl w:val="true"/>
          <w:lang w:bidi="fa-IR"/>
        </w:rPr>
        <w:t>.</w:t>
      </w:r>
    </w:p>
    <w:p>
      <w:pPr>
        <w:pStyle w:val="Heading3"/>
        <w:numPr>
          <w:ilvl w:val="2"/>
          <w:numId w:val="1"/>
        </w:numPr>
        <w:rPr/>
      </w:pPr>
      <w:bookmarkStart w:id="1265" w:name="__RefHeading___Toc7826155_2870459653"/>
      <w:bookmarkStart w:id="1266" w:name="_Toc472"/>
      <w:bookmarkEnd w:id="1265"/>
      <w:r>
        <w:rPr>
          <w:rtl w:val="true"/>
        </w:rPr>
        <w:t>منابع</w:t>
      </w:r>
      <w:bookmarkEnd w:id="1266"/>
    </w:p>
    <w:p>
      <w:pPr>
        <w:pStyle w:val="BookText"/>
        <w:rPr/>
      </w:pPr>
      <w:r>
        <w:rPr>
          <w:rFonts w:eastAsia="Times New Roman" w:cs="Times New Roman" w:ascii="Times New Roman" w:hAnsi="Times New Roman"/>
          <w:color w:val="111111"/>
          <w:sz w:val="28"/>
          <w:szCs w:val="28"/>
          <w:lang w:val="en-US" w:bidi="en-US"/>
        </w:rPr>
        <w:t>Ağartan, T.I. (2008). Turkish health system in transition: Historical background and reform experience. Doctor of Philosophy in Sociology in the Graduate School of Binghamton University, State University of New York</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Akalın, E. (2009). Health literacy levels in Turkey. İstanbul. [In Turkish] Ateş,M., Erbaydar, T., Demirkıran, K., Özhan, G., Cevahir, E., İşci, E. (2004). "Utilization of Health Services and Reasons for Preferring Health Institutions by People Living in Gebze: A Survey". HacettepeSağlıkİdare-siDergisi, 7(3): 319-341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Avcı, İ.B., Sönmez, M.F. (2013). "Health communication programs in the context of health of individuals aired on television viewing habits and motivations: Elazığ example". Gümüşhane University E-Journal of Fac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ulty of Communication, 2 (2): 119-138. [In Turkish]</w:t>
      </w:r>
    </w:p>
    <w:p>
      <w:pPr>
        <w:pStyle w:val="BookText"/>
        <w:rPr/>
      </w:pPr>
      <w:r>
        <w:rPr>
          <w:rFonts w:eastAsia="Times New Roman" w:cs="Times New Roman" w:ascii="Times New Roman" w:hAnsi="Times New Roman"/>
          <w:color w:val="111111"/>
          <w:sz w:val="28"/>
          <w:szCs w:val="28"/>
          <w:lang w:val="en-US" w:bidi="en-US"/>
        </w:rPr>
        <w:t>Ayaz, S., Tezcan,S., Akıncı, F. (2005). "Health Promotion Behavior of Nursing School Students". C.Ü.Hemşirelik YüksekOkuluDergisi, 9(2): 26-34. [In Turkish]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Ayrancı, U. (2005)."AIDS knowledge and attitudes in a Turkish popu-lation: An epidemiological study". BMC Public Health, 13: 95</w:t>
      </w:r>
    </w:p>
    <w:p>
      <w:pPr>
        <w:pStyle w:val="BookText"/>
        <w:rPr/>
      </w:pPr>
      <w:r>
        <w:rPr>
          <w:rFonts w:eastAsia="Times New Roman" w:cs="Times New Roman" w:ascii="Times New Roman" w:hAnsi="Times New Roman"/>
          <w:color w:val="111111"/>
          <w:sz w:val="28"/>
          <w:szCs w:val="28"/>
          <w:lang w:val="en-US" w:bidi="en-US"/>
        </w:rPr>
        <w:t>Bilir, N. (2014). "Health literacy". Turk J Public Health, 12(1): 61-68. [In Turkish]</w:t>
      </w:r>
    </w:p>
    <w:p>
      <w:pPr>
        <w:pStyle w:val="BookText"/>
        <w:rPr/>
      </w:pPr>
      <w:r>
        <w:rPr>
          <w:rFonts w:eastAsia="Times New Roman" w:cs="Times New Roman" w:ascii="Times New Roman" w:hAnsi="Times New Roman"/>
          <w:color w:val="111111"/>
          <w:sz w:val="28"/>
          <w:szCs w:val="28"/>
          <w:lang w:val="en-US" w:bidi="en-US"/>
        </w:rPr>
        <w:t>Bilir, N. (2006). "Effects of health literacy on health status and health service utilization amongst the elderly". ToplumHekimliğiBülteni, 25(3). [In Turkish]</w:t>
      </w:r>
    </w:p>
    <w:p>
      <w:pPr>
        <w:pStyle w:val="BookText"/>
        <w:rPr/>
      </w:pPr>
      <w:r>
        <w:rPr>
          <w:rFonts w:eastAsia="Times New Roman" w:cs="Times New Roman" w:ascii="Times New Roman" w:hAnsi="Times New Roman"/>
          <w:color w:val="111111"/>
          <w:sz w:val="28"/>
          <w:szCs w:val="28"/>
          <w:lang w:val="en-US" w:bidi="en-US"/>
        </w:rPr>
        <w:t>Çetin, M. (2012). Health literacy. Ankara: T.C. Ministry of Family and Social Policies. [In Turkish]</w:t>
      </w:r>
    </w:p>
    <w:p>
      <w:pPr>
        <w:pStyle w:val="BookText"/>
        <w:rPr/>
      </w:pPr>
      <w:r>
        <w:rPr>
          <w:rFonts w:eastAsia="Times New Roman" w:cs="Times New Roman" w:ascii="Times New Roman" w:hAnsi="Times New Roman"/>
          <w:color w:val="111111"/>
          <w:sz w:val="28"/>
          <w:szCs w:val="28"/>
          <w:lang w:val="en-US" w:bidi="en-US"/>
        </w:rPr>
        <w:t>Çınarlı, I. (2008). Public health information and media. Ankara: Nobel YayınDağıtım. [In Turkish]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Demir, F., Özsaker, E., Özcan, A. (2008). "The quality and suitability of written educational materials for patients". Journal of Clinical Nursing, 17: 259–265</w:t>
      </w:r>
    </w:p>
    <w:p>
      <w:pPr>
        <w:pStyle w:val="BookText"/>
        <w:rPr/>
      </w:pPr>
      <w:r>
        <w:rPr>
          <w:rFonts w:eastAsia="Times New Roman" w:cs="Times New Roman" w:ascii="Times New Roman" w:hAnsi="Times New Roman"/>
          <w:color w:val="111111"/>
          <w:sz w:val="28"/>
          <w:szCs w:val="28"/>
          <w:lang w:val="en-US" w:bidi="en-US"/>
        </w:rPr>
        <w:t>Erbaydar, T. (2003). "Health literacy and communication”. Çukurova Üniversitesi Tıp Fakültesi Dergisi 25(4): 45-51. [In Turkish]</w:t>
      </w:r>
    </w:p>
    <w:p>
      <w:pPr>
        <w:pStyle w:val="BookText"/>
        <w:rPr/>
      </w:pPr>
      <w:r>
        <w:rPr>
          <w:rFonts w:eastAsia="Times New Roman" w:cs="Times New Roman" w:ascii="Times New Roman" w:hAnsi="Times New Roman"/>
          <w:color w:val="111111"/>
          <w:sz w:val="28"/>
          <w:szCs w:val="28"/>
          <w:lang w:val="en-US" w:bidi="en-US"/>
        </w:rPr>
        <w:t>Erkoç, Y., Yardım, N. (2011). Preventing choronic diseases a vital in-vestment. Ankara: Ministry of Health. [In Turkish]</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Gücük, S., Alkan, S., Arica,S., Ateş, A. (2011). "Van mother-child health and family planning center pap smear clinics of information, evalu-ation of applicants". TAF Prev Med Bull., 10(5): 527-532. [In Turkish] 11 Güçlü, S., Uysal, M. (2013). "Determination of women health educational needs with focus-Ankara University, Journal of Faculty of Educational Sciences, 46 (2): 399-418. [In Turkish]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Hergenç, İ.(2011). The relationship of public health information and health literacy. Marmara Üniversitesi Master Thesis. İstanbul. [In Turkish]</w:t>
      </w:r>
    </w:p>
    <w:p>
      <w:pPr>
        <w:pStyle w:val="BookText"/>
        <w:rPr/>
      </w:pPr>
      <w:r>
        <w:rPr>
          <w:rFonts w:eastAsia="Times New Roman" w:cs="Times New Roman" w:ascii="Times New Roman" w:hAnsi="Times New Roman"/>
          <w:color w:val="111111"/>
          <w:sz w:val="28"/>
          <w:szCs w:val="28"/>
          <w:lang w:val="en-US" w:bidi="en-US"/>
        </w:rPr>
        <w:t>Meydanlıoğlu, A., Emiroğlu, O. (2004). "The Knowledge and expecta-tions of the women about the services of health center".HemşirelikteAr-aştırmaGeliştirmeDergisi 1 (2). [In Turkish]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pub-lishing, Paris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ايي سي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ايي سي دي </w:t>
      </w:r>
      <w:r>
        <w:rPr>
          <w:rFonts w:eastAsia="Times New Roman" w:cs="Times New Roman" w:ascii="Times New Roman" w:hAnsi="Times New Roman"/>
          <w:color w:val="111111"/>
          <w:sz w:val="28"/>
          <w:szCs w:val="28"/>
          <w:lang w:val="en-US" w:bidi="en-US"/>
        </w:rPr>
        <w:t>Health: Key tables from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 اي سي 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Factbook 2013: Economic, Environmental and So-cial Statistics. Publishing, Paris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 ایی سی 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Okay, A. (2014). "Health communication in Internet". SağlıkDüşünc-esive Tip KültürüPlatformu,http:[www.sdplatform.com/KategoriYazilari-Aciklama.aspx?ID=245],Received: 10.05.2014. [In Turkish</w:t>
      </w:r>
    </w:p>
    <w:p>
      <w:pPr>
        <w:pStyle w:val="BookText"/>
        <w:rPr/>
      </w:pPr>
      <w:r>
        <w:rPr>
          <w:rFonts w:eastAsia="Times New Roman" w:cs="Times New Roman" w:ascii="Times New Roman" w:hAnsi="Times New Roman"/>
          <w:color w:val="111111"/>
          <w:sz w:val="28"/>
          <w:szCs w:val="28"/>
          <w:lang w:val="en-US" w:bidi="en-US"/>
        </w:rPr>
        <w:t>464-477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Özdemir, H., Alper, Z., Uncu, Y., Bilgel, N. (2010). "Health literacy among adults: a study from Turkey". Health Education Research, 25</w:t>
      </w:r>
    </w:p>
    <w:p>
      <w:pPr>
        <w:pStyle w:val="BookText"/>
        <w:rPr/>
      </w:pPr>
      <w:r>
        <w:rPr>
          <w:rFonts w:eastAsia="Times New Roman" w:cs="Times New Roman" w:ascii="Times New Roman" w:hAnsi="Times New Roman"/>
          <w:color w:val="111111"/>
          <w:sz w:val="28"/>
          <w:szCs w:val="28"/>
          <w:lang w:val="en-US" w:bidi="en-US"/>
        </w:rPr>
        <w:t>Pleasant, A., Kuruvilla, S. (2008) A tale of two health literacies: public health and clinical approaches to health literacy. Health Promotion Inter-national. 23, 2, 152-159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Rowlands, G. (2009). Health literacy and long-term conditions. Prima-ry Health Care. 19 (7), 16-20</w:t>
      </w:r>
    </w:p>
    <w:p>
      <w:pPr>
        <w:pStyle w:val="BookText"/>
        <w:rPr/>
      </w:pPr>
      <w:r>
        <w:rPr>
          <w:rFonts w:eastAsia="Times New Roman" w:cs="Times New Roman" w:ascii="Times New Roman" w:hAnsi="Times New Roman"/>
          <w:color w:val="111111"/>
          <w:sz w:val="28"/>
          <w:szCs w:val="28"/>
          <w:lang w:val="en-US" w:bidi="en-US"/>
        </w:rPr>
        <w:t>Safer, R.S., Kenan, J. (2005). "Health literacy: the gap between physi-cians and patients”. Am Fam Physician, 72: 463–8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Savaş, S., Karahan, Ö., Saka, R.Ö. (2002). "Health Care Systems in Transition: Turkey.” In European Observatory on Health Care Systems 4, eds. S. Thomson and E. Mossialos. Copenhagen: The European Obser-vatory on Health Care Systems</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Sezer, A. (2012). The relationship between health literacy and healthy lifestyle behaviours. Marmara ÜniversitesiSağlık BilimleriEnstitüsü. İstan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bul: Master Thesis. [In Turkish]</w:t>
      </w:r>
    </w:p>
    <w:p>
      <w:pPr>
        <w:pStyle w:val="BookText"/>
        <w:rPr/>
      </w:pPr>
      <w:r>
        <w:rPr>
          <w:rFonts w:eastAsia="Times New Roman" w:cs="Times New Roman" w:ascii="Times New Roman" w:hAnsi="Times New Roman"/>
          <w:color w:val="111111"/>
          <w:sz w:val="28"/>
          <w:szCs w:val="28"/>
          <w:lang w:val="en-US" w:bidi="en-US"/>
        </w:rPr>
        <w:t>Şener, E., Samur, M. (2013). "Social media as a factor health promot-ing: Health on facebook”. Gümüşhane University Journal of Health Sci-ences, 2 (4): 508-523. [In Turkish]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Topbaş, M., Yarış, F. and Can, G. (2003). "Do the elderly have adequate information about the drugs they use? Results of a study conducted in a primary health care in Trabzon." Ege J Med, 42: 85–90</w:t>
      </w:r>
    </w:p>
    <w:p>
      <w:pPr>
        <w:pStyle w:val="BookText"/>
        <w:rPr/>
      </w:pPr>
      <w:r>
        <w:rPr>
          <w:rFonts w:eastAsia="Times New Roman" w:cs="Times New Roman" w:ascii="Times New Roman" w:hAnsi="Times New Roman"/>
          <w:color w:val="111111"/>
          <w:sz w:val="28"/>
          <w:szCs w:val="28"/>
          <w:lang w:val="en-US" w:bidi="en-US"/>
        </w:rPr>
        <w:t>Turkish Statistical Institute. (2014). "Cultural Statistics." Turkish Sta-tistical Institute. Retrieved March 28, 2014. Retrieved from</w:t>
      </w:r>
    </w:p>
    <w:p>
      <w:pPr>
        <w:pStyle w:val="BookText"/>
        <w:rPr/>
      </w:pPr>
      <w:r>
        <w:rPr>
          <w:rFonts w:eastAsia="Times New Roman" w:cs="Times New Roman" w:ascii="Times New Roman" w:hAnsi="Times New Roman"/>
          <w:color w:val="111111"/>
          <w:sz w:val="28"/>
          <w:szCs w:val="28"/>
          <w:lang w:val="en-US" w:bidi="en-US"/>
        </w:rPr>
        <w:t>http://www.turkstat.gov.tr/Kitap.do?metod=KitapDetay&amp;KT-ID=5&amp;KITAP ID=42 12</w:t>
      </w:r>
    </w:p>
    <w:p>
      <w:pPr>
        <w:pStyle w:val="BookText"/>
        <w:rPr/>
      </w:pPr>
      <w:r>
        <w:rPr>
          <w:rFonts w:eastAsia="Times New Roman" w:cs="Times New Roman" w:ascii="Times New Roman" w:hAnsi="Times New Roman"/>
          <w:color w:val="111111"/>
          <w:sz w:val="28"/>
          <w:szCs w:val="28"/>
          <w:lang w:val="en-US" w:bidi="en-US"/>
        </w:rPr>
        <w:t>Uğurlu, Z. (2011). Evaluation of health literacy and appropriateness of the educational materials to the health literacy of the patients who applied to the healthcare centres. PhD Dissertation. Ankara: BaşkentÜniversitesi-Sağlık BilimleriEnstitüsüHalk SağlığıAnabilim Dalı. [In Turkish]</w:t>
      </w:r>
    </w:p>
    <w:p>
      <w:pPr>
        <w:pStyle w:val="BookText"/>
        <w:rPr/>
      </w:pPr>
      <w:r>
        <w:rPr>
          <w:rFonts w:eastAsia="Times New Roman" w:cs="Times New Roman" w:ascii="Times New Roman" w:hAnsi="Times New Roman"/>
          <w:color w:val="111111"/>
          <w:sz w:val="28"/>
          <w:szCs w:val="28"/>
          <w:lang w:val="en-US" w:bidi="en-US"/>
        </w:rPr>
        <w:t>Yıldız, M., Ateş, S., Yıldırım, K., Rasinski, T. (2011). "Literacy and il-literacy from illiterate Turkish women's perspectives: A phenomenological study”. Uluslararasıİnsan BilimleriDergisi, 8 (1): 745-759. [In Turkish]</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Yi, Y. (2012). Consumer health information behaviour in public libraries: A mixed methods study. Doctor of Philosophy in Library &amp; Information Studies, the Florida State University, College of Communication and Information</w:t>
      </w:r>
      <w:r>
        <w:rPr>
          <w:rFonts w:eastAsia="Times New Roman" w:cs="Times New Roman" w:ascii="Times New Roman" w:hAnsi="Times New Roman"/>
          <w:color w:val="111111"/>
          <w:sz w:val="28"/>
          <w:szCs w:val="28"/>
          <w:rtl w:val="true"/>
          <w:lang w:val="en-US" w:bidi="en-US"/>
        </w:rPr>
        <w:t xml:space="preserve"> </w:t>
      </w:r>
      <w:bookmarkStart w:id="1267" w:name="pg9659_94278"/>
    </w:p>
    <w:p>
      <w:pPr>
        <w:pStyle w:val="Heading2"/>
        <w:numPr>
          <w:ilvl w:val="1"/>
          <w:numId w:val="1"/>
        </w:numPr>
        <w:rPr/>
      </w:pPr>
      <w:bookmarkStart w:id="1268" w:name="__RefHeading___Toc7826157_2870459653"/>
      <w:bookmarkStart w:id="1269" w:name="_Toc473"/>
      <w:bookmarkEnd w:id="1267"/>
      <w:bookmarkEnd w:id="1268"/>
      <w:r>
        <w:rPr>
          <w:rtl w:val="true"/>
        </w:rPr>
        <w:t>چکیده</w:t>
      </w:r>
      <w:bookmarkEnd w:id="1269"/>
    </w:p>
    <w:p>
      <w:pPr>
        <w:pStyle w:val="BookText"/>
        <w:rPr/>
      </w:pPr>
      <w:r>
        <w:rPr>
          <w:rFonts w:ascii="IRNazanin" w:hAnsi="IRNazanin" w:eastAsia="IRNazanin"/>
          <w:color w:val="111111"/>
          <w:sz w:val="28"/>
          <w:sz w:val="28"/>
          <w:szCs w:val="28"/>
          <w:rtl w:val="true"/>
          <w:lang w:bidi="fa-IR"/>
        </w:rPr>
        <w:t>این مقاله نقشه کلی راهبردهای کتاب خانه ملی نروژ برای دریافت مستقیم انتشارات از اصل رقومی ناشران را ترسیم خواهد کرد، حتی اگر این انتشارات خود، به صورت چاپی یا هر شکل فیزیکی دیگری منتشر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اجرای عملی این راهبردها و درس هایی را که حین کار آموخته ایم، ارائه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ها از گفتگو با ناشران، راه حل های فنی دریافت رقومی و فرایند مدیریت انتشارات رقومی در کتاب خانه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این مقاله بر اجرای عینی روزنامه هاست، اما اصول اجرای آن قابل تعمیم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مقاله به اجمال، چگونگی دریافت مهم ترین بخش های موجود در اینترنت نروژ را برای محافظت شدن، پوشش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واسپاری رقومی و ذخیره سازی صفحات وب، در بافت برنامه های بلند پروازانه رقومی شدن کتاب خانه ملی نروژ قرار خواهد گرفت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واسپاری رقومی، روزنامه ها، کتاب خانه رقومی، ذخیره سازی صفحات وب </w:t>
      </w:r>
      <w:bookmarkStart w:id="1270" w:name="pg9659_94279"/>
    </w:p>
    <w:p>
      <w:pPr>
        <w:pStyle w:val="Heading2"/>
        <w:numPr>
          <w:ilvl w:val="1"/>
          <w:numId w:val="1"/>
        </w:numPr>
        <w:rPr/>
      </w:pPr>
      <w:bookmarkStart w:id="1271" w:name="__RefHeading___Toc7826159_2870459653"/>
      <w:bookmarkStart w:id="1272" w:name="_Toc474"/>
      <w:bookmarkEnd w:id="1270"/>
      <w:bookmarkEnd w:id="1271"/>
      <w:r>
        <w:rPr>
          <w:rtl w:val="true"/>
        </w:rPr>
        <w:t>و اسپاری رقومی در کتاب خانه ملی نروژ</w:t>
      </w:r>
      <w:bookmarkEnd w:id="1272"/>
    </w:p>
    <w:p>
      <w:pPr>
        <w:pStyle w:val="Heading3"/>
        <w:numPr>
          <w:ilvl w:val="2"/>
          <w:numId w:val="1"/>
        </w:numPr>
        <w:rPr/>
      </w:pPr>
      <w:bookmarkStart w:id="1273" w:name="__RefHeading___Toc7826161_2870459653"/>
      <w:bookmarkStart w:id="1274" w:name="_Toc475"/>
      <w:bookmarkEnd w:id="1273"/>
      <w:r>
        <w:rPr>
          <w:rtl w:val="true"/>
        </w:rPr>
        <w:t>اشاره</w:t>
      </w:r>
      <w:bookmarkEnd w:id="1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اسپاری رقومی در کتاب خانه ملی نروژ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نوشته اِسوین آرنه سولباک </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سودابه نوذری </w:t>
      </w:r>
      <w:r>
        <w:rPr>
          <w:rStyle w:val="FootnoteAnchor"/>
          <w:rtl w:val="true"/>
        </w:rPr>
        <w:footnoteReference w:id="1325"/>
      </w:r>
    </w:p>
    <w:p>
      <w:pPr>
        <w:pStyle w:val="Heading3"/>
        <w:numPr>
          <w:ilvl w:val="2"/>
          <w:numId w:val="1"/>
        </w:numPr>
        <w:rPr/>
      </w:pPr>
      <w:bookmarkStart w:id="1275" w:name="__RefHeading___Toc7826163_2870459653"/>
      <w:bookmarkStart w:id="1276" w:name="_Toc476"/>
      <w:bookmarkEnd w:id="1275"/>
      <w:r>
        <w:rPr/>
        <w:t>1</w:t>
      </w:r>
      <w:r>
        <w:rPr>
          <w:rtl w:val="true"/>
        </w:rPr>
        <w:t xml:space="preserve">. </w:t>
      </w:r>
      <w:r>
        <w:rPr>
          <w:rtl w:val="true"/>
        </w:rPr>
        <w:t>یک کتاب خانه رقومی ملی</w:t>
      </w:r>
      <w:bookmarkEnd w:id="1276"/>
    </w:p>
    <w:p>
      <w:pPr>
        <w:pStyle w:val="BookText"/>
        <w:rPr/>
      </w:pPr>
      <w:r>
        <w:rPr>
          <w:rFonts w:ascii="IRNazanin" w:hAnsi="IRNazanin" w:eastAsia="IRNazanin"/>
          <w:color w:val="111111"/>
          <w:sz w:val="28"/>
          <w:sz w:val="28"/>
          <w:szCs w:val="28"/>
          <w:rtl w:val="true"/>
          <w:lang w:bidi="fa-IR"/>
        </w:rPr>
        <w:t xml:space="preserve">کتاب خانه ملی نروژ </w:t>
      </w:r>
      <w:r>
        <w:rPr>
          <w:rStyle w:val="FootnoteAnchor"/>
          <w:rtl w:val="true"/>
        </w:rPr>
        <w:footnoteReference w:id="132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بلند پروازانه رقومی سازی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تبدیل شدن به یک کتاب خانه ملی رقومی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رقومی فقط یک خدمت معمولی در وب نیست، بلکه راهی کاملاً نو در راستای تکمیل نقش کتاب خانه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ملزومات تبدیل شدن به یک کتاب خانه ملی رقومی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رقومی سازی منابع غیر رقومی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نسخه های اصلی رقومی مربوط به آثار غیر رقومی منتشر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انتشاراتی که فقط در قالب های رقومی موجودند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با صاحبان حقوق آثار برای دسترس پذیر کردن آثار آن ها در قالب های رقومی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دسترسی کاربران به مجموعه های رقومی در هر زمان و مکانی که بخواهند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ها در دراز مدت نیازمند توجه عمیق و منابع فراوان است</w:t>
      </w:r>
      <w:r>
        <w:rPr>
          <w:rFonts w:eastAsia="IRNazanin" w:cs="IRNazanin"/>
          <w:color w:val="111111"/>
          <w:sz w:val="28"/>
          <w:szCs w:val="28"/>
          <w:rtl w:val="true"/>
          <w:lang w:bidi="fa-IR"/>
        </w:rPr>
        <w:t xml:space="preserve">. </w:t>
      </w:r>
      <w:bookmarkStart w:id="1277" w:name="pg9659_94280"/>
    </w:p>
    <w:p>
      <w:pPr>
        <w:pStyle w:val="BookText"/>
        <w:rPr/>
      </w:pPr>
      <w:bookmarkEnd w:id="1277"/>
      <w:r>
        <w:rPr>
          <w:rFonts w:ascii="IRNazanin" w:hAnsi="IRNazanin" w:eastAsia="IRNazanin"/>
          <w:color w:val="111111"/>
          <w:sz w:val="28"/>
          <w:sz w:val="28"/>
          <w:szCs w:val="28"/>
          <w:rtl w:val="true"/>
          <w:lang w:bidi="fa-IR"/>
        </w:rPr>
        <w:t xml:space="preserve">انتظار می رود رقومی سازی منابع رقومی نشده کتاب خانه ملی نروژ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رقومی سازی منابع گوناگون به طور تمام وقت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کتاب ها </w:t>
      </w:r>
      <w:r>
        <w:rPr>
          <w:rFonts w:eastAsia="IRNazanin" w:cs="IRNazanin"/>
          <w:color w:val="111111"/>
          <w:sz w:val="28"/>
          <w:szCs w:val="28"/>
          <w:rtl w:val="true"/>
          <w:lang w:bidi="fa-IR"/>
        </w:rPr>
        <w:t>(</w:t>
      </w:r>
      <w:r>
        <w:rPr>
          <w:rFonts w:eastAsia="IRNazanin" w:cs="IRNazanin"/>
          <w:color w:val="111111"/>
          <w:sz w:val="28"/>
          <w:szCs w:val="28"/>
          <w:lang w:bidi="fa-IR"/>
        </w:rPr>
        <w:t>375000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روزنامه 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منتشر شده در نروژ، رقومی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تعداد فراوانی از نشریات، عکس ها، دست نوشته ها، پوسترها، صفحات موسیقی و دیگر صفحات صوتی، ویدیو، فیلم و برنامه های رادیو و تلویزیونی رقومی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امضای چندین موافقت نامه با صاحبان آثار، امکان دستیابی به قالب های رقومی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نامه بوک شلف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به کتاب خانه ملی حق دسترس کتاب های منتشر شده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 از آن را برای افراد دارای نشانی آی پی </w:t>
      </w:r>
      <w:r>
        <w:rPr>
          <w:rStyle w:val="FootnoteAnchor"/>
          <w:rtl w:val="true"/>
        </w:rPr>
        <w:footnoteReference w:id="1328"/>
      </w:r>
      <w:r>
        <w:rPr>
          <w:rFonts w:ascii="IRNazanin" w:hAnsi="IRNazanin" w:eastAsia="IRNazanin"/>
          <w:color w:val="111111"/>
          <w:sz w:val="28"/>
          <w:sz w:val="28"/>
          <w:szCs w:val="28"/>
          <w:rtl w:val="true"/>
          <w:lang w:bidi="fa-IR"/>
        </w:rPr>
        <w:t>نروژ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برای مطالعه رایگان در نروژ در دسترس قرار دارد و انتظار می رود تا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ملی موافقت نامه هایی را نیز با روزنامه ها برای ایجاد امکان دستیابی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روزنامه در کتاب خانه های نروژ به شکل رقومی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این روزنامه ها برای همگان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موافقت نامه ها، دسترسی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صفحات روزنامه های رقومی یا و اسپار شده رقومی در کتاب خانه های نروژ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امضای موافقت نامه ای با خبرگزاری رادیو اصلی نروژ است، که به موجب آن، هم اکنون دستیابی باز و رایگان به بیش از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رادیویی برای همگان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ها، بخش های خبری رادیو از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مقاله بر مورد دوم و سوم از نکات کاربردی بالا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مقاله در ادامه به واسپاری میراث فرهنگی رقومی می پردازد</w:t>
      </w:r>
      <w:r>
        <w:rPr>
          <w:rFonts w:eastAsia="IRNazanin" w:cs="IRNazanin"/>
          <w:color w:val="111111"/>
          <w:sz w:val="28"/>
          <w:szCs w:val="28"/>
          <w:rtl w:val="true"/>
          <w:lang w:bidi="fa-IR"/>
        </w:rPr>
        <w:t>.</w:t>
      </w:r>
    </w:p>
    <w:p>
      <w:pPr>
        <w:pStyle w:val="Heading3"/>
        <w:numPr>
          <w:ilvl w:val="2"/>
          <w:numId w:val="1"/>
        </w:numPr>
        <w:rPr/>
      </w:pPr>
      <w:bookmarkStart w:id="1278" w:name="__RefHeading___Toc7826165_2870459653"/>
      <w:bookmarkStart w:id="1279" w:name="_Toc477"/>
      <w:bookmarkEnd w:id="1278"/>
      <w:r>
        <w:rPr/>
        <w:t>2</w:t>
      </w:r>
      <w:r>
        <w:rPr>
          <w:rtl w:val="true"/>
        </w:rPr>
        <w:t xml:space="preserve">. </w:t>
      </w:r>
      <w:r>
        <w:rPr>
          <w:rtl w:val="true"/>
        </w:rPr>
        <w:t>واسپاری رقومی</w:t>
      </w:r>
      <w:bookmarkEnd w:id="127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 اسپاری رقومی در کتاب خانه ملی نروژ در پایان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و اسپاری برنامه های رادیویی بنگاه خبررسانی نروژ </w:t>
      </w:r>
      <w:r>
        <w:rPr>
          <w:rStyle w:val="FootnoteAnchor"/>
          <w:rtl w:val="true"/>
        </w:rPr>
        <w:footnoteReference w:id="1329"/>
      </w:r>
      <w:r>
        <w:rPr>
          <w:rFonts w:ascii="IRNazanin" w:hAnsi="IRNazanin" w:eastAsia="IRNazanin"/>
          <w:color w:val="111111"/>
          <w:sz w:val="28"/>
          <w:sz w:val="28"/>
          <w:szCs w:val="28"/>
          <w:rtl w:val="true"/>
          <w:lang w:bidi="fa-IR"/>
        </w:rPr>
        <w:t>در قالب فایل آغاز و انتقال فیزیکی نوارهای صوتی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اسپاری رقومی نخستین کانال پخش تلویزیونی در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 اسپاری رقومی از طریق اینترنت برای همه برنامه های رادیو و تلویزیون سراسری نروژ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ها، </w:t>
      </w:r>
    </w:p>
    <w:p>
      <w:pPr>
        <w:pStyle w:val="BookText"/>
        <w:rPr/>
      </w:pPr>
      <w:r>
        <w:rPr>
          <w:rFonts w:ascii="IRNazanin" w:hAnsi="IRNazanin" w:eastAsia="IRNazanin"/>
          <w:color w:val="111111"/>
          <w:sz w:val="28"/>
          <w:sz w:val="28"/>
          <w:szCs w:val="28"/>
          <w:rtl w:val="true"/>
          <w:lang w:bidi="fa-IR"/>
        </w:rPr>
        <w:t>اجرای و اسپاری رقومی برنامه های محلی بنگاه خبررسانی نروژ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سازان نیز مانند کتاب خانه ملی از رقومی شدن و اسپاری نفع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مؤثرتر و ارزان تر از ضبط برنامه ها بر روی نوار و حمل فیزیکی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 اسپاری رقومی در مورد منابع چاپی اجرایی شود، کتاب خانه ملی، باز هم خواهان نسخه کاغذی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منفعت ناشر از واسپاری رقومی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در خصوص روزنامه ها، کتاب خانه ملی برای جلوگیری از تولیدگران ریزفیلم، قرار است امکان دسترسی به نسخه رقومی روزنامه ها را در کتاب خانه های نروژ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قانون و اسپاری نروژ، و اسپاری قانونی اجباری را به قالب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کتاب خانه ملی نمی تواند مدعی فایل های رقومی مربوط به انتشار کاغذی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این فایل های رقومی، باید موافقت نامه ای را با ناشر در زمینه واسپاری رقومی امضا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کتاب خانه ملی نروژ از ناشران روزنامه ای نروژ برای هم کاری در حوزه رقومی سازی و واسپاری رقومی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هم کاری، کار رقومی سازی،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Style w:val="FootnoteAnchor"/>
          <w:rtl w:val="true"/>
        </w:rPr>
        <w:footnoteReference w:id="1330"/>
      </w:r>
      <w:r>
        <w:rPr>
          <w:rFonts w:ascii="IRNazanin" w:hAnsi="IRNazanin" w:eastAsia="IRNazanin"/>
          <w:color w:val="111111"/>
          <w:sz w:val="28"/>
          <w:sz w:val="28"/>
          <w:szCs w:val="28"/>
          <w:rtl w:val="true"/>
          <w:lang w:bidi="fa-IR"/>
        </w:rPr>
        <w:t>کردن و مسئولیت حفاظت دراز مدت از فایل های اصلی رقومی سازی شده و واسپاری رقومی شده بر عهده کتاب خانه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هزینه های رقومی سازی را می پردازد و نسخه کاملی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رقومی سازی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هم کاری در زمینه رقومی سازی، ما نیز واسپاری رقومی روزنامه مورد نظر را به اجرا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با ناشران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روزنامه موافقت نامه امضا شده و برای افزایش عناوین فهرست موجود، مذاکراتی با ناشران روزنامه های دیگر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ما بر بزرگ ترین روزنامه های نروژ است، اما هم زمان، خواهان نمونه هایی از عناوین آماده رقومی از سراسر کشور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موافقت نامه ها محدود به واسپاری رقومی هستند، در حالی که تعداد قابل توجهی از ناشران نیز در رقومی سازی روزنامه های قدیمی هم کاری می کنند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تعداد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فعال به نظر زیاد نمی رسد، به خاطر تمرکز بر بزرگ ترین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درصد فراوانی از صفحات روزنامه ای منتشر شده سالانه نروژ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مهم آن است که به محض امضای یک موافقت نامه و اسپاری رقومی با ناشر، رقومی سازی انتشار کاغذی یک روزنامه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کار صرفه جویی قابل توجهی برای کتاب خانه ملی است و نیز منابع به رقومی سازی انتشارات قدیمی روزنامه اختصاص می یابد</w:t>
      </w:r>
      <w:r>
        <w:rPr>
          <w:rFonts w:eastAsia="IRNazanin" w:cs="IRNazanin"/>
          <w:color w:val="111111"/>
          <w:sz w:val="28"/>
          <w:szCs w:val="28"/>
          <w:rtl w:val="true"/>
          <w:lang w:bidi="fa-IR"/>
        </w:rPr>
        <w:t xml:space="preserve">. </w:t>
      </w:r>
      <w:bookmarkStart w:id="1280" w:name="pg9659_94282"/>
    </w:p>
    <w:p>
      <w:pPr>
        <w:pStyle w:val="BookText"/>
        <w:rPr/>
      </w:pPr>
      <w:bookmarkEnd w:id="1280"/>
      <w:r>
        <w:rPr>
          <w:rFonts w:ascii="IRNazanin" w:hAnsi="IRNazanin" w:eastAsia="IRNazanin"/>
          <w:color w:val="111111"/>
          <w:sz w:val="28"/>
          <w:sz w:val="28"/>
          <w:szCs w:val="28"/>
          <w:rtl w:val="true"/>
          <w:lang w:bidi="fa-IR"/>
        </w:rPr>
        <w:t xml:space="preserve">افزون بر واسپاری رقومی روزنامه ها، کتاب خانه ملی قانون و اسپاری رقومی کتاب های الکترونیکی را از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کتاب های الکترونیکی با قالب ایی پاب </w:t>
      </w:r>
      <w:r>
        <w:rPr>
          <w:rStyle w:val="FootnoteAnchor"/>
          <w:rtl w:val="true"/>
        </w:rPr>
        <w:footnoteReference w:id="1331"/>
      </w:r>
      <w:r>
        <w:rPr>
          <w:rFonts w:ascii="IRNazanin" w:hAnsi="IRNazanin" w:eastAsia="IRNazanin"/>
          <w:color w:val="111111"/>
          <w:sz w:val="28"/>
          <w:sz w:val="28"/>
          <w:szCs w:val="28"/>
          <w:rtl w:val="true"/>
          <w:lang w:bidi="fa-IR"/>
        </w:rPr>
        <w:t>و پی دی اف گردآوری و در انبار دراز مدت رقومی حفاظت می شوند</w:t>
      </w:r>
      <w:r>
        <w:rPr>
          <w:rFonts w:eastAsia="IRNazanin" w:cs="IRNazanin"/>
          <w:color w:val="111111"/>
          <w:sz w:val="28"/>
          <w:szCs w:val="28"/>
          <w:rtl w:val="true"/>
          <w:lang w:bidi="fa-IR"/>
        </w:rPr>
        <w:t>.</w:t>
      </w:r>
    </w:p>
    <w:p>
      <w:pPr>
        <w:pStyle w:val="Heading3"/>
        <w:numPr>
          <w:ilvl w:val="2"/>
          <w:numId w:val="1"/>
        </w:numPr>
        <w:rPr/>
      </w:pPr>
      <w:bookmarkStart w:id="1281" w:name="__RefHeading___Toc7826167_2870459653"/>
      <w:bookmarkStart w:id="1282" w:name="_Toc478"/>
      <w:bookmarkEnd w:id="1281"/>
      <w:r>
        <w:rPr/>
        <w:t>3</w:t>
      </w:r>
      <w:r>
        <w:rPr>
          <w:rtl w:val="true"/>
        </w:rPr>
        <w:t xml:space="preserve">. </w:t>
      </w:r>
      <w:r>
        <w:rPr>
          <w:rtl w:val="true"/>
        </w:rPr>
        <w:t>یک راه حل برای واسپاری رقومی روزنامه ها</w:t>
      </w:r>
      <w:bookmarkEnd w:id="1282"/>
    </w:p>
    <w:p>
      <w:pPr>
        <w:pStyle w:val="BookText"/>
        <w:rPr/>
      </w:pPr>
      <w:r>
        <w:rPr>
          <w:rFonts w:ascii="IRNazanin" w:hAnsi="IRNazanin" w:eastAsia="IRNazanin"/>
          <w:color w:val="111111"/>
          <w:sz w:val="28"/>
          <w:sz w:val="28"/>
          <w:szCs w:val="28"/>
          <w:rtl w:val="true"/>
          <w:lang w:bidi="fa-IR"/>
        </w:rPr>
        <w:t>هدف آن بوده است که واسپاری رقومی برای عناوین روزنامه های فعال نروژ طی پنج سال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این که قادر باشیم به طور روزانه، گردش کار رقومی تقریباً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روزنامه را کنترل و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ناشران، نظام های تولید رقومی متفاوتی را به کار می برند و گردش کارهای رقومی بسیار گوناگونی را اجرا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اجتناب از به کارگیری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مختلف در واسپاری رقومی، کتاب خانه ملی یک استاندارد برای واسپاری رقومی روزنامه های نروژ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تعیین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فایل های واسپاری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فایل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وضوح 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صفحه روزنامه باید یک فایل پی دی افی مجزا داشته باشد و تصاویر دست کم، به همان کیفیت فایل های مورد استفاده برای چاپ نسخه کاغذی تهیه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فایل های شماره کامل یک روزنامه در فایل تار یا زیپ </w:t>
      </w:r>
      <w:r>
        <w:rPr>
          <w:rStyle w:val="FootnoteAnchor"/>
          <w:rtl w:val="true"/>
        </w:rPr>
        <w:footnoteReference w:id="1332"/>
      </w:r>
      <w:r>
        <w:rPr>
          <w:rFonts w:ascii="IRNazanin" w:hAnsi="IRNazanin" w:eastAsia="IRNazanin"/>
          <w:color w:val="111111"/>
          <w:sz w:val="28"/>
          <w:sz w:val="28"/>
          <w:szCs w:val="28"/>
          <w:rtl w:val="true"/>
          <w:lang w:bidi="fa-IR"/>
        </w:rPr>
        <w:t>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بسته بندی شده باید در فایل سرور </w:t>
      </w:r>
      <w:r>
        <w:rPr>
          <w:rStyle w:val="FootnoteAnchor"/>
          <w:rtl w:val="true"/>
        </w:rPr>
        <w:footnoteReference w:id="1333"/>
      </w:r>
      <w:r>
        <w:rPr>
          <w:rFonts w:ascii="IRNazanin" w:hAnsi="IRNazanin" w:eastAsia="IRNazanin"/>
          <w:color w:val="111111"/>
          <w:sz w:val="28"/>
          <w:sz w:val="28"/>
          <w:szCs w:val="28"/>
          <w:rtl w:val="true"/>
          <w:lang w:bidi="fa-IR"/>
        </w:rPr>
        <w:t>ناشر، باقابلیت دسترسی برای کتاب خانه ملی، جای گیرد و همه صفحه های نسخه کاغذی روزنامه در این بسته گذاشته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نامگذاری برای صفحات منفرد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عنوان روزنامه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rtl w:val="true"/>
          <w:lang w:bidi="ar-SA"/>
        </w:rPr>
        <w:t>&gt; -</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شماره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پیوست </w:t>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پی دی اف</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نخست ضمیمه خبری نسخه صبح روزنامه آفتن پوستن </w:t>
      </w:r>
      <w:r>
        <w:rPr>
          <w:rStyle w:val="FootnoteAnchor"/>
          <w:rtl w:val="true"/>
        </w:rPr>
        <w:footnoteReference w:id="1334"/>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در منطقه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اَفتن پوستن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eastAsia="IRNazanin" w:cs="IRNazanin"/>
          <w:color w:val="111111"/>
          <w:sz w:val="28"/>
          <w:szCs w:val="28"/>
          <w:lang w:bidi="fa-IR"/>
        </w:rPr>
        <w:t>200606071</w:t>
      </w:r>
      <w:r>
        <w:rPr>
          <w:rFonts w:eastAsia="IRNazanin" w:cs="IRNazanin"/>
          <w:color w:val="111111"/>
          <w:sz w:val="28"/>
          <w:szCs w:val="28"/>
          <w:rtl w:val="true"/>
          <w:lang w:bidi="fa-IR"/>
        </w:rPr>
        <w:t xml:space="preserve"> -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0011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پی دی اف</w:t>
      </w:r>
    </w:p>
    <w:p>
      <w:pPr>
        <w:pStyle w:val="BookText"/>
        <w:rPr/>
      </w:pPr>
      <w:r>
        <w:rPr>
          <w:rFonts w:ascii="IRNazanin" w:hAnsi="IRNazanin" w:eastAsia="IRNazanin"/>
          <w:color w:val="111111"/>
          <w:sz w:val="28"/>
          <w:sz w:val="28"/>
          <w:szCs w:val="28"/>
          <w:rtl w:val="true"/>
          <w:lang w:bidi="fa-IR"/>
        </w:rPr>
        <w:t>قاعده نامگذاری برای فایل بسته بندی شده یک شماره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عنوان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همه کلمات باید کوچک بوده و هیچ شاخه فرعی نباید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فایل در برگیرنده اطلاعات کامل برای انتشار مجدد روزنامه در فضای رقومی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گزینه توصیه شده است، برای اطمینان از کیفیت، یک کد کنترل مخصوص فایل </w:t>
      </w:r>
      <w:r>
        <w:rPr>
          <w:rStyle w:val="FootnoteAnchor"/>
          <w:rtl w:val="true"/>
        </w:rPr>
        <w:footnoteReference w:id="1335"/>
      </w:r>
      <w:r>
        <w:rPr>
          <w:rFonts w:ascii="IRNazanin" w:hAnsi="IRNazanin" w:eastAsia="IRNazanin"/>
          <w:color w:val="111111"/>
          <w:sz w:val="28"/>
          <w:sz w:val="28"/>
          <w:szCs w:val="28"/>
          <w:rtl w:val="true"/>
          <w:lang w:bidi="fa-IR"/>
        </w:rPr>
        <w:t>برای شماره بسته بندی شده ایجاد شود و آن را در یک فایل مجزا به همراه فهرستی از اسامی همه فایل های آن شماره بسته بندی شده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نامگذاری برای این فایل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عنوان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 دی فایو</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 xml:space="preserve">اگر عناصری تعریف شده برای یک روزنامه معین مطرح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تعریف قاعده نام گذاری، پیچیده ترین روزنامه نروژ به عنوان نمونه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روزنامه ها نام های مستعار یا منطقه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قاعده، هر عنوان به طور روزانه از فایل سرور روزنامه ها گردآوری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ناشری را می خواهیم که در فایل سرورش فضای کافی برای نگهداری شماره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برای احتمال بروز خطا، حافظه میانی </w:t>
      </w:r>
      <w:r>
        <w:rPr>
          <w:rStyle w:val="FootnoteAnchor"/>
          <w:rtl w:val="true"/>
        </w:rPr>
        <w:footnoteReference w:id="1338"/>
      </w:r>
      <w:r>
        <w:rPr>
          <w:rFonts w:ascii="IRNazanin" w:hAnsi="IRNazanin" w:eastAsia="IRNazanin"/>
          <w:color w:val="111111"/>
          <w:sz w:val="28"/>
          <w:sz w:val="28"/>
          <w:szCs w:val="28"/>
          <w:rtl w:val="true"/>
          <w:lang w:bidi="fa-IR"/>
        </w:rPr>
        <w:t>کم حجمی داریم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بعد از انتقال فایل، تأیید شماره های روزنامه بسته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آماده بودن کد انتخابی مخصوص فایل، کد کنترل مخصوص بسته دریافتی با کد کنترل مخصوص فایل مقایسه و لیست فایل در مقابل فایل های بسته دریافتی 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بعدی تأیید درستی قالب پی دی اف با استفاده از جیهوو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تأیید دقیق بسته کامل، آن شماره روزنامه از فایل سرور ناشران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نظر اشتباه بیاید، نسخه معلق می ماند و ناشر برای دریافت فایل های درست، تماس می گیرد </w:t>
      </w:r>
    </w:p>
    <w:p>
      <w:pPr>
        <w:pStyle w:val="BookText"/>
        <w:rPr/>
      </w:pPr>
      <w:r>
        <w:rPr>
          <w:rFonts w:ascii="IRNazanin" w:hAnsi="IRNazanin" w:eastAsia="IRNazanin"/>
          <w:color w:val="111111"/>
          <w:sz w:val="28"/>
          <w:sz w:val="28"/>
          <w:szCs w:val="28"/>
          <w:rtl w:val="true"/>
          <w:lang w:bidi="fa-IR"/>
        </w:rPr>
        <w:t xml:space="preserve">گام بعدی اجرای فایل های موجود در شماره روزنامه توسط نرم افزار داک ورکس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 xml:space="preserve">به منظور استخراج متن صفحات و قالب آن با قالب ایکس 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آلتو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صفحات، متن مورد استفاده مستقیم را پنهان کرده اند، اما اغلب بخش ها دارای عناصر گرافیکی بوده و بنابراین توسط یک موتور او سی آر استخراج متن 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ممکن است به طور خاص، مناسب آگهی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های ایکس 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آلتو برای نمایه سازی متن روزنامه ها در بخش جستجوی خدمات کتاب خانه رقومی و برای فعال سازی های لایت نقاط جستجو </w:t>
      </w:r>
      <w:r>
        <w:rPr>
          <w:rStyle w:val="FootnoteAnchor"/>
          <w:rtl w:val="true"/>
        </w:rPr>
        <w:footnoteReference w:id="1342"/>
      </w:r>
      <w:r>
        <w:rPr>
          <w:rFonts w:ascii="IRNazanin" w:hAnsi="IRNazanin" w:eastAsia="IRNazanin"/>
          <w:color w:val="111111"/>
          <w:sz w:val="28"/>
          <w:sz w:val="28"/>
          <w:szCs w:val="28"/>
          <w:rtl w:val="true"/>
          <w:lang w:bidi="fa-IR"/>
        </w:rPr>
        <w:t>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نرم افزار داک ورکس، دستیابی کیفی به فایل های جی پگ </w:t>
      </w:r>
      <w:r>
        <w:rPr>
          <w:rFonts w:eastAsia="IRNazanin" w:cs="IRNazanin"/>
          <w:color w:val="111111"/>
          <w:sz w:val="28"/>
          <w:szCs w:val="28"/>
          <w:lang w:bidi="fa-IR"/>
        </w:rPr>
        <w:t>20004</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به عنوانی راهی منحصر به فرد در مدیریت روزنامه های رقومی و و اسپرده شده رقومی به کتاب خانه رقومی ما، برای هر صفحه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تمام فایل های مرتبط با آن شماره روزنامه در یک محفظه مَتس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گذاشته می شوند و فراداده از نام فایل استخراج و در مِیوِس </w:t>
      </w:r>
      <w:r>
        <w:rPr>
          <w:rStyle w:val="FootnoteAnchor"/>
          <w:rtl w:val="true"/>
        </w:rPr>
        <w:footnoteReference w:id="1345"/>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داده مورد استفاده کتاب خانه ملی برای انواع گوناگون شی رقومی، جای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محفظه کامل مَتس در زیرساخت حفاظت دراز مدت رقومی ما گذاشته شده است، فایل های دسترسی به سرور تصویری ما منتقل شده اند و فایل های مَتس و ایکس 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 باعث جستجوگر و دسترس پذیری شماره روزنامه در کتاب خانه رقومی ما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روزنامه از کپی رایت خارج شده باشد، یا موافقت نامه ای اجازه آن را داده باشد، متن برای موتورهای جستجوی خارجی قابل دسترس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خدمات ما با اجازه دانلود یک نسخه پی دی اف با متن پنهان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دی اف در انتقال از فایل های جی پگ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فایل های متناظر ایکس 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روش بندرت در روزنامه های واسپاری شده رقومی انتخاب می شود، اما برای روزنامه های قدیمی رقومی شده بیشتر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و اسپاری رقومی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روزنامه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گردش کار رقومی، ناشر برای تحویل نسخه ای به کتاب خانه ملی که با استانداردهای مدون، تأیید شده باشد، تمایل دارد زمان تقویمی زیادی را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تغییر در گردش کار ناشر اغلب چالش های غیر قابل انتظاری را ایجاد می کند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کار در کتاب خانه ملی تا مقدار زیادی باید خودکار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عوامل مهم بسیاری </w:t>
      </w:r>
      <w:bookmarkStart w:id="1283" w:name="pg9659_94285"/>
    </w:p>
    <w:p>
      <w:pPr>
        <w:pStyle w:val="BookText"/>
        <w:rPr/>
      </w:pPr>
      <w:bookmarkEnd w:id="1283"/>
      <w:r>
        <w:rPr>
          <w:rFonts w:ascii="IRNazanin" w:hAnsi="IRNazanin" w:eastAsia="IRNazanin"/>
          <w:color w:val="111111"/>
          <w:sz w:val="28"/>
          <w:sz w:val="28"/>
          <w:szCs w:val="28"/>
          <w:rtl w:val="true"/>
          <w:lang w:bidi="fa-IR"/>
        </w:rPr>
        <w:t>به نیروی کار انسان نیازمند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الگوهای انتشاراتی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فعال متنوع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چند شماره در روز منتشر می کنند، در حالی که برخی دیگر فقط یک بار در هفته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نظارت بر دریافت نسخه رقومی یک عنوان روزنامه معین مطابق با الگوی انتشاراتی مورد انتظار، به صورت دستی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در خواستی یافت نشود، ناشر باید به صورت دستی برای حل مسئله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ممکن است برای انجام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عملی باشد، اما برای انجام دستی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بسیار زمان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تاکنون، سیستم، اختلالی را در گردش کار که ممکن است موجب توقف یک شماره روزنامه شود، گزارش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منظور کشف اختلالات و برطرف کردن مشکلات پیش آمده در حین کار، تلاش فراوان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قادر به متناسب سازی و اسپاری رقومی برای همه عناوین روزنامه های فعال باشیم، نظام جدید توسعه یافته ای ایجاد شده که قرار است هدف آن، پشتیبانی از واسپاری رقومی روزنامه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این نظام به صورت آزمایشی انجام می شود و قرار است در سپتامبر به مرحله تولید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انتشاراتی مورد انتظار برای هر عنوان در داخل نظام گذاشته شده و نظام در واسپاری هر عنوان بر اساس انتظارات،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اختلالی رخ دهد، توسط نظام ای میلی به ناشر درخواست کننده نسخه مورد نظر، ارسال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مراحل مختلف گردش کار رقومی را کوتاه می کند و در صورت بروز اختلال، اخطار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داشبوردی دارد که در آن تصویر کامل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خطایی در مورد هر عنوان و اسپاری شده رخ دهد، در این داشبورد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وضعیت هر عنوان منحصر به فرد ممکن است در نظام 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 طرف کردن یک خطا، اپراتور ممکن است وضعیت جدیدی را برای اطلاع دادن به نظام برای محافظت از بروز اختلال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وضعیت نظام ها امیدوار کننده به نظر می رسد و مشتاقانه منتظریم در پاییز به بهره برداری برسند</w:t>
      </w:r>
      <w:r>
        <w:rPr>
          <w:rFonts w:eastAsia="IRNazanin" w:cs="IRNazanin"/>
          <w:color w:val="111111"/>
          <w:sz w:val="28"/>
          <w:szCs w:val="28"/>
          <w:rtl w:val="true"/>
          <w:lang w:bidi="fa-IR"/>
        </w:rPr>
        <w:t>.</w:t>
      </w:r>
    </w:p>
    <w:p>
      <w:pPr>
        <w:pStyle w:val="Heading3"/>
        <w:numPr>
          <w:ilvl w:val="2"/>
          <w:numId w:val="1"/>
        </w:numPr>
        <w:rPr/>
      </w:pPr>
      <w:bookmarkStart w:id="1284" w:name="__RefHeading___Toc7826169_2870459653"/>
      <w:bookmarkStart w:id="1285" w:name="_Toc479"/>
      <w:bookmarkEnd w:id="1284"/>
      <w:r>
        <w:rPr/>
        <w:t>4</w:t>
      </w:r>
      <w:r>
        <w:rPr>
          <w:rtl w:val="true"/>
        </w:rPr>
        <w:t xml:space="preserve">. </w:t>
      </w:r>
      <w:r>
        <w:rPr>
          <w:rtl w:val="true"/>
        </w:rPr>
        <w:t>راه پیش رو</w:t>
      </w:r>
      <w:bookmarkEnd w:id="128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ملی اخیراً در حال مذاکره با گروهی ادغام یافته از روزنامه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می رود 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موافقت نامه ای در زمینه و اسپاری رقومی با آنان امضا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واسپاری رقومی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جدید طی دو تا سه سال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ما، نقطه عطف بزرگی در واسپاری رقومی روزنامه هاست و به ما مجوز اختصاص قابل توجهی از منابع رقومی شده </w:t>
      </w:r>
      <w:bookmarkStart w:id="1286" w:name="pg9659_94286"/>
    </w:p>
    <w:p>
      <w:pPr>
        <w:pStyle w:val="BookText"/>
        <w:rPr/>
      </w:pPr>
      <w:bookmarkEnd w:id="1286"/>
      <w:r>
        <w:rPr>
          <w:rFonts w:ascii="IRNazanin" w:hAnsi="IRNazanin" w:eastAsia="IRNazanin"/>
          <w:color w:val="111111"/>
          <w:sz w:val="28"/>
          <w:sz w:val="28"/>
          <w:szCs w:val="28"/>
          <w:rtl w:val="true"/>
          <w:lang w:bidi="fa-IR"/>
        </w:rPr>
        <w:t>انتشارات قدیمی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تجدیدنظر قانون و اسپاری نروژ در دستور کار قرار گرفته است و انتظار می رود شامل حق درخواست نسخه اولیه رقومی انتشارات کاغذی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اصلاحی صورت گیرد، کتاب خانه ملی را به افزایش واسپاری رقومی در سطح بالاتری قادر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کتاب خانه ملی تا آن جایی که ممکن است، تمرکز بر عقد موافقت نامه های جدید برای اجرای واسپاری رقومی عناوین روزنامه های فعال نروژ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نظام حفاظتی پیشرفته جدیدی برای گسترش دیگر انواع انتشارات رقومی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کار برای سازگار کردن نظام با حمایت از واسپاری رقومی رادیو و تلویزیون ادامه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گذشته تعداد کانال های پخش رادیو و تلویزیون در سطح کشور به طور چشم گیری افزایش یافته و از این رو نیاز به نظام حمایتی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بعدی تطبیق نظام برای حمایت از واسپاری رقومی نشریات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موافقت نامه هایی را برای رقومی سازی عناوین قدیمی با چند ناشر مجلات نروژی امضا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مشخص بعدی، واسپاری رقومی است</w:t>
      </w:r>
      <w:r>
        <w:rPr>
          <w:rFonts w:eastAsia="IRNazanin" w:cs="IRNazanin"/>
          <w:color w:val="111111"/>
          <w:sz w:val="28"/>
          <w:szCs w:val="28"/>
          <w:rtl w:val="true"/>
          <w:lang w:bidi="fa-IR"/>
        </w:rPr>
        <w:t>.</w:t>
      </w:r>
    </w:p>
    <w:p>
      <w:pPr>
        <w:pStyle w:val="Heading3"/>
        <w:numPr>
          <w:ilvl w:val="2"/>
          <w:numId w:val="1"/>
        </w:numPr>
        <w:rPr/>
      </w:pPr>
      <w:bookmarkStart w:id="1287" w:name="__RefHeading___Toc7826171_2870459653"/>
      <w:bookmarkStart w:id="1288" w:name="_Toc480"/>
      <w:bookmarkEnd w:id="1287"/>
      <w:r>
        <w:rPr/>
        <w:t>5</w:t>
      </w:r>
      <w:r>
        <w:rPr>
          <w:rtl w:val="true"/>
        </w:rPr>
        <w:t xml:space="preserve">. </w:t>
      </w:r>
      <w:r>
        <w:rPr>
          <w:rtl w:val="true"/>
        </w:rPr>
        <w:t>حفاظت وبی</w:t>
      </w:r>
      <w:bookmarkEnd w:id="1288"/>
    </w:p>
    <w:p>
      <w:pPr>
        <w:pStyle w:val="BookText"/>
        <w:rPr/>
      </w:pPr>
      <w:r>
        <w:rPr>
          <w:rFonts w:ascii="IRNazanin" w:hAnsi="IRNazanin" w:eastAsia="IRNazanin"/>
          <w:color w:val="111111"/>
          <w:sz w:val="28"/>
          <w:sz w:val="28"/>
          <w:szCs w:val="28"/>
          <w:rtl w:val="true"/>
          <w:lang w:bidi="fa-IR"/>
        </w:rPr>
        <w:t>حفظ میراث فرهنگی نروژ در وب به ملزومات کاملاً متفاوتی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است که کتاب خانه ملی نروژ با ارائه راه حل هایی برای ذخیره سازی و حفاظت محتوای موجود در وب، فعالانه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ذخیره سازی کامل صفحات با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کتاب خانه های ملی کشورهای اسکاندیناوی در این ارتباط در طرح آرشیو وب اسکاندیناوی </w:t>
      </w:r>
      <w:r>
        <w:rPr>
          <w:rStyle w:val="FootnoteAnchor"/>
          <w:rtl w:val="true"/>
        </w:rPr>
        <w:footnoteReference w:id="1346"/>
      </w:r>
      <w:r>
        <w:rPr>
          <w:rFonts w:ascii="IRNazanin" w:hAnsi="IRNazanin" w:eastAsia="IRNazanin"/>
          <w:color w:val="111111"/>
          <w:sz w:val="28"/>
          <w:sz w:val="28"/>
          <w:szCs w:val="28"/>
          <w:rtl w:val="true"/>
          <w:lang w:bidi="fa-IR"/>
        </w:rPr>
        <w:t>باهم هم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کشورهای اسکاندیناوی به طرح بین المللی پیوستند و کنسرسیوم بین المللی حفاظت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پی سی</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 xml:space="preserve">را همراه با کتاب خانه های ملی </w:t>
      </w:r>
      <w:r>
        <w:rPr>
          <w:rStyle w:val="FootnoteAnchor"/>
          <w:rtl w:val="true"/>
        </w:rPr>
        <w:footnoteReference w:id="1348"/>
      </w:r>
      <w:r>
        <w:rPr>
          <w:rFonts w:ascii="IRNazanin" w:hAnsi="IRNazanin" w:eastAsia="IRNazanin"/>
          <w:color w:val="111111"/>
          <w:sz w:val="28"/>
          <w:sz w:val="28"/>
          <w:szCs w:val="28"/>
          <w:rtl w:val="true"/>
          <w:lang w:bidi="fa-IR"/>
        </w:rPr>
        <w:t xml:space="preserve">و آرشیو اینترنت </w:t>
      </w:r>
      <w:r>
        <w:rPr>
          <w:rStyle w:val="FootnoteAnchor"/>
          <w:rtl w:val="true"/>
        </w:rPr>
        <w:footnoteReference w:id="1349"/>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کنسرسیوم بین المللی حفاظت اینترنت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تا نیروی محرک در حوزه آرشیو وب در سطح بین المللی باشد و تا امروز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عضو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شامل کتاب خانه های ملی، دانشگاهی و برخی فراهم کنندگان خدمات منطقه ای 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ابزارهای زیادی توسط اعضای آی پی سی ارائه شده است که توصیف اغلب آن ها در وب سایت </w:t>
      </w:r>
      <w:bookmarkStart w:id="1289" w:name="pg9659_94287"/>
    </w:p>
    <w:p>
      <w:pPr>
        <w:pStyle w:val="BookText"/>
        <w:rPr/>
      </w:pPr>
      <w:bookmarkEnd w:id="1289"/>
      <w:r>
        <w:rPr>
          <w:rFonts w:ascii="IRNazanin" w:hAnsi="IRNazanin" w:eastAsia="IRNazanin"/>
          <w:color w:val="111111"/>
          <w:sz w:val="28"/>
          <w:sz w:val="28"/>
          <w:szCs w:val="28"/>
          <w:rtl w:val="true"/>
          <w:lang w:bidi="fa-IR"/>
        </w:rPr>
        <w:t>این کنسرسیوم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 توجهی از ابزارها به صورت متن باز </w:t>
      </w:r>
      <w:r>
        <w:rPr>
          <w:rStyle w:val="FootnoteAnchor"/>
          <w:rtl w:val="true"/>
        </w:rPr>
        <w:footnoteReference w:id="1350"/>
      </w:r>
      <w:r>
        <w:rPr>
          <w:rFonts w:ascii="IRNazanin" w:hAnsi="IRNazanin" w:eastAsia="IRNazanin"/>
          <w:color w:val="111111"/>
          <w:sz w:val="28"/>
          <w:sz w:val="28"/>
          <w:szCs w:val="28"/>
          <w:rtl w:val="true"/>
          <w:lang w:bidi="fa-IR"/>
        </w:rPr>
        <w:t>قابل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ابزارها عبارت اند از هِریتریکس </w:t>
      </w:r>
      <w:r>
        <w:rPr>
          <w:rStyle w:val="FootnoteAnchor"/>
          <w:rtl w:val="true"/>
        </w:rPr>
        <w:footnoteReference w:id="1351"/>
      </w:r>
      <w:r>
        <w:rPr>
          <w:rFonts w:ascii="IRNazanin" w:hAnsi="IRNazanin" w:eastAsia="IRNazanin"/>
          <w:color w:val="111111"/>
          <w:sz w:val="28"/>
          <w:sz w:val="28"/>
          <w:szCs w:val="28"/>
          <w:rtl w:val="true"/>
          <w:lang w:bidi="fa-IR"/>
        </w:rPr>
        <w:t xml:space="preserve">برای ذخیره سازی صفحات وب و اُپن وِی بَک </w:t>
      </w:r>
      <w:r>
        <w:rPr>
          <w:rStyle w:val="FootnoteAnchor"/>
          <w:rtl w:val="true"/>
        </w:rPr>
        <w:footnoteReference w:id="1352"/>
      </w:r>
      <w:r>
        <w:rPr>
          <w:rFonts w:ascii="IRNazanin" w:hAnsi="IRNazanin" w:eastAsia="IRNazanin"/>
          <w:color w:val="111111"/>
          <w:sz w:val="28"/>
          <w:sz w:val="28"/>
          <w:szCs w:val="28"/>
          <w:rtl w:val="true"/>
          <w:lang w:bidi="fa-IR"/>
        </w:rPr>
        <w:t>ویژه دستیابی به آرشیوهای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ابزارها توسط آرشیو اینترنت، با کمک سایر اعضای آی پی سی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پی سی در جریان کسب مسئولیت بیشتر برای توسعه آینده این ابزارهای مهم در محتوای آرشیو وب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آرشیو وب نروژ بیش از هشت میلیارد فایل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مباحثات سیاسی در حوزه مسائل حریم خصوصی، ذخیره سازی کامل دامنه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هزار سایت، به دفعات و به طور هم زمان در حال انجام گردآوری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صفحات نخست ساعتی انجام می شود، در حالی که گردآوری بقیه در فواصل منظم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مالک سایت را قبل از آغاز گردآوری مطلع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ذکر شد که انتظار می رود، تجدید نظر قانون و اسپاری نروژ چگونگی کنترل حریم خصوصی را در آرشیوسازی صفحات وب روشن نماید؛ بنابراین کتاب خانه ملی اخیراً در حال آماده سازی است تا بار دیگر ذخیره سازی کامل دامنه وب نروژ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 خانه ملی موافقت نامه هایی را با چند مالک سایت هم برای حفظ پایگاه های آن ها و هم دستیابی به آرشیوهای وب سایت های آن ها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کتاب خانه ملی همراه با آرشیو پایگاه های دولتی، یک آرشیو وبی با محدودیت دسترسی باز به آرشیوهای و بی این وب گاه ها ایجاد خواهد کرد</w:t>
      </w:r>
      <w:r>
        <w:rPr>
          <w:rFonts w:eastAsia="IRNazanin" w:cs="IRNazanin"/>
          <w:color w:val="111111"/>
          <w:sz w:val="28"/>
          <w:szCs w:val="28"/>
          <w:rtl w:val="true"/>
          <w:lang w:bidi="fa-IR"/>
        </w:rPr>
        <w:t>.</w:t>
      </w:r>
    </w:p>
    <w:p>
      <w:pPr>
        <w:pStyle w:val="Heading3"/>
        <w:numPr>
          <w:ilvl w:val="2"/>
          <w:numId w:val="1"/>
        </w:numPr>
        <w:rPr/>
      </w:pPr>
      <w:bookmarkStart w:id="1290" w:name="__RefHeading___Toc7826173_2870459653"/>
      <w:bookmarkStart w:id="1291" w:name="_Toc481"/>
      <w:bookmarkEnd w:id="1290"/>
      <w:r>
        <w:rPr/>
        <w:t>6</w:t>
      </w:r>
      <w:r>
        <w:rPr>
          <w:rtl w:val="true"/>
        </w:rPr>
        <w:t xml:space="preserve">. </w:t>
      </w:r>
      <w:r>
        <w:rPr>
          <w:rtl w:val="true"/>
        </w:rPr>
        <w:t>فرجام سخن</w:t>
      </w:r>
      <w:bookmarkEnd w:id="1291"/>
    </w:p>
    <w:p>
      <w:pPr>
        <w:pStyle w:val="BookText"/>
        <w:rPr/>
      </w:pPr>
      <w:r>
        <w:rPr>
          <w:rFonts w:ascii="IRNazanin" w:hAnsi="IRNazanin" w:eastAsia="IRNazanin"/>
          <w:color w:val="111111"/>
          <w:sz w:val="28"/>
          <w:sz w:val="28"/>
          <w:szCs w:val="28"/>
          <w:rtl w:val="true"/>
          <w:lang w:bidi="fa-IR"/>
        </w:rPr>
        <w:t>کتاب خانه ملی از منابع انسانی زیادی برای کنترل و اسپاری قانونی مواد کاغذی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وقتی واسپاری رقومی منابع چاپی آغاز شود، نسخه های کاغذی انتشارات نیز هنوز باید کنترل شوند؛ بنابراین کارکنانی ویژه کنترل و اسپاری رقومی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اذعان کرد که واسپاری رقومی نیز نیازمند منابع انسانی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ارائه ابزاری جدید برای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واسپاری رقومی روزنامه ها، گام بزرگی به سوی توانمند کردن افزایش واسپاری رقومی به طور چشم گیر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نیاز به بازبینی و اسپاری رقومی هم از منظر نگهداری نظام های فناوری اطلاعات و ارتباطات </w:t>
      </w:r>
      <w:r>
        <w:rPr>
          <w:rStyle w:val="FootnoteAnchor"/>
          <w:rtl w:val="true"/>
        </w:rPr>
        <w:footnoteReference w:id="1353"/>
      </w:r>
      <w:r>
        <w:rPr>
          <w:rFonts w:ascii="IRNazanin" w:hAnsi="IRNazanin" w:eastAsia="IRNazanin"/>
          <w:color w:val="111111"/>
          <w:sz w:val="28"/>
          <w:sz w:val="28"/>
          <w:szCs w:val="28"/>
          <w:rtl w:val="true"/>
          <w:lang w:bidi="fa-IR"/>
        </w:rPr>
        <w:t xml:space="preserve">و هم از منظر تضمین کیفیت واسپاری </w:t>
      </w:r>
      <w:bookmarkStart w:id="1292" w:name="pg9659_94288"/>
    </w:p>
    <w:p>
      <w:pPr>
        <w:pStyle w:val="BookText"/>
        <w:rPr/>
      </w:pPr>
      <w:bookmarkEnd w:id="1292"/>
      <w:r>
        <w:rPr>
          <w:rFonts w:ascii="IRNazanin" w:hAnsi="IRNazanin" w:eastAsia="IRNazanin"/>
          <w:color w:val="111111"/>
          <w:sz w:val="28"/>
          <w:sz w:val="28"/>
          <w:szCs w:val="28"/>
          <w:rtl w:val="true"/>
          <w:lang w:bidi="fa-IR"/>
        </w:rPr>
        <w:t>قانونی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تجدید نظر در قانون واسپاری برای پایان دادن به نسخه رقومی انتشارات کاغذی نیاز به تمرکز بر مذاکره و تدوین موافقت نامه با ناشران برای قادر کردن به دریافت نسخه های رقومی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چشمگیر و اسپاری رقومی، می توانیم تمرکز بیشتر رقومی سازی منابع را به مواد قدیمی اختصاص دهیم؛ بنابراین، به هدفمان، کتاب خانه ملی رقومی نزدیک تر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حداقلی مهم ترین بخش های دامنه و ب ملی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کوتاه وب گسترده جهانی تاکنون نشان داده است که میراث فرهنگی کشورها در وب بسیار ناپایدار و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خانه ملی نروژ برای حمایت از تمرکز بین المللی بر ذخیره سازی و حفاظت میراث ملی موجود در وب گسترده جهانی و نیز ایجاد دستیابی به آرشیوهای وب برای اهداف پژوهشی و سند پردازی، به ایفای نقش فعال خود در کنسرسیوم بین المللی حفاظت اینترنت ادامه خواهد داد</w:t>
      </w:r>
      <w:r>
        <w:rPr>
          <w:rFonts w:eastAsia="IRNazanin" w:cs="IRNazanin"/>
          <w:color w:val="111111"/>
          <w:sz w:val="28"/>
          <w:szCs w:val="28"/>
          <w:rtl w:val="true"/>
          <w:lang w:bidi="fa-IR"/>
        </w:rPr>
        <w:t>.</w:t>
      </w:r>
    </w:p>
    <w:p>
      <w:pPr>
        <w:pStyle w:val="Heading3"/>
        <w:numPr>
          <w:ilvl w:val="2"/>
          <w:numId w:val="1"/>
        </w:numPr>
        <w:rPr/>
      </w:pPr>
      <w:bookmarkStart w:id="1293" w:name="__RefHeading___Toc7826175_2870459653"/>
      <w:bookmarkStart w:id="1294" w:name="_Toc482"/>
      <w:bookmarkEnd w:id="1293"/>
      <w:r>
        <w:rPr>
          <w:rtl w:val="true"/>
        </w:rPr>
        <w:t>منابع</w:t>
      </w:r>
      <w:bookmarkEnd w:id="12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Bookshelf agreement (2012) Contract regarding the digital dissemination of books (Bokhylla/The Bookshelf). [Online] Available from</w:t>
      </w:r>
    </w:p>
    <w:p>
      <w:pPr>
        <w:pStyle w:val="BookText"/>
        <w:rPr/>
      </w:pPr>
      <w:r>
        <w:rPr>
          <w:rFonts w:eastAsia="Times New Roman" w:cs="Times New Roman" w:ascii="Times New Roman" w:hAnsi="Times New Roman"/>
          <w:color w:val="111111"/>
          <w:sz w:val="28"/>
          <w:szCs w:val="28"/>
          <w:lang w:val="en-US" w:bidi="en-US"/>
        </w:rPr>
        <w:t>http://www.nb.no/content/download/997/16468/file/Bookshelf Contract.pdf. [Accessed 22 July 2014]</w:t>
      </w:r>
    </w:p>
    <w:p>
      <w:pPr>
        <w:pStyle w:val="BookText"/>
        <w:rPr/>
      </w:pPr>
      <w:r>
        <w:rPr>
          <w:rFonts w:eastAsia="Times New Roman" w:cs="Times New Roman" w:ascii="Times New Roman" w:hAnsi="Times New Roman"/>
          <w:color w:val="111111"/>
          <w:sz w:val="28"/>
          <w:szCs w:val="28"/>
          <w:lang w:val="en-US" w:bidi="en-US"/>
        </w:rPr>
        <w:t>DocWorks (2014) Content Conversion Specialists. [Online] Available from: http://content-conversion.com/?lang=endocworks-2. [Accessed 27 July 2014]</w:t>
      </w:r>
    </w:p>
    <w:p>
      <w:pPr>
        <w:pStyle w:val="BookText"/>
        <w:rPr/>
      </w:pPr>
      <w:r>
        <w:rPr>
          <w:rFonts w:eastAsia="Times New Roman" w:cs="Times New Roman" w:ascii="Times New Roman" w:hAnsi="Times New Roman"/>
          <w:color w:val="111111"/>
          <w:sz w:val="28"/>
          <w:szCs w:val="28"/>
          <w:lang w:val="en-US" w:bidi="en-US"/>
        </w:rPr>
        <w:t>IIPC (2014) International Internet Preservation Consortium (IIPC). [Online] Available from: http://netpreserve.org/. [Accessed 22 July 2014]8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JHOVE (2014) JHOVE Free Software downloads at SourceForge.net. [Online] Available from: http://sourceforge.net/projects/jhove/. [Accessed 25 July 2014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JPEG2000 (2007) JPEG2000. [Online] Available from: http://www. jpeg.org/jpeg2000/. [Accessed 25 July 2014]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Mavis (2011) Feenyx. [Online] Available from: http://www.feenyx.com.au/.[Accessed 27 July 2014]</w:t>
      </w:r>
    </w:p>
    <w:p>
      <w:pPr>
        <w:pStyle w:val="BookText"/>
        <w:rPr/>
      </w:pPr>
      <w:r>
        <w:rPr>
          <w:rFonts w:eastAsia="Times New Roman" w:cs="Times New Roman" w:ascii="Times New Roman" w:hAnsi="Times New Roman"/>
          <w:color w:val="111111"/>
          <w:sz w:val="28"/>
          <w:szCs w:val="28"/>
          <w:lang w:val="en-US" w:bidi="en-US"/>
        </w:rPr>
        <w:t>METS (2014) Metadata Encoding and Transmission Standard (METS) Official Web site. [Online] Available from: http://www.loc.gov/standards mets/. [Accessed 25 July 2014]</w:t>
      </w:r>
    </w:p>
    <w:p>
      <w:pPr>
        <w:pStyle w:val="BookText"/>
        <w:rPr/>
      </w:pPr>
      <w:r>
        <w:rPr>
          <w:rFonts w:eastAsia="Times New Roman" w:cs="Times New Roman" w:ascii="Times New Roman" w:hAnsi="Times New Roman"/>
          <w:color w:val="111111"/>
          <w:sz w:val="28"/>
          <w:szCs w:val="28"/>
          <w:lang w:val="en-US" w:bidi="en-US"/>
        </w:rPr>
        <w:t>Solbakk, S.A. (2012) Digital preservation at the National Library. Meta, 3, p.17-21. Available from: https://www.notur.no/sites/notur.no/ files/publications/pdf/meta_2012_3.pdf. [Accessed 22 July 2014]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XML/ALTO (2014) ALTO: Technical Metadata for Optical Character Recognition (Standards, Library of Congress). [Online] Available from: http://www.loc.gov/standards/alto/about.php. [Accessed 25 July 2014]</w:t>
      </w:r>
      <w:r>
        <w:rPr>
          <w:rFonts w:eastAsia="Times New Roman" w:cs="Times New Roman" w:ascii="Times New Roman" w:hAnsi="Times New Roman"/>
          <w:color w:val="111111"/>
          <w:sz w:val="28"/>
          <w:szCs w:val="28"/>
          <w:rtl w:val="true"/>
          <w:lang w:val="en-US" w:bidi="en-US"/>
        </w:rPr>
        <w:t xml:space="preserve"> </w:t>
      </w:r>
      <w:bookmarkStart w:id="1295" w:name="pg9659_94290"/>
    </w:p>
    <w:p>
      <w:pPr>
        <w:pStyle w:val="Heading2"/>
        <w:numPr>
          <w:ilvl w:val="1"/>
          <w:numId w:val="1"/>
        </w:numPr>
        <w:rPr/>
      </w:pPr>
      <w:bookmarkStart w:id="1296" w:name="__RefHeading___Toc7826177_2870459653"/>
      <w:bookmarkStart w:id="1297" w:name="_Toc483"/>
      <w:bookmarkEnd w:id="1295"/>
      <w:bookmarkEnd w:id="1296"/>
      <w:r>
        <w:rPr>
          <w:rtl w:val="true"/>
        </w:rPr>
        <w:t>چکیده</w:t>
      </w:r>
      <w:bookmarkEnd w:id="1297"/>
    </w:p>
    <w:p>
      <w:pPr>
        <w:pStyle w:val="BookText"/>
        <w:rPr/>
      </w:pPr>
      <w:r>
        <w:rPr>
          <w:rFonts w:ascii="IRNazanin" w:hAnsi="IRNazanin" w:eastAsia="IRNazanin"/>
          <w:color w:val="111111"/>
          <w:sz w:val="28"/>
          <w:sz w:val="28"/>
          <w:szCs w:val="28"/>
          <w:rtl w:val="true"/>
          <w:lang w:bidi="fa-IR"/>
        </w:rPr>
        <w:t>در بسیاری از کشورها، مردم در مورد عادات مطالعه کودکانشان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آن ها فکر می کنند صرف مدت زمان طولانی و به دور از مطالعه برای تماشای تلویزیون و بازی ها نه تنها مهارت های مطالعه بلکه به طور ویژه خیال پردازی کودکان را نیز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ادعا کنیم که چنین پدیده ای وجود ندارد، ولی این بازی ها، شکل جدیدی از داستان سرایی و تعاملات اجتماعی برای نسل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تخیل و در نهایت یادگیری شخصی همواره در داستان سرایی و تعاملات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حقیقت برای ایجاد انگیزه در زمینه پیشبرد سواد و مطالعه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بازی های واقعی ترکیبی چند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ادبیات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می دهد که چگونه سبب ایجاد انگیزه در کودکان برای یافتن اطلاعات در مورد کتاب ها، به کارگیری اطلاعاتشان در گروه برای حل چالش های بازی و در نهایت آشنایی با کتاب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مطالعات آزمایشی ما، بازی مفهومی جذاب و برانگیزاننده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آموزش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bookmarkStart w:id="1298" w:name="pg9659_94291"/>
    </w:p>
    <w:p>
      <w:pPr>
        <w:pStyle w:val="Heading2"/>
        <w:numPr>
          <w:ilvl w:val="1"/>
          <w:numId w:val="1"/>
        </w:numPr>
        <w:rPr/>
      </w:pPr>
      <w:bookmarkStart w:id="1299" w:name="__RefHeading___Toc7826179_2870459653"/>
      <w:bookmarkStart w:id="1300" w:name="_Toc484"/>
      <w:bookmarkEnd w:id="1298"/>
      <w:bookmarkEnd w:id="1299"/>
      <w:r>
        <w:rPr>
          <w:rtl w:val="true"/>
        </w:rPr>
        <w:t>ترکیب ابعاد رسانه های نوشتاری و رقومی در یک بازی ماجراجویی غیر خطی مبتنی بر اِن اِف سی برای کودکان</w:t>
      </w:r>
      <w:bookmarkEnd w:id="1300"/>
    </w:p>
    <w:p>
      <w:pPr>
        <w:pStyle w:val="Heading3"/>
        <w:numPr>
          <w:ilvl w:val="2"/>
          <w:numId w:val="1"/>
        </w:numPr>
        <w:rPr/>
      </w:pPr>
      <w:bookmarkStart w:id="1301" w:name="__RefHeading___Toc7826181_2870459653"/>
      <w:bookmarkStart w:id="1302" w:name="_Toc485"/>
      <w:bookmarkEnd w:id="1301"/>
      <w:r>
        <w:rPr>
          <w:rtl w:val="true"/>
        </w:rPr>
        <w:t>اشاره</w:t>
      </w:r>
      <w:bookmarkEnd w:id="1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ابعاد رسانه های نوشتاری و رقومی در یک بازی ماجراجویی غیر خطی مبتنی بر اِن اِف سی </w:t>
      </w:r>
      <w:r>
        <w:rPr>
          <w:rStyle w:val="FootnoteAnchor"/>
          <w:rtl w:val="true"/>
        </w:rPr>
        <w:footnoteReference w:id="1355"/>
      </w:r>
      <w:r>
        <w:rPr>
          <w:rFonts w:ascii="IRNazanin" w:hAnsi="IRNazanin" w:eastAsia="IRNazanin"/>
          <w:color w:val="111111"/>
          <w:sz w:val="28"/>
          <w:sz w:val="28"/>
          <w:szCs w:val="28"/>
          <w:rtl w:val="true"/>
          <w:lang w:bidi="fa-IR"/>
        </w:rPr>
        <w:t xml:space="preserve">برای کودکان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نوشته آنتی کوویستو </w:t>
      </w:r>
      <w:r>
        <w:rPr>
          <w:rStyle w:val="FootnoteAnchor"/>
          <w:rtl w:val="true"/>
        </w:rPr>
        <w:footnoteReference w:id="1357"/>
      </w:r>
      <w:r>
        <w:rPr>
          <w:rFonts w:ascii="IRNazanin" w:hAnsi="IRNazanin" w:eastAsia="IRNazanin"/>
          <w:color w:val="111111"/>
          <w:sz w:val="28"/>
          <w:sz w:val="28"/>
          <w:szCs w:val="28"/>
          <w:rtl w:val="true"/>
          <w:lang w:bidi="fa-IR"/>
        </w:rPr>
        <w:t xml:space="preserve">، هاری کِتامو </w:t>
      </w:r>
      <w:r>
        <w:rPr>
          <w:rStyle w:val="FootnoteAnchor"/>
          <w:rtl w:val="true"/>
        </w:rPr>
        <w:footnoteReference w:id="1358"/>
      </w:r>
      <w:r>
        <w:rPr>
          <w:rFonts w:ascii="Amiri" w:hAnsi="Amiri" w:eastAsia="Amiri" w:cs="Amiri"/>
          <w:color w:val="111111"/>
          <w:sz w:val="28"/>
          <w:sz w:val="28"/>
          <w:szCs w:val="28"/>
          <w:rtl w:val="true"/>
          <w:lang w:bidi="ar-SA"/>
        </w:rPr>
        <w:t xml:space="preserve">و اِرو هامیس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فریبا هاشمی </w:t>
      </w:r>
      <w:r>
        <w:rPr>
          <w:rStyle w:val="FootnoteAnchor"/>
          <w:rtl w:val="true"/>
        </w:rPr>
        <w:footnoteReference w:id="1360"/>
      </w:r>
    </w:p>
    <w:p>
      <w:pPr>
        <w:pStyle w:val="Heading3"/>
        <w:numPr>
          <w:ilvl w:val="2"/>
          <w:numId w:val="1"/>
        </w:numPr>
        <w:rPr/>
      </w:pPr>
      <w:bookmarkStart w:id="1303" w:name="__RefHeading___Toc7826183_2870459653"/>
      <w:bookmarkStart w:id="1304" w:name="_Toc486"/>
      <w:bookmarkEnd w:id="1303"/>
      <w:r>
        <w:rPr/>
        <w:t>1</w:t>
      </w:r>
      <w:r>
        <w:rPr>
          <w:rtl w:val="true"/>
        </w:rPr>
        <w:t xml:space="preserve">. </w:t>
      </w:r>
      <w:r>
        <w:rPr>
          <w:rtl w:val="true"/>
        </w:rPr>
        <w:t>مقدمه</w:t>
      </w:r>
      <w:bookmarkEnd w:id="130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 مردم در مورد عادات مطالعه کودکانشان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بسیاری از آن ها فکر می کنند صرف مدت زمان طولانی و به دور از مطالعه برای تماشای تلویزیون و بازی ها نه تنها مهارت های مطالعه بلکه به طور ویژه خیال پردازی کودکان را نیز کاهش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گرینفیلد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ادعا کنیم که چنین پدیده ای وجود ندارد، ولی این بازی ها، شکل جدیدی از داستان سرایی </w:t>
      </w:r>
    </w:p>
    <w:p>
      <w:pPr>
        <w:pStyle w:val="BookText"/>
        <w:rPr/>
      </w:pPr>
      <w:r>
        <w:rPr>
          <w:rFonts w:ascii="IRNazanin" w:hAnsi="IRNazanin" w:eastAsia="IRNazanin"/>
          <w:color w:val="111111"/>
          <w:sz w:val="28"/>
          <w:sz w:val="28"/>
          <w:szCs w:val="28"/>
          <w:rtl w:val="true"/>
          <w:lang w:bidi="fa-IR"/>
        </w:rPr>
        <w:t>و تعاملات اجتماعی برای نسل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تخیل و در نهایت یادگیری شخصی همواره در داستان سرایی و تعاملات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حقیقت برای ایجاد انگیزه در زمینه پیشبرد سواد و مطالعه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بازی های واقعی ترکیبی چند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می دهد که چگونه سبب ایجاد انگیزه در کودکان برای یافتن اطلاعات در مورد کتاب ها، به کارگیری اطلاعاتشان در گروه برای حل چالش های بازی و در نهایت آشنایی با کتاب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توسط معلمان و دانش آموزان در دانشگاه علوم کاربردی ساتا کونتا </w:t>
      </w:r>
      <w:r>
        <w:rPr>
          <w:rStyle w:val="FootnoteAnchor"/>
          <w:rtl w:val="true"/>
        </w:rPr>
        <w:footnoteReference w:id="1361"/>
      </w:r>
      <w:r>
        <w:rPr>
          <w:rFonts w:ascii="IRNazanin" w:hAnsi="IRNazanin" w:eastAsia="IRNazanin"/>
          <w:color w:val="111111"/>
          <w:sz w:val="28"/>
          <w:sz w:val="28"/>
          <w:szCs w:val="28"/>
          <w:rtl w:val="true"/>
          <w:lang w:bidi="fa-IR"/>
        </w:rPr>
        <w:t xml:space="preserve">با هم کاری کتاب خانه شهرداری لوویا </w:t>
      </w:r>
      <w:r>
        <w:rPr>
          <w:rStyle w:val="FootnoteAnchor"/>
          <w:rtl w:val="true"/>
        </w:rPr>
        <w:footnoteReference w:id="1362"/>
      </w:r>
      <w:r>
        <w:rPr>
          <w:rFonts w:ascii="IRNazanin" w:hAnsi="IRNazanin" w:eastAsia="IRNazanin"/>
          <w:color w:val="111111"/>
          <w:sz w:val="28"/>
          <w:sz w:val="28"/>
          <w:szCs w:val="28"/>
          <w:rtl w:val="true"/>
          <w:lang w:bidi="fa-IR"/>
        </w:rPr>
        <w:t>در فنلاند طراحی و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بازی برای کودکان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باهدف آشنایی آن ها باسواد و کتاب خانه ها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اهداف مختلف پنهانی پشت طراحی این بازی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آموزش کارگروهی نیاز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کودکان در کتاب خانه قدم می زنند، کمی ورزش می کنند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تکالیف، نیازمند یادگیری دانش جدید مانند تاریخ، جغرافیا و زیست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کارگیری اِن اِف سی و آر اِف آی دی </w:t>
      </w:r>
      <w:r>
        <w:rPr>
          <w:rStyle w:val="FootnoteAnchor"/>
          <w:rtl w:val="true"/>
        </w:rPr>
        <w:footnoteReference w:id="1363"/>
      </w:r>
      <w:r>
        <w:rPr>
          <w:rFonts w:ascii="IRNazanin" w:hAnsi="IRNazanin" w:eastAsia="IRNazanin"/>
          <w:color w:val="111111"/>
          <w:sz w:val="28"/>
          <w:sz w:val="28"/>
          <w:szCs w:val="28"/>
          <w:rtl w:val="true"/>
          <w:lang w:bidi="fa-IR"/>
        </w:rPr>
        <w:t>در طراحی بازی به طور مثال در بازی های اجتماعی تلفن همراه با ابعاد آموزشی، با تجربه های اجتماعی به اشتراک گذاشته شده و تعاملات فیزیکی بین بازیکنان مورد مطالعه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ادواردز، کولتون و ناندوانی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 xml:space="preserve">گاریدو، میرز، روئیٹ وگومز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نیتو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موقعیت بازی های مبتنی بر اِن اِف سی و موقعیت آگاه رابط کاربری اِن اِف سی، به کاربران اجازه می دهد که در یک واقعیت ترکیبی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آن ها می توانند با اشیای واقعی و مجازی در تعامل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 </w:t>
      </w:r>
      <w:r>
        <w:rPr>
          <w:rStyle w:val="FootnoteAnchor"/>
          <w:rtl w:val="true"/>
        </w:rPr>
        <w:footnoteReference w:id="1366"/>
      </w:r>
      <w:r>
        <w:rPr>
          <w:rFonts w:ascii="IRNazanin" w:hAnsi="IRNazanin" w:eastAsia="IRNazanin"/>
          <w:color w:val="111111"/>
          <w:sz w:val="28"/>
          <w:sz w:val="28"/>
          <w:szCs w:val="28"/>
          <w:rtl w:val="true"/>
          <w:lang w:bidi="fa-IR"/>
        </w:rPr>
        <w:t xml:space="preserve">، کولتون، ادواردز و بمفورد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 xml:space="preserve">براول، گریبش، هاولایس و واگنر </w:t>
      </w:r>
      <w:r>
        <w:rPr>
          <w:rStyle w:val="FootnoteAnchor"/>
          <w:rtl w:val="true"/>
        </w:rPr>
        <w:footnoteReference w:id="1368"/>
      </w:r>
      <w:r>
        <w:rPr>
          <w:rFonts w:ascii="IRNazanin" w:hAnsi="IRNazanin" w:eastAsia="IRNazanin"/>
          <w:color w:val="111111"/>
          <w:sz w:val="28"/>
          <w:sz w:val="28"/>
          <w:szCs w:val="28"/>
          <w:rtl w:val="true"/>
          <w:lang w:bidi="fa-IR"/>
        </w:rPr>
        <w:t xml:space="preserve">، </w:t>
      </w:r>
      <w:bookmarkStart w:id="1305" w:name="pg9659_94293"/>
    </w:p>
    <w:p>
      <w:pPr>
        <w:pStyle w:val="BookText"/>
        <w:rPr/>
      </w:pPr>
      <w:bookmarkEnd w:id="1305"/>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و ایک </w:t>
      </w:r>
      <w:r>
        <w:rPr>
          <w:rStyle w:val="FootnoteAnchor"/>
          <w:rtl w:val="true"/>
        </w:rPr>
        <w:footnoteReference w:id="1369"/>
      </w:r>
      <w:r>
        <w:rPr>
          <w:rFonts w:ascii="IRNazanin" w:hAnsi="IRNazanin" w:eastAsia="IRNazanin"/>
          <w:color w:val="111111"/>
          <w:sz w:val="28"/>
          <w:sz w:val="28"/>
          <w:szCs w:val="28"/>
          <w:rtl w:val="true"/>
          <w:lang w:bidi="fa-IR"/>
        </w:rPr>
        <w:t xml:space="preserve">، کولتون، بمفورد و ادواردز،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سانچز، کورتس، ریئکی و اوخا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محیط، از اِن اِف سی و آر اِف آی دی در کنترل کننده های بازی دستگاه تلفن همراه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تحقیق، از طریق اِن اِف سی که در کنترل کننده بازی تلفن همراه به کار رفته است به شی متصل می شویم، اما این اتصال فقط برای یک شی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به محتوای متنی شی که در کنترل کننده بازی قرار دارد به منظور کنترل داستان سرایی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رویکرد ما، اتصال به محتوای داستان از طریق اِن اِف سی صورت می گیرد</w:t>
      </w:r>
      <w:r>
        <w:rPr>
          <w:rFonts w:eastAsia="IRNazanin" w:cs="IRNazanin"/>
          <w:color w:val="111111"/>
          <w:sz w:val="28"/>
          <w:szCs w:val="28"/>
          <w:rtl w:val="true"/>
          <w:lang w:bidi="fa-IR"/>
        </w:rPr>
        <w:t>.</w:t>
      </w:r>
    </w:p>
    <w:p>
      <w:pPr>
        <w:pStyle w:val="Heading3"/>
        <w:numPr>
          <w:ilvl w:val="2"/>
          <w:numId w:val="1"/>
        </w:numPr>
        <w:rPr/>
      </w:pPr>
      <w:bookmarkStart w:id="1306" w:name="__RefHeading___Toc7826185_2870459653"/>
      <w:bookmarkStart w:id="1307" w:name="_Toc487"/>
      <w:bookmarkEnd w:id="1306"/>
      <w:r>
        <w:rPr/>
        <w:t>2</w:t>
      </w:r>
      <w:r>
        <w:rPr>
          <w:rtl w:val="true"/>
        </w:rPr>
        <w:t xml:space="preserve">- </w:t>
      </w:r>
      <w:r>
        <w:rPr>
          <w:rtl w:val="true"/>
        </w:rPr>
        <w:t>روش تحقیق</w:t>
      </w:r>
      <w:bookmarkEnd w:id="1307"/>
    </w:p>
    <w:p>
      <w:pPr>
        <w:pStyle w:val="BookText"/>
        <w:rPr/>
      </w:pPr>
      <w:r>
        <w:rPr>
          <w:rFonts w:ascii="IRNazanin" w:hAnsi="IRNazanin" w:eastAsia="IRNazanin"/>
          <w:color w:val="111111"/>
          <w:sz w:val="28"/>
          <w:sz w:val="28"/>
          <w:szCs w:val="28"/>
          <w:rtl w:val="true"/>
          <w:lang w:bidi="fa-IR"/>
        </w:rPr>
        <w:t xml:space="preserve">آزمایش ها تجربی در شهرداری لوویا در سپتامبر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کلاس پنجم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گروه و ماه مه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کلاس پنجم در دو گروه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برای همه گروه ها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آموزان کلاس ها به گروه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تقسیم شدند و به هر گروه یک تبلت نکسوس </w:t>
      </w:r>
      <w:r>
        <w:rPr>
          <w:rStyle w:val="FootnoteAnchor"/>
          <w:rtl w:val="true"/>
        </w:rPr>
        <w:footnoteReference w:id="1371"/>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آموزان دستورالعمل بازی را به صورت فشرده در 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آموزش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 و پشتیبانی های بیشتر زمانی که احساس نیاز می شد ارائه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گرهای نوشته شده، فارغ از هر یادداشت دیگری در تشخیص افراد به کار رفته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بازی 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کتابداران در طول بازی اجازه داشتند فقط به صورت کلامی دانش آموزان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ها اجازه نداشتند در بازی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 تمام مدت، بازی را مشاهده می کردند و در پایان بازی دیدگاه های خود را در موضوع های زیر مطرح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تجربیات کاربر در اولین برداشت شامل چه چیزهایی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سخت بود، چه چیزی آسان و یا خسته کننده بود؟ و چه نوع فعالیت اجتماعی در طول بازی اتفاق افتاد؟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تجربه های آموزشی مفید بودند و یادگیری سرگرم کننده بود؟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تحقیقی بیشتر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بازیکنان بازی را پذیرفتن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کاربران به اندازه ی کافی آموزنده بود؛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چیزهایی درباره کتاب خانه یاد گرفتند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آن ها هنگام استفاده از تبلت به عنوان پویشگرهای کتاب چه بود؟ </w:t>
      </w:r>
      <w:bookmarkStart w:id="1308" w:name="pg9659_94294"/>
    </w:p>
    <w:p>
      <w:pPr>
        <w:pStyle w:val="Heading3"/>
        <w:numPr>
          <w:ilvl w:val="2"/>
          <w:numId w:val="1"/>
        </w:numPr>
        <w:rPr/>
      </w:pPr>
      <w:bookmarkStart w:id="1309" w:name="__RefHeading___Toc7826187_2870459653"/>
      <w:bookmarkStart w:id="1310" w:name="_Toc488"/>
      <w:bookmarkEnd w:id="1308"/>
      <w:bookmarkEnd w:id="1309"/>
      <w:r>
        <w:rPr/>
        <w:t>3</w:t>
      </w:r>
      <w:r>
        <w:rPr>
          <w:rtl w:val="true"/>
        </w:rPr>
        <w:t xml:space="preserve">- </w:t>
      </w:r>
      <w:r>
        <w:rPr>
          <w:rtl w:val="true"/>
        </w:rPr>
        <w:t xml:space="preserve">مسابقه ادبیات </w:t>
      </w:r>
      <w:r>
        <w:rPr>
          <w:rtl w:val="true"/>
        </w:rPr>
        <w:t xml:space="preserve">- </w:t>
      </w:r>
      <w:r>
        <w:rPr>
          <w:rtl w:val="true"/>
        </w:rPr>
        <w:t>مفهوم بازی</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ادبیات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بازی</w:t>
      </w:r>
    </w:p>
    <w:p>
      <w:pPr>
        <w:pStyle w:val="BookText"/>
        <w:rPr/>
      </w:pPr>
      <w:r>
        <w:rPr>
          <w:rFonts w:ascii="IRNazanin" w:hAnsi="IRNazanin" w:eastAsia="IRNazanin"/>
          <w:color w:val="111111"/>
          <w:sz w:val="28"/>
          <w:sz w:val="28"/>
          <w:szCs w:val="28"/>
          <w:rtl w:val="true"/>
          <w:lang w:bidi="fa-IR"/>
        </w:rPr>
        <w:t>بازی برای تلفن همراه و نسخه فعلی بازی به طور ویژه برای تبلت های نکسوس با نظام عامل اندروید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فنی نظام عامل اندروید ساده ترین سطح برای شروع بود و از اِن اِف سی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کردیم آن را تا جایی که ممکن باشد به صورت دلخواه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به صورت تک نفره هم می تواند انجام شود اما برای کار گروهی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بازی با گروه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انجام شود، کسی که تبلت را در دست دارد پویش </w:t>
      </w:r>
      <w:r>
        <w:rPr>
          <w:rStyle w:val="FootnoteAnchor"/>
          <w:rtl w:val="true"/>
        </w:rPr>
        <w:footnoteReference w:id="1373"/>
      </w:r>
      <w:r>
        <w:rPr>
          <w:rFonts w:ascii="IRNazanin" w:hAnsi="IRNazanin" w:eastAsia="IRNazanin"/>
          <w:color w:val="111111"/>
          <w:sz w:val="28"/>
          <w:sz w:val="28"/>
          <w:szCs w:val="28"/>
          <w:rtl w:val="true"/>
          <w:lang w:bidi="fa-IR"/>
        </w:rPr>
        <w:t xml:space="preserve">کتاب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دیگران به طور فعال می توانند کتاب ها را پیدا کنند و اطلاعات را از رایانه کتاب خانه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غیر خطی همیشه متفاوت خواهد بود مثلاً زنجیره کتاب هایی که باید پیدا کنند هرگز مشابه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ادبیات طوری طراحی شده که ابعاد رقومی رسانه ها را با دنیای نوشتاری کتاب ها ترکیب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مأموریت، کمک به کودکان است تا آن ها با کتاب خانه آشنایی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کتاب هایی که برایشان جذابیت دارد پیدا کنند که بعداً آن 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سادگی بازی حفظ شده است و تمرکزش روی جستجوی کتاب و پویش کتاب هایی است که درست مطابق</w:t>
      </w:r>
    </w:p>
    <w:p>
      <w:pPr>
        <w:pStyle w:val="BookText"/>
        <w:rPr/>
      </w:pPr>
      <w:r>
        <w:rPr>
          <w:rFonts w:ascii="IRNazanin" w:hAnsi="IRNazanin" w:eastAsia="IRNazanin"/>
          <w:color w:val="111111"/>
          <w:sz w:val="28"/>
          <w:sz w:val="28"/>
          <w:szCs w:val="28"/>
          <w:rtl w:val="true"/>
          <w:lang w:bidi="fa-IR"/>
        </w:rPr>
        <w:t>سؤالات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کتاب ها به صورت گروهی </w:t>
      </w:r>
    </w:p>
    <w:p>
      <w:pPr>
        <w:pStyle w:val="BookText"/>
        <w:rPr/>
      </w:pPr>
      <w:r>
        <w:rPr>
          <w:rFonts w:ascii="IRNazanin" w:hAnsi="IRNazanin" w:eastAsia="IRNazanin"/>
          <w:color w:val="111111"/>
          <w:sz w:val="28"/>
          <w:sz w:val="28"/>
          <w:szCs w:val="28"/>
          <w:rtl w:val="true"/>
          <w:lang w:bidi="fa-IR"/>
        </w:rPr>
        <w:t>هنگام شروع بازی، یک فیلم پخش می شود که در آن نماینده ادبی می گوید که توطئه ای علیه کتاب خانه شما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راه حل برای جلوگیری از این توطئه دارید و آن پیدا کردن رمزی است که در پیام های آتی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مسابقه بسیار ساده و در همان ابتدا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باید به عنوان دست های کمکی نماینده کتاب خانه کار کنند و کتاب خانه را از این بحران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بازی، بازیکنان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صحیح را پیدا و صفحه عنوان آن ها را پویش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بازیکنان نکته ای را برای پیدا کردن اولین کتاب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کلمه ای است که باید در نام اولین کتاب وجود داشته باشد که توسط قرائتگر اِن اِف سی دستگاه تلفن همراه پویش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مورد نظر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بازیکنان می توانند به عنوان 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دنیا در هشتاد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پویش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نام کتاب بعدی که پویش می شود باید شامل یکی از کلمه هایی باشد که در کتاب قبلی وجود داشت به جز کلمه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 بیشتر از یک بار نمی توانند استفاده شوند زیرا مانع از این می شود که بازیکنان همان کتاب را بارها و بارها حلقه وار پویش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فیلم دستور العمل يافتن کتاب ها </w:t>
      </w:r>
    </w:p>
    <w:p>
      <w:pPr>
        <w:pStyle w:val="BookText"/>
        <w:rPr/>
      </w:pPr>
      <w:r>
        <w:rPr>
          <w:rFonts w:ascii="IRNazanin" w:hAnsi="IRNazanin" w:eastAsia="IRNazanin"/>
          <w:color w:val="111111"/>
          <w:sz w:val="28"/>
          <w:sz w:val="28"/>
          <w:szCs w:val="28"/>
          <w:rtl w:val="true"/>
          <w:lang w:bidi="fa-IR"/>
        </w:rPr>
        <w:t xml:space="preserve">پس از هر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 کتاب نامربوط، نیافتن سریع کتاب یا از دست دادن همه نقاط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ویدئو کلیپ کوتاه نشان داده خواهد شد که درباره اشتباهی که رخ داده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بازیکنان یک فرصت از مجموع سه فرصتی که به آن ها داده شده است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از بازی، فیلم های دیگری برای تشویق بازیکنان نشان و یا اگر نیاز باشد بازخوردهایی درباره نحوه رفتارشان در کتاب خانه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چالشی که در این نوع تولید است سبب می شود که یک نوشته را برای بازی غیر خطی به اندازه کافی انعطاف 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وقتی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پیدا شد یا تمام فرصت ها از دست رفت، بازیکنان در پایان فیلم اطلاعاتی درباره امتیازشان کسب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بازی از سه بخش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بازیکن توانست با سرعت کتاب درست را پیدا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بازیکن به خوبی قوانین کتاب خانه را اجرا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کتاب خانه ندویده یا با صدای بلند صحبت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کتاب ها، درست انتخاب شده اند؟</w:t>
      </w:r>
    </w:p>
    <w:p>
      <w:pPr>
        <w:pStyle w:val="BookText"/>
        <w:rPr/>
      </w:pPr>
      <w:r>
        <w:rPr>
          <w:rFonts w:ascii="IRNazanin" w:hAnsi="IRNazanin" w:eastAsia="IRNazanin"/>
          <w:color w:val="111111"/>
          <w:sz w:val="28"/>
          <w:sz w:val="28"/>
          <w:szCs w:val="28"/>
          <w:rtl w:val="true"/>
          <w:lang w:bidi="fa-IR"/>
        </w:rPr>
        <w:t>این بازی طوری طراحی شده که جالب و سرگرم کننده باشد و در عین حال سبب تشویق و ترغیب کودکان برای آمدن به کتاب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نوعی تعدیل کننده هم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سنج روی تبلت، دویدن ها را ثبت می کند و هنگامی که بازیکن ها در کتاب خانه می دوند به آن ها اخطار می دهد و امتیاز آن 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میکروفون به عنوان کنترل کننده در تبلت ها مورد استفاده قرار گرفته است به این معنی که اگر بازیکن و یا گروه بلند صحبت کنند، امتیازشان کم و به آن ها اخطار داده می شود تا آهنگ صدایشان را پایین بیاورند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بازیکن کتاب را پیدا می کند و اطمینان دارد که آن را درست یافته، کتابش را نزدیک تبلت قرار می دهد و بازی برچسب آر اِف آی دی را که در پشت کتاب قرار داده شده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لوویا برچسب آر اِف آی دی در همه کتاب ها وجود دارد، در حالی که در کتاب خانه های دیگر این برچسب ها نصب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هنگام پویش کتاب صحیح به بازیکن داده می شود او را تشویق به یافتن کتاب بعدی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 مسابقه ادبیات، بازیکن یا گروه، ورزش های نامحسوسی را نیز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بازی، بازیکن یک تا دو کیلومتر در کتاب خانه قدم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 کتاب ها</w:t>
      </w:r>
    </w:p>
    <w:p>
      <w:pPr>
        <w:pStyle w:val="BookText"/>
        <w:rPr/>
      </w:pPr>
      <w:r>
        <w:rPr>
          <w:rFonts w:ascii="IRNazanin" w:hAnsi="IRNazanin" w:eastAsia="IRNazanin"/>
          <w:color w:val="111111"/>
          <w:sz w:val="28"/>
          <w:sz w:val="28"/>
          <w:szCs w:val="28"/>
          <w:rtl w:val="true"/>
          <w:lang w:bidi="fa-IR"/>
        </w:rPr>
        <w:t>بازی های زیادی که ما بشناسیم و در ساخت آن از فناوری اِن اِف سی یا آر اِف آی دی استفاده شود وجود ندارد و از این بازی ها تعداد زیادی که به طور ویژه برای کتاب خانه ها طراحی و ساخته شده باشد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دلایلش این است که تعداد دستگاه هایی که از اِن اِف سی پشتیبانی کنند بسیار کم هستند و کتاب خانه ها نیز فضایی برای این بازی ها ندارند و به عنوان محلی برای بازی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این تعصبات را بشکنیم و نمونه اولیه این بازی را در کتاب خانه با کسانی که قبلاً در این نوع تحقیقات با ما کار کرده اند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گرفتیم که از اِن اِف سی به عنوان رابط تعاملی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استفاده کنیم، برای این که ما فکر می کنیم پتانسیل های زیادی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می تواند فراتر از روش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صفحه و موارد محتمل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بازی های موبایل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فناوری اِن اِف سی بازیکن حقیقتاً می تواند با بازی تعامل داشته باشد و بازی به رفتار فیزیکی شما واکنش واقعی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که در آینده طراحی خواهد شد ممکن است بازی را برای ارائه خدمات به اهداف دیگری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p>
    <w:p>
      <w:pPr>
        <w:pStyle w:val="BookText"/>
        <w:rPr/>
      </w:pPr>
      <w:r>
        <w:rPr>
          <w:rFonts w:ascii="IRNazanin" w:hAnsi="IRNazanin" w:eastAsia="IRNazanin"/>
          <w:color w:val="111111"/>
          <w:sz w:val="28"/>
          <w:sz w:val="28"/>
          <w:szCs w:val="28"/>
          <w:rtl w:val="true"/>
          <w:lang w:bidi="fa-IR"/>
        </w:rPr>
        <w:t>بخواهیم به کودکانمان درس تاریخ را آموزش دهیم ما می توانیم برنامه بازی را به کلمات مربوط به تاریخ و دیگر دروس تغییر دهیم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هایی که به صورت گروهی اجرا می شود به کودکان یاد می دهد که چگونه نقش هایشان را در موقعیت های کار گروهی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مختلفی وجود دارد که قبلاً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جستجوگر اطلاعات بر روی رایانه کتاب خانه، نماینده جستجوی کتاب ها در قفسه، یک سرگروه و کسی که تبلت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ها می تواند در طی بازی تغییر کند و این تغییر نقش ها به کودکان کمک می کنند تا وظایف مختلف را در کتاب خانه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حق آن هاست که </w:t>
      </w:r>
      <w:bookmarkStart w:id="1311" w:name="pg9659_94298"/>
    </w:p>
    <w:p>
      <w:pPr>
        <w:pStyle w:val="BookText"/>
        <w:rPr/>
      </w:pPr>
      <w:bookmarkEnd w:id="1311"/>
      <w:r>
        <w:rPr>
          <w:rFonts w:ascii="IRNazanin" w:hAnsi="IRNazanin" w:eastAsia="IRNazanin"/>
          <w:color w:val="111111"/>
          <w:sz w:val="28"/>
          <w:sz w:val="28"/>
          <w:szCs w:val="28"/>
          <w:rtl w:val="true"/>
          <w:lang w:bidi="fa-IR"/>
        </w:rPr>
        <w:t>از کتابدار درخواست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گرایش طبیعی سمت بازی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سبب سرگرمی کودکان می شود و موقعیت مناسب بازی، کار گروهی را به طور نامحسوس به آن ها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اطلاعات بیشتری در کار گروهی کسب می کنند و تجربیات خوبی را در کار گروهی برای آینده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بازی اخیراً گسترش زیادی یافته است، بازی در زمان تحقیق به صورت طرح اولیه اجرا و دو بار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نتایج خوبی که تاکنون از میان یافته ها به دست آمده است، بیان می شود</w:t>
      </w:r>
      <w:r>
        <w:rPr>
          <w:rFonts w:eastAsia="IRNazanin" w:cs="IRNazanin"/>
          <w:color w:val="111111"/>
          <w:sz w:val="28"/>
          <w:szCs w:val="28"/>
          <w:rtl w:val="true"/>
          <w:lang w:bidi="fa-IR"/>
        </w:rPr>
        <w:t>.</w:t>
      </w:r>
    </w:p>
    <w:p>
      <w:pPr>
        <w:pStyle w:val="Heading3"/>
        <w:numPr>
          <w:ilvl w:val="2"/>
          <w:numId w:val="1"/>
        </w:numPr>
        <w:rPr/>
      </w:pPr>
      <w:bookmarkStart w:id="1312" w:name="__RefHeading___Toc7826189_2870459653"/>
      <w:bookmarkStart w:id="1313" w:name="_Toc489"/>
      <w:bookmarkEnd w:id="1312"/>
      <w:r>
        <w:rPr/>
        <w:t>4</w:t>
      </w:r>
      <w:r>
        <w:rPr>
          <w:rtl w:val="true"/>
        </w:rPr>
        <w:t xml:space="preserve">- </w:t>
      </w:r>
      <w:r>
        <w:rPr>
          <w:rtl w:val="true"/>
        </w:rPr>
        <w:t>بحث و نتیجه گیری</w:t>
      </w:r>
      <w:bookmarkEnd w:id="1313"/>
    </w:p>
    <w:p>
      <w:pPr>
        <w:pStyle w:val="BookText"/>
        <w:rPr/>
      </w:pPr>
      <w:r>
        <w:rPr>
          <w:rFonts w:ascii="IRNazanin" w:hAnsi="IRNazanin" w:eastAsia="IRNazanin"/>
          <w:color w:val="111111"/>
          <w:sz w:val="28"/>
          <w:sz w:val="28"/>
          <w:szCs w:val="28"/>
          <w:rtl w:val="true"/>
          <w:lang w:bidi="fa-IR"/>
        </w:rPr>
        <w:t>نتایج مورد بحث در این مقاله از دو آزمون مختلف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آزمون در سپتامبر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آزمون در می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هدف در این آزمون کودکان سنین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بودند و در مجموع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سه کلاس مختلف در این بازی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کتاب خانه شهرداری لوویا در فنلاند مورد آزمون قرار گرفت و بازیکنان از مدرسه محلی در پایه پنجم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آزمون با ساختار مشابه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دستورالعمل های کوتاه در مورد چگونگی بازی به بازیکنان داده شد و هدف از انجام بازی برای آن ها 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دانش آموزان به گروه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تقسیم شدند و به آن ها زمان آزاد برای بازی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گروه به اندازه کافی بازی کردند، مصاحبه کوتاهی با دانش آموزان صورت گرفت که بیشتر درباره احساس آن ها از بازی و چگونگی پذیرش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نیز شامل نظرات آزاد آن ها درباره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مشاهدات در طی بازی جمع آوری شده بودند که از آن ها جزییات قابل درک بیشتری از چگونگی انجام بازی توسط دانش آموزان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طوری تنظیم شده بودند که احساس بازیکنان را دریافت کند مانند کسانی که بازی می کردند به خوبی می توانستند اشکالاتی را که در کد مدرک بود پیدا کنند یا رفتارهای اشتباه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یاد داشته باشیم که بازی هنوز در مرحله بتا است تا زمانی که آزمون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دریابیم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بازیکنان خود را با بازی وفق می دهند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تعامل بین کاربران به اندازه کافی آموزنده بود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درباره کتاب خانه چیزی یاد گرفته اند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آن ها هنگام استفاده از تبلت به عنوان یک پویشگر کتاب چگونه بود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آزمون آغاز شد، بازیکنان مشتاق بودند تا بازی را به سرعت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برای آن ها یک تجربه جدید و هیجان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هیجان سبب می شد که بازیکنان دستورالعمل بازی را به خوبی </w:t>
      </w:r>
    </w:p>
    <w:p>
      <w:pPr>
        <w:pStyle w:val="BookText"/>
        <w:rPr/>
      </w:pPr>
      <w:r>
        <w:rPr>
          <w:rFonts w:ascii="IRNazanin" w:hAnsi="IRNazanin" w:eastAsia="IRNazanin"/>
          <w:color w:val="111111"/>
          <w:sz w:val="28"/>
          <w:sz w:val="28"/>
          <w:szCs w:val="28"/>
          <w:rtl w:val="true"/>
          <w:lang w:bidi="fa-IR"/>
        </w:rPr>
        <w:t>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دلیلی هم بازیکنان دستورالعمل بازی را به خوبی گوش نمی دادند، باز خیلی سریع خود را با بازی وفق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بازیکنان گفتند که بعد از پویش اولین کتاب، بازی برایشان بسیار آسان تر و راحت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بازی پیرامون داستان سرایی همراه با فیلم ساخته شده بود اما بیشتر بازیکنان فیلم ها را از قلم می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احساس می کردند که تماشای فیلم برایشان زمان بر است و فیلم ها را مانند یک مقدمه یا بخش اضافی از محتوای بازی ها می پنداشتن که در بازی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در نظر گرفته شده هم عجیب و غریب و سنگین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بازیکنانی که فیلم ها را می دیدند احساس می کردند که فیلم ها کمی تفننی هستند و دستورالعمل مختصری در خصوص بازی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از قلم افتادن فیلم ها این بود که صدا در کتاب خانه ها باید پایین نگه داشته شود و بازیکنان نمی توانستند صدای فیلم را به وضوح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بعدی بازی ما، پویانمایی های غیر کلامی، تصاویر و فیلم های صامت باید جایگزین فیلم های ناطق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مصاحبه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بازی کاربر پسند بود، به خصوص زمانی که در حالت بتا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آزمون هیچ مانعی مشاهده نشد و تمام تجهیزات آن طور که باید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مشکل مهم در زبان فنلاندی بود زمانی که بازی شخصیت های اسکاندیناوی را به رسمیت </w:t>
      </w:r>
    </w:p>
    <w:p>
      <w:pPr>
        <w:pStyle w:val="BookText"/>
        <w:rPr/>
      </w:pPr>
      <w:r>
        <w:rPr>
          <w:rFonts w:ascii="IRNazanin" w:hAnsi="IRNazanin" w:eastAsia="IRNazanin"/>
          <w:color w:val="111111"/>
          <w:sz w:val="28"/>
          <w:sz w:val="28"/>
          <w:szCs w:val="28"/>
          <w:rtl w:val="true"/>
          <w:lang w:bidi="fa-IR"/>
        </w:rPr>
        <w:t>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بازیکنان هم احساس می کردند پویش برچسب آر اِف آی دی کتاب ها با قرائتگر اِن اِف سی تبلت کمی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پویشگر بارکدها را به عنوان یک گزینه در بازی اضافه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هایی که در این آزمون استفاده شده بودند دوربینی در پشت تبلتشان نداشتند که خود دلیلی برای اجرا نشدن پویشگر بارکد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دانش آموزان، این بازی را تا حدودی سرگرم کننده و آموزشی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نظرهای كاملاً متفاوتی درباره بازی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بازیکنان نمی خواستند بازی را دوباره ادامه دهند زیرا بازی به نظرشان خسته کننده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بازی را سرگرم کننده می دانستند و دوست داشتند مصاحبه را متوقف کنند و بازی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دیدگاه آموزشی بازی از دیگر تقسیم بندی های نظرات بازیکنان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بازیکنان که قبل از آزمون با کتاب خانه آشنا بودند، فکر نمی کردند بازی مولد اطلاعات جدیدی برایشان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بازیکنانی که وقت بیشتری را در کتاب خانه صرف می کردند، بازی را سرگرم کننده تر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دانش آموزان وقتی در گروه کار کردند، کار گروهی را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یک بازیکن کتاب ها را با موتور جستجوی کتاب خانه جستجو می کرد، یک یا دو نفر سعی می کردند کتاب های مورد نظر را از قفسه پیدا کنند و یک نفر هم مسئول حمل تبلت بود، بنابراین حرکت ناگهانی یا صدای بلند ایجاد نمی شد زیرا از امتیاز آن ها کاسته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گاهی نقش هایشان را در گروه تغییر می دادند تا به واسطه این تغییرات بازی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هم چنین می دانستند که زمان به سرعت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ها پرسیده شد که چه مدت زمانی بازی طول کشید، آن ها پاسخ می دادند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ولی واقعیت این بود که بازی آن 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آن ها به روند جاری هدایت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چیکسنت می هالی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 xml:space="preserve">؛ کیلی و کتمو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گروه ها سعی می کردند اشتباهات گروه های دیگر را با سرفه کردن یا صدای بلند به آن ها تذکر دهند؛ اما بعضی گروه ها هم بودند که به دیگر گروه ها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به طور کلی از این یادآوری ها و یا هر چیزی که موقعیت آن ها را در جدول مسابقه تغییر دهد، خوششان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فقط می خواستند امتیازشان را در بازی بهبود دهند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استفاده از موتور جستجوی کتاب خانه برای بازیکنان سخت و یافتن کتاب درست از قفسه کتاب ها مشکل بود با این حال آن ها از ناظران و یا مسئول کتاب خانه تقاضای کمک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دستورالعمل بازی به بازیکنان داده شد، ناظران، آن ها را تشویق می کردند که در صورت نیاز از آن ها </w:t>
      </w:r>
      <w:bookmarkStart w:id="1314" w:name="pg9659_94301"/>
    </w:p>
    <w:p>
      <w:pPr>
        <w:pStyle w:val="BookText"/>
        <w:rPr/>
      </w:pPr>
      <w:bookmarkEnd w:id="1314"/>
      <w:r>
        <w:rPr>
          <w:rFonts w:ascii="IRNazanin" w:hAnsi="IRNazanin" w:eastAsia="IRNazanin"/>
          <w:color w:val="111111"/>
          <w:sz w:val="28"/>
          <w:sz w:val="28"/>
          <w:szCs w:val="28"/>
          <w:rtl w:val="true"/>
          <w:lang w:bidi="fa-IR"/>
        </w:rPr>
        <w:t>مشورت بگیرند اما با این حال آن ها می خواستند کتاب موردنظر را خودشان بدون کمک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 ها بین قفسه کتاب ها می گشتند، آن ها خواندنی های جالبی پیدا می کردند که دوست داشتن آن ها را به امانت بگیرند که بعد از مسابقه 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کتاب ها از بانک کتاب خانه</w:t>
      </w:r>
    </w:p>
    <w:p>
      <w:pPr>
        <w:pStyle w:val="BookText"/>
        <w:rPr/>
      </w:pPr>
      <w:r>
        <w:rPr>
          <w:rFonts w:ascii="IRNazanin" w:hAnsi="IRNazanin" w:eastAsia="IRNazanin"/>
          <w:color w:val="111111"/>
          <w:sz w:val="28"/>
          <w:sz w:val="28"/>
          <w:szCs w:val="28"/>
          <w:rtl w:val="true"/>
          <w:lang w:bidi="fa-IR"/>
        </w:rPr>
        <w:t>به طور کلی، آزمون های بازی با موفقیت به پایان رسید و بازیکنان فهمیدند که بازی راهی جالب و سرگرم کننده برای یادگیری قوانین کتاب خانه و استفاده از موتورهای جستجوی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بازیکنان دریافتند که پویش کتاب با اِن اِف سی کمی دشوار اما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به خودی خود سرگرم کننده و انجام پذیر بود حداقل زمانی که اتصال به اینترنت در کتاب خانه بهبود یافت و ما اشکالات را یافتیم و آن ها را برطرف کردیم، نسخه نهایی بازی را انتشار می دهیم</w:t>
      </w:r>
      <w:r>
        <w:rPr>
          <w:rFonts w:eastAsia="IRNazanin" w:cs="IRNazanin"/>
          <w:color w:val="111111"/>
          <w:sz w:val="28"/>
          <w:szCs w:val="28"/>
          <w:rtl w:val="true"/>
          <w:lang w:bidi="fa-IR"/>
        </w:rPr>
        <w:t>.</w:t>
      </w:r>
    </w:p>
    <w:p>
      <w:pPr>
        <w:pStyle w:val="Heading3"/>
        <w:numPr>
          <w:ilvl w:val="2"/>
          <w:numId w:val="1"/>
        </w:numPr>
        <w:rPr/>
      </w:pPr>
      <w:bookmarkStart w:id="1315" w:name="__RefHeading___Toc7826191_2870459653"/>
      <w:bookmarkStart w:id="1316" w:name="_Toc490"/>
      <w:bookmarkEnd w:id="1315"/>
      <w:r>
        <w:rPr/>
        <w:t>5</w:t>
      </w:r>
      <w:r>
        <w:rPr>
          <w:rtl w:val="true"/>
        </w:rPr>
        <w:t xml:space="preserve">- </w:t>
      </w:r>
      <w:r>
        <w:rPr>
          <w:rtl w:val="true"/>
        </w:rPr>
        <w:t>نتیجه گیری</w:t>
      </w:r>
      <w:bookmarkEnd w:id="131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و محتوای بازی های هوشمند به کاربران اجازه می دهد که نه تنها با اشیا در آن موقعیت بلکه با دانش موجود که در داخل اشیا وجود دارد نیز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ادبیات، داستان و بازی در مخلوطی از ورزش، تعامل اجتماعی در دنیای واقعی، دانش در پایگاه داده ها و درک کلی از سواد پایه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آموزشی، هدف اصلی تشویق کودکان به بازدید از کتاب خانه و پیدا کردن </w:t>
      </w:r>
      <w:bookmarkStart w:id="1317" w:name="pg9659_94302"/>
    </w:p>
    <w:p>
      <w:pPr>
        <w:pStyle w:val="BookText"/>
        <w:rPr/>
      </w:pPr>
      <w:bookmarkEnd w:id="1317"/>
      <w:r>
        <w:rPr>
          <w:rFonts w:ascii="IRNazanin" w:hAnsi="IRNazanin" w:eastAsia="IRNazanin"/>
          <w:color w:val="111111"/>
          <w:sz w:val="28"/>
          <w:sz w:val="28"/>
          <w:szCs w:val="28"/>
          <w:rtl w:val="true"/>
          <w:lang w:bidi="fa-IR"/>
        </w:rPr>
        <w:t>خواندنی هایی که برایشان جذابیت داشته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امکانات جدیدی را برای آشنایی با کتاب خانه و کتاب ها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قدم زدن در اطراف کتاب خانه و تعاملات اجتماعی، فعالیت های فوق برنامه اضافه ای را به کودکان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مشاهدات و مصاحبه ها، مفهوم بازی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با چالش های فنی بسیاری در طی بازی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جفت گروه ها امتیاز بالایشان را به دلیل خطای شبکه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تجربه بازی مشاهده شد و هم چنین مصاحبه درباره تجربه کاربر بسیار بالا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بازیکنان در طرح اولیه دوست داشتند به بازی برگردند و آن را ادامه دهند و برایشان مهم نبود که اشکالات هم چنان پا برجا بماند مگر اشکالاتی که به طور ویژه معین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بازخورد مثبت از مفهوم نمونه اولیه امید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های آینده، مطالعات تجربه کاربران با گروه های مدرسه در کتاب خانه لوویا در پاییز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مطالعات، داستان، بازی و رابط کاربری ارتقاء خواهد یافت</w:t>
      </w:r>
      <w:r>
        <w:rPr>
          <w:rFonts w:eastAsia="IRNazanin" w:cs="IRNazanin"/>
          <w:color w:val="111111"/>
          <w:sz w:val="28"/>
          <w:szCs w:val="28"/>
          <w:rtl w:val="true"/>
          <w:lang w:bidi="fa-IR"/>
        </w:rPr>
        <w:t>.</w:t>
      </w:r>
    </w:p>
    <w:p>
      <w:pPr>
        <w:pStyle w:val="Heading3"/>
        <w:numPr>
          <w:ilvl w:val="2"/>
          <w:numId w:val="1"/>
        </w:numPr>
        <w:rPr/>
      </w:pPr>
      <w:bookmarkStart w:id="1318" w:name="__RefHeading___Toc7826193_2870459653"/>
      <w:bookmarkStart w:id="1319" w:name="_Toc491"/>
      <w:bookmarkEnd w:id="1318"/>
      <w:r>
        <w:rPr>
          <w:rtl w:val="true"/>
        </w:rPr>
        <w:t>منابع</w:t>
      </w:r>
      <w:bookmarkEnd w:id="1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Broll, G., Graebsch, R., Holleis, P. &amp; Wagner, M. (2010).Touch to play: mobilegaming with dynamic, NFC -based physical user interfaces In Proceedings of the 12th international conference on Human computer interaction with mobile devices and services,MobileHCI '10, September 2010, Lisboa, Portugal, . pp. 459-462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Csikszentmihalyi, M., (1991). Flow: The Psychology of Optimal Experience. New York: Harper Perennial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Garrido, P.C., Miraz, G.M., Ruiz, I.L. &amp; Gomez-Nieto, M.A. (2011). Use of NFC based Pervasive Games for Encouraging Learning and Student Motivation. Near Field Communication (NFC), 2011 3rd International Workshop on, IEEE 2011, pp. 32-37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Greenfield, P.M. (2009). Technology and Informal Education: What Is Taught, What Is Leamed. Science 2 January 2009, Vol323(5910), pp. 69-71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Kiili, K. &amp; Ketamo, H. (2007). Exploring the Learning Mechanism in Educational Games. Journal of Computing and Information Technology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vol. 15(4), pp. 319-324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Nandwani, A. Coulton, P. &amp; Edwards, R. (2011). NFC Mobile Parlor Games Enabling Direct Player to Player Interaction. In proceedings of Near Field Communication (NFC), 2011 3rd International Workshop on Near Field Communication, 22 February 2011,Hagenberg, Austria, pp. 21-25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Rashid, O. Coulton, P. Edwards, R. &amp; Bamford, W. (2006). Utilising RFID for mixedreality mobile games. In proceedings of Consumer Electronics, 2006. ICCE '06. 2006 Digestof Technical Papers. International Conference on, IEEE 2006, pp. 459-460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Sánchez, I., Cortés, M., Riekki, J. &amp; Oja, M. (2011). NFC-based interactive learning environments for children. In Proceedings of the 10th International Conference on Interaction Design and Children, IDC 11, June 20-23, 2011, Ann Arbor, Michigan, USA, pp. 205-208</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Vajk, T., Coulton, P., Bamford, B. &amp; Edwards, R. (2008). Using a Mobile Phone as a "Wii-like" Controller for Playing Games on a Large Public Display. International Journal of Computer Games Technology Volume 2008, Article ID 539078, 6 pages</w:t>
      </w:r>
      <w:r>
        <w:rPr>
          <w:rFonts w:eastAsia="Times New Roman" w:cs="Times New Roman" w:ascii="Times New Roman" w:hAnsi="Times New Roman"/>
          <w:color w:val="111111"/>
          <w:sz w:val="28"/>
          <w:szCs w:val="28"/>
          <w:rtl w:val="true"/>
          <w:lang w:val="en-US" w:bidi="en-US"/>
        </w:rPr>
        <w:t xml:space="preserve"> </w:t>
      </w:r>
      <w:bookmarkStart w:id="1320" w:name="pg9659_94304"/>
    </w:p>
    <w:p>
      <w:pPr>
        <w:pStyle w:val="Heading2"/>
        <w:numPr>
          <w:ilvl w:val="1"/>
          <w:numId w:val="1"/>
        </w:numPr>
        <w:rPr/>
      </w:pPr>
      <w:bookmarkStart w:id="1321" w:name="__RefHeading___Toc7826195_2870459653"/>
      <w:bookmarkStart w:id="1322" w:name="_Toc492"/>
      <w:bookmarkEnd w:id="1320"/>
      <w:bookmarkEnd w:id="1321"/>
      <w:r>
        <w:rPr>
          <w:rtl w:val="true"/>
        </w:rPr>
        <w:t>چکیده</w:t>
      </w:r>
      <w:bookmarkEnd w:id="1322"/>
    </w:p>
    <w:p>
      <w:pPr>
        <w:pStyle w:val="BookText"/>
        <w:rPr/>
      </w:pPr>
      <w:r>
        <w:rPr>
          <w:rFonts w:ascii="IRNazanin" w:hAnsi="IRNazanin" w:eastAsia="IRNazanin"/>
          <w:color w:val="111111"/>
          <w:sz w:val="28"/>
          <w:sz w:val="28"/>
          <w:szCs w:val="28"/>
          <w:rtl w:val="true"/>
          <w:lang w:bidi="fa-IR"/>
        </w:rPr>
        <w:t xml:space="preserve">این اصطلاح نامه برای نخستین بار در یک موسسه حمایت حقوقی در شهر تورنتو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کارگران کم درآمد آسیب دیده در دستیابی به غرامتشان یاری می رساند ایجاد شد در مجموعه کتابخانه این موسسه علاوه بر انتشارات رسمی، مقادير قابل توجهی از گزارش های منتشر نشده از احقاق حقوق کارگران ایالت انتاریو و مناقشات حقوقی قدیمی و فعلی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خانه برخط بوده و برای سازمان های اجتماعی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فهرست نویسی ها بنیادی و کاملاند و با استفاده از واژه های موضوعی برگرفته از یک اصطلاح نامه مشخص، نمایه شده و به فهرست کتاب خانه پیوند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اصطلاح نامه که بر اساس رایگان افزار </w:t>
      </w:r>
      <w:r>
        <w:rPr>
          <w:rStyle w:val="FootnoteAnchor"/>
          <w:rtl w:val="true"/>
        </w:rPr>
        <w:footnoteReference w:id="1376"/>
      </w:r>
      <w:r>
        <w:rPr>
          <w:rFonts w:ascii="IRNazanin" w:hAnsi="IRNazanin" w:eastAsia="IRNazanin"/>
          <w:color w:val="111111"/>
          <w:sz w:val="28"/>
          <w:sz w:val="28"/>
          <w:szCs w:val="28"/>
          <w:rtl w:val="true"/>
          <w:lang w:bidi="fa-IR"/>
        </w:rPr>
        <w:t>تهیه شده، دستیابی به واژگان تخصصی و بررسی پیچیدگی های معنایی و پوشش جهت گیری ها و اشتباهات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چالش هایی می پردازیم که بر سر راه ایجاد یک اصطلاح نامه پاسخگوی اجتماعی برای ارضای نیازهای این طیف گسترده کاربران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پشتوانه انتشاراتی و اولویت ها و حساسیت های کاربران را به بهترین شکل ممکن در مدخل اصطلاح نامه با یک دیگر تلفیق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تعیین کرد که چه گروهی از کاربران در اولویت قرار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عملی ارزیابی واژه های جایگزین کدامند؟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نامه چگونه می تواند زمینه ها و مفاهیم تاریخی را بازتاب دهد؟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نامه، کتاب خانه تخصصی، طرح پاسخگوی اجتماعی، غرامت کارگران، تحلیل کارشناختی </w:t>
      </w:r>
      <w:bookmarkStart w:id="1323" w:name="pg9659_94305"/>
    </w:p>
    <w:p>
      <w:pPr>
        <w:pStyle w:val="Heading2"/>
        <w:numPr>
          <w:ilvl w:val="1"/>
          <w:numId w:val="1"/>
        </w:numPr>
        <w:rPr/>
      </w:pPr>
      <w:bookmarkStart w:id="1324" w:name="__RefHeading___Toc7826197_2870459653"/>
      <w:bookmarkStart w:id="1325" w:name="_Toc493"/>
      <w:bookmarkEnd w:id="1323"/>
      <w:bookmarkEnd w:id="1324"/>
      <w:r>
        <w:rPr>
          <w:rtl w:val="true"/>
        </w:rPr>
        <w:t xml:space="preserve">طرح پاسخگوی اجتماعی فهرست ها و اصطلاح نامه های کتاب خانه ای در یک سازمان غیرانتفاعی اجتماعی </w:t>
      </w:r>
      <w:r>
        <w:rPr>
          <w:rtl w:val="true"/>
        </w:rPr>
        <w:t>(</w:t>
      </w:r>
      <w:r>
        <w:rPr>
          <w:rtl w:val="true"/>
        </w:rPr>
        <w:t xml:space="preserve">تورنتو </w:t>
      </w:r>
      <w:r>
        <w:rPr>
          <w:rtl w:val="true"/>
        </w:rPr>
        <w:t xml:space="preserve">- </w:t>
      </w:r>
      <w:r>
        <w:rPr>
          <w:rtl w:val="true"/>
        </w:rPr>
        <w:t>کانادا</w:t>
      </w:r>
      <w:r>
        <w:rPr>
          <w:rtl w:val="true"/>
        </w:rPr>
        <w:t>)</w:t>
      </w:r>
      <w:bookmarkEnd w:id="1325"/>
    </w:p>
    <w:p>
      <w:pPr>
        <w:pStyle w:val="Heading3"/>
        <w:numPr>
          <w:ilvl w:val="2"/>
          <w:numId w:val="1"/>
        </w:numPr>
        <w:rPr/>
      </w:pPr>
      <w:bookmarkStart w:id="1326" w:name="__RefHeading___Toc7826199_2870459653"/>
      <w:bookmarkStart w:id="1327" w:name="_Toc494"/>
      <w:bookmarkEnd w:id="1326"/>
      <w:r>
        <w:rPr>
          <w:rtl w:val="true"/>
        </w:rPr>
        <w:t>اشاره</w:t>
      </w:r>
      <w:bookmarkEnd w:id="1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پاسخگوی اجتماعی فهرست ها و اصطلاح نامه های کتاب خانه ای در یک سازمان غیرانتفاعی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تورنتو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نوشته لانا سوگلاسنووا </w:t>
      </w:r>
      <w:r>
        <w:rPr>
          <w:rStyle w:val="FootnoteAnchor"/>
          <w:rtl w:val="true"/>
        </w:rPr>
        <w:footnoteReference w:id="1378"/>
      </w:r>
      <w:r>
        <w:rPr>
          <w:rFonts w:ascii="IRNazanin" w:hAnsi="IRNazanin" w:eastAsia="IRNazanin"/>
          <w:color w:val="111111"/>
          <w:sz w:val="28"/>
          <w:sz w:val="28"/>
          <w:szCs w:val="28"/>
          <w:rtl w:val="true"/>
          <w:lang w:bidi="fa-IR"/>
        </w:rPr>
        <w:t xml:space="preserve">و مری هنسن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مرضیه هدایت </w:t>
      </w:r>
      <w:r>
        <w:rPr>
          <w:rStyle w:val="FootnoteAnchor"/>
          <w:rtl w:val="true"/>
        </w:rPr>
        <w:footnoteReference w:id="1380"/>
      </w:r>
    </w:p>
    <w:p>
      <w:pPr>
        <w:pStyle w:val="Heading3"/>
        <w:numPr>
          <w:ilvl w:val="2"/>
          <w:numId w:val="1"/>
        </w:numPr>
        <w:rPr/>
      </w:pPr>
      <w:bookmarkStart w:id="1328" w:name="__RefHeading___Toc7826201_2870459653"/>
      <w:bookmarkStart w:id="1329" w:name="_Toc495"/>
      <w:bookmarkEnd w:id="1328"/>
      <w:r>
        <w:rPr>
          <w:rtl w:val="true"/>
        </w:rPr>
        <w:t>معرفی</w:t>
      </w:r>
      <w:bookmarkEnd w:id="1329"/>
    </w:p>
    <w:p>
      <w:pPr>
        <w:pStyle w:val="BookText"/>
        <w:rPr/>
      </w:pPr>
      <w:r>
        <w:rPr>
          <w:rFonts w:ascii="IRNazanin" w:hAnsi="IRNazanin" w:eastAsia="IRNazanin"/>
          <w:color w:val="111111"/>
          <w:sz w:val="28"/>
          <w:sz w:val="28"/>
          <w:szCs w:val="28"/>
          <w:rtl w:val="true"/>
          <w:lang w:bidi="fa-IR"/>
        </w:rPr>
        <w:t xml:space="preserve">این مقاله به بررسی برنامه ای می پردازد که از سوی بنیاد حقوقی ایالت انتاریو </w:t>
      </w:r>
      <w:r>
        <w:rPr>
          <w:rStyle w:val="FootnoteAnchor"/>
          <w:rtl w:val="true"/>
        </w:rPr>
        <w:footnoteReference w:id="1381"/>
      </w:r>
      <w:r>
        <w:rPr>
          <w:rFonts w:ascii="IRNazanin" w:hAnsi="IRNazanin" w:eastAsia="IRNazanin"/>
          <w:color w:val="111111"/>
          <w:sz w:val="28"/>
          <w:sz w:val="28"/>
          <w:szCs w:val="28"/>
          <w:rtl w:val="true"/>
          <w:lang w:bidi="fa-IR"/>
        </w:rPr>
        <w:t xml:space="preserve">به منظور ایجاد اصطلاح نامه ای برای کتاب خانه مرکز مشاوره ای کارگران آسیب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دبلیو سی</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 موسسه ای حقوقی حمایتی واقع در مرکز شهر تورنتو،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پیش رو، ایجاد اصطلاح نامه ای با یک بودجه حداقلی بود، اصطلاح نامه ای که به راحتی توسط افراد و کارکنانی که آموزش های کتابداری اندک دارند و یا فاقد این آموزش هایند، قابل بهره برداری باشد و از همه مهم تر پاسخگوی نیازهای متنوع کاربران مختلف خود باشد</w:t>
      </w:r>
      <w:r>
        <w:rPr>
          <w:rFonts w:eastAsia="IRNazanin" w:cs="IRNazanin"/>
          <w:color w:val="111111"/>
          <w:sz w:val="28"/>
          <w:szCs w:val="28"/>
          <w:rtl w:val="true"/>
          <w:lang w:bidi="fa-IR"/>
        </w:rPr>
        <w:t>.</w:t>
      </w:r>
    </w:p>
    <w:p>
      <w:pPr>
        <w:pStyle w:val="Heading3"/>
        <w:numPr>
          <w:ilvl w:val="2"/>
          <w:numId w:val="1"/>
        </w:numPr>
        <w:rPr/>
      </w:pPr>
      <w:bookmarkStart w:id="1330" w:name="__RefHeading___Toc7826203_2870459653"/>
      <w:bookmarkStart w:id="1331" w:name="_Toc496"/>
      <w:bookmarkEnd w:id="1330"/>
      <w:r>
        <w:rPr>
          <w:rtl w:val="true"/>
        </w:rPr>
        <w:t>کتاب خانه و مجموعه آی دبلیو سی</w:t>
      </w:r>
      <w:bookmarkEnd w:id="133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مشاورین کارگری درگیر اموری از قبیل یاری رساندن به کارگرانی کم درآمد و </w:t>
      </w:r>
      <w:bookmarkStart w:id="1332" w:name="pg9659_94306"/>
    </w:p>
    <w:p>
      <w:pPr>
        <w:pStyle w:val="BookText"/>
        <w:rPr/>
      </w:pPr>
      <w:bookmarkEnd w:id="1332"/>
      <w:r>
        <w:rPr>
          <w:rFonts w:ascii="IRNazanin" w:hAnsi="IRNazanin" w:eastAsia="IRNazanin"/>
          <w:color w:val="111111"/>
          <w:sz w:val="28"/>
          <w:sz w:val="28"/>
          <w:szCs w:val="28"/>
          <w:rtl w:val="true"/>
          <w:lang w:bidi="fa-IR"/>
        </w:rPr>
        <w:t>فاقد حقوقی نظیر بهره مندی از پرداخت غرامت؛ حمایت از قانون و اصلاح خط مشی؛ ارائه آموزش های عمومی حقوقی و سازمان دهی های اجتماعی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امکان به کارگیری یک کتاب دار دائمی، کارکنان موسسه پیوسته ارزش زیادی برای کتاب خانه به عنوان مرجعی جهت امور خود قائل بوده اند و در طول سالیان، اقدام به ایجاد مجموعه ای منحصر به فرد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به عنوان یک کتاب خانه کاری حقوقی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منبع انجام پژوهش ها و بایگانی تاریخی اجتماعی جنبش های کارگران آسیب دیده ایالت انتاریو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های موجود در این مجموعه شامل حقوق اداری، غرامت کارگران و بهداشت و سلامت حرفه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ی تحت پوشش گسترده است و از انتشارات چاپی لوایح قانونی تا نمایشگاه های مجازی و بریده های روزنامه ها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از سوی بنیاد حقوقی انتاریو یک اعتبار طرحی برای برنامه های کتاب خانه ای به منظور توسعه اصطلاح نامه تخصصی داخلی و نیز فهرست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این موسسه قرار داده شد که هم اکنون در اختیار عموم و در وب گاه اینجر دور کس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w:t>
      </w:r>
      <w:r>
        <w:rPr>
          <w:rStyle w:val="FootnoteAnchor"/>
          <w:rtl w:val="true"/>
        </w:rPr>
        <w:footnoteReference w:id="1383"/>
      </w:r>
      <w:r>
        <w:rPr>
          <w:rFonts w:ascii="IRNazanin" w:hAnsi="IRNazanin" w:eastAsia="IRNazanin"/>
          <w:color w:val="111111"/>
          <w:sz w:val="28"/>
          <w:sz w:val="28"/>
          <w:szCs w:val="28"/>
          <w:rtl w:val="true"/>
          <w:lang w:bidi="fa-IR"/>
        </w:rPr>
        <w:t>زیر موجود است</w:t>
      </w:r>
      <w:r>
        <w:rPr>
          <w:rFonts w:eastAsia="IRNazanin" w:cs="IRNazanin"/>
          <w:color w:val="111111"/>
          <w:sz w:val="28"/>
          <w:szCs w:val="28"/>
          <w:rtl w:val="true"/>
          <w:lang w:bidi="fa-IR"/>
        </w:rPr>
        <w:t xml:space="preserve">. </w:t>
      </w:r>
      <w:r>
        <w:rPr>
          <w:rStyle w:val="FootnoteAnchor"/>
          <w:rtl w:val="true"/>
        </w:rPr>
        <w:footnoteReference w:id="1384"/>
      </w:r>
    </w:p>
    <w:p>
      <w:pPr>
        <w:pStyle w:val="Heading3"/>
        <w:numPr>
          <w:ilvl w:val="2"/>
          <w:numId w:val="1"/>
        </w:numPr>
        <w:rPr/>
      </w:pPr>
      <w:bookmarkStart w:id="1333" w:name="__RefHeading___Toc7826205_2870459653"/>
      <w:bookmarkStart w:id="1334" w:name="_Toc497"/>
      <w:bookmarkEnd w:id="1333"/>
      <w:r>
        <w:rPr>
          <w:rtl w:val="true"/>
        </w:rPr>
        <w:t>ملاحظات کلیدی ما در توسعه اصطلاح نامه</w:t>
      </w:r>
      <w:r>
        <w:rPr>
          <w:rtl w:val="true"/>
        </w:rPr>
        <w:t>:</w:t>
      </w:r>
      <w:bookmarkEnd w:id="1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افزاری ارزان و کاربر مدار که بتواند نسخه ای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دسترس برای عموم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برنامه اصطلاح نامه رایگان افزار یا دبلیو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 xml:space="preserve">را که توسط تیموتی کریون </w:t>
      </w:r>
      <w:r>
        <w:rPr>
          <w:rStyle w:val="FootnoteAnchor"/>
          <w:rtl w:val="true"/>
        </w:rPr>
        <w:footnoteReference w:id="1386"/>
      </w:r>
      <w:r>
        <w:rPr>
          <w:rFonts w:ascii="IRNazanin" w:hAnsi="IRNazanin" w:eastAsia="IRNazanin"/>
          <w:color w:val="111111"/>
          <w:sz w:val="28"/>
          <w:sz w:val="28"/>
          <w:szCs w:val="28"/>
          <w:rtl w:val="true"/>
          <w:lang w:bidi="fa-IR"/>
        </w:rPr>
        <w:t xml:space="preserve">، استاد دانشکده مطالعات اطلاعات و رسانه دانشگاه وسترن </w:t>
      </w:r>
      <w:r>
        <w:rPr>
          <w:rStyle w:val="FootnoteAnchor"/>
          <w:rtl w:val="true"/>
        </w:rPr>
        <w:footnoteReference w:id="1387"/>
      </w:r>
      <w:r>
        <w:rPr>
          <w:rFonts w:ascii="IRNazanin" w:hAnsi="IRNazanin" w:eastAsia="IRNazanin"/>
          <w:color w:val="111111"/>
          <w:sz w:val="28"/>
          <w:sz w:val="28"/>
          <w:szCs w:val="28"/>
          <w:rtl w:val="true"/>
          <w:lang w:bidi="fa-IR"/>
        </w:rPr>
        <w:t>، ساخته شده است، بدین منظور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مناسب نظام عامل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میکروسافت ویندوز بوده و دارای یک نسخه جاوا نیز است که گزینه های واژه گسترش یافته و جلوه های بصری مناسبی دارد و از لحاظ ناسازگاری های پیوندی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بررسی شده است، ولی فاقد تمهیداتی در خصوص واژه های بدون مجوز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پایه و نحوه ارائه گزارش این نرم افزار مطابق با اهداف ما در این پژوهش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 بودن ساختاری انعطاف پذیر و مطابق با سطوح مختلف تخصصی؛ اندازه محدود برای سهولت و ثبات در استفاده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انتخابی ما، اصطلاح نامه بهداشت و سلامت حرفه ای استرالیا </w:t>
      </w:r>
      <w:r>
        <w:rPr>
          <w:rStyle w:val="FootnoteAnchor"/>
          <w:rtl w:val="true"/>
        </w:rPr>
        <w:footnoteReference w:id="1388"/>
      </w:r>
      <w:r>
        <w:rPr>
          <w:rFonts w:ascii="IRNazanin" w:hAnsi="IRNazanin" w:eastAsia="IRNazanin"/>
          <w:color w:val="111111"/>
          <w:sz w:val="28"/>
          <w:sz w:val="28"/>
          <w:szCs w:val="28"/>
          <w:rtl w:val="true"/>
          <w:lang w:bidi="fa-IR"/>
        </w:rPr>
        <w:t xml:space="preserve">است که با توجه به موضوع مرتبط و ساختار سلسله مراتبی و الفبایی آن و ارجحیت تک واژه های مفهومی موجب می شود اصطلاح نامه به اندازه کافی ساده و تا حد امکان کوتاه و مناسب برای </w:t>
      </w:r>
      <w:bookmarkStart w:id="1335" w:name="pg9659_94307"/>
    </w:p>
    <w:p>
      <w:pPr>
        <w:pStyle w:val="BookText"/>
        <w:rPr/>
      </w:pPr>
      <w:bookmarkEnd w:id="1335"/>
      <w:r>
        <w:rPr>
          <w:rFonts w:ascii="IRNazanin" w:hAnsi="IRNazanin" w:eastAsia="IRNazanin"/>
          <w:color w:val="111111"/>
          <w:sz w:val="28"/>
          <w:sz w:val="28"/>
          <w:szCs w:val="28"/>
          <w:rtl w:val="true"/>
          <w:lang w:bidi="fa-IR"/>
        </w:rPr>
        <w:t xml:space="preserve">نمایه سازی و جستجوی هر چه انعطاف پذیر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بهداشت و سلامت حرفه ای،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اصطلاح نامه آی دبلیو سی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متن، جزییات پیش زمینه ای مناسب و تعاریف به زبان ساده، به هنگام ضرورت تا اصطلاح نامه قابل استفاده برای گروه های کاربری چندگانه شامل افرادی که با غرامت کارگران و واژگان حقوقی پزشکی آشنایی ندارند،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سازی معنای واژه ها به زبان بروکراسی در شرایطی که با ابهامات عمدی و گیج کننده روبروییم و یا کاربردشان پیوسته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یادداشت های دامنه را به الگوی استرالیایی اضافه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 بودن به ارزش های آی دبلیو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می بایست خطاهای فرهنگی اجتماعی و کلیشه هایی را که تاریخچه احقاق حقوق کارگران آسیب دیده را لکه دار کرده اند، لحاظ نماید؛ این الگو باید مفاهیم تاریخی و ضمنی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پشتوانه انتشاراتی واژه تحقیر آمیزی وجود داشته باشد، نباید از آن به عنوان پایه ای برای واژه مرجح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روانی</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 xml:space="preserve">به عنوان واژه مرجح همراه با واژه تحقیر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اختلال اعصاب </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یک واژه نامرجح با توضیح بیشتر در یادداشت دامنه است،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مورد استفاده برای ارزیابی و به کارگیری ابزارها می بایست منعکس کننده فرهنگ همکاری و تصمیم گیری مشارکتی آی دبلیو سی باشد</w:t>
      </w:r>
      <w:r>
        <w:rPr>
          <w:rFonts w:eastAsia="IRNazanin" w:cs="IRNazanin"/>
          <w:color w:val="111111"/>
          <w:sz w:val="28"/>
          <w:szCs w:val="28"/>
          <w:rtl w:val="true"/>
          <w:lang w:bidi="fa-IR"/>
        </w:rPr>
        <w:t>.</w:t>
      </w:r>
    </w:p>
    <w:p>
      <w:pPr>
        <w:pStyle w:val="Heading3"/>
        <w:numPr>
          <w:ilvl w:val="2"/>
          <w:numId w:val="1"/>
        </w:numPr>
        <w:rPr/>
      </w:pPr>
      <w:bookmarkStart w:id="1336" w:name="__RefHeading___Toc7826207_2870459653"/>
      <w:bookmarkStart w:id="1337" w:name="_Toc498"/>
      <w:bookmarkEnd w:id="1336"/>
      <w:r>
        <w:rPr>
          <w:rtl w:val="true"/>
        </w:rPr>
        <w:t>ارزیابی اصطلاح نامه سی دبلیو ای</w:t>
      </w:r>
      <w:bookmarkEnd w:id="1337"/>
    </w:p>
    <w:p>
      <w:pPr>
        <w:pStyle w:val="BookText"/>
        <w:rPr/>
      </w:pPr>
      <w:r>
        <w:rPr>
          <w:rFonts w:ascii="IRNazanin" w:hAnsi="IRNazanin" w:eastAsia="IRNazanin"/>
          <w:color w:val="111111"/>
          <w:sz w:val="28"/>
          <w:sz w:val="28"/>
          <w:szCs w:val="28"/>
          <w:rtl w:val="true"/>
          <w:lang w:bidi="fa-IR"/>
        </w:rPr>
        <w:t>موارد احقاق حقوق کارگران در انتاریو نشان دهنده ی تنش های میان دو بازیگر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 نظام قانونی و اداری بوروکراتیک را داریم که به شکل روز افزونی تحت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فکر بیمه خصوصی</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در قانون غرامت کارگران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جامعه کارگران آسیب دیده است که برای ارج نهادن به عدالت اجتماعی و رسیدن به حقوق عادلانه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با دایره واژگان همانند به یک دیگر می پیوندند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چهارچوب مطالعه شده مناسب، به ویژه برای تحلیل ابعاد کاری که بتواند بر اجزای نظام های اطلاعاتی تأثیر بگذارد، از قبیل واژه های اصطلاح نامه ای و ارتباطشان با یک دیگر، همان تحلیل </w:t>
      </w:r>
      <w:bookmarkStart w:id="1338" w:name="pg9659_94308"/>
    </w:p>
    <w:p>
      <w:pPr>
        <w:pStyle w:val="BookText"/>
        <w:rPr/>
      </w:pPr>
      <w:bookmarkEnd w:id="1338"/>
      <w:r>
        <w:rPr>
          <w:rFonts w:ascii="IRNazanin" w:hAnsi="IRNazanin" w:eastAsia="IRNazanin"/>
          <w:color w:val="111111"/>
          <w:sz w:val="28"/>
          <w:sz w:val="28"/>
          <w:szCs w:val="28"/>
          <w:rtl w:val="true"/>
          <w:lang w:bidi="fa-IR"/>
        </w:rPr>
        <w:t xml:space="preserve">کارشناختی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دبلیو ای</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دبلیو ای توسط وینسنت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سی دبلیو ای این نکته وجود دارد که رفتار اطلاع یابی نقش آفرینان، از معمولی ترین افراد واقع در خارج تا نقش آفرینان اصلی داخلی، در قالب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کارشناختی به ترتیب زیر در هر یک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جریان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محیط 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دامنه 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سازمانی،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فعالیت،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ویژگی های نقش آفرینان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سی دبلیو ای برای طراحی دایره واژگان اولین بار توسط مای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بحث در خصوص نیاز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کاربرد اسناد و اهداف دایره واژگان کنترل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محتوای اثر می پردازد، 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اول که به صورت داوطلبانه در آی دبلیو سی نیز فعالیت می کرد، برای تحلیل محیط کار در آی دبلیو سی و به منظور ارزیابی اصطلاح نامه استخدام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 ارزیابی اصطلاح نامه، ما اقدام به ترتیب دادن مصاحبه با کاربران و برگزاری آزمایش های هم بستگی واژه کردیم که در ادامه شرح داده می شوند</w:t>
      </w:r>
      <w:r>
        <w:rPr>
          <w:rFonts w:eastAsia="IRNazanin" w:cs="IRNazanin"/>
          <w:color w:val="111111"/>
          <w:sz w:val="28"/>
          <w:szCs w:val="28"/>
          <w:rtl w:val="true"/>
          <w:lang w:bidi="fa-IR"/>
        </w:rPr>
        <w:t>.</w:t>
      </w:r>
    </w:p>
    <w:p>
      <w:pPr>
        <w:pStyle w:val="Heading3"/>
        <w:numPr>
          <w:ilvl w:val="2"/>
          <w:numId w:val="1"/>
        </w:numPr>
        <w:rPr/>
      </w:pPr>
      <w:bookmarkStart w:id="1339" w:name="__RefHeading___Toc7826209_2870459653"/>
      <w:bookmarkStart w:id="1340" w:name="_Toc499"/>
      <w:bookmarkEnd w:id="1339"/>
      <w:r>
        <w:rPr>
          <w:rtl w:val="true"/>
        </w:rPr>
        <w:t>مصاحبه های کاربران سی دبلیو اِی</w:t>
      </w:r>
      <w:bookmarkEnd w:id="1340"/>
    </w:p>
    <w:p>
      <w:pPr>
        <w:pStyle w:val="BookText"/>
        <w:rPr/>
      </w:pPr>
      <w:r>
        <w:rPr>
          <w:rFonts w:ascii="IRNazanin" w:hAnsi="IRNazanin" w:eastAsia="IRNazanin"/>
          <w:color w:val="111111"/>
          <w:sz w:val="28"/>
          <w:sz w:val="28"/>
          <w:szCs w:val="28"/>
          <w:rtl w:val="true"/>
          <w:lang w:bidi="fa-IR"/>
        </w:rPr>
        <w:t xml:space="preserve">پرسشنامه ای بر مبنای اصول پرسشنامه نمونه در سی دبلیو ای طراحی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ارتباطات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نمونه سی دبلیو ای برای سازمان های بزرگ در نظر گرفته شده و دارای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ما بر اساس این پرسشنامه ساخته شده و مشتمل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 که ابعاد اساسی سی دبلیو ای ذیل را در بر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تصمیمات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کاری و ساختار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مصاحبه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مصاحبه هایی را با چند تن از کارکنان آی دبلیو 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یک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آی دبلیو سی مصاحبه های گروهی انجام داد و نقش تسهیل بحث را ایفا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اچ</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یادداشت برداری کرد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مصاحبه های فردی، مصاحبه گر از پرسشنامه تنها به عنوان وسیله ای برای بهبود پاسخ های کاربر استفاده کرد، امری که باعث انجام خودکار کارها، غیر رسمی بودن و گزارش گیری شد، نظیر بهبود وضوح واژه های فنی در صورت لزوم و در عین حال تضمین آن که برای هر مصاحبه شونده گروه یکسانی </w:t>
      </w:r>
    </w:p>
    <w:p>
      <w:pPr>
        <w:pStyle w:val="BookText"/>
        <w:rPr/>
      </w:pPr>
      <w:r>
        <w:rPr>
          <w:rFonts w:ascii="IRNazanin" w:hAnsi="IRNazanin" w:eastAsia="IRNazanin"/>
          <w:color w:val="111111"/>
          <w:sz w:val="28"/>
          <w:sz w:val="28"/>
          <w:szCs w:val="28"/>
          <w:rtl w:val="true"/>
          <w:lang w:bidi="fa-IR"/>
        </w:rPr>
        <w:t>از سؤالات پوشش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گروهی، هر یک از کاربران نسخه ای از پرسشنامه را دریافت و ضمن بحث گروهی آن را پر کرد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کاربر آی دبلیو سی بر پایه قواعد سی دبلیو ای </w:t>
      </w:r>
      <w:bookmarkStart w:id="1341" w:name="pg9659_94311"/>
    </w:p>
    <w:p>
      <w:pPr>
        <w:pStyle w:val="Heading3"/>
        <w:numPr>
          <w:ilvl w:val="2"/>
          <w:numId w:val="1"/>
        </w:numPr>
        <w:rPr/>
      </w:pPr>
      <w:bookmarkStart w:id="1342" w:name="__RefHeading___Toc7826211_2870459653"/>
      <w:bookmarkStart w:id="1343" w:name="_Toc500"/>
      <w:bookmarkEnd w:id="1341"/>
      <w:bookmarkEnd w:id="1342"/>
      <w:r>
        <w:rPr>
          <w:rtl w:val="true"/>
        </w:rPr>
        <w:t>آزمون هم بستگی واژه</w:t>
      </w:r>
      <w:bookmarkEnd w:id="1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آزمون هم بستگی واژه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 xml:space="preserve">لوکا نیلسن </w:t>
      </w:r>
      <w:r>
        <w:rPr>
          <w:rStyle w:val="FootnoteAnchor"/>
          <w:rtl w:val="true"/>
        </w:rPr>
        <w:footnoteReference w:id="1397"/>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lang w:bidi="fa-IR"/>
        </w:rPr>
        <w:t>،</w:t>
      </w:r>
      <w:r>
        <w:rPr>
          <w:rFonts w:eastAsia="IRNazanin" w:cs="IRNazanin"/>
          <w:color w:val="111111"/>
          <w:sz w:val="28"/>
          <w:szCs w:val="28"/>
          <w:lang w:bidi="fa-IR"/>
        </w:rPr>
        <w:t>2002</w:t>
      </w:r>
      <w:r>
        <w:rPr>
          <w:rFonts w:ascii="IRNazanin" w:hAnsi="IRNazanin" w:eastAsia="IRNazanin"/>
          <w:color w:val="111111"/>
          <w:sz w:val="28"/>
          <w:sz w:val="28"/>
          <w:szCs w:val="28"/>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هم بستگی واژه را به عنوان فنی برای ایجاد یک اصطلاح نامه آزمون هم بستگی و قابل استفاده در مطالعات دامنه دار قلم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متوجه شد که واژه های جمع آوری شده از روش آزمون هم بستگی واژه منعکس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 وسیع تری از محیط اطلاعاتی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لوکا نیلسن </w:t>
      </w:r>
      <w:r>
        <w:rPr>
          <w:rFonts w:eastAsia="IRNazanin" w:cs="IRNazanin"/>
          <w:color w:val="111111"/>
          <w:sz w:val="28"/>
          <w:szCs w:val="28"/>
          <w:lang w:bidi="fa-IR"/>
        </w:rPr>
        <w:t>2004:439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هم بستگی واژه در آی دبلیو سی ترجیحات کاربران را در جنبه های مختلفی از ساختار اصطلاح نامه می سنجد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نام ها </w:t>
      </w:r>
      <w:r>
        <w:rPr>
          <w:rStyle w:val="FootnoteAnchor"/>
          <w:rtl w:val="true"/>
        </w:rPr>
        <w:footnoteReference w:id="1398"/>
      </w:r>
      <w:r>
        <w:rPr>
          <w:rFonts w:ascii="IRNazanin" w:hAnsi="IRNazanin" w:eastAsia="IRNazanin"/>
          <w:color w:val="111111"/>
          <w:sz w:val="28"/>
          <w:sz w:val="28"/>
          <w:szCs w:val="28"/>
          <w:rtl w:val="true"/>
          <w:lang w:bidi="fa-IR"/>
        </w:rPr>
        <w:t>در مقابل عبارات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مضرات ناشی از کسب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Times New Roman" w:cs="Times New Roman" w:ascii="Times New Roman" w:hAnsi="Times New Roman"/>
          <w:color w:val="111111"/>
          <w:sz w:val="28"/>
          <w:szCs w:val="28"/>
          <w:lang w:val="en-US" w:bidi="en-US"/>
        </w:rPr>
        <w:t>LOE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w:t>
      </w:r>
      <w:r>
        <w:rPr>
          <w:rFonts w:eastAsia="Times New Roman" w:cs="Times New Roman" w:ascii="Times New Roman" w:hAnsi="Times New Roman"/>
          <w:color w:val="111111"/>
          <w:sz w:val="28"/>
          <w:szCs w:val="28"/>
          <w:lang w:val="en-US" w:bidi="en-US"/>
        </w:rPr>
        <w:t>The Board":"LOE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مقابل دبلیو اس آی بی </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مترادف </w:t>
      </w:r>
      <w:r>
        <w:rPr>
          <w:rStyle w:val="FootnoteAnchor"/>
          <w:rtl w:val="true"/>
        </w:rPr>
        <w:footnoteReference w:id="14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استخدام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های استخدام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حقوقی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مخاطرات روان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های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بالاتر یا پایین تر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سود ویژه نظیر لوی، نِل فِل</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پرسشنامه های کتبی دربرگیرنده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از کارکنان آی دبلیو سی خواسته شده در قالب سه موضوع هم بستگی ها، کلمات مترادف یا مثال ها، آن ها را دسته 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از میان تعداد بسیار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معضلات اصطلاح نامه</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انتخاب شده اند و به مسائل ذیل مرتبط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مربوط به وضوح؛ واژه مرکب در مقابل واژه ساده؛ استفاده از سرنام ها؛ گزینش مترادف ها؛ پشتوانه کاربران در مقابل پشتوانه انتشاراتی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 هم بستگی واژه در تهیه واژه های اضافه شده نیز کمک زیادی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حاصله، واژه های جدید به اصطلاح نامه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حمایت اجتماعی </w:t>
      </w:r>
      <w:r>
        <w:rPr>
          <w:rStyle w:val="FootnoteAnchor"/>
          <w:rtl w:val="true"/>
        </w:rPr>
        <w:footnoteReference w:id="1403"/>
      </w:r>
      <w:r>
        <w:rPr>
          <w:rFonts w:ascii="IRNazanin" w:hAnsi="IRNazanin" w:eastAsia="IRNazanin"/>
          <w:color w:val="111111"/>
          <w:sz w:val="28"/>
          <w:sz w:val="28"/>
          <w:szCs w:val="28"/>
          <w:rtl w:val="true"/>
          <w:lang w:bidi="fa-IR"/>
        </w:rPr>
        <w:t xml:space="preserve">به عنوان آر تی </w:t>
      </w:r>
      <w:r>
        <w:rPr>
          <w:rStyle w:val="FootnoteAnchor"/>
          <w:rtl w:val="true"/>
        </w:rPr>
        <w:footnoteReference w:id="1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عدالت اجتماعی </w:t>
      </w:r>
      <w:r>
        <w:rPr>
          <w:rStyle w:val="FootnoteAnchor"/>
          <w:rtl w:val="true"/>
        </w:rPr>
        <w:footnoteReference w:id="1405"/>
      </w:r>
      <w:r>
        <w:rPr>
          <w:rFonts w:ascii="IRNazanin" w:hAnsi="IRNazanin" w:eastAsia="IRNazanin"/>
          <w:color w:val="111111"/>
          <w:sz w:val="28"/>
          <w:sz w:val="28"/>
          <w:szCs w:val="28"/>
          <w:rtl w:val="true"/>
          <w:lang w:bidi="fa-IR"/>
        </w:rPr>
        <w:t xml:space="preserve">؛ یا مطالعات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Times New Roman" w:cs="Times New Roman" w:ascii="Times New Roman" w:hAnsi="Times New Roman"/>
          <w:color w:val="111111"/>
          <w:sz w:val="28"/>
          <w:szCs w:val="28"/>
          <w:lang w:val="en-US" w:bidi="en-US"/>
        </w:rPr>
        <w:t>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واژه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ارائه حقوقی</w:t>
      </w:r>
      <w:r>
        <w:rPr>
          <w:rFonts w:eastAsia="IRNazanin" w:cs="IRNazanin"/>
          <w:color w:val="111111"/>
          <w:sz w:val="28"/>
          <w:szCs w:val="28"/>
          <w:rtl w:val="true"/>
          <w:lang w:bidi="fa-IR"/>
        </w:rPr>
        <w:t xml:space="preserve">. </w:t>
      </w:r>
      <w:bookmarkStart w:id="1344" w:name="pg9659_94312"/>
    </w:p>
    <w:p>
      <w:pPr>
        <w:pStyle w:val="BookText"/>
        <w:rPr/>
      </w:pPr>
      <w:bookmarkEnd w:id="1344"/>
      <w:r>
        <w:rPr>
          <w:rFonts w:ascii="IRNazanin" w:hAnsi="IRNazanin" w:eastAsia="IRNazanin"/>
          <w:color w:val="111111"/>
          <w:sz w:val="28"/>
          <w:sz w:val="28"/>
          <w:szCs w:val="28"/>
          <w:rtl w:val="true"/>
          <w:lang w:bidi="fa-IR"/>
        </w:rPr>
        <w:t>استفاده از سرنام به عنوان هم بسته بسیار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تصمیم گرفته شد از سرنام های لوی، نِل، فِل به جای عبارات کامل، به عنوان واژه اصطلاح نامه ای، بسته به سطح وضوحشان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مدخل واژه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جبرانی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سرنام های لوی، نِل و فِل به عنوان واژه های اخص </w:t>
      </w:r>
      <w:r>
        <w:rPr>
          <w:rStyle w:val="FootnoteAnchor"/>
          <w:rtl w:val="true"/>
        </w:rPr>
        <w:footnoteReference w:id="1406"/>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هم بستگی واژه نشان دهنده پیچیدگی های نظری است که در واژگان برخی از سرنام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کارکنان آی دبلیو سی بندرت از واژه دبلیو اس آی بی که سرنام مورداستفاده برای نام رسمی هیئت مدیره بیمه و حفاظت کارگران </w:t>
      </w:r>
      <w:r>
        <w:rPr>
          <w:rStyle w:val="FootnoteAnchor"/>
          <w:rtl w:val="true"/>
        </w:rPr>
        <w:footnoteReference w:id="1407"/>
      </w:r>
      <w:r>
        <w:rPr>
          <w:rFonts w:ascii="IRNazanin" w:hAnsi="IRNazanin" w:eastAsia="IRNazanin"/>
          <w:color w:val="111111"/>
          <w:sz w:val="28"/>
          <w:sz w:val="28"/>
          <w:szCs w:val="28"/>
          <w:rtl w:val="true"/>
          <w:lang w:bidi="fa-IR"/>
        </w:rPr>
        <w:t xml:space="preserve">و واژه مترادف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بورد</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است،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 سی بی</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 xml:space="preserve">سرنام مرجح برای نام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 جبران خسارت</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 xml:space="preserve">است؛ بنابراین تصمیم گرفته شد که از سرنام و عبارات کامل در کنار یک دیگر، همراه با یادداشت های دامنه با ذکر جزئیات در مدخل اصطلاح نامه های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جزئیات راه حل پیاده سازی توجه کنید</w:t>
      </w:r>
      <w:r>
        <w:rPr>
          <w:rFonts w:eastAsia="IRNazanin" w:cs="IRNazanin"/>
          <w:color w:val="111111"/>
          <w:sz w:val="28"/>
          <w:szCs w:val="28"/>
          <w:rtl w:val="true"/>
          <w:lang w:bidi="fa-IR"/>
        </w:rPr>
        <w:t>.</w:t>
      </w:r>
    </w:p>
    <w:p>
      <w:pPr>
        <w:pStyle w:val="Heading3"/>
        <w:numPr>
          <w:ilvl w:val="2"/>
          <w:numId w:val="1"/>
        </w:numPr>
        <w:rPr/>
      </w:pPr>
      <w:bookmarkStart w:id="1345" w:name="__RefHeading___Toc7826213_2870459653"/>
      <w:bookmarkStart w:id="1346" w:name="_Toc501"/>
      <w:bookmarkEnd w:id="1345"/>
      <w:r>
        <w:rPr>
          <w:rtl w:val="true"/>
        </w:rPr>
        <w:t>یافته ها</w:t>
      </w:r>
      <w:bookmarkEnd w:id="134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توصیه هایی کلی در مورد ساخت اصطلاح نامه یافت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ایچنسن </w:t>
      </w:r>
      <w:r>
        <w:rPr>
          <w:rStyle w:val="FootnoteAnchor"/>
          <w:rtl w:val="true"/>
        </w:rPr>
        <w:footnoteReference w:id="1411"/>
      </w:r>
      <w:r>
        <w:rPr>
          <w:rFonts w:ascii="IRNazanin" w:hAnsi="IRNazanin" w:eastAsia="IRNazanin"/>
          <w:color w:val="111111"/>
          <w:sz w:val="28"/>
          <w:sz w:val="28"/>
          <w:szCs w:val="28"/>
          <w:rtl w:val="true"/>
          <w:lang w:bidi="fa-IR"/>
        </w:rPr>
        <w:t xml:space="preserve">، گیلکریست </w:t>
      </w:r>
      <w:r>
        <w:rPr>
          <w:rStyle w:val="FootnoteAnchor"/>
          <w:rtl w:val="true"/>
        </w:rPr>
        <w:footnoteReference w:id="1412"/>
      </w:r>
      <w:r>
        <w:rPr>
          <w:rFonts w:ascii="IRNazanin" w:hAnsi="IRNazanin" w:eastAsia="IRNazanin"/>
          <w:color w:val="111111"/>
          <w:sz w:val="28"/>
          <w:sz w:val="28"/>
          <w:szCs w:val="28"/>
          <w:rtl w:val="true"/>
          <w:lang w:bidi="fa-IR"/>
        </w:rPr>
        <w:t xml:space="preserve">، باودن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نتایج حاصل از ارزیابی اصطلاح نامه، راهنمایی های تخصصی در خصوص مشکلات مربوط به محیط کار آی دبلیو سی را ارائه می دهد که می توان از آن در تصمیم گیری های آتی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اصلی حاصل از ارزیابی اصطلاح نامه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کاری آی دبلیو سی، جامعه کارگران آسیب دیده و نظام حقوقی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نظام پزشکی، مدیریتی، دولتی و سازمان های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پراهمیت ترین وظایف کاری برای کارکنان آی دبلیو سی، موارد حقوقی شغلی و اصلاحات حقوقی، توسعه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حقوقی شغلی شامل کار با کارگران آسیب دیده مانند کمک حقوقی به موکلین و مذاکره با دبلیو اس آی بی و دادگاه های تجدید نظر </w:t>
      </w:r>
      <w:r>
        <w:rPr>
          <w:rStyle w:val="FootnoteAnchor"/>
          <w:rtl w:val="true"/>
        </w:rPr>
        <w:footnoteReference w:id="14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آی دبلیو سی در تمامی مراحل به کارگران آسیب دیده، مخصوصاً در مورد تصمیم گیری درباره ی درخواست های </w:t>
      </w:r>
    </w:p>
    <w:p>
      <w:pPr>
        <w:pStyle w:val="BookText"/>
        <w:rPr/>
      </w:pPr>
      <w:r>
        <w:rPr>
          <w:rFonts w:ascii="IRNazanin" w:hAnsi="IRNazanin" w:eastAsia="IRNazanin"/>
          <w:color w:val="111111"/>
          <w:sz w:val="28"/>
          <w:sz w:val="28"/>
          <w:szCs w:val="28"/>
          <w:rtl w:val="true"/>
          <w:lang w:bidi="fa-IR"/>
        </w:rPr>
        <w:t>تجدید نظر پیش از دخالت دبلیو اس آی بی و هم چنین به ارائه در دادگاه های تجدید نظر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کارگران آسیب دیده، کارکنان آی دبلیو سی به زبان حقوقی دبلیو اس آی بی سخن گفته و از ادبیات رسمی دبلیو اس آی بی، درخواست های رد شده و غیره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قانونی مربوط به تعامل با اعضای پارلمان ایالتی و مدیریت ارشد دبلیو اس آی بی از طریق مشاوره و هم فکری، تلاش و حمایت از اصلاحات قانونی گسترده ی خط مشی و فعالیت های مرتبط باکیفیت و رعایت عدالت در تصمیم گیری و رفاه اقتصادی، اجتماعی و سلامت کارگران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اجتماعی به معنای ارائه آموزش های عمومی حقوقی از طریق روش های متنوع رسمی و غیر رسمی نظیر برگزاری همایش ها و گروه های بحث اجتماعی، انتشار گزارش ها، تشکل های رسانه ای، آموزش های خیابانی و تأسیس سایت اینترنتی اینجر دورکس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امور مربوط به توسعه اجتماعی، تشویق کارگران آسیب دیده به دفاع از خویش از طریق ایجاد گروه های همتایان حمایتی و با استفاده از آموزش مهارت های رهبری به آنان، با استفاده از مدارس سخنوری </w:t>
      </w:r>
      <w:r>
        <w:rPr>
          <w:rStyle w:val="FootnoteAnchor"/>
          <w:rtl w:val="true"/>
        </w:rPr>
        <w:footnoteReference w:id="14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از تمامی این امور و فعالیت</w:t>
      </w:r>
    </w:p>
    <w:p>
      <w:pPr>
        <w:pStyle w:val="BookText"/>
        <w:rPr/>
      </w:pPr>
      <w:r>
        <w:rPr>
          <w:rFonts w:ascii="IRNazanin" w:hAnsi="IRNazanin" w:eastAsia="IRNazanin"/>
          <w:color w:val="111111"/>
          <w:sz w:val="28"/>
          <w:sz w:val="28"/>
          <w:szCs w:val="28"/>
          <w:rtl w:val="true"/>
          <w:lang w:bidi="fa-IR"/>
        </w:rPr>
        <w:t xml:space="preserve">های موسسه حمایت می کند و معمولاً به مشکلات از دیدی متفاوت با مطالعات معمول و با تمرکزی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به شکلی فعال در مطالعات اشتراکی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درگیر می باشند، یک نمونه جدید آن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اتحادیه اقدام پژوهی عواقب ناشی از مصدومیت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ای ای سی دبلیو آی</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در الگوی درمانگاه حقوقی اجتماعی، کارگران مصدوم نه تنها به عنوان موکلین، بلکه اعضای فعال و نقش آفرینان تمامی امور، از اصلاحات قانونی گرفته تا پژوهش، قلمداد می شوند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تنش های میان نظام حقوقی و جامعه کارگران آسیب دیده موجب صدمه به تبادل اطلاعات مورد نیاز کارکنان آی دبلیو 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و جامعه کارگران آسیب دیده از فعالیت های اجتماعی مختلفی اطلاعات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حقوقی توسط واژگان مربوط به پرونده های قانون گذاری؛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حساب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پرونده ها و مکاتبات دبلیو اس آی بی نظیر تقاضاهای کارگران آسیب دیده تحت فشار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کارگران آسیب دیده تحت تأثیر ائتلافی برای رسیدن به عدالت اجتماعی و احقاق عادلانه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دایره واژگان نمایان کننده این تفاوت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مکتوب، نظیر نامه هایی که دبلیو سی بی برای کارگران آسیب دیده ارسال می کند، سرشار از موارد و موضوعات متنوع و نامرتبطی است که می بایست به زبان انگلیسی سلیس ترجمه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w:t>
      </w:r>
      <w:bookmarkStart w:id="1347" w:name="pg9659_94314"/>
    </w:p>
    <w:p>
      <w:pPr>
        <w:pStyle w:val="BookText"/>
        <w:rPr/>
      </w:pPr>
      <w:bookmarkEnd w:id="1347"/>
      <w:r>
        <w:rPr>
          <w:rFonts w:ascii="IRNazanin" w:hAnsi="IRNazanin" w:eastAsia="IRNazanin"/>
          <w:color w:val="111111"/>
          <w:sz w:val="28"/>
          <w:sz w:val="28"/>
          <w:szCs w:val="28"/>
          <w:rtl w:val="true"/>
          <w:lang w:bidi="fa-IR"/>
        </w:rPr>
        <w:t>حقوقی در عمل و با توجه به خصوصیت فنی شان، معمولاً مبهم و نامفهوم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کلمات حتی برای افراد انگلیسی زبان نیز دشوار است؛ اگرچه به نظر واضح می رسند ولی معمولاً گمراه کننده اند تا آن جا که حتی فهم حداقلی نظام هم می تواند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واژه ها نیز ممکن است حاوی خطاها یا مفاهیم منفی برای کارگران آسیب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قالب های حقوقی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 xml:space="preserve">تنظیم شده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ها نشان می دهند که کارکنان آی دبلیو سی بر آن تأکید دارند که مشکلات می بایست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کارگران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نام های به ویژه متنوع مورد استفاده و یکی از هجوهای نمایشی آموزشی آی دبلیو سی این مطلب را بهتر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دبلیو سی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حقی برای نل یا فل یا لمپر </w:t>
      </w:r>
      <w:r>
        <w:rPr>
          <w:rStyle w:val="FootnoteAnchor"/>
          <w:rtl w:val="true"/>
        </w:rPr>
        <w:footnoteReference w:id="1419"/>
      </w:r>
      <w:r>
        <w:rPr>
          <w:rFonts w:ascii="IRNazanin" w:hAnsi="IRNazanin" w:eastAsia="IRNazanin"/>
          <w:color w:val="111111"/>
          <w:sz w:val="28"/>
          <w:sz w:val="28"/>
          <w:szCs w:val="28"/>
          <w:rtl w:val="true"/>
          <w:lang w:bidi="fa-IR"/>
        </w:rPr>
        <w:t xml:space="preserve">جهت ثبت تی تی </w:t>
      </w:r>
      <w:r>
        <w:rPr>
          <w:rStyle w:val="FootnoteAnchor"/>
          <w:rtl w:val="true"/>
        </w:rPr>
        <w:footnoteReference w:id="1420"/>
      </w:r>
      <w:r>
        <w:rPr>
          <w:rFonts w:ascii="IRNazanin" w:hAnsi="IRNazanin" w:eastAsia="IRNazanin"/>
          <w:color w:val="111111"/>
          <w:sz w:val="28"/>
          <w:sz w:val="28"/>
          <w:szCs w:val="28"/>
          <w:rtl w:val="true"/>
          <w:lang w:bidi="fa-IR"/>
        </w:rPr>
        <w:t xml:space="preserve">نیست، چرا که فای </w:t>
      </w:r>
      <w:r>
        <w:rPr>
          <w:rStyle w:val="FootnoteAnchor"/>
          <w:rtl w:val="true"/>
        </w:rPr>
        <w:footnoteReference w:id="1421"/>
      </w:r>
      <w:r>
        <w:rPr>
          <w:rFonts w:ascii="IRNazanin" w:hAnsi="IRNazanin" w:eastAsia="IRNazanin"/>
          <w:color w:val="111111"/>
          <w:sz w:val="28"/>
          <w:sz w:val="28"/>
          <w:szCs w:val="28"/>
          <w:rtl w:val="true"/>
          <w:lang w:bidi="fa-IR"/>
        </w:rPr>
        <w:t xml:space="preserve">از رِک، ام ال دی </w:t>
      </w:r>
      <w:r>
        <w:rPr>
          <w:rStyle w:val="FootnoteAnchor"/>
          <w:rtl w:val="true"/>
        </w:rPr>
        <w:footnoteReference w:id="1422"/>
      </w:r>
      <w:r>
        <w:rPr>
          <w:rFonts w:ascii="IRNazanin" w:hAnsi="IRNazanin" w:eastAsia="IRNazanin"/>
          <w:color w:val="111111"/>
          <w:sz w:val="28"/>
          <w:sz w:val="28"/>
          <w:szCs w:val="28"/>
          <w:rtl w:val="true"/>
          <w:lang w:bidi="fa-IR"/>
        </w:rPr>
        <w:t xml:space="preserve">در ام ام آر </w:t>
      </w:r>
      <w:r>
        <w:rPr>
          <w:rStyle w:val="FootnoteAnchor"/>
          <w:rtl w:val="true"/>
        </w:rPr>
        <w:footnoteReference w:id="1423"/>
      </w:r>
      <w:r>
        <w:rPr>
          <w:rFonts w:ascii="IRNazanin" w:hAnsi="IRNazanin" w:eastAsia="IRNazanin"/>
          <w:color w:val="111111"/>
          <w:sz w:val="28"/>
          <w:sz w:val="28"/>
          <w:szCs w:val="28"/>
          <w:rtl w:val="true"/>
          <w:lang w:bidi="fa-IR"/>
        </w:rPr>
        <w:t>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کمر شما شکسته باشد، ولی عقیده ما بر آن است که شما توان انجام کار توسط سایر اندام های بدن خود را دارا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مصاحبه ها تصمیم بر آن شد واژه هایی در نظر گرفته شود که نیازهای مربوط به اصطلاح نامه نظیر نامه ها، دادخواست ها و تقاضاها مدنظر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مدخل اصطلاح نامه نشان دهنده مشکلات مختلفی است که در یک طرح در نظر گرفته می شوند</w:t>
      </w:r>
      <w:r>
        <w:rPr>
          <w:rFonts w:eastAsia="IRNazanin" w:cs="IRNazanin"/>
          <w:color w:val="111111"/>
          <w:sz w:val="28"/>
          <w:szCs w:val="28"/>
          <w:rtl w:val="true"/>
          <w:lang w:bidi="fa-IR"/>
        </w:rPr>
        <w:t>.</w:t>
      </w:r>
    </w:p>
    <w:p>
      <w:pPr>
        <w:pStyle w:val="Heading3"/>
        <w:numPr>
          <w:ilvl w:val="2"/>
          <w:numId w:val="1"/>
        </w:numPr>
        <w:rPr/>
      </w:pPr>
      <w:bookmarkStart w:id="1348" w:name="__RefHeading___Toc7826215_2870459653"/>
      <w:bookmarkStart w:id="1349" w:name="_Toc502"/>
      <w:bookmarkEnd w:id="1348"/>
      <w:r>
        <w:rPr>
          <w:rtl w:val="true"/>
        </w:rPr>
        <w:t>نمونه ای از مدخل اصطلاح نامه</w:t>
      </w:r>
      <w:r>
        <w:rPr>
          <w:rtl w:val="true"/>
        </w:rPr>
        <w:t xml:space="preserve">: </w:t>
      </w:r>
      <w:r>
        <w:rPr>
          <w:rtl w:val="true"/>
        </w:rPr>
        <w:t>هیئت احقاق حقوق کارگران انتاریو</w:t>
      </w:r>
      <w:bookmarkEnd w:id="1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 از مدخل اصطلاح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احقاق حقوق کارگران انتاریو </w:t>
      </w:r>
      <w:r>
        <w:rPr>
          <w:rStyle w:val="FootnoteAnchor"/>
          <w:rtl w:val="true"/>
        </w:rPr>
        <w:footnoteReference w:id="142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مدخل برای مدیریت احقاق حقوق کارگران در انتاریو دو واژه سرنام را باهم ترکیب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دبلیو سی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جبران خسارت کارگران که سرنام شکل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سرنام که در آزمون هم بستگی واژه نیز تأیید شده است، در هنگام بحث در خصوص اسامی جدید و قدیمی، به شدت مورد استفاده کارکنان در محاورات غیر رسمی شان است که معمولاً توسط جامعه کارگران آسیب دیده </w:t>
      </w:r>
      <w:bookmarkStart w:id="1350" w:name="pg9659_94315"/>
    </w:p>
    <w:p>
      <w:pPr>
        <w:pStyle w:val="BookText"/>
        <w:rPr/>
      </w:pPr>
      <w:bookmarkEnd w:id="1350"/>
      <w:r>
        <w:rPr>
          <w:rFonts w:ascii="IRNazanin" w:hAnsi="IRNazanin" w:eastAsia="IRNazanin"/>
          <w:color w:val="111111"/>
          <w:sz w:val="28"/>
          <w:sz w:val="28"/>
          <w:szCs w:val="28"/>
          <w:rtl w:val="true"/>
          <w:lang w:bidi="fa-IR"/>
        </w:rPr>
        <w:t>استفاده شده و برای تمامی مخاطبین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دبلیو سی بی معمولاً برای اسامی متنوع هیئت های احقاق حقوق ایالتی کانادایی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سرنامی که برای نام فعلی هیئت استفاده می شود، دبلیو اس آی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بیمه و حفاظت کارگران به عنوان واژه راهنمای مجموعه ای واحد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دو سر نام، نشان دهنده تمایل موسسه به استفاده از نام اول هیئت حمایتی برای عمل یا همان احقاق حقوق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 چنین می تواند از خطای ناشی از جنسیت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کمِنز</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ناشی می شود نیز پیشگیری کرده و به جستجوگران اجازه می دهد که تحت اسامی مختلف مجموعه اطلاعات موردنیاز خود را به آسانی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استفاده از فضای خالی به جای اسلش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سرنام ها امکان تغییرات مورد نیاز نرم افزار خودکار کتاب خانه ای را در فاصله گذاری و نقطه گذاری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های جدید و قدیمی نام کامل به عنوان موارد یو اف </w:t>
      </w:r>
      <w:r>
        <w:rPr>
          <w:rStyle w:val="FootnoteAnchor"/>
          <w:rtl w:val="true"/>
        </w:rPr>
        <w:footnoteReference w:id="1426"/>
      </w:r>
      <w:r>
        <w:rPr>
          <w:rFonts w:ascii="IRNazanin" w:hAnsi="IRNazanin" w:eastAsia="IRNazanin"/>
          <w:color w:val="111111"/>
          <w:sz w:val="28"/>
          <w:sz w:val="28"/>
          <w:szCs w:val="28"/>
          <w:rtl w:val="true"/>
          <w:lang w:bidi="fa-IR"/>
        </w:rPr>
        <w:t>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یادداشت نسبتاً طولانی می تواند اطلاعات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پژوهشگران و فهرست نویسان 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 و بستری از ارتباطات مفهومی را فراهم آورد</w:t>
      </w:r>
      <w:r>
        <w:rPr>
          <w:rFonts w:eastAsia="IRNazanin" w:cs="IRNazanin"/>
          <w:color w:val="111111"/>
          <w:sz w:val="28"/>
          <w:szCs w:val="28"/>
          <w:rtl w:val="true"/>
          <w:lang w:bidi="fa-IR"/>
        </w:rPr>
        <w:t>.</w:t>
      </w:r>
    </w:p>
    <w:p>
      <w:pPr>
        <w:pStyle w:val="Heading3"/>
        <w:numPr>
          <w:ilvl w:val="2"/>
          <w:numId w:val="1"/>
        </w:numPr>
        <w:rPr/>
      </w:pPr>
      <w:bookmarkStart w:id="1351" w:name="__RefHeading___Toc7826217_2870459653"/>
      <w:bookmarkStart w:id="1352" w:name="_Toc503"/>
      <w:bookmarkEnd w:id="1351"/>
      <w:r>
        <w:rPr>
          <w:rtl w:val="true"/>
        </w:rPr>
        <w:t>دبلیو سی بی دبلیو اس آی بی</w:t>
      </w:r>
      <w:bookmarkEnd w:id="1352"/>
    </w:p>
    <w:p>
      <w:pPr>
        <w:pStyle w:val="BookText"/>
        <w:rPr/>
      </w:pPr>
      <w:r>
        <w:rPr>
          <w:rFonts w:ascii="IRNazanin" w:hAnsi="IRNazanin" w:eastAsia="IRNazanin"/>
          <w:color w:val="111111"/>
          <w:sz w:val="28"/>
          <w:sz w:val="28"/>
          <w:szCs w:val="28"/>
          <w:rtl w:val="true"/>
          <w:lang w:bidi="fa-IR"/>
        </w:rPr>
        <w:t xml:space="preserve">اس ان </w:t>
      </w:r>
      <w:r>
        <w:rPr>
          <w:rStyle w:val="FootnoteAnchor"/>
          <w:rtl w:val="true"/>
        </w:rPr>
        <w:footnoteReference w:id="1427"/>
      </w:r>
      <w:r>
        <w:rPr>
          <w:rFonts w:ascii="IRNazanin" w:hAnsi="IRNazanin" w:eastAsia="IRNazanin"/>
          <w:color w:val="111111"/>
          <w:sz w:val="28"/>
          <w:sz w:val="28"/>
          <w:szCs w:val="28"/>
          <w:rtl w:val="true"/>
          <w:lang w:bidi="fa-IR"/>
        </w:rPr>
        <w:t xml:space="preserve">واژه ور کمنز </w:t>
      </w:r>
      <w:r>
        <w:rPr>
          <w:rStyle w:val="FootnoteAnchor"/>
          <w:rtl w:val="true"/>
        </w:rPr>
        <w:footnoteReference w:id="142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ورکس </w:t>
      </w:r>
      <w:r>
        <w:rPr>
          <w:rStyle w:val="FootnoteAnchor"/>
          <w:rtl w:val="true"/>
        </w:rPr>
        <w:footnoteReference w:id="1429"/>
      </w:r>
      <w:r>
        <w:rPr>
          <w:rFonts w:ascii="IRNazanin" w:hAnsi="IRNazanin" w:eastAsia="IRNazanin"/>
          <w:color w:val="111111"/>
          <w:sz w:val="28"/>
          <w:sz w:val="28"/>
          <w:szCs w:val="28"/>
          <w:rtl w:val="true"/>
          <w:lang w:bidi="fa-IR"/>
        </w:rPr>
        <w:t xml:space="preserve">؛ در سند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مدیره بیمه و امنیت کارگران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تصمیم گیری، خط مشی و موارد ویژه به انتاریو کامپِنسیشن بورد اضافه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ورکس کامپِنسیشن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ماده مربوط به نظام احقاق حقوق و به طور کلی برای هیئت های تأیید صلاحیت ارجحیت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 اف انتاریو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ورکس کامپِنسیشن بورد</w:t>
      </w:r>
    </w:p>
    <w:p>
      <w:pPr>
        <w:pStyle w:val="BookText"/>
        <w:rPr/>
      </w:pPr>
      <w:r>
        <w:rPr>
          <w:rFonts w:ascii="IRNazanin" w:hAnsi="IRNazanin" w:eastAsia="IRNazanin"/>
          <w:color w:val="111111"/>
          <w:sz w:val="28"/>
          <w:sz w:val="28"/>
          <w:szCs w:val="28"/>
          <w:rtl w:val="true"/>
          <w:lang w:bidi="fa-IR"/>
        </w:rPr>
        <w:t>انتاریو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 کمنز کامپِنسیشن بورد</w:t>
      </w:r>
    </w:p>
    <w:p>
      <w:pPr>
        <w:pStyle w:val="BookText"/>
        <w:rPr/>
      </w:pPr>
      <w:r>
        <w:rPr>
          <w:rFonts w:ascii="IRNazanin" w:hAnsi="IRNazanin" w:eastAsia="IRNazanin"/>
          <w:color w:val="111111"/>
          <w:sz w:val="28"/>
          <w:sz w:val="28"/>
          <w:szCs w:val="28"/>
          <w:rtl w:val="true"/>
          <w:lang w:bidi="fa-IR"/>
        </w:rPr>
        <w:t>انتاریو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ورکپِلیس سیفتی اند اینشورنس بورد</w:t>
      </w:r>
    </w:p>
    <w:p>
      <w:pPr>
        <w:pStyle w:val="Heading3"/>
        <w:numPr>
          <w:ilvl w:val="2"/>
          <w:numId w:val="1"/>
        </w:numPr>
        <w:rPr/>
      </w:pPr>
      <w:bookmarkStart w:id="1353" w:name="__RefHeading___Toc7826219_2870459653"/>
      <w:bookmarkStart w:id="1354" w:name="_Toc504"/>
      <w:bookmarkEnd w:id="1353"/>
      <w:r>
        <w:rPr>
          <w:rtl w:val="true"/>
        </w:rPr>
        <w:t>اقدامات بعدی</w:t>
      </w:r>
      <w:bookmarkEnd w:id="135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اکثر اصطلاح نامه ها، اصطلاح نامه آی دبلیو سی مجموعه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بتای دائمی</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 xml:space="preserve">یا تجدید نظر </w:t>
      </w:r>
      <w:bookmarkStart w:id="1355" w:name="pg9659_94316"/>
    </w:p>
    <w:p>
      <w:pPr>
        <w:pStyle w:val="BookText"/>
        <w:rPr/>
      </w:pPr>
      <w:bookmarkEnd w:id="1355"/>
      <w:r>
        <w:rPr>
          <w:rFonts w:ascii="IRNazanin" w:hAnsi="IRNazanin" w:eastAsia="IRNazanin"/>
          <w:color w:val="111111"/>
          <w:sz w:val="28"/>
          <w:sz w:val="28"/>
          <w:szCs w:val="28"/>
          <w:rtl w:val="true"/>
          <w:lang w:bidi="fa-IR"/>
        </w:rPr>
        <w:t xml:space="preserve">همیشگی است یک فرم پیشنهادی طراحی شده بر اساس فرم مورد استفاده کمیته استانداردهای کتاب شناسی آر بی ام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 آر 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شامل اسناد و آموزش هایی به کاربران است که ترجیح داده می شود بازخورد آن به روشی غیر رسمی، از طریق پست الکترونیکی یا شخصاً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یک سال پس از تکمیل اصطلاح نامه، یک بررسی از کاربران موسسه انجام شد و در حال حاضر در حال انجام بررسی جامع تری با استفاده از روش های ارزشیابی شرح داده شده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های عملی موجود برای بهبود ظاهر و یک پارچه سازی پژوهش، همان طور که به تازگی در پژوهش توانمندسازی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نیز مطالعه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اصطلاح نامه آی دبلیو سی به صورت آماری و تنها در قالب پی دی اف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بارگذاری و چاپ این اطلاعات به سادگی امکان پذیر است، یک نسخه تعاملی می تواند امکاناتی کاربر مدارتر برای امکان ارجاع سریع را برای پژوهشگران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دبلیو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امکان ارائه ایکس ام ال در قالب وُكمِل </w:t>
      </w:r>
      <w:r>
        <w:rPr>
          <w:rStyle w:val="FootnoteAnchor"/>
          <w:rtl w:val="true"/>
        </w:rPr>
        <w:footnoteReference w:id="1433"/>
      </w:r>
      <w:r>
        <w:rPr>
          <w:rFonts w:ascii="IRNazanin" w:hAnsi="IRNazanin" w:eastAsia="IRNazanin"/>
          <w:color w:val="111111"/>
          <w:sz w:val="28"/>
          <w:sz w:val="28"/>
          <w:szCs w:val="28"/>
          <w:rtl w:val="true"/>
          <w:lang w:bidi="fa-IR"/>
        </w:rPr>
        <w:t>يا جاوا اسکریپت است، هر چند که امکان مرتب سازی اطلاعات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برنامه آن توسط دی و رسی </w:t>
      </w:r>
      <w:r>
        <w:rPr>
          <w:rStyle w:val="FootnoteAnchor"/>
          <w:rtl w:val="true"/>
        </w:rPr>
        <w:footnoteReference w:id="1434"/>
      </w:r>
      <w:r>
        <w:rPr>
          <w:rFonts w:ascii="IRNazanin" w:hAnsi="IRNazanin" w:eastAsia="IRNazanin"/>
          <w:color w:val="111111"/>
          <w:sz w:val="28"/>
          <w:sz w:val="28"/>
          <w:szCs w:val="28"/>
          <w:rtl w:val="true"/>
          <w:lang w:bidi="fa-IR"/>
        </w:rPr>
        <w:t xml:space="preserve">، السن </w:t>
      </w:r>
      <w:r>
        <w:rPr>
          <w:rStyle w:val="FootnoteAnchor"/>
          <w:rtl w:val="true"/>
        </w:rPr>
        <w:footnoteReference w:id="1435"/>
      </w:r>
      <w:r>
        <w:rPr>
          <w:rFonts w:ascii="IRNazanin" w:hAnsi="IRNazanin" w:eastAsia="IRNazanin"/>
          <w:color w:val="111111"/>
          <w:sz w:val="28"/>
          <w:sz w:val="28"/>
          <w:szCs w:val="28"/>
          <w:rtl w:val="true"/>
          <w:lang w:bidi="fa-IR"/>
        </w:rPr>
        <w:t xml:space="preserve">، گرگوری </w:t>
      </w:r>
      <w:r>
        <w:rPr>
          <w:rStyle w:val="FootnoteAnchor"/>
          <w:rtl w:val="true"/>
        </w:rPr>
        <w:footnoteReference w:id="1436"/>
      </w:r>
      <w:r>
        <w:rPr>
          <w:rFonts w:ascii="IRNazanin" w:hAnsi="IRNazanin" w:eastAsia="IRNazanin"/>
          <w:color w:val="111111"/>
          <w:sz w:val="28"/>
          <w:sz w:val="28"/>
          <w:szCs w:val="28"/>
          <w:rtl w:val="true"/>
          <w:lang w:bidi="fa-IR"/>
        </w:rPr>
        <w:t xml:space="preserve">و هانسن </w:t>
      </w:r>
      <w:r>
        <w:rPr>
          <w:rStyle w:val="FootnoteAnchor"/>
          <w:rtl w:val="true"/>
        </w:rPr>
        <w:footnoteReference w:id="1437"/>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دیگر آن شامل تیماترز </w:t>
      </w:r>
      <w:r>
        <w:rPr>
          <w:rStyle w:val="FootnoteAnchor"/>
          <w:rtl w:val="true"/>
        </w:rPr>
        <w:footnoteReference w:id="1438"/>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Style w:val="FootnoteAnchor"/>
          <w:rtl w:val="true"/>
        </w:rPr>
        <w:footnoteReference w:id="1439"/>
      </w:r>
      <w:r>
        <w:rPr>
          <w:rFonts w:ascii="IRNazanin" w:hAnsi="IRNazanin" w:eastAsia="IRNazanin"/>
          <w:color w:val="111111"/>
          <w:sz w:val="28"/>
          <w:sz w:val="28"/>
          <w:szCs w:val="28"/>
          <w:rtl w:val="true"/>
          <w:lang w:bidi="fa-IR"/>
        </w:rPr>
        <w:t xml:space="preserve">یا مولتیتس پرو </w:t>
      </w:r>
      <w:r>
        <w:rPr>
          <w:rStyle w:val="FootnoteAnchor"/>
          <w:rtl w:val="true"/>
        </w:rPr>
        <w:footnoteReference w:id="1440"/>
      </w:r>
      <w:r>
        <w:rPr>
          <w:rFonts w:ascii="IRNazanin" w:hAnsi="IRNazanin" w:eastAsia="IRNazanin"/>
          <w:color w:val="111111"/>
          <w:sz w:val="28"/>
          <w:sz w:val="28"/>
          <w:szCs w:val="28"/>
          <w:rtl w:val="true"/>
          <w:lang w:bidi="fa-IR"/>
        </w:rPr>
        <w:t>است که ابزاری نسبتاً ساده و کم هزینه برای تهیه نسخه های اچ تی ام ال با امکان نمایش کامل اطلاعات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امکان جستجوی یکپارچه ما در حال اجرای اختصاصی کردن واسط جستجوی فهرست مِنيسس 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Style w:val="FootnoteAnchor"/>
          <w:rtl w:val="true"/>
        </w:rPr>
        <w:footnoteReference w:id="1441"/>
      </w:r>
      <w:r>
        <w:rPr>
          <w:rFonts w:ascii="IRNazanin" w:hAnsi="IRNazanin" w:eastAsia="IRNazanin"/>
          <w:color w:val="111111"/>
          <w:sz w:val="28"/>
          <w:sz w:val="28"/>
          <w:szCs w:val="28"/>
          <w:rtl w:val="true"/>
          <w:lang w:bidi="fa-IR"/>
        </w:rPr>
        <w:t>به منظور افزایش کارکرد جستجوی اصطلاح نامه آن ها هستیم</w:t>
      </w:r>
      <w:r>
        <w:rPr>
          <w:rFonts w:eastAsia="IRNazanin" w:cs="IRNazanin"/>
          <w:color w:val="111111"/>
          <w:sz w:val="28"/>
          <w:szCs w:val="28"/>
          <w:rtl w:val="true"/>
          <w:lang w:bidi="fa-IR"/>
        </w:rPr>
        <w:t>.</w:t>
      </w:r>
    </w:p>
    <w:p>
      <w:pPr>
        <w:pStyle w:val="Heading3"/>
        <w:numPr>
          <w:ilvl w:val="2"/>
          <w:numId w:val="1"/>
        </w:numPr>
        <w:rPr/>
      </w:pPr>
      <w:bookmarkStart w:id="1356" w:name="__RefHeading___Toc7826221_2870459653"/>
      <w:bookmarkStart w:id="1357" w:name="_Toc505"/>
      <w:bookmarkEnd w:id="1356"/>
      <w:r>
        <w:rPr>
          <w:rtl w:val="true"/>
        </w:rPr>
        <w:t>نتیجه گیری</w:t>
      </w:r>
      <w:bookmarkEnd w:id="135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بالا بررسی شد، کتاب خانه آی دبلیو سی کتاب خانه ای کوچک و تخصصی است که توسط یک کتاب دار داوطلب خدماتش را ارائه می دهد، در حالی که دایره واژگان کنترل شده ی فهرست آن بسیار تخصصی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عملیاتی مربوط به توسعه اصطلاح نامه و ارزیابی آن می بایست در </w:t>
      </w:r>
    </w:p>
    <w:p>
      <w:pPr>
        <w:pStyle w:val="BookText"/>
        <w:rPr/>
      </w:pPr>
      <w:r>
        <w:rPr>
          <w:rFonts w:ascii="IRNazanin" w:hAnsi="IRNazanin" w:eastAsia="IRNazanin"/>
          <w:color w:val="111111"/>
          <w:sz w:val="28"/>
          <w:sz w:val="28"/>
          <w:szCs w:val="28"/>
          <w:rtl w:val="true"/>
          <w:lang w:bidi="fa-IR"/>
        </w:rPr>
        <w:t>قالب سازمانی اجتماعی که تعداد کارکنان کم، محیطی مشارکتی و منابع محدودی دارد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تحلیل کارشناختی، روش شناسی ای را ارائه می دهد که به خوبی با فرهنگ سازمانی آی دبلیو سی و اندازه آن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قادر به اجرای مصاحبه هایی طبقه بندی شده با کاربران و برگزاری آزمون های هم بستگی واژه بر مبنای موارد مهم سی دبلیو ای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وجود آن که اکثر کارکنان آی دبلیو سی در بسیاری از فعالیت های ارزیابی اصطلاح نامه مشارکت داشته اند، تعداد شرکت کنندگان از لحاظ آماری به اندازه کافی زیاد نبوده است و هم چنین واژه های مورد بررسی نیز کم بوده است که قبلاً به این مسئله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همان طور که مصاحبه ها و آزمون های هم بستگی واژه به روشنی نشان دهنده تنش های نظری فراگیر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آی دبلیوسی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دبلیو اس آی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ارائه راه حل ها و پیشنهادهای بی شمار برای واژه های یکسان و گروه های واژه ای مختلف است، ارزیابی اصطلاح نامه نیز ارزش های کیفی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چنین متوجه شدیم به منظور استفاده هرچه بیشتر از فنون سی دبلیو ای نمونه ی تهیه شده می تواند بسیار کوچک باشد و بدین منظور اقدام به طراحی یک فعالیت دیگر سی دبلیو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سلسله مراتبی</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برای یک مورد مشخص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کارکنان آی دبلیو سی خواسته شد کلمات مترادف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را ذکر و آن ها را به صورت سلسله مراتبی مرتب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عمل، واژه های واضحی را نمایان ساخت و ترکیبات جالبی را به وجود آورد، نتایج حاصله آشفته تر از آن بودند که مبنایی برای تصمیمات عملی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اگرچه فنون سی دبلیو ای به خوبی قابل اندازه گیری اند، اما حد پایینی برای این اندازه 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 دسترسی به منابع لازم برای طراحی و برگزاری مصاحبه های مبتنی بر سی دبلیو ای بیشتر، آزمون های هم بستگی واژه و فعالیت های سلسله مراتبی بیشتری را داشتیم، می توانستیم به طور موثر از آن به عنوان یک ابزار ارزیابی معمول استفاده کنیم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ارزیابی اصطلاح نامه به خوبی با فرهنگ سازمانی هم کاری موجود در آی دبلیو سی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 در فضای احترام متقابل، بحث های باز و خلاقیت و نوآوری و در حضور نقاشی های کارتونی و یک ظرف شکلات طراحی و اجرا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های کاری و فعالیت های گروهی، به عنوان یک روش، غیر بروکراتیک، فعالیت محور و درگیر کننده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خوبی، به عنوان یک فصل آموزشی پذیرفته شدند و بررسی های تکمیلی نیز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مطالعه انجام شده بر روی فنون ارزیابی اصطلاح نامه مفید و قابل استفاده در سایر محیط ها باشد</w:t>
      </w:r>
      <w:r>
        <w:rPr>
          <w:rFonts w:eastAsia="IRNazanin" w:cs="IRNazanin"/>
          <w:color w:val="111111"/>
          <w:sz w:val="28"/>
          <w:szCs w:val="28"/>
          <w:rtl w:val="true"/>
          <w:lang w:bidi="fa-IR"/>
        </w:rPr>
        <w:t xml:space="preserve">. </w:t>
      </w:r>
      <w:bookmarkStart w:id="1358" w:name="pg9659_94318"/>
    </w:p>
    <w:p>
      <w:pPr>
        <w:pStyle w:val="Heading3"/>
        <w:numPr>
          <w:ilvl w:val="2"/>
          <w:numId w:val="1"/>
        </w:numPr>
        <w:rPr/>
      </w:pPr>
      <w:bookmarkStart w:id="1359" w:name="__RefHeading___Toc7826223_2870459653"/>
      <w:bookmarkStart w:id="1360" w:name="_Toc506"/>
      <w:bookmarkEnd w:id="1358"/>
      <w:bookmarkEnd w:id="1359"/>
      <w:r>
        <w:rPr>
          <w:rtl w:val="true"/>
        </w:rPr>
        <w:t>تشکر و قدردانی</w:t>
      </w:r>
      <w:bookmarkEnd w:id="1360"/>
    </w:p>
    <w:p>
      <w:pPr>
        <w:pStyle w:val="BookText"/>
        <w:rPr/>
      </w:pP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مای </w:t>
      </w:r>
      <w:r>
        <w:rPr>
          <w:rStyle w:val="FootnoteAnchor"/>
          <w:rtl w:val="true"/>
        </w:rPr>
        <w:footnoteReference w:id="1444"/>
      </w:r>
      <w:r>
        <w:rPr>
          <w:rFonts w:ascii="IRNazanin" w:hAnsi="IRNazanin" w:eastAsia="IRNazanin"/>
          <w:color w:val="111111"/>
          <w:sz w:val="28"/>
          <w:sz w:val="28"/>
          <w:szCs w:val="28"/>
          <w:rtl w:val="true"/>
          <w:lang w:bidi="fa-IR"/>
        </w:rPr>
        <w:t>توصیه ها و رهنمودهایی در خصوص فنون تحلیل کارشناختی در ارزیابی اصطلاح نامه برای نویسندگان ارائه کرد؛ تمامی مسئولیت تحلیل ها و نتایج آن متوجه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ابتدایی از این پژوهش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یادداشت دامنه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استعاره ها در خاطرات سازمانی</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 xml:space="preserve">در همایش دانشجویان فارغ التحصیل ها وزینگ مموری </w:t>
      </w:r>
      <w:r>
        <w:rPr>
          <w:rStyle w:val="FootnoteAnchor"/>
          <w:rtl w:val="true"/>
        </w:rPr>
        <w:footnoteReference w:id="1446"/>
      </w:r>
      <w:r>
        <w:rPr>
          <w:rFonts w:ascii="IRNazanin" w:hAnsi="IRNazanin" w:eastAsia="IRNazanin"/>
          <w:color w:val="111111"/>
          <w:sz w:val="28"/>
          <w:sz w:val="28"/>
          <w:szCs w:val="28"/>
          <w:rtl w:val="true"/>
          <w:lang w:bidi="fa-IR"/>
        </w:rPr>
        <w:t xml:space="preserve">، دانشکده اطلاعات دانشگاه تورنتو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دانیلا آنسووینی </w:t>
      </w:r>
      <w:r>
        <w:rPr>
          <w:rStyle w:val="FootnoteAnchor"/>
          <w:rtl w:val="true"/>
        </w:rPr>
        <w:footnoteReference w:id="1448"/>
      </w:r>
      <w:r>
        <w:rPr>
          <w:rFonts w:ascii="IRNazanin" w:hAnsi="IRNazanin" w:eastAsia="IRNazanin"/>
          <w:color w:val="111111"/>
          <w:sz w:val="28"/>
          <w:sz w:val="28"/>
          <w:szCs w:val="28"/>
          <w:rtl w:val="true"/>
          <w:lang w:bidi="fa-IR"/>
        </w:rPr>
        <w:t>متن آن را قرائت و ما را از رهنمودهای ویراستاری خود بهره مند ساخت</w:t>
      </w:r>
      <w:r>
        <w:rPr>
          <w:rFonts w:eastAsia="IRNazanin" w:cs="IRNazanin"/>
          <w:color w:val="111111"/>
          <w:sz w:val="28"/>
          <w:szCs w:val="28"/>
          <w:rtl w:val="true"/>
          <w:lang w:bidi="fa-IR"/>
        </w:rPr>
        <w:t>.</w:t>
      </w:r>
    </w:p>
    <w:p>
      <w:pPr>
        <w:pStyle w:val="Heading3"/>
        <w:numPr>
          <w:ilvl w:val="2"/>
          <w:numId w:val="1"/>
        </w:numPr>
        <w:rPr/>
      </w:pPr>
      <w:bookmarkStart w:id="1361" w:name="__RefHeading___Toc7826225_2870459653"/>
      <w:bookmarkStart w:id="1362" w:name="_Toc507"/>
      <w:bookmarkEnd w:id="1361"/>
      <w:r>
        <w:rPr>
          <w:rtl w:val="true"/>
        </w:rPr>
        <w:t>منابع</w:t>
      </w:r>
      <w:bookmarkEnd w:id="1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Aitchison, J., Gilchrist, A., &amp; Bawden, D. (2000). Thesaurus construction and use: A practical manual. London: Aslib IMI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Association of College &amp; Research Libraries. Rare Books and Manuscripts Section. (2002) RBMS manual: Thesaurus construction and maintenance guidelines. Chicago: ACRL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Australia. National Occupational Health and Safety Commission. (2003). Australian occupational health and safety thesaurus. Sydney: National Occupational Health and Safety Commission</w:t>
      </w:r>
    </w:p>
    <w:p>
      <w:pPr>
        <w:pStyle w:val="BookText"/>
        <w:rPr/>
      </w:pPr>
      <w:r>
        <w:rPr>
          <w:rFonts w:eastAsia="Times New Roman" w:cs="Times New Roman" w:ascii="Times New Roman" w:hAnsi="Times New Roman"/>
          <w:color w:val="111111"/>
          <w:sz w:val="28"/>
          <w:szCs w:val="28"/>
          <w:lang w:val="en-US" w:bidi="en-US"/>
        </w:rPr>
        <w:t>De Vorsey, K. L., Elson, C., Gregorev, N. P., &amp; Hansen, J. (2006). The development of a local thesaurus to improve access to the anthropological collections of the American Museum of Natural History. D-Lib Magazine, 12(4). doi: 10.1045/april2006-devorsey</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Mai, J. (2008). Actors, domains, and constraints in the design and construction of controlled vocabularies. Knowledge Organization, 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Nielsen, M. L. (2004) Task-based evaluation of associative thesaurus in real-life environment. Proceedings of the American Society for Information Science and Technology, 41(1), 437-447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Nielsen, M. L. (2002). The word association method: A gateway to work-task based retrieval. Åbo: Åbo Akademi University Press</w:t>
      </w:r>
    </w:p>
    <w:p>
      <w:pPr>
        <w:pStyle w:val="BookText"/>
        <w:rPr/>
      </w:pPr>
      <w:r>
        <w:rPr>
          <w:rFonts w:eastAsia="Times New Roman" w:cs="Times New Roman" w:ascii="Times New Roman" w:hAnsi="Times New Roman"/>
          <w:color w:val="111111"/>
          <w:sz w:val="28"/>
          <w:szCs w:val="28"/>
          <w:lang w:val="en-US" w:bidi="en-US"/>
        </w:rPr>
        <w:t>Nielsen, M. L. (2001). A framework for work task based thesaurus design. Journal of Documentation, 57(6), 774-797.Mendelson, G. (2003)</w:t>
      </w:r>
    </w:p>
    <w:p>
      <w:pPr>
        <w:pStyle w:val="BookText"/>
        <w:rPr/>
      </w:pPr>
      <w:r>
        <w:rPr>
          <w:rFonts w:eastAsia="Times New Roman" w:cs="Times New Roman" w:ascii="Times New Roman" w:hAnsi="Times New Roman"/>
          <w:color w:val="111111"/>
          <w:sz w:val="28"/>
          <w:szCs w:val="28"/>
          <w:lang w:val="en-US" w:bidi="en-US"/>
        </w:rPr>
        <w:t>Outcome-related compensation: In search of a new paradigm. In P.W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Halligan, C. Bass, D.A. Oakley (Eds.), Malingering and illness deception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pp. 229-231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Shiri, A. (2012). Powering search: the role of thesauri in new information</w:t>
      </w:r>
    </w:p>
    <w:p>
      <w:pPr>
        <w:pStyle w:val="BookText"/>
        <w:rPr/>
      </w:pPr>
      <w:r>
        <w:rPr>
          <w:rFonts w:eastAsia="Times New Roman" w:cs="Times New Roman" w:ascii="Times New Roman" w:hAnsi="Times New Roman"/>
          <w:color w:val="111111"/>
          <w:sz w:val="28"/>
          <w:szCs w:val="28"/>
          <w:lang w:val="en-US" w:bidi="en-US"/>
        </w:rPr>
        <w:t>environments. Medford, NJ: Information Today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Vicente, K. J. (1999). Cognitive work analysis: Toward safe, productive, and healthy computer-based work. Mahwah, NJ: Lawrence Erlbaum</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Associates</w:t>
      </w:r>
      <w:r>
        <w:rPr>
          <w:rFonts w:eastAsia="Times New Roman" w:cs="Times New Roman" w:ascii="Times New Roman" w:hAnsi="Times New Roman"/>
          <w:color w:val="111111"/>
          <w:sz w:val="28"/>
          <w:szCs w:val="28"/>
          <w:rtl w:val="true"/>
          <w:lang w:val="en-US" w:bidi="en-US"/>
        </w:rPr>
        <w:t xml:space="preserve"> </w:t>
      </w:r>
      <w:bookmarkStart w:id="1363" w:name="pg9659_94320"/>
    </w:p>
    <w:p>
      <w:pPr>
        <w:pStyle w:val="Heading2"/>
        <w:numPr>
          <w:ilvl w:val="1"/>
          <w:numId w:val="1"/>
        </w:numPr>
        <w:rPr/>
      </w:pPr>
      <w:bookmarkStart w:id="1364" w:name="__RefHeading___Toc7826227_2870459653"/>
      <w:bookmarkStart w:id="1365" w:name="_Toc508"/>
      <w:bookmarkEnd w:id="1363"/>
      <w:bookmarkEnd w:id="1364"/>
      <w:r>
        <w:rPr>
          <w:rtl w:val="true"/>
        </w:rPr>
        <w:t>چکیده</w:t>
      </w:r>
      <w:bookmarkEnd w:id="1365"/>
    </w:p>
    <w:p>
      <w:pPr>
        <w:pStyle w:val="BookText"/>
        <w:rPr/>
      </w:pPr>
      <w:r>
        <w:rPr>
          <w:rFonts w:ascii="IRNazanin" w:hAnsi="IRNazanin" w:eastAsia="IRNazanin"/>
          <w:color w:val="111111"/>
          <w:sz w:val="28"/>
          <w:sz w:val="28"/>
          <w:szCs w:val="28"/>
          <w:rtl w:val="true"/>
          <w:lang w:bidi="fa-IR"/>
        </w:rPr>
        <w:t>افراد پیچیده هستند و بازنمایی آن ها در پیشینه های مستند کتاب خانه با وجود افزودن مشخصات جدید تحت قوانین آر دی اِی، بیش از پیش پیچیده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پژوهی حاضر، با استفاده از یک رویکرد طولی پیشینه های مستند از مرلین کلاستر </w:t>
      </w:r>
      <w:r>
        <w:rPr>
          <w:rStyle w:val="FootnoteAnchor"/>
          <w:rtl w:val="true"/>
        </w:rPr>
        <w:footnoteReference w:id="1449"/>
      </w:r>
      <w:r>
        <w:rPr>
          <w:rFonts w:ascii="IRNazanin" w:hAnsi="IRNazanin" w:eastAsia="IRNazanin"/>
          <w:color w:val="111111"/>
          <w:sz w:val="28"/>
          <w:sz w:val="28"/>
          <w:szCs w:val="28"/>
          <w:rtl w:val="true"/>
          <w:lang w:bidi="fa-IR"/>
        </w:rPr>
        <w:t xml:space="preserve">در کتاب خانه های دانشگاهی در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تصویب رسمی آر دی اِی برای ارزیابی روند استفاده فیلد مشخصات مورد بررسی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بررسی مشخص شده که بعد از یک سال فهرست نویسی بر اساس آر دی اِی، </w:t>
      </w:r>
      <w:r>
        <w:rPr>
          <w:rFonts w:eastAsia="IRNazanin" w:cs="IRNazanin"/>
          <w:color w:val="111111"/>
          <w:sz w:val="28"/>
          <w:szCs w:val="28"/>
          <w:lang w:bidi="fa-IR"/>
        </w:rPr>
        <w:t>87,58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اصلاً هیچ مشخصه ای ندارند، اما این درصد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از درصد مربوط به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های مستند بعد از یک سال حداقل یک مشخصه داشتند؛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یا چند مشخصه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مشخصات ثبت شده، تاریخ های ثبت شده در </w:t>
      </w:r>
      <w:r>
        <w:rPr>
          <w:rFonts w:eastAsia="IRNazanin" w:cs="IRNazanin"/>
          <w:color w:val="111111"/>
          <w:sz w:val="28"/>
          <w:szCs w:val="28"/>
          <w:lang w:bidi="fa-IR"/>
        </w:rPr>
        <w:t>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پیشینه های مستند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پیشینه هایی که پس از شش ماه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هایی که پس از یک سال بر اساس آر دی اِی فهرست نویسی شده اند، بیش از همه رایج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سرگذشتنامه ای یا تاریخچه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دیگری هستند که از نظر تعداد در رتبه بعدی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مشخصات استفاده شده اندک بوده و بیشتر روی انگلیسی زبانان، مردان و اطلاعات مربوط به دانشگاه ها متمرکز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تحلیل شاخص کیفی فراداده تکمیل مشخصات در پیشینه های مستند فرا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داده، در فرایند بررسی ابعاد جمعیت شناختی اشخاص در فایل مستند، مشاهدات غیر رسمی معدودی هم حاصل 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های مستند نام شخص، کیفیت فراداده، آر دی اِی، نمونه پژوهی </w:t>
      </w:r>
      <w:bookmarkStart w:id="1366" w:name="pg9659_94321"/>
    </w:p>
    <w:p>
      <w:pPr>
        <w:pStyle w:val="Heading2"/>
        <w:numPr>
          <w:ilvl w:val="1"/>
          <w:numId w:val="1"/>
        </w:numPr>
        <w:rPr/>
      </w:pPr>
      <w:bookmarkStart w:id="1367" w:name="__RefHeading___Toc7826229_2870459653"/>
      <w:bookmarkStart w:id="1368" w:name="_Toc509"/>
      <w:bookmarkEnd w:id="1366"/>
      <w:bookmarkEnd w:id="1367"/>
      <w:r>
        <w:rPr>
          <w:rtl w:val="true"/>
        </w:rPr>
        <w:t>نویسندگان و مستندات در نظام های کتاب خانه ای فرا آر</w:t>
      </w:r>
      <w:r>
        <w:rPr>
          <w:rtl w:val="true"/>
        </w:rPr>
        <w:t xml:space="preserve">. </w:t>
      </w:r>
      <w:r>
        <w:rPr>
          <w:rtl w:val="true"/>
        </w:rPr>
        <w:t>دی</w:t>
      </w:r>
      <w:r>
        <w:rPr>
          <w:rtl w:val="true"/>
        </w:rPr>
        <w:t xml:space="preserve">. </w:t>
      </w:r>
      <w:r>
        <w:rPr>
          <w:rtl w:val="true"/>
        </w:rPr>
        <w:t>ای</w:t>
      </w:r>
      <w:r>
        <w:rPr>
          <w:rtl w:val="true"/>
        </w:rPr>
        <w:t xml:space="preserve">.: </w:t>
      </w:r>
      <w:r>
        <w:rPr>
          <w:rtl w:val="true"/>
        </w:rPr>
        <w:t>نمونه پژوهی</w:t>
      </w:r>
      <w:bookmarkEnd w:id="1368"/>
    </w:p>
    <w:p>
      <w:pPr>
        <w:pStyle w:val="Heading3"/>
        <w:numPr>
          <w:ilvl w:val="2"/>
          <w:numId w:val="1"/>
        </w:numPr>
        <w:rPr/>
      </w:pPr>
      <w:bookmarkStart w:id="1369" w:name="__RefHeading___Toc7826231_2870459653"/>
      <w:bookmarkStart w:id="1370" w:name="_Toc510"/>
      <w:bookmarkEnd w:id="1369"/>
      <w:r>
        <w:rPr>
          <w:rtl w:val="true"/>
        </w:rPr>
        <w:t>اشاره</w:t>
      </w:r>
      <w:bookmarkEnd w:id="1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و مستندات در نظام های کتاب خانه ای فرا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پژوهی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نوشته هیئر لی مولیسون </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طاهره یعقوب پور نرگسی </w:t>
      </w:r>
      <w:r>
        <w:rPr>
          <w:rStyle w:val="FootnoteAnchor"/>
          <w:rtl w:val="true"/>
        </w:rPr>
        <w:footnoteReference w:id="1453"/>
      </w:r>
    </w:p>
    <w:p>
      <w:pPr>
        <w:pStyle w:val="Heading3"/>
        <w:numPr>
          <w:ilvl w:val="2"/>
          <w:numId w:val="1"/>
        </w:numPr>
        <w:rPr/>
      </w:pPr>
      <w:bookmarkStart w:id="1371" w:name="__RefHeading___Toc7826233_2870459653"/>
      <w:bookmarkStart w:id="1372" w:name="_Toc511"/>
      <w:bookmarkEnd w:id="1371"/>
      <w:r>
        <w:rPr>
          <w:rtl w:val="true"/>
        </w:rPr>
        <w:t>مقدمه</w:t>
      </w:r>
      <w:bookmarkEnd w:id="137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های فهرست نویسی کتاب خانه بر پایه توصیف و دسترسی منابع </w:t>
      </w:r>
      <w:r>
        <w:rPr>
          <w:rStyle w:val="FootnoteAnchor"/>
          <w:rtl w:val="true"/>
        </w:rPr>
        <w:footnoteReference w:id="1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پیشینه های مستند، برای کسب اطلاعات درباره هویت ها در دنیای کتاب شناختی،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های کتاب خانه ای در گذشته همواره روی ارائه اطلاعات درباره منابعی در مجموعه ها متمرکز بودند تا به بازیابی فوری آن 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منابع مستقل از اشخاصی نیستند که آن ها را خلق کرده اند و یا درباره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ملزومات کارکردی برای پیشینه های کتاب شناختی </w:t>
      </w:r>
      <w:r>
        <w:rPr>
          <w:rStyle w:val="FootnoteAnchor"/>
          <w:rtl w:val="true"/>
        </w:rPr>
        <w:footnoteReference w:id="1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آر بی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را اولین وظیفه کاربر با پشتیبانی مدل مفهومی اِف آر بی آر می داند که بعد از آن شناسایی، انتخاب و دستیابی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آر بی آر،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کارکردهای جستجو به کاربران فهرست کتاب خانه اجازه می دهد تا جستجوهای خود را نه تنها روی منابع کتاب خانه ای و مشخصات آن ها، بلکه </w:t>
      </w:r>
    </w:p>
    <w:p>
      <w:pPr>
        <w:pStyle w:val="BookText"/>
        <w:rPr/>
      </w:pPr>
      <w:r>
        <w:rPr>
          <w:rFonts w:ascii="IRNazanin" w:hAnsi="IRNazanin" w:eastAsia="IRNazanin"/>
          <w:color w:val="111111"/>
          <w:sz w:val="28"/>
          <w:sz w:val="28"/>
          <w:szCs w:val="28"/>
          <w:rtl w:val="true"/>
          <w:lang w:bidi="fa-IR"/>
        </w:rPr>
        <w:t>روی مشخصات و روابط بین اشخاص مرتبط، متمرکز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در عوض منجر به بازیابی منابع بر پایه معیارهایی می شود که کسی تاکنون به آن ها فکر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انتخاب مجموعه متون به زبان چینی توسط دندان پزشکان زن که شاعر هم هستند، با توجه به نظام های کتاب خانه ای فعلی یک رویا تلقی می شود، اما در آینده نزدیک یک چنین نظامی به تحقق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پیچیده هستند؛ این جمله کتمان حقیقت برای بیان این مطلب است که اشخاص آن قدر پیچیده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های کتاب خانه ای قادر به توصیف آن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در نظام های کتاب خانه ای به دو روش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زنجیره کاراکتر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شخصی که به عنوان یک نقطه دسترسی یا شناسگر در پیشینه کتاب شناختی مورد استفاده قرار می گیرد و از طریق اطلاعات موجود در پیشینه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دی اِی شناسگر برای اشخاص را چنین تعریف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زنجیره ای از نویسه ها که حصراً به یک فرد مرتبط هستند، یا جانشین یک فرد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پیشینه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شناسگر در جهت تمایز یک شخص از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دی اِی تولکیت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یافتن کارکرد فهرست 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اشخاص، در کنار شناسگر و توجیه ایجاد شناسگر در پیشینه مستند آر دی اِی، ثبت می شوند، پیشینه هایی که به لحاظ تاریخی در بازیابی منابع به گونه ای مؤثر نقش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در پیشینه های مستند به شناسایی اشخاص کمک کرده و دارای توان بالقوه کمک به تمایز آن ها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های مستند نام شخص بر پایه آر دی اِی اطلاعات بیشتری مانند جنسیت،</w:t>
      </w:r>
    </w:p>
    <w:p>
      <w:pPr>
        <w:pStyle w:val="BookText"/>
        <w:rPr/>
      </w:pPr>
      <w:r>
        <w:rPr>
          <w:rFonts w:ascii="IRNazanin" w:hAnsi="IRNazanin" w:eastAsia="IRNazanin"/>
          <w:color w:val="111111"/>
          <w:sz w:val="28"/>
          <w:sz w:val="28"/>
          <w:szCs w:val="28"/>
          <w:rtl w:val="true"/>
          <w:lang w:bidi="fa-IR"/>
        </w:rPr>
        <w:t xml:space="preserve">شغل، مکان، مربوط، زبان و سایر اطلاعات را ارائه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دی اِی تولکیت،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عنوان مشخصات، ثبت شده و داده ها به گونه ای طراحی شده اند که در آینده نیز بتوان از آن ها استفاده کرد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رابطه متقابل بین زنجیره نویسه اشخاص، مشخصات آن ها و نقش مستندات در نظام های کتاب خانه ای در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ماهیت شناسگرهای نام اشخاص تکامل می یابد، داده ها باید به شكل مشخصات ارائه شوند تا کاربر بتواند آن ها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با وجود آر دی اِی حالا می توان با استفاده از ویراست دوم قواعد فهرست نویسی انگلو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امریکن، </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 سی آر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بیشتری را درباره اشخاص و فراتر از میزان مجاز اضافه کرد، محتوای مکمل ضرورتاً در پیشینه مستند مبتنی بر آر دی اِی ارائه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پیشینه مستند دقیقاً چه مشخصاتی گنجانده می شوند و از آن ها چه نتیجه ای می توان گرفت؟ فرصت های بالقوه ایجاد شده کاربر نهایی با افزودن داده های شخصی بسیارند، خصوصاً </w:t>
      </w:r>
      <w:bookmarkStart w:id="1373" w:name="pg9659_94323"/>
    </w:p>
    <w:p>
      <w:pPr>
        <w:pStyle w:val="BookText"/>
        <w:rPr/>
      </w:pPr>
      <w:bookmarkEnd w:id="1373"/>
      <w:r>
        <w:rPr>
          <w:rFonts w:ascii="IRNazanin" w:hAnsi="IRNazanin" w:eastAsia="IRNazanin"/>
          <w:color w:val="111111"/>
          <w:sz w:val="28"/>
          <w:sz w:val="28"/>
          <w:szCs w:val="28"/>
          <w:rtl w:val="true"/>
          <w:lang w:bidi="fa-IR"/>
        </w:rPr>
        <w:t>اگر زنجیره های نویسه در شناسگرهای نام شخص را بتوان ساده سازی و تفکیک کرد</w:t>
      </w:r>
      <w:r>
        <w:rPr>
          <w:rFonts w:eastAsia="IRNazanin" w:cs="IRNazanin"/>
          <w:color w:val="111111"/>
          <w:sz w:val="28"/>
          <w:szCs w:val="28"/>
          <w:rtl w:val="true"/>
          <w:lang w:bidi="fa-IR"/>
        </w:rPr>
        <w:t>.</w:t>
      </w:r>
    </w:p>
    <w:p>
      <w:pPr>
        <w:pStyle w:val="Heading3"/>
        <w:numPr>
          <w:ilvl w:val="2"/>
          <w:numId w:val="1"/>
        </w:numPr>
        <w:rPr/>
      </w:pPr>
      <w:bookmarkStart w:id="1374" w:name="__RefHeading___Toc7826235_2870459653"/>
      <w:bookmarkStart w:id="1375" w:name="_Toc512"/>
      <w:bookmarkEnd w:id="1374"/>
      <w:r>
        <w:rPr>
          <w:rtl w:val="true"/>
        </w:rPr>
        <w:t>فراد و آر دی اِی</w:t>
      </w:r>
      <w:r>
        <w:rPr>
          <w:rtl w:val="true"/>
        </w:rPr>
        <w:t xml:space="preserve">: </w:t>
      </w:r>
      <w:r>
        <w:rPr>
          <w:rtl w:val="true"/>
        </w:rPr>
        <w:t>نمونه های جدید دسترسی</w:t>
      </w:r>
      <w:bookmarkEnd w:id="1375"/>
    </w:p>
    <w:p>
      <w:pPr>
        <w:pStyle w:val="BookText"/>
        <w:rPr/>
      </w:pPr>
      <w:r>
        <w:rPr>
          <w:rFonts w:ascii="IRNazanin" w:hAnsi="IRNazanin" w:eastAsia="IRNazanin"/>
          <w:color w:val="111111"/>
          <w:sz w:val="28"/>
          <w:sz w:val="28"/>
          <w:szCs w:val="28"/>
          <w:rtl w:val="true"/>
          <w:lang w:bidi="fa-IR"/>
        </w:rPr>
        <w:t xml:space="preserve">ملزومات کاربردی داده های مستند </w:t>
      </w:r>
      <w:r>
        <w:rPr>
          <w:rStyle w:val="FootnoteAnchor"/>
          <w:rtl w:val="true"/>
        </w:rPr>
        <w:footnoteReference w:id="1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w:t>
      </w:r>
      <w:r>
        <w:rPr>
          <w:rFonts w:eastAsia="IRNazanin" w:cs="IRNazanin"/>
          <w:color w:val="111111"/>
          <w:sz w:val="28"/>
          <w:szCs w:val="28"/>
          <w:rtl w:val="true"/>
          <w:lang w:bidi="fa-IR"/>
        </w:rPr>
        <w:t>)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شناسایی انواع مشخصات نام شخص حامی اِف آر بی آر </w:t>
      </w:r>
      <w:r>
        <w:rPr>
          <w:rStyle w:val="FootnoteAnchor"/>
          <w:rtl w:val="true"/>
        </w:rPr>
        <w:footnoteReference w:id="1460"/>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دنیای کتاب شناختی از سازمان دهی و بازیابی منابع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 چهارده مشخصه برای اشخاص شناسایی می کند که یازده مورد آن ها علاوه بر مشخصاتی هستند که قبلاً در اِف آر بی آر شناسایی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مشخصه شناسایی شده اشخاص در اِف آر بی آر عبارت اند از تاریخ ها، عنوان و سایر اطلاعات مربوط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مشخصات تعریف شده در فراد عبارت اند از جنسیت، محل تولد، محل در گذشت، کشور، محل اقامت، وابستگی، نشانی، زبان، زمینه فعالیت، شغل و 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مشخصات با هویت شخص رابطه ای دارند و آن ها را توصیف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فراد،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مشخصات وظایف کاربر فراد را برای جستجو، شناسایی، زمین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کاربران نهایی نظام های کتاب خانه ای بیشتر به سه گزینه اول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شناسایی و زمینه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تمام متن، این توانایی بالقوه برای هر مشخصه ای وجود دارد که به یافتن کاربرد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شخص نیز به شناسایی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های مربوط به یک شخص و سرگذشتنامه برای زمینه نمایی به خوبی بررسی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فراد،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فراد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روابط بالقوه بین اشخاص و زنجیره نویسه هایی که آن ها را بازنمایی می کنند را شناسایی می کند با توجه به این که آن ها به منابع کتاب خانه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دسترسی، شخص در درجه اول به وسیله نام انتخابی کتابداران مطابق با دستورالعملهای آر دی اِی، شناسایی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 نویسه، مثل سایر فراداده ها، یک ابزار سازمان دانش کارآمد است، اما با این حال محصول مصنوعی ایجاد فراداده کتاب خانه محسوب می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و دسترسی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دی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استاندارد محتواست که در حال حاضر در ایالات متحده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فهرست نویسی تعاونی </w:t>
      </w:r>
      <w:r>
        <w:rPr>
          <w:rStyle w:val="FootnoteAnchor"/>
          <w:rtl w:val="true"/>
        </w:rPr>
        <w:footnoteReference w:id="1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سی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نام یک روز پی سی سی برای پیشینه های مستند آر دی اِی </w:t>
      </w:r>
      <w:r>
        <w:rPr>
          <w:rStyle w:val="FootnoteAnchor"/>
          <w:rtl w:val="true"/>
        </w:rPr>
        <w:footnoteReference w:id="1462"/>
      </w:r>
      <w:r>
        <w:rPr>
          <w:rFonts w:ascii="IRNazanin" w:hAnsi="IRNazanin" w:eastAsia="IRNazanin"/>
          <w:color w:val="111111"/>
          <w:sz w:val="28"/>
          <w:sz w:val="28"/>
          <w:szCs w:val="28"/>
          <w:rtl w:val="true"/>
          <w:lang w:bidi="fa-IR"/>
        </w:rPr>
        <w:t xml:space="preserve">معرفی شده با شروع رسمی آر دی اِی در کتاب خانه کنگره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هم زمان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 سی سی وان دِی،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فیلدهای مارک </w:t>
      </w:r>
      <w:r>
        <w:rPr>
          <w:rStyle w:val="FootnoteAnchor"/>
          <w:rtl w:val="true"/>
        </w:rPr>
        <w:footnoteReference w:id="1463"/>
      </w:r>
      <w:r>
        <w:rPr>
          <w:rFonts w:ascii="IRNazanin" w:hAnsi="IRNazanin" w:eastAsia="IRNazanin"/>
          <w:color w:val="111111"/>
          <w:sz w:val="28"/>
          <w:sz w:val="28"/>
          <w:szCs w:val="28"/>
          <w:rtl w:val="true"/>
          <w:lang w:bidi="fa-IR"/>
        </w:rPr>
        <w:t xml:space="preserve">برای پشتیبانی </w:t>
      </w:r>
    </w:p>
    <w:p>
      <w:pPr>
        <w:pStyle w:val="BookText"/>
        <w:rPr/>
      </w:pPr>
      <w:r>
        <w:rPr>
          <w:rFonts w:ascii="IRNazanin" w:hAnsi="IRNazanin" w:eastAsia="IRNazanin"/>
          <w:color w:val="111111"/>
          <w:sz w:val="28"/>
          <w:sz w:val="28"/>
          <w:szCs w:val="28"/>
          <w:rtl w:val="true"/>
          <w:lang w:bidi="fa-IR"/>
        </w:rPr>
        <w:t>از داده های جدیدی که قابل ثبت هستند به پیشینه های مستند اضافه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فیلدهای مستند مارک را نشان می دهد که اطلاعات مشخصات را کد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همه موارد به جز فیلد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سرگذشتنامه ای یا تاریخچه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 دی اِی، جدید هستند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کدگذاری مارک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باهدف نمایش آن به پشتیبان ها در حال احیاست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کدگذاری مارک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آموزش فهرست نویس آر دی اِی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فیلدهای مرتبط نام شخص در مارک برای مستندسازی بر اساس آر دی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پذیر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تکرار ناپذیر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lang w:bidi="fa-IR"/>
        </w:rPr>
        <w:t>2013</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 پیشینه های کتاب شناختی و نیز نقاط دسترسی و مستندات از آر دی اِی استفاده می شود، </w:t>
      </w:r>
      <w:bookmarkStart w:id="1376" w:name="pg9659_94325"/>
    </w:p>
    <w:p>
      <w:pPr>
        <w:pStyle w:val="BookText"/>
        <w:rPr/>
      </w:pPr>
      <w:bookmarkEnd w:id="1376"/>
      <w:r>
        <w:rPr>
          <w:rFonts w:ascii="IRNazanin" w:hAnsi="IRNazanin" w:eastAsia="IRNazanin"/>
          <w:color w:val="111111"/>
          <w:sz w:val="28"/>
          <w:sz w:val="28"/>
          <w:szCs w:val="28"/>
          <w:rtl w:val="true"/>
          <w:lang w:bidi="fa-IR"/>
        </w:rPr>
        <w:t xml:space="preserve">نقاط دسترسی نام شخصی و پیشینه مستند مربوط در زمان استفاده از آر دی اِی تحت تغییرات عمده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آموزش فهرست نویس آر دی اِی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1467"/>
      </w:r>
      <w:r>
        <w:rPr>
          <w:rFonts w:ascii="IRNazanin" w:hAnsi="IRNazanin" w:eastAsia="IRNazanin"/>
          <w:color w:val="111111"/>
          <w:sz w:val="28"/>
          <w:sz w:val="28"/>
          <w:szCs w:val="28"/>
          <w:rtl w:val="true"/>
          <w:lang w:bidi="fa-IR"/>
        </w:rPr>
        <w:t xml:space="preserve">؛ پی سی سی وان دِی،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تغییرات امکان نسخه برداری انبوه اطلاعات از نقاط دسترسی به فیلدهای مشخصات پیشینه های مستند را فراهم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مشخصات صراحتاً توسط فهرست نویسان به صورت دستی ارائه شده اند</w:t>
      </w:r>
      <w:r>
        <w:rPr>
          <w:rFonts w:eastAsia="IRNazanin" w:cs="IRNazanin"/>
          <w:color w:val="111111"/>
          <w:sz w:val="28"/>
          <w:szCs w:val="28"/>
          <w:rtl w:val="true"/>
          <w:lang w:bidi="fa-IR"/>
        </w:rPr>
        <w:t>.</w:t>
      </w:r>
    </w:p>
    <w:p>
      <w:pPr>
        <w:pStyle w:val="Heading3"/>
        <w:numPr>
          <w:ilvl w:val="2"/>
          <w:numId w:val="1"/>
        </w:numPr>
        <w:rPr/>
      </w:pPr>
      <w:bookmarkStart w:id="1377" w:name="__RefHeading___Toc7826237_2870459653"/>
      <w:bookmarkStart w:id="1378" w:name="_Toc513"/>
      <w:bookmarkEnd w:id="1377"/>
      <w:r>
        <w:rPr>
          <w:rtl w:val="true"/>
        </w:rPr>
        <w:t>مشارکت در محتوای پیشینه</w:t>
      </w:r>
      <w:bookmarkEnd w:id="1378"/>
    </w:p>
    <w:p>
      <w:pPr>
        <w:pStyle w:val="BookText"/>
        <w:rPr/>
      </w:pPr>
      <w:r>
        <w:rPr>
          <w:rFonts w:ascii="IRNazanin" w:hAnsi="IRNazanin" w:eastAsia="IRNazanin"/>
          <w:color w:val="111111"/>
          <w:sz w:val="28"/>
          <w:sz w:val="28"/>
          <w:szCs w:val="28"/>
          <w:rtl w:val="true"/>
          <w:lang w:bidi="fa-IR"/>
        </w:rPr>
        <w:t xml:space="preserve">در حال حاضر، کتاب خانه کنگره و همه اعضای پی سی سی </w:t>
      </w:r>
      <w:r>
        <w:rPr>
          <w:rStyle w:val="FootnoteAnchor"/>
          <w:rtl w:val="true"/>
        </w:rPr>
        <w:footnoteReference w:id="1468"/>
      </w:r>
      <w:r>
        <w:rPr>
          <w:rFonts w:ascii="IRNazanin" w:hAnsi="IRNazanin" w:eastAsia="IRNazanin"/>
          <w:color w:val="111111"/>
          <w:sz w:val="28"/>
          <w:sz w:val="28"/>
          <w:szCs w:val="28"/>
          <w:rtl w:val="true"/>
          <w:lang w:bidi="fa-IR"/>
        </w:rPr>
        <w:t>در حال تهیه پیشینه های کتاب شناختی و مستندات آر دی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برنامه تعاونی مستندات نام </w:t>
      </w:r>
      <w:r>
        <w:rPr>
          <w:rStyle w:val="FootnoteAnchor"/>
          <w:rtl w:val="true"/>
        </w:rPr>
        <w:footnoteReference w:id="1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ارائه پیشینه مستند آر دی اِی آموزش دیده اند و استناد برای فیلدهای جدید آر دی ِای روی وب گاه ناکو، قابل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کانال های ناکو شامل کانال های دارای موضوعات مرتبط با هنرهای زیبا مثل کانال هنر ناکو </w:t>
      </w:r>
      <w:r>
        <w:rPr>
          <w:rStyle w:val="FootnoteAnchor"/>
          <w:rtl w:val="true"/>
        </w:rPr>
        <w:footnoteReference w:id="1470"/>
      </w:r>
      <w:r>
        <w:rPr>
          <w:rFonts w:ascii="Amiri" w:hAnsi="Amiri" w:eastAsia="Amiri" w:cs="Amiri"/>
          <w:color w:val="111111"/>
          <w:sz w:val="28"/>
          <w:sz w:val="28"/>
          <w:szCs w:val="28"/>
          <w:rtl w:val="true"/>
          <w:lang w:bidi="ar-SA"/>
        </w:rPr>
        <w:t xml:space="preserve">، ناکو اِی وی </w:t>
      </w:r>
      <w:r>
        <w:rPr>
          <w:rStyle w:val="FootnoteAnchor"/>
          <w:rtl w:val="true"/>
        </w:rPr>
        <w:footnoteReference w:id="1471"/>
      </w:r>
      <w:r>
        <w:rPr>
          <w:rFonts w:ascii="IRNazanin" w:hAnsi="IRNazanin" w:eastAsia="IRNazanin"/>
          <w:color w:val="111111"/>
          <w:sz w:val="28"/>
          <w:sz w:val="28"/>
          <w:szCs w:val="28"/>
          <w:rtl w:val="true"/>
          <w:lang w:bidi="fa-IR"/>
        </w:rPr>
        <w:t xml:space="preserve">و ناکو موزیک </w:t>
      </w:r>
      <w:r>
        <w:rPr>
          <w:rStyle w:val="FootnoteAnchor"/>
          <w:rtl w:val="true"/>
        </w:rPr>
        <w:footnoteReference w:id="1472"/>
      </w:r>
      <w:r>
        <w:rPr>
          <w:rFonts w:ascii="IRNazanin" w:hAnsi="IRNazanin" w:eastAsia="IRNazanin"/>
          <w:color w:val="111111"/>
          <w:sz w:val="28"/>
          <w:sz w:val="28"/>
          <w:szCs w:val="28"/>
          <w:rtl w:val="true"/>
          <w:lang w:bidi="fa-IR"/>
        </w:rPr>
        <w:t>بسیار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ناکو یک برنامه باز است، تنها کتاب خانه های دارای بودجه، نیروی انسانی و زمان کافی می توانند از آن به نفع خود و کتابداران متخصص خود استفاده کنند؛ هم چنین، اگر کتاب داران شخصی می خواهند در این برنامه مشارکت داشته باشند، باید خودشان دوره آموزشی ناکو را سپری کرده و به یک کانال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فهرست نویسان بعد از آموزش باید زمان کافی برای ایجاد پیشینه جدید یا به روزرسانی پیشینه های موجود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نویسان در صورت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پیشینه مستند جدید وارد جریان کاری فهرست نویسی می شوند که کتاب خانه کنگره فاقد آن است؛ منابعی که آن ها فهرست نویسی می کنند منحصر به فرد هستند، در غیر این صورت کپی برداری فهرست نویسی در دسترس خواهد بود؛ بنابراین، فهرست نویسان آموزش دیده ناکو یک گروه منحصر به فرد هستند که در کتاب خانه های دانشگاهی با پشتیبانی از آن ها برای مشارکت در این برنامه ملی مشغول به کار هستند</w:t>
      </w:r>
      <w:r>
        <w:rPr>
          <w:rFonts w:eastAsia="IRNazanin" w:cs="IRNazanin"/>
          <w:color w:val="111111"/>
          <w:sz w:val="28"/>
          <w:szCs w:val="28"/>
          <w:rtl w:val="true"/>
          <w:lang w:bidi="fa-IR"/>
        </w:rPr>
        <w:t xml:space="preserve">. </w:t>
      </w:r>
      <w:bookmarkStart w:id="1379" w:name="pg9659_94326"/>
    </w:p>
    <w:p>
      <w:pPr>
        <w:pStyle w:val="BookText"/>
        <w:rPr/>
      </w:pPr>
      <w:bookmarkEnd w:id="1379"/>
      <w:r>
        <w:rPr>
          <w:rFonts w:ascii="IRNazanin" w:hAnsi="IRNazanin" w:eastAsia="IRNazanin"/>
          <w:color w:val="111111"/>
          <w:sz w:val="28"/>
          <w:sz w:val="28"/>
          <w:szCs w:val="28"/>
          <w:rtl w:val="true"/>
          <w:lang w:bidi="fa-IR"/>
        </w:rPr>
        <w:t>کیفیت فراداده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 xml:space="preserve">یکی از شاخص های ارزیابی کیفیت فراداده، تکمیل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 و کین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دامنه ای از جزئیات توصیفی ارائه شده در مستندات و نیز توزیع کلی سطوح مختلف پیشینه ها در یک پایگاه داده فراداده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پوشش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 و کین،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باید بپرسیم که آیا در هر پیشینه همه فیلدها پر شده اند؟ اگر سایر پیشینه ها در مجموعه دارای داده های ناقص باشند، داشتن داده های کامل در یک مجموعه پیشینه از نظر فراخوانی کاربرد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مجموعه مانند یک کتاب خانه یا موجز</w:t>
      </w:r>
    </w:p>
    <w:p>
      <w:pPr>
        <w:pStyle w:val="BookText"/>
        <w:rPr/>
      </w:pPr>
      <w:r>
        <w:rPr>
          <w:rFonts w:ascii="IRNazanin" w:hAnsi="IRNazanin" w:eastAsia="IRNazanin"/>
          <w:color w:val="111111"/>
          <w:sz w:val="28"/>
          <w:sz w:val="28"/>
          <w:szCs w:val="28"/>
          <w:rtl w:val="true"/>
          <w:lang w:bidi="fa-IR"/>
        </w:rPr>
        <w:t>تکمیل پیشینه های یک مجموعه هدفی بزرگ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بالا و پیشینه های مستند کامل در یک موسسه، در صورت ادغام با پیشینه های با کیفیت پایین، حداقل در کوتاه مدت روی کیفیت کل مجموعه پیشینه ها دارای تأثیر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آینده طولانی 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ارزش پایه در فهرست نویسی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بنگاه های فهرست نویسی را به سوء استفاده از آر دی اِی در همان ابتدای کار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آرمانی، همه پیشینه های مستند، با وجود تعامل فعال کتاب خانه های پی سی سی، به موقع به روزرسانی و کامل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حال حاضر هنوز مشخص نیست که چه تعداد پیشینه به روزرسانی شده و مفاهیم ضمنی کلی آن برای کیفیت کدامند</w:t>
      </w:r>
      <w:r>
        <w:rPr>
          <w:rFonts w:eastAsia="IRNazanin" w:cs="IRNazanin"/>
          <w:color w:val="111111"/>
          <w:sz w:val="28"/>
          <w:szCs w:val="28"/>
          <w:rtl w:val="true"/>
          <w:lang w:bidi="fa-IR"/>
        </w:rPr>
        <w:t>.</w:t>
      </w:r>
    </w:p>
    <w:p>
      <w:pPr>
        <w:pStyle w:val="Heading3"/>
        <w:numPr>
          <w:ilvl w:val="2"/>
          <w:numId w:val="1"/>
        </w:numPr>
        <w:rPr/>
      </w:pPr>
      <w:bookmarkStart w:id="1380" w:name="__RefHeading___Toc7826239_2870459653"/>
      <w:bookmarkStart w:id="1381" w:name="_Toc514"/>
      <w:bookmarkEnd w:id="1380"/>
      <w:r>
        <w:rPr>
          <w:rtl w:val="true"/>
        </w:rPr>
        <w:t>پیشینه های مستند نام شخصی</w:t>
      </w:r>
      <w:bookmarkEnd w:id="138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های مستند همیشه به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های منحصر به فرد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بعضی موارد به دلیل شباهت در زنجیره های نویسه تشکیل دهنده نام شخص، مشخصات شخصی به اندازه کافی مشهود نیستند تا فهرست نویس بتواند اطلاعات شخصی را به شکل پیشینه های منحصر به فرد،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یا چند نفر یک زنجیره نویسه مشابه به خود می گیرند، یک پیشینه مستند غیر تفکیکی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دی اِی نشانگرهای نام غیر تفکیکی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نشانه گذاری دسته بندی شده تعریف می کند که مؤلفه های اصلی ثبت شده برای تفکیک بین دو یا چند نفر با نام مشترک، ناکافی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 دی اِی تولکیت،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بخش شاخص نام تمایز نیافته</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 xml:space="preserve">در گزارش از ریمر </w:t>
      </w:r>
      <w:r>
        <w:rPr>
          <w:rStyle w:val="FootnoteAnchor"/>
          <w:rtl w:val="true"/>
        </w:rPr>
        <w:footnoteReference w:id="1476"/>
      </w:r>
      <w:bookmarkStart w:id="1382" w:name="pg9659_94327"/>
    </w:p>
    <w:p>
      <w:pPr>
        <w:pStyle w:val="BookText"/>
        <w:rPr/>
      </w:pPr>
      <w:bookmarkEnd w:id="1382"/>
      <w:r>
        <w:rPr>
          <w:rFonts w:ascii="IRNazanin" w:hAnsi="IRNazanin" w:eastAsia="IRNazanin"/>
          <w:color w:val="111111"/>
          <w:sz w:val="28"/>
          <w:sz w:val="28"/>
          <w:szCs w:val="28"/>
          <w:rtl w:val="true"/>
          <w:lang w:bidi="fa-IR"/>
        </w:rPr>
        <w:t xml:space="preserve">و شرور </w:t>
      </w:r>
      <w:r>
        <w:rPr>
          <w:rStyle w:val="FootnoteAnchor"/>
          <w:rtl w:val="true"/>
        </w:rPr>
        <w:footnoteReference w:id="1477"/>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پیشینه های مستند نام غیر تفکیکی تجزیه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های وب معنایی شامل فایل مستند بین المللی مجازی </w:t>
      </w:r>
      <w:r>
        <w:rPr>
          <w:rStyle w:val="FootnoteAnchor"/>
          <w:rtl w:val="true"/>
        </w:rPr>
        <w:footnoteReference w:id="1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پیشینه های مستند منحصر به فرد و نشانی پذیر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زنجیره های نویسه در نشانگر مشابه باشند، پیشینه مستند مربوط باید برای اشخاص مختلف، منحصر به فرد باشند</w:t>
      </w:r>
      <w:r>
        <w:rPr>
          <w:rFonts w:eastAsia="IRNazanin" w:cs="IRNazanin"/>
          <w:color w:val="111111"/>
          <w:sz w:val="28"/>
          <w:szCs w:val="28"/>
          <w:rtl w:val="true"/>
          <w:lang w:bidi="fa-IR"/>
        </w:rPr>
        <w:t>.</w:t>
      </w:r>
    </w:p>
    <w:p>
      <w:pPr>
        <w:pStyle w:val="Heading3"/>
        <w:numPr>
          <w:ilvl w:val="2"/>
          <w:numId w:val="1"/>
        </w:numPr>
        <w:rPr/>
      </w:pPr>
      <w:bookmarkStart w:id="1383" w:name="__RefHeading___Toc7826241_2870459653"/>
      <w:bookmarkStart w:id="1384" w:name="_Toc515"/>
      <w:bookmarkEnd w:id="1383"/>
      <w:r>
        <w:rPr>
          <w:rtl w:val="true"/>
        </w:rPr>
        <w:t>مارک به عنوان طرح رمزگذاری</w:t>
      </w:r>
      <w:bookmarkEnd w:id="1384"/>
    </w:p>
    <w:p>
      <w:pPr>
        <w:pStyle w:val="BookText"/>
        <w:rPr/>
      </w:pPr>
      <w:r>
        <w:rPr>
          <w:rFonts w:ascii="IRNazanin" w:hAnsi="IRNazanin" w:eastAsia="IRNazanin"/>
          <w:color w:val="111111"/>
          <w:sz w:val="28"/>
          <w:sz w:val="28"/>
          <w:szCs w:val="28"/>
          <w:rtl w:val="true"/>
          <w:lang w:bidi="fa-IR"/>
        </w:rPr>
        <w:t xml:space="preserve">بافتاری که داده های کتاب خانه ای در آن یافت می شود، یعنی نظام های کتاب خانه ای یک پارچه </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اِل 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برای استفاده با طرح رمزگذاری مارک به روزرسانی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علاقه کتاب خانه به وب معنایی و محیط های داده ای پیوندی، کتاب خانه کنگره در حال بررسی روش های پیشرفت رمزگذاری کتاب خانه ای به گونه ای است که امکان مشهود بودن روابط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اقدام ابتکاری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 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کروگِر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روش ابتدایی مورد استفاده قرار گرفته که با کمک آن پیشینه های فهرست نویسی، رمزگذاری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زمان بلوغ کامل این برنامه پیشینه های مستند هم چنان در مارک ایجاد می شوند</w:t>
      </w:r>
      <w:r>
        <w:rPr>
          <w:rFonts w:eastAsia="IRNazanin" w:cs="IRNazanin"/>
          <w:color w:val="111111"/>
          <w:sz w:val="28"/>
          <w:szCs w:val="28"/>
          <w:rtl w:val="true"/>
          <w:lang w:bidi="fa-IR"/>
        </w:rPr>
        <w:t>.</w:t>
      </w:r>
    </w:p>
    <w:p>
      <w:pPr>
        <w:pStyle w:val="Heading3"/>
        <w:numPr>
          <w:ilvl w:val="2"/>
          <w:numId w:val="1"/>
        </w:numPr>
        <w:rPr/>
      </w:pPr>
      <w:bookmarkStart w:id="1385" w:name="__RefHeading___Toc7826243_2870459653"/>
      <w:bookmarkStart w:id="1386" w:name="_Toc516"/>
      <w:bookmarkEnd w:id="1385"/>
      <w:r>
        <w:rPr>
          <w:rtl w:val="true"/>
        </w:rPr>
        <w:t>شناسگرهای نام شخصی</w:t>
      </w:r>
      <w:bookmarkEnd w:id="138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شناسگرهای نام شخصی در پیشینه های کتاب خانه ای شامل زنجیره نویسه ها هستند که نام خانوادگی شخص، نام و سایر اطلاعات مورد استفاده برای تفکیک زنجیره نویسه از بقیه زنجیره ها در حال حاضر و آینده را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فیلدهای فرعی موجود در نقاط دسترسی مرتبط با اشخاص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ارائه شده به کاربران نهایی شامل عنوان ها، تاریخ ها، عبارات یا رمزهای واسطه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های کنترل و پیوندها نیز برای نظام ها کارآمد هستند اما به طور کلی نمایش داده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دسترسی نام شخصی در پیشینه های کتاب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فیلدهای فرعی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تکرارپذیر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تکرارناپذیر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نقاط دسترسی به کار رفته در کتاب خانه ها به دلیل داده های اضافی موجود در آن ها مورد انتقاد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تاریخ تولد یا وفات به عنوان ابزاری برای تفکیک نویسندگان تا چه حد مورد نیاز کاربران هستند؟ کتاب فروشی هایی مثل آمازون برای تفکیک نویسندگان در نقطه دسترسی از این اطلاعات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مستندات به روش سنتی روی اعلام هویت از طریق عنوان های منحصر به فرد متمرکز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نام منحصر به فرد برای یک شخص همان چیزی بود که نشان می داد پیشینه های کتاب شناختی که یک فرد را پدیدآور معرفی می کند، تحت یک عنوان قابل گردآوری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گزارشی برای پی سی سی،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داده های غیر اصلی در زنجیره های نویسه برای نقاط دسترسی، تعیین نقشه بین واژگان تحت کنترل کتاب خانه و سایر نظام ها بسیار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بی پدیا </w:t>
      </w:r>
      <w:r>
        <w:rPr>
          <w:rStyle w:val="FootnoteAnchor"/>
          <w:rtl w:val="true"/>
        </w:rPr>
        <w:footnoteReference w:id="1482"/>
      </w:r>
      <w:r>
        <w:rPr>
          <w:rFonts w:ascii="IRNazanin" w:hAnsi="IRNazanin" w:eastAsia="IRNazanin"/>
          <w:color w:val="111111"/>
          <w:sz w:val="28"/>
          <w:sz w:val="28"/>
          <w:szCs w:val="28"/>
          <w:rtl w:val="true"/>
          <w:lang w:bidi="fa-IR"/>
        </w:rPr>
        <w:t>نسخه داده های پیوندی ویکی پدیا، از تاریخ ها برای تفکیک اشخاص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هایی مثل کتاب خانه آزاد آرشیوی </w:t>
      </w:r>
      <w:bookmarkStart w:id="1387" w:name="pg9659_94329"/>
    </w:p>
    <w:p>
      <w:pPr>
        <w:pStyle w:val="BookText"/>
        <w:rPr/>
      </w:pPr>
      <w:bookmarkEnd w:id="1387"/>
      <w:r>
        <w:rPr>
          <w:rFonts w:ascii="IRNazanin" w:hAnsi="IRNazanin" w:eastAsia="IRNazanin"/>
          <w:color w:val="111111"/>
          <w:sz w:val="28"/>
          <w:sz w:val="28"/>
          <w:szCs w:val="28"/>
          <w:rtl w:val="true"/>
          <w:lang w:bidi="fa-IR"/>
        </w:rPr>
        <w:t xml:space="preserve">اینترنتی </w:t>
      </w:r>
      <w:r>
        <w:rPr>
          <w:rStyle w:val="FootnoteAnchor"/>
          <w:rtl w:val="true"/>
        </w:rPr>
        <w:footnoteReference w:id="1483"/>
      </w:r>
      <w:r>
        <w:rPr>
          <w:rFonts w:ascii="IRNazanin" w:hAnsi="IRNazanin" w:eastAsia="IRNazanin"/>
          <w:color w:val="111111"/>
          <w:sz w:val="28"/>
          <w:sz w:val="28"/>
          <w:szCs w:val="28"/>
          <w:rtl w:val="true"/>
          <w:lang w:bidi="fa-IR"/>
        </w:rPr>
        <w:t>که از منابع کتاب خانه ای و نیز پایگاه های داده با داده های پیوندی استفاده می کند در مورد تطبیق پیشینه های خودکار دوران سختی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اصلاً عجیب نیست چون دنیای کتاب خانه در مرحله اول با یک مجموعه چالش مربوط به تطبیق پیشینه های مستند کتاب خانه از نظام های بین المللی مختلف در ویاف، فایل مستندات بین المللی مجازی مواجه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هنگل دیتریچ، اُنیل و تیلِت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7826245_2870459653"/>
      <w:bookmarkStart w:id="1389" w:name="_Toc517"/>
      <w:bookmarkEnd w:id="1388"/>
      <w:r>
        <w:rPr>
          <w:rtl w:val="true"/>
        </w:rPr>
        <w:t>شناسگرهای نام شخصی در وُرلد کَت</w:t>
      </w:r>
      <w:r>
        <w:rPr>
          <w:rtl w:val="true"/>
        </w:rPr>
        <w:t xml:space="preserve">: </w:t>
      </w:r>
      <w:r>
        <w:rPr>
          <w:rtl w:val="true"/>
        </w:rPr>
        <w:t>تحلیل</w:t>
      </w:r>
      <w:bookmarkEnd w:id="1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شناسگرهای نام شخصی در وُرلد کَت </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اشخاصی که پدیدآور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بازیگران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پیشینه های کتاب شناختی در فیلدهای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نقاط دسترسی نشان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دسترسی در پیشینه های کتاب شناختی متشکل از یک یا چند زیر مجموعه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 در پیچیدگی نقاط دسترسی را می توان بر اساس فیلدهای به کار رفته در پیشینه های کتاب شناختی مورد تحلیل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استفاده از مارک در وُرلدکَت </w:t>
      </w:r>
      <w:r>
        <w:rPr>
          <w:rStyle w:val="FootnoteAnchor"/>
          <w:rtl w:val="true"/>
        </w:rPr>
        <w:footnoteReference w:id="1486"/>
      </w:r>
      <w:r>
        <w:rPr>
          <w:rFonts w:ascii="IRNazanin" w:hAnsi="IRNazanin" w:eastAsia="IRNazanin"/>
          <w:color w:val="111111"/>
          <w:sz w:val="28"/>
          <w:sz w:val="28"/>
          <w:szCs w:val="28"/>
          <w:rtl w:val="true"/>
          <w:lang w:bidi="fa-IR"/>
        </w:rPr>
        <w:t xml:space="preserve">که توسط بخش تحقیقات اُ سی اِل سی </w:t>
      </w:r>
      <w:r>
        <w:rPr>
          <w:rStyle w:val="FootnoteAnchor"/>
          <w:rtl w:val="true"/>
        </w:rPr>
        <w:footnoteReference w:id="1487"/>
      </w:r>
      <w:r>
        <w:rPr>
          <w:rFonts w:ascii="IRNazanin" w:hAnsi="IRNazanin" w:eastAsia="IRNazanin"/>
          <w:color w:val="111111"/>
          <w:sz w:val="28"/>
          <w:sz w:val="28"/>
          <w:szCs w:val="28"/>
          <w:rtl w:val="true"/>
          <w:lang w:bidi="fa-IR"/>
        </w:rPr>
        <w:t>منتشر شده، داده ها درباره منابع را قابل دسترسی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فیلدهای فرعی در پیشینه های وُرلدکَت برای نام های شخصی پدیدآوران اثر را می توان با کمک داده های کاربردی برای فیلدهای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ها، شکل کامل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ها همواره در حال اضافه شدن هستند، اما در طول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این بررسی، سرعت این کار بالا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ها برای نام های شخصی، کم تر به نقاط دسترسی کنترل شده اضافه شده اند، همان طور که درصد استفاده از آن ها در نقاط دسترسی در دوره یک ساله، استقبال شده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داده های تحقیقات به شکل جدولی در بازه زمانی قبل و بعد از استفاده از آر دی اِی، به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بخش قبل گفته شد پیشینه های مستند در حال تغییر هستند، بنابراین قالب های ساخت نقاط دسترسی نیز تغییر می کند</w:t>
      </w:r>
      <w:r>
        <w:rPr>
          <w:rFonts w:eastAsia="IRNazanin" w:cs="IRNazanin"/>
          <w:color w:val="111111"/>
          <w:sz w:val="28"/>
          <w:szCs w:val="28"/>
          <w:rtl w:val="true"/>
          <w:lang w:bidi="fa-IR"/>
        </w:rPr>
        <w:t xml:space="preserve">. </w:t>
      </w:r>
      <w:bookmarkStart w:id="1390" w:name="pg9659_94330"/>
    </w:p>
    <w:p>
      <w:pPr>
        <w:pStyle w:val="BookText"/>
        <w:rPr/>
      </w:pPr>
      <w:bookmarkEnd w:id="1390"/>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شناسگر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فیلد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شناختی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وُرلدکَت ا ُسی اِل سی</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391" w:name="__RefHeading___Toc7826247_2870459653"/>
      <w:bookmarkStart w:id="1392" w:name="_Toc518"/>
      <w:bookmarkEnd w:id="1391"/>
      <w:r>
        <w:rPr>
          <w:rtl w:val="true"/>
        </w:rPr>
        <w:t>بررسی حاضر</w:t>
      </w:r>
      <w:bookmarkEnd w:id="139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میزان تأمین داده های مشخصات در پیشینه های مستند برای اشخاص و میزان کامل بودن افزوده ها مورد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فراداده های کامل، توانایی اقدامات ابتکاری آتی </w:t>
      </w:r>
      <w:bookmarkStart w:id="1393" w:name="pg9659_94331"/>
    </w:p>
    <w:p>
      <w:pPr>
        <w:pStyle w:val="BookText"/>
        <w:rPr/>
      </w:pPr>
      <w:bookmarkEnd w:id="1393"/>
      <w:r>
        <w:rPr>
          <w:rFonts w:ascii="IRNazanin" w:hAnsi="IRNazanin" w:eastAsia="IRNazanin"/>
          <w:color w:val="111111"/>
          <w:sz w:val="28"/>
          <w:sz w:val="28"/>
          <w:szCs w:val="28"/>
          <w:rtl w:val="true"/>
          <w:lang w:bidi="fa-IR"/>
        </w:rPr>
        <w:t>برای فراخوانی مجموعه های کامل موارد بر پایه مشخصات، زیر سؤال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حاضر، بر پایه یک نمونه پژوهی طولی درباره پیشینه های مستند در کتاب خانه های دانشگاهی ایالات متحده، به دنبال تحلیل کامل بودن اطلاعات مشخصات ارائه شده در پیشینه های مستند نام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این تحقیق گزینه های آتی برای وضعیت موجود نیز مورد بررسی قرار گرفته اند</w:t>
      </w:r>
      <w:r>
        <w:rPr>
          <w:rFonts w:eastAsia="IRNazanin" w:cs="IRNazanin"/>
          <w:color w:val="111111"/>
          <w:sz w:val="28"/>
          <w:szCs w:val="28"/>
          <w:rtl w:val="true"/>
          <w:lang w:bidi="fa-IR"/>
        </w:rPr>
        <w:t>.</w:t>
      </w:r>
    </w:p>
    <w:p>
      <w:pPr>
        <w:pStyle w:val="Heading3"/>
        <w:numPr>
          <w:ilvl w:val="2"/>
          <w:numId w:val="1"/>
        </w:numPr>
        <w:rPr/>
      </w:pPr>
      <w:bookmarkStart w:id="1394" w:name="__RefHeading___Toc7826249_2870459653"/>
      <w:bookmarkStart w:id="1395" w:name="_Toc519"/>
      <w:bookmarkEnd w:id="1394"/>
      <w:r>
        <w:rPr>
          <w:rtl w:val="true"/>
        </w:rPr>
        <w:t>روش</w:t>
      </w:r>
      <w:bookmarkEnd w:id="1395"/>
    </w:p>
    <w:p>
      <w:pPr>
        <w:pStyle w:val="BookText"/>
        <w:rPr/>
      </w:pPr>
      <w:r>
        <w:rPr>
          <w:rFonts w:ascii="IRNazanin" w:hAnsi="IRNazanin" w:eastAsia="IRNazanin"/>
          <w:color w:val="111111"/>
          <w:sz w:val="28"/>
          <w:sz w:val="28"/>
          <w:szCs w:val="28"/>
          <w:rtl w:val="true"/>
          <w:lang w:bidi="fa-IR"/>
        </w:rPr>
        <w:t xml:space="preserve">در پژوهش فعلی مشخصات در مجموعه پیشینه های مستند در یک کنسرسیوم کتاب خانه دانشگاهی واقع در ایالت میسوری، ایالات متحده مورد بررسی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پژوهی با استفاده از یک رویکرد طولی، مشخصات پیشینه مستند در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اتخاذ رسمی آر دی اِی مورد بررسی قرار می دهد تا گرایش ها در استفاده از فیلد مشخصات را مورد ارزیابی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اتخاذ رسمی آر دی اِی توسط کتاب خانه کنگره فیلدهای پیشینه های مستند نام شخص </w:t>
      </w:r>
      <w:r>
        <w:rPr>
          <w:rFonts w:eastAsia="IRNazanin" w:cs="IRNazanin"/>
          <w:color w:val="111111"/>
          <w:sz w:val="28"/>
          <w:szCs w:val="28"/>
          <w:rtl w:val="true"/>
          <w:lang w:bidi="fa-IR"/>
        </w:rPr>
        <w:t>(</w:t>
      </w:r>
      <w:r>
        <w:rPr>
          <w:rFonts w:eastAsia="IRNazanin" w:cs="IRNazanin"/>
          <w:color w:val="111111"/>
          <w:sz w:val="28"/>
          <w:szCs w:val="28"/>
          <w:lang w:bidi="fa-IR"/>
        </w:rPr>
        <w:t>1,156,315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چهار فایل متنی محدود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فایل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تحلیل بیشتر با استفاده از مایکروسافت اکسل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چهارم حاوی </w:t>
      </w:r>
      <w:r>
        <w:rPr>
          <w:rFonts w:eastAsia="IRNazanin" w:cs="IRNazanin"/>
          <w:color w:val="111111"/>
          <w:sz w:val="28"/>
          <w:szCs w:val="28"/>
          <w:lang w:bidi="fa-IR"/>
        </w:rPr>
        <w:t>256,317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با چشم قابل خواندن بودند اما کار با آن در اکسل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تضمین این که فایل چهارم به لحاظ آماری متفاوت از سه فایل اول نباشد، </w:t>
      </w:r>
      <w:r>
        <w:rPr>
          <w:rFonts w:eastAsia="IRNazanin" w:cs="IRNazanin"/>
          <w:color w:val="111111"/>
          <w:sz w:val="28"/>
          <w:szCs w:val="28"/>
          <w:lang w:bidi="fa-IR"/>
        </w:rPr>
        <w:t>21,058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تصادفی از فایل خراب انتخاب شده و به صورت دستی مورد بررسی قرار گرفتند تا اطمینان حاصل شود که داده های تحلیلی نماینده داده های سه فایل دیگر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هیچ تفاوت آماری معناداری وجود نداشت، یک تحلیل فایل های داده قابل استفاده، نماینده در نظر گرفته 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یک سال بعد از اجرای آر دی اِی، همان مجموعه فیلدهای مشخصات از تمام پیشینه های مستند نام شخص برای خوشه مرلین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پیشینه ها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متنی جای داده شده و با استفاده از اکسل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در پایین نشان دهنده یک پایه مناسب بر اساس فیلد یا پیشینه ها هستند و این بدان معناست که اگر فیلدهای تکراری در یک پیشینه وجود داشته باشند یا اگر محتوا در یک فیلد تکرار شده باشد آن را برای پیشینه یا فیلد تنها یک بار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این بررسی از سیاست تحلیلی آن چه می بینی در نظر بگیر،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اندازه حجم محتوا، اگر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1,274,618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صورت نادرست وارد فیلد جنسیت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این محتوا در هر صورت به عنوان یک مدخل در فیلد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bookmarkStart w:id="1396" w:name="pg9659_94332"/>
    </w:p>
    <w:p>
      <w:pPr>
        <w:pStyle w:val="Heading3"/>
        <w:numPr>
          <w:ilvl w:val="2"/>
          <w:numId w:val="1"/>
        </w:numPr>
        <w:rPr/>
      </w:pPr>
      <w:bookmarkStart w:id="1397" w:name="__RefHeading___Toc7826251_2870459653"/>
      <w:bookmarkStart w:id="1398" w:name="_Toc520"/>
      <w:bookmarkEnd w:id="1396"/>
      <w:bookmarkEnd w:id="1397"/>
      <w:r>
        <w:rPr>
          <w:rtl w:val="true"/>
        </w:rPr>
        <w:t>نتایج</w:t>
      </w:r>
      <w:bookmarkEnd w:id="1398"/>
    </w:p>
    <w:p>
      <w:pPr>
        <w:pStyle w:val="Heading3"/>
        <w:numPr>
          <w:ilvl w:val="2"/>
          <w:numId w:val="1"/>
        </w:numPr>
        <w:rPr/>
      </w:pPr>
      <w:bookmarkStart w:id="1399" w:name="__RefHeading___Toc7826253_2870459653"/>
      <w:bookmarkStart w:id="1400" w:name="_Toc521"/>
      <w:bookmarkEnd w:id="1399"/>
      <w:r>
        <w:rPr>
          <w:rtl w:val="true"/>
        </w:rPr>
        <w:t>تکمیل مشخصات در سطح کنسرسیوم</w:t>
      </w:r>
      <w:bookmarkEnd w:id="1400"/>
    </w:p>
    <w:p>
      <w:pPr>
        <w:pStyle w:val="BookText"/>
        <w:rPr/>
      </w:pPr>
      <w:r>
        <w:rPr>
          <w:rFonts w:ascii="IRNazanin" w:hAnsi="IRNazanin" w:eastAsia="IRNazanin"/>
          <w:color w:val="111111"/>
          <w:sz w:val="28"/>
          <w:sz w:val="28"/>
          <w:szCs w:val="28"/>
          <w:rtl w:val="true"/>
          <w:lang w:bidi="fa-IR"/>
        </w:rPr>
        <w:t xml:space="preserve">داده های ثبت شده در </w:t>
      </w:r>
      <w:r>
        <w:rPr>
          <w:rFonts w:eastAsia="IRNazanin" w:cs="IRNazanin"/>
          <w:color w:val="111111"/>
          <w:sz w:val="28"/>
          <w:szCs w:val="28"/>
          <w:lang w:bidi="fa-IR"/>
        </w:rPr>
        <w:t>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پیشینه مستند رایج ترین مشخصات گنجانده شده در پیشینه های مستند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پیشینه های کل، بعد از شش ماه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پیشینه های مستند کل بعد از یک سال فهرست نویسی بر اساس آر دی اِی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بعد از </w:t>
      </w:r>
      <w:r>
        <w:rPr>
          <w:rFonts w:eastAsia="IRNazanin" w:cs="IRNazanin"/>
          <w:color w:val="111111"/>
          <w:sz w:val="28"/>
          <w:szCs w:val="28"/>
          <w:lang w:bidi="fa-IR"/>
        </w:rPr>
        <w:t>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بیش از همه در فیلد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شدند؛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فیلدی است که در گذشته مورد استفاده قرار گرفته و هنوز هم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گرایش کلی این داده ها نشان می دهد که یک کاهش اندک در مقدار محتوای فیلد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گرایش به دلیل ناهماهنگی ها در پایگاه داده تحت بررسی در سپتامبر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این فیلد به دلیل کاربرد قبلی آن در فهرست نویسی به تحلیل های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فیلدهای آر دی اِی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شاهد افزایش در استفاده از آن ها در طول دوره بررسی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نتایج به شکل جدولی، به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فیلدهای کاربردی در پیشینه های مستند اشخاص در مرلین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01" w:name="pg9659_94333"/>
    </w:p>
    <w:p>
      <w:pPr>
        <w:pStyle w:val="Heading3"/>
        <w:numPr>
          <w:ilvl w:val="2"/>
          <w:numId w:val="1"/>
        </w:numPr>
        <w:rPr/>
      </w:pPr>
      <w:bookmarkStart w:id="1402" w:name="__RefHeading___Toc7826255_2870459653"/>
      <w:bookmarkStart w:id="1403" w:name="_Toc522"/>
      <w:bookmarkEnd w:id="1401"/>
      <w:bookmarkEnd w:id="1402"/>
      <w:r>
        <w:rPr>
          <w:rtl w:val="true"/>
        </w:rPr>
        <w:t>تکمیل مشخصات در سطح پیشینه</w:t>
      </w:r>
      <w:bookmarkEnd w:id="1403"/>
    </w:p>
    <w:p>
      <w:pPr>
        <w:pStyle w:val="BookText"/>
        <w:rPr/>
      </w:pPr>
      <w:r>
        <w:rPr>
          <w:rFonts w:ascii="IRNazanin" w:hAnsi="IRNazanin" w:eastAsia="IRNazanin"/>
          <w:color w:val="111111"/>
          <w:sz w:val="28"/>
          <w:sz w:val="28"/>
          <w:szCs w:val="28"/>
          <w:rtl w:val="true"/>
          <w:lang w:bidi="fa-IR"/>
        </w:rPr>
        <w:t>مشخصات در پیشینه های مستند در فیلد مربوط مارک 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تکمیل پیشینه ها، هر بار که داده ها در یک فیلد گنجانده شدند، فیلد شمرده شد؛ فیلدهای تکراری در شمارش ها حساب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شش ماه، اکثر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ها فاقد مشخصه بودند و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محتوای مشخصه اضافی در یک فیلد مارک بودند و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دارای بیش از دو مشخصه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یک ساله، به طور کلی مشخصات بیشتری در پیشینه های مستند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پیشینه های بدون مشخصات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داشت؛ تنها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1116259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پیشینه ها هیچ مشخصه ای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پیشینه های مستند نیز بعد از یک سال دارای حداقل یک مشخصه بودند؛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دارای دو یا چند مشخصه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کامل درباره تعداد مشخصات در پیشینه ها به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فیلدها در پیشینه های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مشخصه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04" w:name="pg9659_94334"/>
    </w:p>
    <w:p>
      <w:pPr>
        <w:pStyle w:val="BookText"/>
        <w:rPr/>
      </w:pPr>
      <w:bookmarkEnd w:id="1404"/>
      <w:r>
        <w:rPr>
          <w:rFonts w:ascii="IRNazanin" w:hAnsi="IRNazanin" w:eastAsia="IRNazanin"/>
          <w:color w:val="111111"/>
          <w:sz w:val="28"/>
          <w:sz w:val="28"/>
          <w:szCs w:val="28"/>
          <w:rtl w:val="true"/>
          <w:lang w:bidi="fa-IR"/>
        </w:rPr>
        <w:t xml:space="preserve">با توجه به مشترک بودن </w:t>
      </w:r>
      <w:r>
        <w:rPr>
          <w:rFonts w:eastAsia="IRNazanin" w:cs="IRNazanin"/>
          <w:color w:val="111111"/>
          <w:sz w:val="28"/>
          <w:szCs w:val="28"/>
          <w:lang w:bidi="fa-IR"/>
        </w:rPr>
        <w:t>046</w:t>
      </w:r>
      <w:r>
        <w:rPr>
          <w:rFonts w:eastAsia="IRNazanin" w:cs="IRNazanin"/>
          <w:color w:val="111111"/>
          <w:sz w:val="28"/>
          <w:szCs w:val="28"/>
          <w:rtl w:val="true"/>
          <w:lang w:bidi="fa-IR"/>
        </w:rPr>
        <w:t xml:space="preserve"> (</w:t>
      </w:r>
      <w:r>
        <w:rPr>
          <w:rFonts w:eastAsia="IRNazanin" w:cs="IRNazanin"/>
          <w:color w:val="111111"/>
          <w:sz w:val="28"/>
          <w:szCs w:val="28"/>
          <w:lang w:bidi="fa-IR"/>
        </w:rPr>
        <w:t>122676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 %9.62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پیشینه های مستند در این بررسی و با توجه به این حقیقت که </w:t>
      </w:r>
      <w:r>
        <w:rPr>
          <w:rFonts w:eastAsia="IRNazanin" w:cs="IRNazanin"/>
          <w:color w:val="111111"/>
          <w:sz w:val="28"/>
          <w:szCs w:val="28"/>
          <w:lang w:bidi="fa-IR"/>
        </w:rPr>
        <w:t>9,31</w:t>
      </w:r>
      <w:r>
        <w:rPr>
          <w:rFonts w:eastAsia="IRNazanin" w:cs="IRNazanin"/>
          <w:color w:val="111111"/>
          <w:sz w:val="28"/>
          <w:szCs w:val="28"/>
          <w:rtl w:val="true"/>
          <w:lang w:bidi="fa-IR"/>
        </w:rPr>
        <w:t>% (</w:t>
      </w:r>
      <w:r>
        <w:rPr>
          <w:rFonts w:eastAsia="IRNazanin" w:cs="IRNazanin"/>
          <w:color w:val="111111"/>
          <w:sz w:val="28"/>
          <w:szCs w:val="28"/>
          <w:lang w:bidi="fa-IR"/>
        </w:rPr>
        <w:t>118696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پیشینه های مورد بررسی حاوی بین یک تا سه مشخصه بودند، می توان فرض کرد که وقتی یک پیشینه حاوی یک مشخصه باشد، آن مشخصه فیلد </w:t>
      </w:r>
      <w:r>
        <w:rPr>
          <w:rFonts w:eastAsia="IRNazanin" w:cs="IRNazanin"/>
          <w:color w:val="111111"/>
          <w:sz w:val="28"/>
          <w:szCs w:val="28"/>
          <w:lang w:bidi="fa-IR"/>
        </w:rPr>
        <w:t>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چندان دور از ذهن نیست، چون اگر داده ها در دسترس باشند کپی برداری محتوا از شناسه به </w:t>
      </w:r>
      <w:r>
        <w:rPr>
          <w:rFonts w:eastAsia="IRNazanin" w:cs="IRNazanin"/>
          <w:color w:val="111111"/>
          <w:sz w:val="28"/>
          <w:szCs w:val="28"/>
          <w:lang w:bidi="fa-IR"/>
        </w:rPr>
        <w:t>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مستند باید یک روند ساده و سرراست برای فهرست نویسان باشد و همان طور که قبلاً گفته شد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دسترسی </w:t>
      </w:r>
      <w:r>
        <w:rPr>
          <w:rFonts w:eastAsia="Times New Roman" w:cs="Times New Roman" w:ascii="Times New Roman" w:hAnsi="Times New Roman"/>
          <w:color w:val="111111"/>
          <w:sz w:val="28"/>
          <w:szCs w:val="28"/>
          <w:lang w:val="en-US" w:bidi="en-US"/>
        </w:rPr>
        <w:t>WorldCat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طور هستند</w:t>
      </w:r>
      <w:r>
        <w:rPr>
          <w:rFonts w:eastAsia="IRNazanin" w:cs="IRNazanin"/>
          <w:color w:val="111111"/>
          <w:sz w:val="28"/>
          <w:szCs w:val="28"/>
          <w:rtl w:val="true"/>
          <w:lang w:bidi="fa-IR"/>
        </w:rPr>
        <w:t>.</w:t>
      </w:r>
    </w:p>
    <w:p>
      <w:pPr>
        <w:pStyle w:val="Heading3"/>
        <w:numPr>
          <w:ilvl w:val="2"/>
          <w:numId w:val="1"/>
        </w:numPr>
        <w:rPr/>
      </w:pPr>
      <w:bookmarkStart w:id="1405" w:name="__RefHeading___Toc7826257_2870459653"/>
      <w:bookmarkStart w:id="1406" w:name="_Toc523"/>
      <w:bookmarkEnd w:id="1405"/>
      <w:r>
        <w:rPr>
          <w:rtl w:val="true"/>
        </w:rPr>
        <w:t>مشخصات جمعیت شناختی شخص</w:t>
      </w:r>
      <w:bookmarkEnd w:id="1406"/>
    </w:p>
    <w:p>
      <w:pPr>
        <w:pStyle w:val="BookText"/>
        <w:rPr/>
      </w:pPr>
      <w:r>
        <w:rPr>
          <w:rFonts w:ascii="IRNazanin" w:hAnsi="IRNazanin" w:eastAsia="IRNazanin"/>
          <w:color w:val="111111"/>
          <w:sz w:val="28"/>
          <w:sz w:val="28"/>
          <w:szCs w:val="28"/>
          <w:rtl w:val="true"/>
          <w:lang w:bidi="fa-IR"/>
        </w:rPr>
        <w:t>با این که تحلیل محتوای کامل مشخصات در پیشینه های مارک هدف این بررسی نبود، تعداد محدودی از آمارهای توصیفی چند پایه برای تحقیقات آتی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پیشینه های دوم و کامل تر بعدی در آوریل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جنسیت 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زبان، مورد ارزیابی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جدول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فراداده بیشترین حضور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آر دی اِی </w:t>
      </w:r>
      <w:r>
        <w:rPr>
          <w:rFonts w:eastAsia="IRNazanin" w:cs="IRNazanin"/>
          <w:color w:val="111111"/>
          <w:sz w:val="28"/>
          <w:szCs w:val="28"/>
          <w:lang w:bidi="fa-IR"/>
        </w:rPr>
        <w:t>9.14.1.1</w:t>
      </w:r>
      <w:r>
        <w:rPr>
          <w:rFonts w:ascii="IRNazanin" w:hAnsi="IRNazanin" w:eastAsia="IRNazanin"/>
          <w:color w:val="111111"/>
          <w:sz w:val="28"/>
          <w:sz w:val="28"/>
          <w:szCs w:val="28"/>
          <w:rtl w:val="true"/>
          <w:lang w:bidi="fa-IR"/>
        </w:rPr>
        <w:t>، زبان یک شخص زبانی است که آن شخص برای نوشتن یک کتاب از آن استفاده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 دی اِی تولکیت،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نویسندگانی که به زبان انگلیسی می نویسند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22666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حضور پررنگی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زبان ها در فیلد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فیلد تکرارپذیر است، ممکن است بیش از یک زبان به یک پیشینه مستند تخصیص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ثبت شده در پیشینه های مستند مرلین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انتخاب شده ثبت شده در پیشینه های مستند مرلین</w:t>
      </w:r>
    </w:p>
    <w:p>
      <w:pPr>
        <w:pStyle w:val="BookText"/>
        <w:rPr/>
      </w:pPr>
      <w:r>
        <w:rPr>
          <w:rFonts w:ascii="IRNazanin" w:hAnsi="IRNazanin" w:eastAsia="IRNazanin"/>
          <w:color w:val="111111"/>
          <w:sz w:val="28"/>
          <w:sz w:val="28"/>
          <w:szCs w:val="28"/>
          <w:rtl w:val="true"/>
          <w:lang w:bidi="fa-IR"/>
        </w:rPr>
        <w:t>عکس</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نوع تحلیل مشخصات در پیشینه ها چند محدودیت وجود دارد که یکی از آن ها این حقیقت است که هیچ روشی برای دانستن این نکته وجود ندارد که یک نمونه تا چه حد نشان دهنده افراد حاضر در فایل مستند این خوشه کنسرسیوم کتابخانه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مجموعه های دانشگاهی در ایالات متحده بیشتر به نفع نویسندگان مرد و آن هایی هستند که به لحاظ نویسندگی و نیز موضوع از زبان انگلیسی استفاده می کنند؟ اگر این طور است، آیا توضیحی برای پیامدهای آن ها وجود دارد؟ جدای از پرسش ها درباره شاخص بودن داده ها، فراداده به دست آمده برای گروهی از غیر شاخص های جمعیت شناختی بین المللی در تحقیقات در طول 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بخشی از بررسی ها در جمعیت شناسی اشخاص، اطلاعات محدودی درباره مشاغل مورد ارزیابی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به طور کلی زنجیره های متنی بر اساس سر عنوان های موضوعی کتاب خانه کنگره </w:t>
      </w:r>
      <w:r>
        <w:rPr>
          <w:rStyle w:val="FootnoteAnchor"/>
          <w:rtl w:val="true"/>
        </w:rPr>
        <w:footnoteReference w:id="1488"/>
      </w:r>
      <w:r>
        <w:rPr>
          <w:rFonts w:ascii="IRNazanin" w:hAnsi="IRNazanin" w:eastAsia="IRNazanin"/>
          <w:color w:val="111111"/>
          <w:sz w:val="28"/>
          <w:sz w:val="28"/>
          <w:szCs w:val="28"/>
          <w:rtl w:val="true"/>
          <w:lang w:bidi="fa-IR"/>
        </w:rPr>
        <w:t>بوده و منوط به همه ناهماهنگی ها در فیلدهای بدون متن، مانند ورود اطلاعات نادرست و خطاهای چاپی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شغل متفاوت از میان فیلد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w:t>
      </w:r>
      <w:r>
        <w:rPr>
          <w:rFonts w:eastAsia="IRNazanin" w:cs="IRNazanin"/>
          <w:color w:val="111111"/>
          <w:sz w:val="28"/>
          <w:szCs w:val="28"/>
          <w:lang w:bidi="fa-IR"/>
        </w:rPr>
        <w:t>39772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شدند تا به یک الگوی مشهود و مشخص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6517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شغلی موجود، شامل عبارات نویسنده یا نویسندگان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اعضای ناکو که مشغول فهرست نویسی منابع غیرمتنی بودند در ایجاد فیلد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هنرهای اجرایی مانند بازیگر، پیانیست و نوازنده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بیشتر به 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انتخاب شده ثبت شده در پیشینه های مستند مرلین</w:t>
      </w:r>
    </w:p>
    <w:p>
      <w:pPr>
        <w:pStyle w:val="BookText"/>
        <w:rPr/>
      </w:pPr>
      <w:r>
        <w:rPr>
          <w:rFonts w:ascii="IRNazanin" w:hAnsi="IRNazanin" w:eastAsia="IRNazanin"/>
          <w:color w:val="111111"/>
          <w:sz w:val="28"/>
          <w:sz w:val="28"/>
          <w:szCs w:val="28"/>
          <w:rtl w:val="true"/>
          <w:lang w:bidi="fa-IR"/>
        </w:rPr>
        <w:t>عکس</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بسیار محدودی از مکان های مربوط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کسب موفقیت هایی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مربوط شامل مدخل های بدون متن برای مؤسساتی بودند که بر پایه نقاط دسترسی ساختار مشترک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فیلد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داده </w:t>
      </w:r>
      <w:r>
        <w:rPr>
          <w:rFonts w:eastAsia="IRNazanin" w:cs="IRNazanin"/>
          <w:color w:val="111111"/>
          <w:sz w:val="28"/>
          <w:szCs w:val="28"/>
          <w:rtl w:val="true"/>
          <w:lang w:bidi="fa-IR"/>
        </w:rPr>
        <w:t>(</w:t>
      </w:r>
      <w:r>
        <w:rPr>
          <w:rFonts w:eastAsia="IRNazanin" w:cs="IRNazanin"/>
          <w:color w:val="111111"/>
          <w:sz w:val="28"/>
          <w:szCs w:val="28"/>
          <w:lang w:bidi="fa-IR"/>
        </w:rPr>
        <w:t>21620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بیش از نیمی از آن ها حاوی عبارت دانشگاه </w:t>
      </w:r>
      <w:r>
        <w:rPr>
          <w:rFonts w:eastAsia="IRNazanin" w:cs="IRNazanin"/>
          <w:color w:val="111111"/>
          <w:sz w:val="28"/>
          <w:szCs w:val="28"/>
          <w:rtl w:val="true"/>
          <w:lang w:bidi="fa-IR"/>
        </w:rPr>
        <w:t>(</w:t>
      </w:r>
      <w:r>
        <w:rPr>
          <w:rFonts w:eastAsia="IRNazanin" w:cs="IRNazanin"/>
          <w:color w:val="111111"/>
          <w:sz w:val="28"/>
          <w:szCs w:val="28"/>
          <w:lang w:bidi="fa-IR"/>
        </w:rPr>
        <w:t>11040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عبارت دانشکده </w:t>
      </w:r>
      <w:r>
        <w:rPr>
          <w:rFonts w:eastAsia="IRNazanin" w:cs="IRNazanin"/>
          <w:color w:val="111111"/>
          <w:sz w:val="28"/>
          <w:szCs w:val="28"/>
          <w:rtl w:val="true"/>
          <w:lang w:bidi="fa-IR"/>
        </w:rPr>
        <w:t>(</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بودند و این بدان معناست </w:t>
      </w:r>
    </w:p>
    <w:p>
      <w:pPr>
        <w:pStyle w:val="BookText"/>
        <w:rPr/>
      </w:pPr>
      <w:r>
        <w:rPr>
          <w:rFonts w:ascii="IRNazanin" w:hAnsi="IRNazanin" w:eastAsia="IRNazanin"/>
          <w:color w:val="111111"/>
          <w:sz w:val="28"/>
          <w:sz w:val="28"/>
          <w:szCs w:val="28"/>
          <w:rtl w:val="true"/>
          <w:lang w:bidi="fa-IR"/>
        </w:rPr>
        <w:t xml:space="preserve">که اطلاعات تأمین شده در فیلد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اول برای افراد تحصیل کرده وارد شده است؛ اگر فیلد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دلالت کننده باشد، در این صورت همه این افراد استاد دانشگاه نیستند، بلکه می توانند دانشجو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بازنمایی جدولی این داده ها به جدول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انتخاب شده برای مکان در پیشینه های مستند مرلین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فرصت های بالقوه تحت اختیار کاربر نهایی از طریق افزودن داده های شخصی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آن که نظام ها بتوانند نیازهای کاربران را برآورده کنند به چیزی بیش از نویسندگان انگلیسی زبان، مردان و تحصیل کرده ها نیاز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کامل بودن یک شاخص کیفی فراداده را در نظر بگیریم، در این صورت داده های به دست آمده در مورد اشخاص از نظر تکمیل داده در پیشینه شخص یا تکمیل داده ها در فیلدهای مشخص در کل مجموعه از کیفیت بالایی برخوردار نخواهند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هایی که منجر به عدم ورود داده های شخصی به پیشینه ها می شوند شامل موضوعاتی مربوط به عملیات هر کتاب خانه و مجموعه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نویسان دارای مستندات ناکو برای ساخت پیشینه های مستند آر دی اِی برای اشخاص نمی توانند با الزامات ایجاد داده به صورت دستی در آر دی اِی هم خوان و هم سو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ارائه شده در بالا می توانیم بگوییم که فهرست نویسان اطلاعات اضافی برای مردان و تحصیلات عالی آن ها و احتمالاً دانشگاه هایی که در آن ها فعالیت دارند را رمزگذاری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ها اطلاعات اضافی اشخاصی را وارد می کنند که بخشی از جریان کاری هنرهای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برای تأمین فراداده اطلاعاتی درباره کسر اندکی از اشخاص در دنیای کتاب شناختی را وارد نظام های کتاب خانه ای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کتاب خانه ای آینده، پیشینه های مستند نه تنها اشخاص را از هم تفکیک می کنند بلکه امکان گروه بندی اطلاعات از طریق مشخصات مشترک را فراهم می سازند، البته اگر و تنها اگر مشخصات مربوطه ثبت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پیچیدگی </w:t>
      </w:r>
    </w:p>
    <w:p>
      <w:pPr>
        <w:pStyle w:val="BookText"/>
        <w:rPr/>
      </w:pPr>
      <w:r>
        <w:rPr>
          <w:rFonts w:ascii="IRNazanin" w:hAnsi="IRNazanin" w:eastAsia="IRNazanin"/>
          <w:color w:val="111111"/>
          <w:sz w:val="28"/>
          <w:sz w:val="28"/>
          <w:szCs w:val="28"/>
          <w:rtl w:val="true"/>
          <w:lang w:bidi="fa-IR"/>
        </w:rPr>
        <w:t>اطلاعات درباره اشخاص دارای توانایی کمک به روابط و پیوندها در نظام های آتی مانند آن چه در کتاب خانه متناسب با انجام شده است و این که اگر قرار است نهایت استفاده از این نظام صورت گیرد، اطلاعات آن باید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گنجاندن مشخصات در پیشینه های مستند نیاز به متن بیشتر و فراتر از نام شخص در شناسه نام شخصی را بر طرف کرده و در عین حال پیشنهادها کارگروه </w:t>
      </w:r>
      <w:r>
        <w:rPr>
          <w:rStyle w:val="FootnoteAnchor"/>
          <w:rtl w:val="true"/>
        </w:rPr>
        <w:footnoteReference w:id="1489"/>
      </w:r>
      <w:r>
        <w:rPr>
          <w:rFonts w:ascii="IRNazanin" w:hAnsi="IRNazanin" w:eastAsia="IRNazanin"/>
          <w:color w:val="111111"/>
          <w:sz w:val="28"/>
          <w:sz w:val="28"/>
          <w:szCs w:val="28"/>
          <w:rtl w:val="true"/>
          <w:lang w:bidi="fa-IR"/>
        </w:rPr>
        <w:t xml:space="preserve">پی سی سی برای ایجاد و کارکرد مستندات نام در یک محیط غیر مارک </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گزارشی برای پی سی سی،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شناسگرهای پیچیده ای که در وُرلدکَت به آن ها اشاره شده را می توان از طریق افزودن نظام مند مشخصات به پیشینه های مستند، ساده و سرراست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91,269,104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شناسگر نام شخصی در وُرلدکَت با تاریخ ها، همه آن ها را می توان به قسمت مشخصات پیشینه های مستند منتقل یا کپی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تحقیق حاضر پیشینه های مستند ذخیره شده در وُرلدکَت مورد بررسی قرار نگرفته اند، این پیشنهاد را می توان در یک ساختار کوچک تر به صورت آزمایشی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رویکرد برای ارائه مشخصات در مورد شکل های کامل تر نام های موجود در معرف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شناسگرها، </w:t>
      </w:r>
      <w:r>
        <w:rPr>
          <w:rFonts w:eastAsia="IRNazanin" w:cs="IRNazanin"/>
          <w:color w:val="111111"/>
          <w:sz w:val="28"/>
          <w:szCs w:val="28"/>
          <w:lang w:bidi="fa-IR"/>
        </w:rPr>
        <w:t>10,837,508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عنوان ها و سایر واژگان مربوط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شناسگرها، </w:t>
      </w:r>
      <w:r>
        <w:rPr>
          <w:rFonts w:eastAsia="Times New Roman" w:cs="Times New Roman" w:ascii="Times New Roman" w:hAnsi="Times New Roman"/>
          <w:color w:val="111111"/>
          <w:sz w:val="28"/>
          <w:szCs w:val="28"/>
          <w:lang w:val="en-US" w:bidi="en-US"/>
        </w:rPr>
        <w:t>n=9,509,560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صدق می کند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محدودیت بررسی حاضر این حقیقت است که عنوان های نام غیر تفکیکی نمی توانند حاوی فیلدهای خاص شخص باشند، زیرا بنا به تعریف، اشخاصی که با شناسگر نشان داده می شوند، شناخته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امکان وجود ندارد که تعداد عنوان های نام غیر تفکیکی را بر اساس داده های موجود در این بررسی،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نقطه ای از آینده لازم باشد که بین این عنوان ها تمایز ایجاد کرده و پیشینه های غیر تفکیکی را از هم جدا کرد تا پیشینه های مستند هر چه بیشتری ایجاد شوند؛ بنابراین، این شناسگرها ضرورتاً دارای داده های مرتبط با شخص نیستند که درست در پیشینه های مستند مربوطه ثبت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آتی مشخص می کنند که چه زمانی و چگونه داده های مشخصه ای برای اشخاص در پیشینه های مستند ثبت خواهند شد، به ویژه اگر نام غیر تفکیکی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مؤلف متخصص یا مشهور نباشد، تصور اضافه کردن محتوای بیشتر به پیشینه های مستند او، دشوار است و بدین ترتیب کار او از جستجوهای مبتنی بر شخص حذف خواهد شد، مگر آن که تا آن زمان، یک اقدام راهبردی اتخاذ شود</w:t>
      </w:r>
      <w:r>
        <w:rPr>
          <w:rFonts w:eastAsia="IRNazanin" w:cs="IRNazanin"/>
          <w:color w:val="111111"/>
          <w:sz w:val="28"/>
          <w:szCs w:val="28"/>
          <w:rtl w:val="true"/>
          <w:lang w:bidi="fa-IR"/>
        </w:rPr>
        <w:t xml:space="preserve">. </w:t>
      </w:r>
      <w:bookmarkStart w:id="1407" w:name="pg9659_94339"/>
    </w:p>
    <w:p>
      <w:pPr>
        <w:pStyle w:val="Heading3"/>
        <w:numPr>
          <w:ilvl w:val="2"/>
          <w:numId w:val="1"/>
        </w:numPr>
        <w:rPr/>
      </w:pPr>
      <w:bookmarkStart w:id="1408" w:name="__RefHeading___Toc7826259_2870459653"/>
      <w:bookmarkStart w:id="1409" w:name="_Toc524"/>
      <w:bookmarkEnd w:id="1407"/>
      <w:bookmarkEnd w:id="1408"/>
      <w:r>
        <w:rPr>
          <w:rtl w:val="true"/>
        </w:rPr>
        <w:t>تحقیقات آینده</w:t>
      </w:r>
      <w:bookmarkEnd w:id="1409"/>
    </w:p>
    <w:p>
      <w:pPr>
        <w:pStyle w:val="BookText"/>
        <w:rPr/>
      </w:pPr>
      <w:r>
        <w:rPr>
          <w:rFonts w:ascii="IRNazanin" w:hAnsi="IRNazanin" w:eastAsia="IRNazanin"/>
          <w:color w:val="111111"/>
          <w:sz w:val="28"/>
          <w:sz w:val="28"/>
          <w:szCs w:val="28"/>
          <w:rtl w:val="true"/>
          <w:lang w:bidi="fa-IR"/>
        </w:rPr>
        <w:t>اگر هدف از فهرست نویسی ارائه دسترسی برابر بر پایه مشخصات است، لازم است که مشخصات برای همه به صورت برابر گنجانده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بیشتری به جز انگلیسی زبانان، مردان و تحصیل کرده ها باید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نظام کتاب خانه ای آرمانی به مجموعه های کاملی از فراداده ها دسترسی خواهد داشت که به صورت یک دست به همه کاربران در فراد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شناسایی، زمینه نمایی 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اتفاق رخ دهد، کتاب خانه ها باید به یک روش استفاده آزادانه از داده ها روی وب معنایی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محتوا بر یک پایه تصادفی و از طریق انتخاب گروهی از کتاب داران آموزش دیده برای این کار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شعار پی سی آمده است، ادغام داده های خارجی با داده های فردی است که با حضور همه طرفین امکان کنکاش آسان و استفاده از غنای محیط داده ای برای جستجوی بهتر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سی سی دِی وان،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مستند منحصر به فرد و ارزشمند هستند، اما با توجه به پیشرفت های امروز، کتاب داران باید روی محتوای مشخصات پیشینه های مستند کنترل کامل داشته و از منابع گردآوری شده مانند دی بی پدیا ویکی پدیا</w:t>
      </w:r>
    </w:p>
    <w:p>
      <w:pPr>
        <w:pStyle w:val="BookText"/>
        <w:rPr/>
      </w:pPr>
      <w:r>
        <w:rPr>
          <w:rFonts w:ascii="IRNazanin" w:hAnsi="IRNazanin" w:eastAsia="IRNazanin"/>
          <w:color w:val="111111"/>
          <w:sz w:val="28"/>
          <w:sz w:val="28"/>
          <w:szCs w:val="28"/>
          <w:rtl w:val="true"/>
          <w:lang w:bidi="fa-IR"/>
        </w:rPr>
        <w:t>از طریق، در جهت حل و فصل مشکلات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ارائه شده در این جا با دیدگاه بیب فریم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 سی سی شرح می دهد، در بیب فریم مستندات برای رقابت با یا جایگزینی اقدامات قبلی طراحی نشده اند، بلکه قرار است که لایه انتزاعی سبک به دیگر اقدامات مستندات بر پایه وب اضافه کنند تا کارایی آن ها را افزایش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 سی سی دِی وان،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آی اِس اِن آی </w:t>
      </w:r>
      <w:r>
        <w:rPr>
          <w:rStyle w:val="FootnoteAnchor"/>
          <w:rtl w:val="true"/>
        </w:rPr>
        <w:footnoteReference w:id="1491"/>
      </w:r>
      <w:r>
        <w:rPr>
          <w:rFonts w:ascii="IRNazanin" w:hAnsi="IRNazanin" w:eastAsia="IRNazanin"/>
          <w:color w:val="111111"/>
          <w:sz w:val="28"/>
          <w:sz w:val="28"/>
          <w:szCs w:val="28"/>
          <w:rtl w:val="true"/>
          <w:lang w:bidi="fa-IR"/>
        </w:rPr>
        <w:t>نیز شبیه همین اهداف را دنبال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اِوان، آنجیِللی و گَتِنبی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مشابه از این دست که در صفحات مؤلف ویکی پدیا مشاهده می شود شامل یک بخش از پیشینه های مستند در نظام های کتاب خانه ای برای این مؤلف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قابل خواندن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پیشینه های مستند او در وُرلدکَت، ویاف، اِل 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 اِف</w:t>
      </w:r>
      <w:r>
        <w:rPr>
          <w:rFonts w:eastAsia="IRNazanin" w:cs="IRNazanin"/>
          <w:color w:val="111111"/>
          <w:sz w:val="28"/>
          <w:szCs w:val="28"/>
          <w:rtl w:val="true"/>
          <w:lang w:bidi="fa-IR"/>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 آی اِس اِن آی </w:t>
      </w:r>
      <w:r>
        <w:rPr>
          <w:rStyle w:val="FootnoteAnchor"/>
          <w:rtl w:val="true"/>
        </w:rPr>
        <w:footnoteReference w:id="1494"/>
      </w:r>
      <w:r>
        <w:rPr>
          <w:rFonts w:ascii="Amiri" w:hAnsi="Amiri" w:eastAsia="Amiri" w:cs="Amiri"/>
          <w:color w:val="111111"/>
          <w:sz w:val="28"/>
          <w:sz w:val="28"/>
          <w:szCs w:val="28"/>
          <w:rtl w:val="true"/>
          <w:lang w:bidi="ar-SA"/>
        </w:rPr>
        <w:t xml:space="preserve">، جی اِن دی </w:t>
      </w:r>
      <w:r>
        <w:rPr>
          <w:rStyle w:val="FootnoteAnchor"/>
          <w:rtl w:val="true"/>
        </w:rPr>
        <w:footnoteReference w:id="1495"/>
      </w:r>
      <w:r>
        <w:rPr>
          <w:rFonts w:ascii="IRNazanin" w:hAnsi="IRNazanin" w:eastAsia="IRNazanin"/>
          <w:color w:val="111111"/>
          <w:sz w:val="28"/>
          <w:sz w:val="28"/>
          <w:szCs w:val="28"/>
          <w:rtl w:val="true"/>
          <w:lang w:bidi="fa-IR"/>
        </w:rPr>
        <w:t xml:space="preserve">، سوداک </w:t>
      </w:r>
      <w:r>
        <w:rPr>
          <w:rStyle w:val="FootnoteAnchor"/>
          <w:rtl w:val="true"/>
        </w:rPr>
        <w:footnoteReference w:id="1496"/>
      </w:r>
      <w:r>
        <w:rPr>
          <w:rFonts w:ascii="Amiri" w:hAnsi="Amiri" w:eastAsia="Amiri" w:cs="Amiri"/>
          <w:color w:val="111111"/>
          <w:sz w:val="28"/>
          <w:sz w:val="28"/>
          <w:szCs w:val="28"/>
          <w:rtl w:val="true"/>
          <w:lang w:bidi="ar-SA"/>
        </w:rPr>
        <w:t xml:space="preserve">، بی اِن اِف </w:t>
      </w:r>
      <w:r>
        <w:rPr>
          <w:rStyle w:val="FootnoteAnchor"/>
          <w:rtl w:val="true"/>
        </w:rPr>
        <w:footnoteReference w:id="1497"/>
      </w:r>
      <w:r>
        <w:rPr>
          <w:rFonts w:ascii="Amiri" w:hAnsi="Amiri" w:eastAsia="Amiri" w:cs="Amiri"/>
          <w:color w:val="111111"/>
          <w:sz w:val="28"/>
          <w:sz w:val="28"/>
          <w:szCs w:val="28"/>
          <w:rtl w:val="true"/>
          <w:lang w:bidi="ar-SA"/>
        </w:rPr>
        <w:t xml:space="preserve">و اِن دی اِل </w:t>
      </w:r>
      <w:r>
        <w:rPr>
          <w:rStyle w:val="FootnoteAnchor"/>
          <w:rtl w:val="true"/>
        </w:rPr>
        <w:footnoteReference w:id="1498"/>
      </w:r>
      <w:r>
        <w:rPr>
          <w:rFonts w:ascii="IRNazanin" w:hAnsi="IRNazanin" w:eastAsia="IRNazanin"/>
          <w:color w:val="111111"/>
          <w:sz w:val="28"/>
          <w:sz w:val="28"/>
          <w:szCs w:val="28"/>
          <w:rtl w:val="true"/>
          <w:lang w:bidi="fa-IR"/>
        </w:rPr>
        <w:t>یافت می شوند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امکان نیز وجود دارد که همه اشخاص مرتبط با محتوا در مجموعه های کتاب خانه ای در وب </w:t>
      </w:r>
      <w:bookmarkStart w:id="1410" w:name="pg9659_94340"/>
    </w:p>
    <w:p>
      <w:pPr>
        <w:pStyle w:val="BookText"/>
        <w:rPr/>
      </w:pPr>
      <w:bookmarkEnd w:id="1410"/>
      <w:r>
        <w:rPr>
          <w:rFonts w:ascii="IRNazanin" w:hAnsi="IRNazanin" w:eastAsia="IRNazanin"/>
          <w:color w:val="111111"/>
          <w:sz w:val="28"/>
          <w:sz w:val="28"/>
          <w:szCs w:val="28"/>
          <w:rtl w:val="true"/>
          <w:lang w:bidi="fa-IR"/>
        </w:rPr>
        <w:t>معنایی حضور نداشته باشند؛ فهرست نویسان باید برای این اشخاص اطلاعات بیشتری اضافه کنند، اما این کار باید به صورت راهبردی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کار انجام شده توسط فهرست نویسان در حالت آرمانی دارای نسبت عکس با مقدار داده های موجود در وب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محتوای مشخصات موجود در پیشینه های مستند را می توان به گونه ای ارائه کرد که ماشین نیز قادر به خواندن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های بدون متن نیز برای جستجوی نظام مند و بازیابی یک مشکل محسوب می شوند چون ماهیت نامنسجمی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شناسگرهای فعال شده از طریق وب معنایی و احتمالات آن ها به عنوان یک راه حل احتمالی برای این مشکلات و بلند پروازی مدخل های بدون متن که صرفاً زنجیره های متنی هستند و نه داده، مورد بررسی قرار گیرند</w:t>
      </w:r>
      <w:r>
        <w:rPr>
          <w:rFonts w:eastAsia="IRNazanin" w:cs="IRNazanin"/>
          <w:color w:val="111111"/>
          <w:sz w:val="28"/>
          <w:szCs w:val="28"/>
          <w:rtl w:val="true"/>
          <w:lang w:bidi="fa-IR"/>
        </w:rPr>
        <w:t>.</w:t>
      </w:r>
    </w:p>
    <w:p>
      <w:pPr>
        <w:pStyle w:val="Heading3"/>
        <w:numPr>
          <w:ilvl w:val="2"/>
          <w:numId w:val="1"/>
        </w:numPr>
        <w:rPr/>
      </w:pPr>
      <w:bookmarkStart w:id="1411" w:name="__RefHeading___Toc7826261_2870459653"/>
      <w:bookmarkStart w:id="1412" w:name="_Toc525"/>
      <w:bookmarkEnd w:id="1411"/>
      <w:r>
        <w:rPr>
          <w:rtl w:val="true"/>
        </w:rPr>
        <w:t>نتیجه گیری</w:t>
      </w:r>
      <w:bookmarkEnd w:id="1412"/>
    </w:p>
    <w:p>
      <w:pPr>
        <w:pStyle w:val="BookText"/>
        <w:rPr/>
      </w:pPr>
      <w:r>
        <w:rPr>
          <w:rFonts w:ascii="IRNazanin" w:hAnsi="IRNazanin" w:eastAsia="IRNazanin"/>
          <w:color w:val="111111"/>
          <w:sz w:val="28"/>
          <w:sz w:val="28"/>
          <w:szCs w:val="28"/>
          <w:rtl w:val="true"/>
          <w:lang w:bidi="fa-IR"/>
        </w:rPr>
        <w:t>این بررسی نشان داد که بعد از یک سال فهرست نویسی بر اساس آر دی اِی، نتایج سهل الوصولی هم چون تاریخ های افزوده به پیشینه های مستند حاصل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مشخصات کم تر دیده می شوند و بیشتر تمرکز روی انگلیسی زبانان، مردان و افراد مرتبط با دانشگاه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تحلیل حاضر به شاخص کیفیت فراداده کامل بودن مشخصات در پیشینه های مستند فرا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 طی فرایند بررسی ابعاد جمعیت شناختی افراد در فایل مستندات، چند مشاهده غیر رسمی ثبت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نظر می رسد که کتابداران ضرورتاً پیشینه هایی ایجاد نمی کنند که اشخاص با توان بالقوه جستجو را نمایان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کتابداران فعال در موسسه های دانشگاهی با بودجه مناسب حجم زیادی از پیشینه ها را تولید کرده و اساساً توجهی به نوع اشخاص توصیف شده،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مشاهدات باید در تحقیقات آتی مورد توجه قرار گیرند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 دی اِی در حال هموارسازی مسیر به سوی یک نظام کتاب خانه ای غنی تر با عمل کرد بهتر در آینده در رابطه با نحوه گنجاندن اطلاعات اشخاص در کنار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بیشتر برای گنجاندن مشخصات مؤلفان در پیشینه های فراداده ناچیز و بی اهمیت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آر دی ای در جهت درست حرکت می کند، کتابداران باید درباره بهترین راه انجام این کارها و در عین حال حفظ توازن دقت در حجم کار خلاقانه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وب معنایی باید با بازبینی نظام ها و روش ها مورد بررسی قرار گیرد</w:t>
      </w:r>
      <w:r>
        <w:rPr>
          <w:rFonts w:eastAsia="IRNazanin" w:cs="IRNazanin"/>
          <w:color w:val="111111"/>
          <w:sz w:val="28"/>
          <w:szCs w:val="28"/>
          <w:rtl w:val="true"/>
          <w:lang w:bidi="fa-IR"/>
        </w:rPr>
        <w:t xml:space="preserve">. </w:t>
      </w:r>
      <w:bookmarkStart w:id="1413" w:name="pg9659_94341"/>
    </w:p>
    <w:p>
      <w:pPr>
        <w:pStyle w:val="Heading3"/>
        <w:numPr>
          <w:ilvl w:val="2"/>
          <w:numId w:val="1"/>
        </w:numPr>
        <w:rPr/>
      </w:pPr>
      <w:bookmarkStart w:id="1414" w:name="__RefHeading___Toc7826263_2870459653"/>
      <w:bookmarkStart w:id="1415" w:name="_Toc526"/>
      <w:bookmarkEnd w:id="1413"/>
      <w:bookmarkEnd w:id="1414"/>
      <w:r>
        <w:rPr>
          <w:rtl w:val="true"/>
        </w:rPr>
        <w:t>منابع</w:t>
      </w:r>
      <w:bookmarkEnd w:id="1415"/>
    </w:p>
    <w:p>
      <w:pPr>
        <w:pStyle w:val="BookText"/>
        <w:rPr/>
      </w:pPr>
      <w:r>
        <w:rPr>
          <w:rFonts w:eastAsia="Times New Roman" w:cs="Times New Roman" w:ascii="Times New Roman" w:hAnsi="Times New Roman"/>
          <w:color w:val="111111"/>
          <w:sz w:val="28"/>
          <w:szCs w:val="28"/>
          <w:lang w:val="en-US" w:bidi="en-US"/>
        </w:rPr>
        <w:t>Bennett, R., Hengel-Dittrich, C., O'Neill, E., &amp; Tillett, B. (2006). VIAF (Virtual International</w:t>
      </w:r>
    </w:p>
    <w:p>
      <w:pPr>
        <w:pStyle w:val="BookText"/>
        <w:rPr/>
      </w:pPr>
      <w:r>
        <w:rPr>
          <w:rFonts w:eastAsia="Times New Roman" w:cs="Times New Roman" w:ascii="Times New Roman" w:hAnsi="Times New Roman"/>
          <w:color w:val="111111"/>
          <w:sz w:val="28"/>
          <w:szCs w:val="28"/>
          <w:lang w:val="en-US" w:bidi="en-US"/>
        </w:rPr>
        <w:t>Authority File): Linking Die Deutsche Bibliothek and Library of Congress name</w:t>
      </w:r>
    </w:p>
    <w:p>
      <w:pPr>
        <w:pStyle w:val="BookText"/>
        <w:rPr/>
      </w:pPr>
      <w:r>
        <w:rPr>
          <w:rFonts w:eastAsia="Times New Roman" w:cs="Times New Roman" w:ascii="Times New Roman" w:hAnsi="Times New Roman"/>
          <w:color w:val="111111"/>
          <w:sz w:val="28"/>
          <w:szCs w:val="28"/>
          <w:lang w:val="en-US" w:bidi="en-US"/>
        </w:rPr>
        <w:t>authority files. In World Library and Information Congress: 72nd IFLA General</w:t>
      </w:r>
    </w:p>
    <w:p>
      <w:pPr>
        <w:pStyle w:val="BookText"/>
        <w:rPr/>
      </w:pPr>
      <w:r>
        <w:rPr>
          <w:rFonts w:eastAsia="Times New Roman" w:cs="Times New Roman" w:ascii="Times New Roman" w:hAnsi="Times New Roman"/>
          <w:color w:val="111111"/>
          <w:sz w:val="28"/>
          <w:szCs w:val="28"/>
          <w:lang w:val="en-US" w:bidi="en-US"/>
        </w:rPr>
        <w:t>Conference and Council. Retrieved from: http://cite seerx.ist.psu.edu/view doc/ download?doi=10.1.1.150.5328&amp;rep=rep1&amp;type=pdf</w:t>
      </w:r>
    </w:p>
    <w:p>
      <w:pPr>
        <w:pStyle w:val="BookText"/>
        <w:rPr/>
      </w:pPr>
      <w:r>
        <w:rPr>
          <w:rFonts w:eastAsia="Times New Roman" w:cs="Times New Roman" w:ascii="Times New Roman" w:hAnsi="Times New Roman"/>
          <w:color w:val="111111"/>
          <w:sz w:val="28"/>
          <w:szCs w:val="28"/>
          <w:lang w:val="en-US" w:bidi="en-US"/>
        </w:rPr>
        <w:t>Functional Requirements for Bibliographic Data (FRAD). (2008, 2013 rev.). Retrieved from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http://www.ifla.org/files/assets/cataloguing/frad/frad_2013.pdf Functional Requirements for Bibliographic Records (FRBR): Final report. (1997, 2009 rev.)</w:t>
      </w:r>
    </w:p>
    <w:p>
      <w:pPr>
        <w:pStyle w:val="BookText"/>
        <w:rPr/>
      </w:pPr>
      <w:r>
        <w:rPr>
          <w:rFonts w:eastAsia="Times New Roman" w:cs="Times New Roman" w:ascii="Times New Roman" w:hAnsi="Times New Roman"/>
          <w:color w:val="111111"/>
          <w:sz w:val="28"/>
          <w:szCs w:val="28"/>
          <w:lang w:val="en-US" w:bidi="en-US"/>
        </w:rPr>
        <w:t>International Federation of Library Associations and Institutions. Retrieved from</w:t>
      </w:r>
    </w:p>
    <w:p>
      <w:pPr>
        <w:pStyle w:val="BookText"/>
        <w:rPr/>
      </w:pPr>
      <w:r>
        <w:rPr>
          <w:rFonts w:eastAsia="Times New Roman" w:cs="Times New Roman" w:ascii="Times New Roman" w:hAnsi="Times New Roman"/>
          <w:color w:val="111111"/>
          <w:sz w:val="28"/>
          <w:szCs w:val="28"/>
          <w:lang w:val="en-US" w:bidi="en-US"/>
        </w:rPr>
        <w:t>http://www.ifla.org/files/assets/cataloguing/frbr/frbr_2008.pdf Kroeger, A. (2013). The road to BIBFRAME. Cataloging &amp; Classification Quarterly, 51(8), 873-890</w:t>
      </w:r>
    </w:p>
    <w:p>
      <w:pPr>
        <w:pStyle w:val="BookText"/>
        <w:rPr/>
      </w:pPr>
      <w:r>
        <w:rPr>
          <w:rFonts w:eastAsia="Times New Roman" w:cs="Times New Roman" w:ascii="Times New Roman" w:hAnsi="Times New Roman"/>
          <w:color w:val="111111"/>
          <w:sz w:val="28"/>
          <w:szCs w:val="28"/>
          <w:lang w:val="en-US" w:bidi="en-US"/>
        </w:rPr>
        <w:t>MacEwan, A. Angjeli, A., &amp; Gatenby, J. (2014). The International Standard Name Identifier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ISNI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evolving future of name authority control. Cataloging &amp; Classification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Quarterly, 51(1-3): 55-71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MARC 21 encoding to accommodate new RDA elements 046 and 3XX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NARS and SARS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October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Retrieved from http://loc.gov/aba/pcc/rda/PCC%20RDA%20guidelines/RDA%20 in%20NARS</w:t>
      </w:r>
    </w:p>
    <w:p>
      <w:pPr>
        <w:pStyle w:val="BookText"/>
        <w:rPr/>
      </w:pPr>
      <w:r>
        <w:rPr>
          <w:rFonts w:eastAsia="Times New Roman" w:cs="Times New Roman" w:ascii="Times New Roman" w:hAnsi="Times New Roman"/>
          <w:color w:val="111111"/>
          <w:sz w:val="28"/>
          <w:szCs w:val="28"/>
          <w:lang w:val="en-US" w:bidi="en-US"/>
        </w:rPr>
        <w:t>SARS_PCC.pdf MARC 21 format for authority data. (1999, rev. September 2013). Library of Congress</w:t>
      </w:r>
    </w:p>
    <w:p>
      <w:pPr>
        <w:pStyle w:val="BookText"/>
        <w:rPr/>
      </w:pPr>
      <w:r>
        <w:rPr>
          <w:rFonts w:eastAsia="Times New Roman" w:cs="Times New Roman" w:ascii="Times New Roman" w:hAnsi="Times New Roman"/>
          <w:color w:val="111111"/>
          <w:sz w:val="28"/>
          <w:szCs w:val="28"/>
          <w:lang w:val="en-US" w:bidi="en-US"/>
        </w:rPr>
        <w:t>Network Development and MARC Standards Office. Update No. 1 (October 2001)</w:t>
      </w:r>
    </w:p>
    <w:p>
      <w:pPr>
        <w:pStyle w:val="BookText"/>
        <w:rPr/>
      </w:pPr>
      <w:r>
        <w:rPr>
          <w:rFonts w:eastAsia="Times New Roman" w:cs="Times New Roman" w:ascii="Times New Roman" w:hAnsi="Times New Roman"/>
          <w:color w:val="111111"/>
          <w:sz w:val="28"/>
          <w:szCs w:val="28"/>
          <w:lang w:val="en-US" w:bidi="en-US"/>
        </w:rPr>
        <w:t>through Update No. 17 (September 2013). Retrieved from http://www.loc.gov/marc/authority/ecadhome.html</w:t>
      </w:r>
    </w:p>
    <w:p>
      <w:pPr>
        <w:pStyle w:val="BookText"/>
        <w:rPr/>
      </w:pPr>
      <w:r>
        <w:rPr>
          <w:rFonts w:eastAsia="Times New Roman" w:cs="Times New Roman" w:ascii="Times New Roman" w:hAnsi="Times New Roman"/>
          <w:color w:val="111111"/>
          <w:sz w:val="28"/>
          <w:szCs w:val="28"/>
          <w:lang w:val="en-US" w:bidi="en-US"/>
        </w:rPr>
        <w:t>MARC Usage in WorldCat. (2014). OCLC Research. Retrieved October 2013 and April 2014</w:t>
      </w:r>
    </w:p>
    <w:p>
      <w:pPr>
        <w:pStyle w:val="BookText"/>
        <w:rPr/>
      </w:pPr>
      <w:r>
        <w:rPr>
          <w:rFonts w:eastAsia="Times New Roman" w:cs="Times New Roman" w:ascii="Times New Roman" w:hAnsi="Times New Roman"/>
          <w:color w:val="111111"/>
          <w:sz w:val="28"/>
          <w:szCs w:val="28"/>
          <w:lang w:val="en-US" w:bidi="en-US"/>
        </w:rPr>
        <w:t>from http://experimental.worldcat.org/marcusage/ Miller, D. (2007). Basic values and the future of cataloging. ALCTS. Retrieved from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http://www.ala.org/alcts/ianda/bibcontrol/07futcat PCC Day One for RDA Authority Records. (2011, Dec. 20; updated 2012, Mar. 23)</w:t>
      </w:r>
    </w:p>
    <w:p>
      <w:pPr>
        <w:pStyle w:val="BookText"/>
        <w:rPr/>
      </w:pPr>
      <w:r>
        <w:rPr>
          <w:rFonts w:eastAsia="Times New Roman" w:cs="Times New Roman" w:ascii="Times New Roman" w:hAnsi="Times New Roman"/>
          <w:color w:val="111111"/>
          <w:sz w:val="28"/>
          <w:szCs w:val="28"/>
          <w:lang w:val="en-US" w:bidi="en-US"/>
        </w:rPr>
        <w:t>Retrieved from 14 http://www.loc.gov/aba/pcc/rda/PCC%20Day%20One/PCC%20 Day%20One%20for%20</w:t>
      </w:r>
    </w:p>
    <w:p>
      <w:pPr>
        <w:pStyle w:val="BookText"/>
        <w:rPr/>
      </w:pPr>
      <w:r>
        <w:rPr>
          <w:rFonts w:eastAsia="Times New Roman" w:cs="Times New Roman" w:ascii="Times New Roman" w:hAnsi="Times New Roman"/>
          <w:color w:val="111111"/>
          <w:sz w:val="28"/>
          <w:szCs w:val="28"/>
          <w:lang w:val="en-US" w:bidi="en-US"/>
        </w:rPr>
        <w:t>RDA%20Authority%20Records.docx. RDA Cataloger Training (2013, Feb. 18). Indiana University Libraries. Retrieved from</w:t>
      </w:r>
    </w:p>
    <w:p>
      <w:pPr>
        <w:pStyle w:val="BookText"/>
        <w:rPr/>
      </w:pPr>
      <w:r>
        <w:rPr>
          <w:rFonts w:eastAsia="Times New Roman" w:cs="Times New Roman" w:ascii="Times New Roman" w:hAnsi="Times New Roman"/>
          <w:color w:val="111111"/>
          <w:sz w:val="28"/>
          <w:szCs w:val="28"/>
          <w:lang w:val="en-US" w:bidi="en-US"/>
        </w:rPr>
        <w:t>http://www.indiana.edu/~libslav/RemoteRDATraining/IULtraining2-authorityrecords.doc</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RDA Toolkit: Resource description and access. (2014). American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Library Association</w:t>
      </w:r>
    </w:p>
    <w:p>
      <w:pPr>
        <w:pStyle w:val="BookText"/>
        <w:rPr/>
      </w:pPr>
      <w:r>
        <w:rPr>
          <w:rFonts w:eastAsia="Times New Roman" w:cs="Times New Roman" w:ascii="Times New Roman" w:hAnsi="Times New Roman"/>
          <w:color w:val="111111"/>
          <w:sz w:val="28"/>
          <w:szCs w:val="28"/>
          <w:lang w:val="en-US" w:bidi="en-US"/>
        </w:rPr>
        <w:t>Canadian Library Association, and CILIP: Chartered Institute of Library and Information</w:t>
      </w:r>
    </w:p>
    <w:p>
      <w:pPr>
        <w:pStyle w:val="BookText"/>
        <w:rPr/>
      </w:pPr>
      <w:r>
        <w:rPr>
          <w:rFonts w:eastAsia="Times New Roman" w:cs="Times New Roman" w:ascii="Times New Roman" w:hAnsi="Times New Roman"/>
          <w:color w:val="111111"/>
          <w:sz w:val="28"/>
          <w:szCs w:val="28"/>
          <w:lang w:val="en-US" w:bidi="en-US"/>
        </w:rPr>
        <w:t>Professionals. Retrieved from http://www.rdatoolkit.org/Report for PCC task group on the creation and function of name authorities in a non-MARC</w:t>
      </w:r>
    </w:p>
    <w:p>
      <w:pPr>
        <w:pStyle w:val="BookText"/>
        <w:rPr/>
      </w:pPr>
      <w:r>
        <w:rPr>
          <w:rFonts w:eastAsia="Times New Roman" w:cs="Times New Roman" w:ascii="Times New Roman" w:hAnsi="Times New Roman"/>
          <w:color w:val="111111"/>
          <w:sz w:val="28"/>
          <w:szCs w:val="28"/>
          <w:lang w:val="en-US" w:bidi="en-US"/>
        </w:rPr>
        <w:t>environment. (April 5, 2013). Retrieved from http://www.loc.gov/aba/pec/rda/RDA%20Task%20groups%20 and%20charges/ReportPC</w:t>
      </w:r>
    </w:p>
    <w:p>
      <w:pPr>
        <w:pStyle w:val="BookText"/>
        <w:rPr/>
      </w:pPr>
      <w:r>
        <w:rPr>
          <w:rFonts w:eastAsia="Times New Roman" w:cs="Times New Roman" w:ascii="Times New Roman" w:hAnsi="Times New Roman"/>
          <w:color w:val="111111"/>
          <w:sz w:val="28"/>
          <w:szCs w:val="28"/>
          <w:lang w:val="en-US" w:bidi="en-US"/>
        </w:rPr>
        <w:t>CTGonName AuthInA NonMARC_Environ_FinalReport.pdf Riemer, J. J. &amp; Schreur, P. E. (2012, February 14). The future of undifferentiated personal</w:t>
      </w:r>
    </w:p>
    <w:p>
      <w:pPr>
        <w:pStyle w:val="BookText"/>
        <w:rPr/>
      </w:pPr>
      <w:r>
        <w:rPr>
          <w:rFonts w:eastAsia="Times New Roman" w:cs="Times New Roman" w:ascii="Times New Roman" w:hAnsi="Times New Roman"/>
          <w:color w:val="111111"/>
          <w:sz w:val="28"/>
          <w:szCs w:val="28"/>
          <w:lang w:val="en-US" w:bidi="en-US"/>
        </w:rPr>
        <w:t>name authority records and other implications for PCC authority work. End notes updated</w:t>
      </w:r>
    </w:p>
    <w:p>
      <w:pPr>
        <w:pStyle w:val="BookText"/>
        <w:rPr/>
      </w:pPr>
      <w:r>
        <w:rPr>
          <w:rFonts w:eastAsia="Times New Roman" w:cs="Times New Roman" w:ascii="Times New Roman" w:hAnsi="Times New Roman"/>
          <w:color w:val="111111"/>
          <w:sz w:val="28"/>
          <w:szCs w:val="28"/>
          <w:lang w:val="en-US" w:bidi="en-US"/>
        </w:rPr>
        <w:t>May 8, 2012. Retrieved from http://www.loc.gov/aba/pcc/Undiff%20Personal%20NARs%20 Discussion%20Paper%20</w:t>
      </w:r>
    </w:p>
    <w:p>
      <w:pPr>
        <w:pStyle w:val="BookText"/>
        <w:rPr/>
      </w:pPr>
      <w:r>
        <w:rPr>
          <w:rFonts w:eastAsia="Times New Roman" w:cs="Times New Roman" w:ascii="Times New Roman" w:hAnsi="Times New Roman"/>
          <w:color w:val="111111"/>
          <w:sz w:val="28"/>
          <w:szCs w:val="28"/>
          <w:lang w:val="en-US" w:bidi="en-US"/>
        </w:rPr>
        <w:t>March%202012.doc Yee, M. M. (2005). FRBRization: A method for turning online public finding lists into online</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public catalogs. Information Technology &amp; Libraries, 24(2), 77-95. Zeng, M. L., &amp; Qin, J. (2009). Metadata. New York: Neal-Schuman</w:t>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6" w:name="pg9659_94345"/>
      <w:bookmarkStart w:id="1417" w:name="pg9659_94345"/>
      <w:bookmarkEnd w:id="1417"/>
    </w:p>
    <w:p>
      <w:pPr>
        <w:pStyle w:val="Heading2"/>
        <w:numPr>
          <w:ilvl w:val="1"/>
          <w:numId w:val="1"/>
        </w:numPr>
        <w:rPr/>
      </w:pPr>
      <w:bookmarkStart w:id="1418" w:name="pg9659_94345"/>
      <w:bookmarkStart w:id="1419" w:name="__RefHeading___Toc7826265_2870459653"/>
      <w:bookmarkStart w:id="1420" w:name="_Toc527"/>
      <w:bookmarkEnd w:id="1418"/>
      <w:bookmarkEnd w:id="1419"/>
      <w:r>
        <w:rPr>
          <w:rtl w:val="true"/>
        </w:rPr>
        <w:t>نمایه</w:t>
      </w:r>
      <w:bookmarkEnd w:id="142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1" w:name="__RefHeading___Toc7826267_2870459653"/>
      <w:bookmarkStart w:id="1422" w:name="_Toc528"/>
      <w:bookmarkEnd w:id="1421"/>
      <w:r>
        <w:rPr>
          <w:rtl w:val="true"/>
        </w:rPr>
        <w:t>اشاره</w:t>
      </w:r>
      <w:bookmarkEnd w:id="142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3" w:name="pg9659_94347"/>
      <w:bookmarkStart w:id="1424" w:name="pg9659_94347"/>
      <w:bookmarkEnd w:id="1424"/>
    </w:p>
    <w:p>
      <w:pPr>
        <w:pStyle w:val="Heading3"/>
        <w:numPr>
          <w:ilvl w:val="2"/>
          <w:numId w:val="1"/>
        </w:numPr>
        <w:rPr/>
      </w:pPr>
      <w:bookmarkStart w:id="1425" w:name="pg9659_94347"/>
      <w:bookmarkStart w:id="1426" w:name="__RefHeading___Toc7826269_2870459653"/>
      <w:bookmarkStart w:id="1427" w:name="_Toc529"/>
      <w:bookmarkEnd w:id="1425"/>
      <w:bookmarkEnd w:id="1426"/>
      <w:r>
        <w:rPr>
          <w:rtl w:val="true"/>
        </w:rPr>
        <w:t>حمید سلیم گندمی</w:t>
      </w:r>
      <w:bookmarkEnd w:id="1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سلیم گندمی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علمی سازمان اسناد و کتاب خانه ملّی جمهوری اسلامی ایران، دانشجوی دوره دکتری دانشگاه آزاد، واحد تهران شمال</w:t>
      </w:r>
      <w:r>
        <w:rPr>
          <w:rFonts w:eastAsia="IRNazanin" w:cs="IRNazanin"/>
          <w:color w:val="111111"/>
          <w:sz w:val="28"/>
          <w:szCs w:val="28"/>
          <w:rtl w:val="true"/>
          <w:lang w:bidi="fa-IR"/>
        </w:rPr>
        <w:t>. *</w:t>
      </w:r>
    </w:p>
    <w:p>
      <w:pPr>
        <w:pStyle w:val="Heading3"/>
        <w:numPr>
          <w:ilvl w:val="2"/>
          <w:numId w:val="1"/>
        </w:numPr>
        <w:rPr/>
      </w:pPr>
      <w:bookmarkStart w:id="1428" w:name="__RefHeading___Toc7826271_2870459653"/>
      <w:bookmarkStart w:id="1429" w:name="_Toc530"/>
      <w:bookmarkEnd w:id="1428"/>
      <w:r>
        <w:rPr/>
        <w:t>1</w:t>
      </w:r>
      <w:r>
        <w:rPr>
          <w:rtl w:val="true"/>
        </w:rPr>
        <w:t xml:space="preserve">. </w:t>
      </w:r>
      <w:r>
        <w:rPr>
          <w:rtl w:val="true"/>
        </w:rPr>
        <w:t>مقدمه</w:t>
      </w:r>
      <w:bookmarkEnd w:id="142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اطلاعات مورد نیاز از میان انبوه اطلاعات روز افزون و پراکندگی فراوان آن ها، بر اساس سرعت و دقت،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ساماندهی و سازماندهی استاندارد اطلاعات برای تسریع و تسهیل در امر بازیابی دقیق اطلاعات مورد نیاز، بسیار ویژه و قابل توجه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اطلاعات تولید شده، یکی از گام های اساسی در راستای ساماندهی اطلاعات و دستیابی سریع و دقیق به اطلاعات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 سازی در حقیقت تعیین و اختصاص دادن واژه ها و یا اصطلاحات، به متن مدارک به منظور بازیابی دقیق تر و سریع تر اطلاعات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 های انتخاب شده برای نمایه متون مدارک، به سان پل ارتباطی در چرخه تولید و مصرف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تناسب و هماهنگی در میان واژه های منتخب بیشتر باشد استحکام و استمرار پل بیشتر بوده، ارتباط مطلوب تری میان اندیشه های تولید کننده و مصرف کننده اطلاعات برقرار می 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Index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اصطلاح کتاب داری، راهنمایی برای مواد یا مطالبی است که به ترتیبی غیر از ترتیب اصلی مواد یا مطالب، تنظیم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موضوعی عبارت از کلید واژه های موضوعی است که برحسب حروف الفبا تنظیم می شود و شماره صفحه یا صفحات حاوی آن موضوع، در مقابل آن قرار می گیرد</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 xml:space="preserve">نوروزی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نمایه سازی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استاندارد ایزو </w:t>
      </w:r>
      <w:r>
        <w:rPr>
          <w:rFonts w:eastAsia="IRNazanin" w:cs="IRNazanin"/>
          <w:color w:val="111111"/>
          <w:sz w:val="28"/>
          <w:szCs w:val="28"/>
          <w:lang w:bidi="fa-IR"/>
        </w:rPr>
        <w:t>5963</w:t>
      </w:r>
      <w:r>
        <w:rPr>
          <w:rFonts w:ascii="IRNazanin" w:hAnsi="IRNazanin" w:eastAsia="IRNazanin"/>
          <w:color w:val="111111"/>
          <w:sz w:val="28"/>
          <w:sz w:val="28"/>
          <w:szCs w:val="28"/>
          <w:rtl w:val="true"/>
          <w:lang w:bidi="fa-IR"/>
        </w:rPr>
        <w:t>، عمل توصیف یا شناسایی محتوای موضوعی یک مدرک را نمایه سازی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ثبت و ضبط محتوای اطلاعاتی مدارک با استفاده از روش های گوناگون به منظور سازماندهی اطلاعات به قصد سهولت بازیابی را نمایه سازی گویند</w:t>
      </w:r>
      <w:r>
        <w:rPr>
          <w:rFonts w:eastAsia="IRNazanin" w:cs="IRNazanin"/>
          <w:color w:val="111111"/>
          <w:sz w:val="28"/>
          <w:szCs w:val="28"/>
          <w:rtl w:val="true"/>
          <w:lang w:bidi="fa-IR"/>
        </w:rPr>
        <w:t xml:space="preserve">. " </w:t>
      </w:r>
      <w:r>
        <w:rPr>
          <w:rStyle w:val="FootnoteAnchor"/>
          <w:rtl w:val="true"/>
        </w:rPr>
        <w:footnoteReference w:id="150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نمایه سازی، فراهم کردن ابزارهای کارآمد برای کمک به محقق و پژوهشگر در پیدا کردن اطّلاعات درون مدارک با سرعت و دقت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 با صرف وقت و دقت در متون، کلید واژه هایی را که دارای بار اطلاعات مناسبی هستند انتخاب و بر اساس ترتیب الفبا تنظیم می کند تا مسیر دستیابی به اطلاعات مورد نیاز پژوهشگر و محقق را هموارتر ساخته، دسترسی به اطلاعات درون متنی مدارک را با دقت و سرعت بیشتر تسهیل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ها در دو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مترجمین و 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نمایه موضوعی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نمایه موضوعی بیشترین کاربرد و استفاده را برای مخاطبان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نمایه موضوعی مقالات منتشر شده در کتاب گزیده مقالات ایفلا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مقاله ها مطالعه و کلید واژه هایی از متن استخراج یا متناسب با متن،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فشردگی موضوعات، کلمات اصلی داخل متن انتخاب و در اغلب موارد نیز از مطالبی که به طور متوسط در حد نیم صفحه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 بلند ارائه شده باشند، کلید واژه های موضوعی انتخاب شده و در نمایه موضوع به عنوان مدخل وارد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تعداد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نمایه سازی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جلوگیری از تکرار واژه ها در مدخل ها، از نشانگر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استفاده از نشانگر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هر مدخل اصلی بیان گر عمق نمایه سازی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المقدور صورت مفرد واژه ها به کار رفته و به هنگام ضرورت استفاده از واژه های جمع، معمولا شکل جمع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پسوندها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که حداقل با ردیف الفبایی شکل مفرد فاصله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پسوندها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الفبا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یا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نام یک سازمان یا عنوان یک اثر باشد در داخل پرانتز قرار نگرفته و بنا براین در ردیف الفبا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تاریخی سازمان 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گیاه شناسی میزوری، مرکز اطلاع رسانی گروه های زیستی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شکل جمع مکسر کلمه ای رایج بوده، ناگزیر از جمع مکسر استفاده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اصل در نمایه، بازیابی اطّلاعات با سرعت و دقّت مطلوب، در یک مجموعه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رعایت هماهنگی، زبان مصنوعی و واژگان مهار شده بیش از زبان طبیعی کاربرد دارد؛ ولی در بازیابی متن های آزاد، با توجّه به نوع مخاطبان، به نظر می رسد تلفیقی از زبان طبیعی و زبان مصنوعی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ارجاعات نقش ویژه ای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تسهیل و تسریع در بازیابی اطّلاعات از ارجاعات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نیز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تعریف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الفبا محسوب نشده است؛ جز در موارد خاص و اسم اشهر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موضوع مورد نظر در چند صفحه متوالی باشد، میان شماره صفحات از خط فاصله و در صفحات غیر متوالی از علامت،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عنوان یک اثر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مقاله، پایان نامه، روزنامه، و یا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مدخل واقع شده باشد، در ابتدای مدخل، کلمه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پایان نامه، روزنامه، مجله، هفته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منظور پرهیز از عبارت سازی، از برخی تک واژه ها یا چند واژه ی کوتاه به عنوان واژه توضیحی، در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مدخل استفاده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آیکورن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بین المللی شهرهای مأمن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استرالیا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کلّی، کلمات توصیفی داخل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مدخل ها و یا واژه های توضیحی داخل پرانتز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مدخل ها، در ردیف ترتیب الفبایی قرار نمی گیرند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بزرگواران و صاحب نظران علم اطلاعات و دانش شناسی تمنّا دارد با تذکّرها و راهنمایی های خود، نمایه سازی را از طریق آدرس پستی </w:t>
      </w:r>
      <w:r>
        <w:rPr>
          <w:rFonts w:eastAsia="Times New Roman" w:cs="Times New Roman" w:ascii="Times New Roman" w:hAnsi="Times New Roman"/>
          <w:color w:val="111111"/>
          <w:sz w:val="28"/>
          <w:szCs w:val="28"/>
          <w:lang w:val="en-US" w:bidi="en-US"/>
        </w:rPr>
        <w:t>sh43hamid@gmail.com</w:t>
      </w:r>
      <w:r>
        <w:rPr>
          <w:rFonts w:ascii="IRNazanin" w:hAnsi="IRNazanin" w:eastAsia="IRNazanin"/>
          <w:color w:val="111111"/>
          <w:sz w:val="28"/>
          <w:sz w:val="28"/>
          <w:szCs w:val="28"/>
          <w:rtl w:val="true"/>
          <w:lang w:bidi="fa-IR"/>
        </w:rPr>
        <w:t>، یاری نمایند</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0" w:name="pg9659_94351"/>
      <w:bookmarkStart w:id="1431" w:name="pg9659_94351"/>
      <w:bookmarkEnd w:id="1431"/>
    </w:p>
    <w:p>
      <w:pPr>
        <w:pStyle w:val="Heading3"/>
        <w:numPr>
          <w:ilvl w:val="2"/>
          <w:numId w:val="1"/>
        </w:numPr>
        <w:rPr/>
      </w:pPr>
      <w:bookmarkStart w:id="1432" w:name="pg9659_94351"/>
      <w:bookmarkStart w:id="1433" w:name="__RefHeading___Toc7826273_2870459653"/>
      <w:bookmarkStart w:id="1434" w:name="_Toc531"/>
      <w:bookmarkEnd w:id="1432"/>
      <w:bookmarkEnd w:id="1433"/>
      <w:r>
        <w:rPr/>
        <w:t>2</w:t>
      </w:r>
      <w:r>
        <w:rPr>
          <w:rtl w:val="true"/>
        </w:rPr>
        <w:t xml:space="preserve">. </w:t>
      </w:r>
      <w:r>
        <w:rPr>
          <w:rtl w:val="true"/>
        </w:rPr>
        <w:t>فهرست عناوین</w:t>
      </w:r>
      <w:bookmarkEnd w:id="1434"/>
    </w:p>
    <w:p>
      <w:pPr>
        <w:pStyle w:val="BookText"/>
        <w:rPr/>
      </w:pPr>
      <w:r>
        <w:rPr>
          <w:rFonts w:ascii="IRNazanin" w:hAnsi="IRNazanin" w:eastAsia="IRNazanin"/>
          <w:color w:val="111111"/>
          <w:sz w:val="28"/>
          <w:sz w:val="28"/>
          <w:szCs w:val="28"/>
          <w:rtl w:val="true"/>
          <w:lang w:bidi="fa-IR"/>
        </w:rPr>
        <w:t xml:space="preserve">ارزیابی استفاده اشتراکی از کتاب های الکترونیکی مشترک در شبکه امانت مستقیم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استفاده از داده های موجود برای ایجاد داده های جدید به منظور تصمیمات جدید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اطلاعات در زیست بوم دانش رقومی چالش های آینده کتاب خانه ها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امروزه ما همه فهرست نویس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قادر خواهید بود فراداده ها را برای مجموعه های تحقیقاتی خودتان سازمان دهی کنید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برون سپاری در کتاب خانه های تخصصی شرکت های حقوقی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یا تهدید؟ نمونه های جدید مدیریتی و چالش های آینده خدمات اطلاع رسانی حقوقی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پشت میز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مرجع چشم انداز تغییر اطلاعات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تخطی از قرارداد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 چالش ها، فرصت ها، و خطرات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ترکیب ابعاد رسانه های نوشتاری و رقومی در یک بازی ماجراجویی غیر خطی مبتنی بر اِن اِف سی برای کودکان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تصمیمات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منتقدانه به سواد بهداشتی در ترکیه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چرا اتحادیه ها باید از کتاب خانه های مدارس حمایت کنند؟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چگونه کتاب خانه ای سبز بشویم یا آن را شناسایی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استانداردهایی برای صدور گواهی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 توانمندسازی جوامع در منطقه آسیا و اقیانوسیه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خطرات ناشی از انتقال به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انسانی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دبیران کل سازمان 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اطلاعاتی در کتاب خانه ها و آرشیوها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دوره های آموزشی بر خط فراگیر رایگان ابزاری برای دسترسی به اطلاعات در کشورهای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جدید برای کمک به رفع چالش های آموزش و پرورش با استفاده از فناوری های اطلاعات ارتباطات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فرهنگ، عادات خواندن در میان بیماران بخش کودکان و اولیاء در بیمارستان دانشگاه سینز مالزی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راهبرد، پایداری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توانمندی این اسپ و شرکای آن در دستیابی به پژوهش ها در آفریقا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طرح پاسخگوی اجتماعی فهرست ها و اصطلاح نامه های کتاب خانه ای در یک سازمان غیرانتفاعی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تورنتو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فانوس دریایی برای 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و فعالیت های مرجع در یک چشم انداز جهانی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کاربران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رسانه های دیداری شنیداری با رویکرد کاربر محور در حال توسعه است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کتاب خانه دفتر سازمان ملل در 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میراث جامعه ملل و سازمان ملل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کتاب خانه گرو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سبز از لحاظ تعامل مداوم جامعه، انتظارات جامعه، فراهم آوری و اشتراک اطلاعات و مشارکت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داری بین المللی در اروپا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ترین مخرج مشترک، نیازهای کاربران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فراداده برای آرشیوهای صوتی رقومی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ماژول دریافت کتاب الکترونیکی در کتاب خانه ملی و دانشگاهی زاگرب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محلی در بطن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کتاب شناختی جهانی با رویکرد روش شناختی پایین به بالا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مدیریت ارتباط با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برای خدمات اطلاع رسانی پارلمانی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مستندات، موجودیت ها و انجمن ها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منازعات کتاب خانه شورای ملی بر سر گرد آوری انتشارات بر خط در ژاپن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نو آوری در سوادآموزی و مهارت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کانادا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نوسازی و سازماندهی مجدد مجموعه ها از نظام ذخیره سازی منفعل قدیمی به نظام پویای نوین در کتاب خانه دانشگاه سوربن فرانسه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نویسندگان و مستندات در نظام های کتاب خانه ای فرا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پژوهی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نیازها، مطالعات و امکانات یک کتاب خانه شهری در محیط چند فرهنگی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همکاری با هدف قانون گذاری در کتاب خانه مدارس و توسعه کتاب خانه، مدارس در کشور سوئد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هنر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دنیای هنر و علم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واسپاری رقومی در کتاب خانه ملی نروژ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5" w:name="pg9659_94355"/>
      <w:bookmarkStart w:id="1436" w:name="pg9659_94355"/>
      <w:bookmarkEnd w:id="1436"/>
    </w:p>
    <w:p>
      <w:pPr>
        <w:pStyle w:val="Heading3"/>
        <w:numPr>
          <w:ilvl w:val="2"/>
          <w:numId w:val="1"/>
        </w:numPr>
        <w:rPr/>
      </w:pPr>
      <w:bookmarkStart w:id="1437" w:name="pg9659_94355"/>
      <w:bookmarkStart w:id="1438" w:name="__RefHeading___Toc7826275_2870459653"/>
      <w:bookmarkStart w:id="1439" w:name="_Toc532"/>
      <w:bookmarkEnd w:id="1437"/>
      <w:bookmarkEnd w:id="1438"/>
      <w:r>
        <w:rPr/>
        <w:t>3</w:t>
      </w:r>
      <w:r>
        <w:rPr>
          <w:rtl w:val="true"/>
        </w:rPr>
        <w:t xml:space="preserve">. </w:t>
      </w:r>
      <w:r>
        <w:rPr>
          <w:rtl w:val="true"/>
        </w:rPr>
        <w:t>فهرست مؤلفین</w:t>
      </w:r>
      <w:bookmarkEnd w:id="1439"/>
    </w:p>
    <w:p>
      <w:pPr>
        <w:pStyle w:val="BookText"/>
        <w:rPr/>
      </w:pPr>
      <w:r>
        <w:rPr>
          <w:rFonts w:ascii="IRNazanin" w:hAnsi="IRNazanin" w:eastAsia="IRNazanin"/>
          <w:color w:val="111111"/>
          <w:sz w:val="28"/>
          <w:sz w:val="28"/>
          <w:szCs w:val="28"/>
          <w:rtl w:val="true"/>
          <w:lang w:bidi="fa-IR"/>
        </w:rPr>
        <w:t xml:space="preserve">اَتلستام، اینگرید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جایفینیدار، الکه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اُنال،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جی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اِنگکو چیک، انگکو رازیفا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اوس، مَت هنریکسن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آکی یاما، تاتسومو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تیسدل، میشل آنتوانت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برنت، پیتر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بلاکچ، بلاندین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لوییز فِرت، بلاندین بلاکِچ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لارسن، بنت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بورن، دبرا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لارسن، بیرگر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پاوِل، آن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پترسون، ایمی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پلانک، مارگرت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پوپسکو، آدریانا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بوزینا، تانیا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اسور کو، دونیا سریتر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چهارون، هرمان هاریانتو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حسن، نور ایدا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دانسایر، گوردون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دورن، پترا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راس، راب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رینالدا، باب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رینالدو، کنستانس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زادرویچ، سوفیا کلارین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ساندلر، تریش رز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سولباک، اِسوین آرنه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عثمان، عزیزه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فارو، اِما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فونس، تئودور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کتامو، هاری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كونتس، کریستی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کوویستو، آنتی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کوئیلو پایوا، کریستین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کی نوآ، کلاس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سوگلاسنووا، لاتا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گوین، نانسی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لاشال، ژرمی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لوباس، ربکا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لوند، اکن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فیبو، لویدا گارسیا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لیپینسکی،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لیکلی، دونالد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مارسرو، فیلیپ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ای بی مانان، را بیاتول آداویا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مایر، رَندی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اِسکُو، مته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مک گی، داگلاس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لی مولیسون، هیتر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موهدرونی، نورال آزورا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وان روزنبرگ، امین هانس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ويتييلو، جوزپه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ویچرت، استفن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ویلر، میرنا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ها میس، اِرو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هاوک، پترا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هکت، شارون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هِل، مود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هنسن، مری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سورینی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440" w:name="pg9659_94357"/>
    </w:p>
    <w:p>
      <w:pPr>
        <w:pStyle w:val="Heading3"/>
        <w:numPr>
          <w:ilvl w:val="2"/>
          <w:numId w:val="1"/>
        </w:numPr>
        <w:rPr/>
      </w:pPr>
      <w:bookmarkStart w:id="1441" w:name="__RefHeading___Toc7826277_2870459653"/>
      <w:bookmarkStart w:id="1442" w:name="_Toc533"/>
      <w:bookmarkEnd w:id="1440"/>
      <w:bookmarkEnd w:id="1441"/>
      <w:r>
        <w:rPr/>
        <w:t>4</w:t>
      </w:r>
      <w:r>
        <w:rPr>
          <w:rtl w:val="true"/>
        </w:rPr>
        <w:t xml:space="preserve">. </w:t>
      </w:r>
      <w:r>
        <w:rPr>
          <w:rtl w:val="true"/>
        </w:rPr>
        <w:t>فهرست مترجمین</w:t>
      </w:r>
      <w:bookmarkEnd w:id="1442"/>
    </w:p>
    <w:p>
      <w:pPr>
        <w:pStyle w:val="BookText"/>
        <w:rPr/>
      </w:pPr>
      <w:r>
        <w:rPr>
          <w:rFonts w:ascii="IRNazanin" w:hAnsi="IRNazanin" w:eastAsia="IRNazanin"/>
          <w:color w:val="111111"/>
          <w:sz w:val="28"/>
          <w:sz w:val="28"/>
          <w:szCs w:val="28"/>
          <w:rtl w:val="true"/>
          <w:lang w:bidi="fa-IR"/>
        </w:rPr>
        <w:t xml:space="preserve">اباذری، زهرا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اسدی، مریم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اسفندیاری، فاطمه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اصنافی، امیررضا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اکبری داریان، سعیده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برجیان بروجنی، مهشید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پاپی، زینب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پازوکی، فاطمه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پیرهادی، صدیقه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تجلی، آرزو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تهوری، زهرا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تیموری خانی، افسانه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خادمیان، مهدی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خان سفید، مرضیه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خانی پور، رضا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درودی، فریبرز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ربیعی، محبوبه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ریاحی، عارف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زارع زاده، فاطمه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صمیعی، میترا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عالمی، زهرا سادات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عزیزیان، نرگس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غفاری، سعید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فعال، سهیلا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قربانی، محبوبه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گیلوری، عباس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محمد اسماعیل، صدیقه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محمد علی پور، نرگس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مقدمی، امیر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مؤمنی، عصمت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نجفقلی نژاد، اعظم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نعمتی انارکی، لیلا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نوذری، سودابه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هاشمی، فریبا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هدایت، مرضیه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509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پور نرگسی، طاهره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3" w:name="pg9659_94359"/>
      <w:bookmarkStart w:id="1444" w:name="pg9659_94359"/>
      <w:bookmarkEnd w:id="1444"/>
    </w:p>
    <w:p>
      <w:pPr>
        <w:pStyle w:val="Heading3"/>
        <w:numPr>
          <w:ilvl w:val="2"/>
          <w:numId w:val="1"/>
        </w:numPr>
        <w:rPr/>
      </w:pPr>
      <w:bookmarkStart w:id="1445" w:name="pg9659_94359"/>
      <w:bookmarkStart w:id="1446" w:name="__RefHeading___Toc7826279_2870459653"/>
      <w:bookmarkStart w:id="1447" w:name="_Toc534"/>
      <w:bookmarkEnd w:id="1445"/>
      <w:bookmarkEnd w:id="1446"/>
      <w:r>
        <w:rPr/>
        <w:t>5</w:t>
      </w:r>
      <w:r>
        <w:rPr>
          <w:rtl w:val="true"/>
        </w:rPr>
        <w:t xml:space="preserve">. </w:t>
      </w:r>
      <w:r>
        <w:rPr>
          <w:rtl w:val="true"/>
        </w:rPr>
        <w:t>نمایه موضوع</w:t>
      </w:r>
      <w:bookmarkEnd w:id="1447"/>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RFID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490-487 </w:t>
      </w:r>
      <w:r>
        <w:rPr>
          <w:rFonts w:ascii="IRNazanin" w:hAnsi="IRNazanin" w:eastAsia="IRNazanin"/>
          <w:color w:val="111111"/>
          <w:sz w:val="28"/>
          <w:sz w:val="28"/>
          <w:szCs w:val="28"/>
          <w:lang w:bidi="fa-IR"/>
        </w:rPr>
        <w:t>،</w:t>
      </w:r>
      <w:r>
        <w:rPr>
          <w:rFonts w:eastAsia="IRNazanin" w:cs="IRNazanin"/>
          <w:color w:val="111111"/>
          <w:sz w:val="28"/>
          <w:szCs w:val="28"/>
          <w:lang w:bidi="fa-IR"/>
        </w:rPr>
        <w:t>83 - 482</w:t>
      </w:r>
    </w:p>
    <w:p>
      <w:pPr>
        <w:pStyle w:val="BookText"/>
        <w:rPr/>
      </w:pPr>
      <w:r>
        <w:rPr>
          <w:rFonts w:ascii="IRNazanin" w:hAnsi="IRNazanin" w:eastAsia="IRNazanin"/>
          <w:color w:val="111111"/>
          <w:sz w:val="28"/>
          <w:sz w:val="28"/>
          <w:szCs w:val="28"/>
          <w:rtl w:val="true"/>
          <w:lang w:bidi="fa-IR"/>
        </w:rPr>
        <w:t xml:space="preserve">آرشیو رقومی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بازیابی اطلاعات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ای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پژوهش سان ایلد، ترین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پژوهش سلدانا و مایلز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پژوهش کروتسفلد، جاکوب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پژوهش لوند و دیگران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آرشیو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لارم </w:t>
      </w:r>
      <w:r>
        <w:rPr>
          <w:rFonts w:eastAsia="IRNazanin" w:cs="IRNazanin"/>
          <w:color w:val="111111"/>
          <w:sz w:val="28"/>
          <w:szCs w:val="28"/>
          <w:rtl w:val="true"/>
          <w:lang w:bidi="fa-IR"/>
        </w:rPr>
        <w:t xml:space="preserve">- </w:t>
      </w:r>
      <w:r>
        <w:rPr>
          <w:rFonts w:eastAsia="IRNazanin" w:cs="IRNazanin"/>
          <w:color w:val="111111"/>
          <w:sz w:val="28"/>
          <w:szCs w:val="28"/>
          <w:lang w:bidi="fa-IR"/>
        </w:rPr>
        <w:t>7058</w:t>
      </w:r>
    </w:p>
    <w:p>
      <w:pPr>
        <w:pStyle w:val="BookText"/>
        <w:rPr/>
      </w:pPr>
      <w:r>
        <w:rPr>
          <w:rFonts w:ascii="IRNazanin" w:hAnsi="IRNazanin" w:eastAsia="IRNazanin"/>
          <w:color w:val="111111"/>
          <w:sz w:val="28"/>
          <w:sz w:val="28"/>
          <w:szCs w:val="28"/>
          <w:rtl w:val="true"/>
          <w:lang w:bidi="fa-IR"/>
        </w:rPr>
        <w:t xml:space="preserve">ارزیابی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فراداده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اشتراک گذاری صفحه نمایش با کاربر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پرسشنامه طرح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پشتیبانی برنامه ملی زیر ساخت پژوهشی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رابط کاربری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سوالات پژوهش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شناسایی نیاز کاربران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فراداده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فراداده با مشارکت کاربر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پیشینه نویسی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غنی سازی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کاربر ممتاز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کاربر معمول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نگرانی سوء استفاده فراداده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فراداده لارم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فراداده مبتنی بر نیاز کاربر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فراداده مخصوص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فرداده هسته آرشیو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کاربر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نتیجه طرح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نظام دسترسی آزاد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هدف طرح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همکاران طرح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آرشیو رقومی لارم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لارم </w:t>
      </w:r>
    </w:p>
    <w:p>
      <w:pPr>
        <w:pStyle w:val="BookText"/>
        <w:rPr/>
      </w:pPr>
      <w:r>
        <w:rPr>
          <w:rFonts w:ascii="IRNazanin" w:hAnsi="IRNazanin" w:eastAsia="IRNazanin"/>
          <w:color w:val="111111"/>
          <w:sz w:val="28"/>
          <w:sz w:val="28"/>
          <w:szCs w:val="28"/>
          <w:rtl w:val="true"/>
          <w:lang w:bidi="fa-IR"/>
        </w:rPr>
        <w:t xml:space="preserve">آرشیو ملی نروژ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آرشیو وب اسکاندیناوی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آرشيو وب کرواسی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آرشیو وب نروژ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آزادی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و آزادی بیان</w:t>
      </w:r>
    </w:p>
    <w:p>
      <w:pPr>
        <w:pStyle w:val="BookText"/>
        <w:rPr/>
      </w:pPr>
      <w:r>
        <w:rPr>
          <w:rFonts w:ascii="IRNazanin" w:hAnsi="IRNazanin" w:eastAsia="IRNazanin"/>
          <w:color w:val="111111"/>
          <w:sz w:val="28"/>
          <w:sz w:val="28"/>
          <w:szCs w:val="28"/>
          <w:rtl w:val="true"/>
          <w:lang w:bidi="fa-IR"/>
        </w:rPr>
        <w:t xml:space="preserve">آزمون هم بستگی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لوکانیلسن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آژانس ملی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جدید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آموزش بر خط فراگیری رایگان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برنامه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جدید برای آریقا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سازمان برگزار کننده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دانشگاه ملی تایوان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دانشگاه ملی مستقل مکزیک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سازمان غیر انتفاعی اینفرومیشن نیو ویو </w:t>
      </w:r>
      <w:r>
        <w:rPr>
          <w:rFonts w:eastAsia="Times New Roman" w:cs="Times New Roman" w:ascii="Times New Roman" w:hAnsi="Times New Roman"/>
          <w:color w:val="111111"/>
          <w:sz w:val="28"/>
          <w:szCs w:val="28"/>
          <w:lang w:val="en-US" w:bidi="en-US"/>
        </w:rPr>
        <w:t>I.N.W 192-191</w:t>
      </w:r>
    </w:p>
    <w:p>
      <w:pPr>
        <w:pStyle w:val="BookText"/>
        <w:rPr/>
      </w:pPr>
      <w:r>
        <w:rPr>
          <w:rFonts w:ascii="IRNazanin" w:hAnsi="IRNazanin" w:eastAsia="IRNazanin"/>
          <w:color w:val="111111"/>
          <w:sz w:val="28"/>
          <w:sz w:val="28"/>
          <w:szCs w:val="28"/>
          <w:rtl w:val="true"/>
          <w:lang w:bidi="fa-IR"/>
        </w:rPr>
        <w:t xml:space="preserve">کور سرا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گروه آپ رندر تری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گروه سوشال بیبلیو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توسعه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بایدها و نبایدها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شیوه اجرایی دوره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نرم افزار مودل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نرم افزار ویز آی کیو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آنتونللی، ماریا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آیکورن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بین المللی شهرهای مأمن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کتاب خانه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اتحادیه اروپا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اعضا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تحقیق و نوآوری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یوریکا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برایت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یورم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ساختمان ژان 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لوگزامبورگ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طرح آموزشی اراسموس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طرح جامعه کار پسند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طرح توسعه و همکاری خدمات 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داری بین المللی</w:t>
      </w:r>
    </w:p>
    <w:p>
      <w:pPr>
        <w:pStyle w:val="BookText"/>
        <w:rPr/>
      </w:pPr>
      <w:r>
        <w:rPr>
          <w:rFonts w:ascii="IRNazanin" w:hAnsi="IRNazanin" w:eastAsia="IRNazanin"/>
          <w:color w:val="111111"/>
          <w:sz w:val="28"/>
          <w:sz w:val="28"/>
          <w:szCs w:val="28"/>
          <w:rtl w:val="true"/>
          <w:lang w:bidi="fa-IR"/>
        </w:rPr>
        <w:t xml:space="preserve">طرح کتاب خانه ها برای همه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طرح گرند یورو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فعالیت در مجوز ارائه خدمات کتاب خانه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قطع نامه شوانکا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کتاب داری بین المللی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آمار و ارقام کتاب خانه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ارزیابی رسمی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اقدامات دولتی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اهمیت کتاب خانه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برنامه انتشارات الکترونیکی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برنامه تنوع فرهنگی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w:t>
      </w:r>
      <w:r>
        <w:rPr>
          <w:rFonts w:eastAsia="Times New Roman" w:cs="Times New Roman" w:ascii="Times New Roman" w:hAnsi="Times New Roman"/>
          <w:color w:val="111111"/>
          <w:sz w:val="28"/>
          <w:szCs w:val="28"/>
          <w:lang w:val="en-US" w:bidi="en-US"/>
        </w:rPr>
        <w:t>I.C. 20-23</w:t>
      </w:r>
    </w:p>
    <w:p>
      <w:pPr>
        <w:pStyle w:val="BookText"/>
        <w:rPr/>
      </w:pPr>
      <w:r>
        <w:rPr>
          <w:rFonts w:ascii="IRNazanin" w:hAnsi="IRNazanin" w:eastAsia="IRNazanin"/>
          <w:color w:val="111111"/>
          <w:sz w:val="28"/>
          <w:sz w:val="28"/>
          <w:szCs w:val="28"/>
          <w:rtl w:val="true"/>
          <w:lang w:bidi="fa-IR"/>
        </w:rPr>
        <w:t xml:space="preserve">برنامه کتاب و آرشیو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تاسیس انجمن کتاب خانه اروپا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تجاری سازی فناوری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تمرکز به آرشیو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تمرکز به کتاب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جنبه سیاسی کتاب خانه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کتاب خانه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گرا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قانون کتاب جهانی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قطعنامه شوانکا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کتاب خانه مجازی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جایگاه کتاب خانه دانشگاهی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جایگاه کتاب خانه عمومی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کتاب خانه ملی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خدمات کتاب خانه ای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دسترسی به منابع شبکه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نظام کتاب خانه داخلی شبکه گرا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گزارش ایستگ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مشارکت بخش خصوصی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مشارکت ملی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نشر الکترونیکی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معاهده ماستریخت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اتحادیه اقدام پژوهی عواقب مصدومیت شغلی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اتحادیه صنف فارغ التحصیلان کتاب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اریکسن، تامس هیلاند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اریکسون، بی بی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اسپینللی، آلتیرو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استونز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استیبل جف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استارک، فیلیپ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استیونز، کریستی آر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OCLC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407-406</w:t>
      </w:r>
    </w:p>
    <w:p>
      <w:pPr>
        <w:pStyle w:val="BookText"/>
        <w:rPr/>
      </w:pPr>
      <w:r>
        <w:rPr>
          <w:rFonts w:ascii="IRNazanin" w:hAnsi="IRNazanin" w:eastAsia="IRNazanin"/>
          <w:color w:val="111111"/>
          <w:sz w:val="28"/>
          <w:sz w:val="28"/>
          <w:szCs w:val="28"/>
          <w:rtl w:val="true"/>
          <w:lang w:bidi="fa-IR"/>
        </w:rPr>
        <w:t>اصطلاح نامه بهداشت و سلامت حرفه ای</w:t>
      </w:r>
    </w:p>
    <w:p>
      <w:pPr>
        <w:pStyle w:val="BookText"/>
        <w:rPr/>
      </w:pP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اصطلاح نامه تخصصی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مرکز مشاوره ای کارگزان</w:t>
      </w:r>
    </w:p>
    <w:p>
      <w:pPr>
        <w:pStyle w:val="BookText"/>
        <w:rPr/>
      </w:pPr>
      <w:r>
        <w:rPr>
          <w:rFonts w:ascii="IRNazanin" w:hAnsi="IRNazanin" w:eastAsia="IRNazanin"/>
          <w:color w:val="111111"/>
          <w:sz w:val="28"/>
          <w:sz w:val="28"/>
          <w:szCs w:val="28"/>
          <w:rtl w:val="true"/>
          <w:lang w:bidi="fa-IR"/>
        </w:rPr>
        <w:t xml:space="preserve">آسیب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اصطلاح نامه تخصصی</w:t>
      </w:r>
    </w:p>
    <w:p>
      <w:pPr>
        <w:pStyle w:val="BookText"/>
        <w:rPr/>
      </w:pPr>
      <w:r>
        <w:rPr>
          <w:rFonts w:ascii="IRNazanin" w:hAnsi="IRNazanin" w:eastAsia="IRNazanin"/>
          <w:color w:val="111111"/>
          <w:sz w:val="28"/>
          <w:sz w:val="28"/>
          <w:szCs w:val="28"/>
          <w:rtl w:val="true"/>
          <w:lang w:bidi="fa-IR"/>
        </w:rPr>
        <w:t xml:space="preserve">اصطلاح نامه رایگان افزار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اصطلاح نامه کنسرسیوم کتاب خانه های تحقیقاتی اروپایی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انگیزه تدوین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w:t>
      </w:r>
    </w:p>
    <w:p>
      <w:pPr>
        <w:pStyle w:val="BookText"/>
        <w:rPr/>
      </w:pPr>
      <w:r>
        <w:rPr>
          <w:rFonts w:ascii="IRNazanin" w:hAnsi="IRNazanin" w:eastAsia="IRNazanin"/>
          <w:color w:val="111111"/>
          <w:sz w:val="28"/>
          <w:sz w:val="28"/>
          <w:szCs w:val="28"/>
          <w:rtl w:val="true"/>
          <w:lang w:bidi="fa-IR"/>
        </w:rPr>
        <w:t xml:space="preserve">هینال، پیتر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اطلاعات رقومی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رقومی</w:t>
      </w:r>
    </w:p>
    <w:p>
      <w:pPr>
        <w:pStyle w:val="BookText"/>
        <w:rPr/>
      </w:pPr>
      <w:r>
        <w:rPr>
          <w:rFonts w:ascii="IRNazanin" w:hAnsi="IRNazanin" w:eastAsia="IRNazanin"/>
          <w:color w:val="111111"/>
          <w:sz w:val="28"/>
          <w:sz w:val="28"/>
          <w:szCs w:val="28"/>
          <w:rtl w:val="true"/>
          <w:lang w:bidi="fa-IR"/>
        </w:rPr>
        <w:t xml:space="preserve">الف، آناکارین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هفته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الموكيف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امانت بین کتاب خانه ای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شبکه امانت مستقیم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بررسی تاریخی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پژوهش کالینز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پژوهش کرال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پژوهش مولر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نیتکی، جونز و بارنت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 هوارد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طرح اکامزریدر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مفهوم قانونی تکثیر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نظام تحویل مدرک کارآمد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طرح آزمایشی امانت مستقیم کتاب الکترونیکی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آمار عناوین هدف و استفاده شده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ارزیابی میزان موفقیت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انتخاب فروشنده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باشگاه خرید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بررسی وضعیت فعلی طرح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برنامه زمانی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بودجه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تعریف مجموعه اشتراکی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تفاوت استفاده و دسترسی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دسترسی اشتراکی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ساختار مدیریتی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صندوق حساب سپرده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محدودیت های امنیتی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مدیریت هم پوشانی منابع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مشارکت ناشران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نتیجه طرح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نرم افزار اینفوتولز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هزینه فراهم آوری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سپاری خدمات 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سپاری خدمات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ارائه خدمات در آمریکا</w:t>
      </w:r>
    </w:p>
    <w:p>
      <w:pPr>
        <w:pStyle w:val="BookText"/>
        <w:rPr/>
      </w:pPr>
      <w:r>
        <w:rPr>
          <w:rFonts w:ascii="IRNazanin" w:hAnsi="IRNazanin" w:eastAsia="IRNazanin"/>
          <w:color w:val="111111"/>
          <w:sz w:val="28"/>
          <w:sz w:val="28"/>
          <w:szCs w:val="28"/>
          <w:rtl w:val="true"/>
          <w:lang w:bidi="fa-IR"/>
        </w:rPr>
        <w:t xml:space="preserve">کتاب خانه ← 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ارائه خدمات در آمریکا</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الکترونیک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کتاب الکترونیک</w:t>
      </w:r>
    </w:p>
    <w:p>
      <w:pPr>
        <w:pStyle w:val="BookText"/>
        <w:rPr/>
      </w:pPr>
      <w:r>
        <w:rPr>
          <w:rFonts w:ascii="Amiri" w:hAnsi="Amiri" w:eastAsia="Amiri" w:cs="Amiri"/>
          <w:color w:val="111111"/>
          <w:sz w:val="28"/>
          <w:sz w:val="28"/>
          <w:szCs w:val="28"/>
          <w:rtl w:val="true"/>
          <w:lang w:bidi="ar-SA"/>
        </w:rPr>
        <w:t xml:space="preserve">تعريف انتشارات برخط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انتشارات برخط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مفهوم نظام مالکیت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مفهوم و تعریف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بین المللی بازیابی اطلاعات </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انجمن بین المللی قلم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انجمن کتاب خانه آمریکا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انجمن دوستان کتاب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انجمن کتابخانه 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انجمن کتاب خانه سوئد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255-252</w:t>
      </w:r>
    </w:p>
    <w:p>
      <w:pPr>
        <w:pStyle w:val="BookText"/>
        <w:rPr/>
      </w:pPr>
      <w:r>
        <w:rPr>
          <w:rFonts w:ascii="IRNazanin" w:hAnsi="IRNazanin" w:eastAsia="IRNazanin"/>
          <w:color w:val="111111"/>
          <w:sz w:val="28"/>
          <w:sz w:val="28"/>
          <w:szCs w:val="28"/>
          <w:rtl w:val="true"/>
          <w:lang w:bidi="fa-IR"/>
        </w:rPr>
        <w:t xml:space="preserve">انجمن نروژی 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اندرسون، دروتی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انسولیپ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نظام صدور گواهی کتاب خانه</w:t>
      </w:r>
    </w:p>
    <w:p>
      <w:pPr>
        <w:pStyle w:val="BookText"/>
        <w:rPr/>
      </w:pP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 خدمات</w:t>
      </w:r>
    </w:p>
    <w:p>
      <w:pPr>
        <w:pStyle w:val="BookText"/>
        <w:rPr/>
      </w:pPr>
      <w:r>
        <w:rPr>
          <w:rFonts w:ascii="IRNazanin" w:hAnsi="IRNazanin" w:eastAsia="IRNazanin"/>
          <w:color w:val="111111"/>
          <w:sz w:val="28"/>
          <w:sz w:val="28"/>
          <w:szCs w:val="28"/>
          <w:rtl w:val="true"/>
          <w:lang w:bidi="fa-IR"/>
        </w:rPr>
        <w:t xml:space="preserve">کتابخانه ← برون سپاری خدمات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دوبان، جان جیمز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اوس، مت هنریکسن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ایفلا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اهمیت کتاب خانه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برنامه کنترل کتاب شناختی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یک دستی و یک پارچگی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بودجه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شاخص کتاب خانه سبز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عضویت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هدف بیانیه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این اسپ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INASP</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مؤسسه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آمار منابع برخط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ارتقاء عمل کرد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اهداف تعامل و همکاری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تعامل و همکاری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تولید دانش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چرخه ی ارتباطات علمی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حمایت از کنسرسیوم همکاری های کتاب خانه ای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386</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مداوم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برگزاری کارگاه آموزشی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تأکید بر کیفیت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چالش ها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تأثیر عوامل سیاسی اقتصادی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تأکید بر پایداری و توسعه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تأکید بر کیفیت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تعهد به یادگیری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توسعه جامعه کاری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دستیابی پایدار به پژوهش های اساسی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رویکرد راهبردی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ظرفیت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حمایت از نظام آموزش عالی و تحقیقاتی آفریقا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دسترس پذیری دانش تولید شده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دستیابی به منابع برخط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شرایط پذیرش همکاری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فرآیند کاری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کنسرسیوم کتاب خانه ای خرید نشریات</w:t>
      </w:r>
    </w:p>
    <w:p>
      <w:pPr>
        <w:pStyle w:val="BookText"/>
        <w:rPr/>
      </w:pPr>
      <w:r>
        <w:rPr>
          <w:rFonts w:ascii="IRNazanin" w:hAnsi="IRNazanin" w:eastAsia="IRNazanin"/>
          <w:color w:val="111111"/>
          <w:sz w:val="28"/>
          <w:sz w:val="28"/>
          <w:szCs w:val="28"/>
          <w:rtl w:val="true"/>
          <w:lang w:bidi="fa-IR"/>
        </w:rPr>
        <w:t xml:space="preserve">الکترونیک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کنسرسیوم ملی کتاب خانه های تحقیقاتی و آموزش عالی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کنسرسیوم همکاری های کتاب خانه ای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هدف از تأسیس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ايتفوتولز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بارت، هل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بارنت، کالین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براون، جانت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براون، فیونا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سواد سلامت و تناسب</w:t>
      </w:r>
    </w:p>
    <w:p>
      <w:pPr>
        <w:pStyle w:val="BookText"/>
        <w:rPr/>
      </w:pPr>
      <w:r>
        <w:rPr>
          <w:rFonts w:ascii="IRNazanin" w:hAnsi="IRNazanin" w:eastAsia="IRNazanin"/>
          <w:color w:val="111111"/>
          <w:sz w:val="28"/>
          <w:sz w:val="28"/>
          <w:szCs w:val="28"/>
          <w:rtl w:val="true"/>
          <w:lang w:bidi="fa-IR"/>
        </w:rPr>
        <w:t xml:space="preserve">مواد آموزشی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پارلمانی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برندگان جایزه نوبل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برون سپاری خدمات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برون سپاری خدمات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سپاری خدمات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تخصصی حقوقی</w:t>
      </w:r>
    </w:p>
    <w:p>
      <w:pPr>
        <w:pStyle w:val="BookText"/>
        <w:rPr/>
      </w:pPr>
      <w:r>
        <w:rPr>
          <w:rFonts w:ascii="IRNazanin" w:hAnsi="IRNazanin" w:eastAsia="IRNazanin"/>
          <w:color w:val="111111"/>
          <w:sz w:val="28"/>
          <w:sz w:val="28"/>
          <w:szCs w:val="28"/>
          <w:rtl w:val="true"/>
          <w:lang w:bidi="fa-IR"/>
        </w:rPr>
        <w:t xml:space="preserve">آزمون بازار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گزارش برگ، سوزان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نتیجه و پیامد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 کتاب خانه دفتر خزانه و کابینه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برآورد هزینه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بررسی تاریخی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انجام شده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پژوهش براون، فیونا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بررسی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چهارگانه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نتیجه پژوهش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پژوهش برگ سوزان،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تأثیر بر حرفه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خدمات برون</w:t>
      </w:r>
    </w:p>
    <w:p>
      <w:pPr>
        <w:pStyle w:val="BookText"/>
        <w:rPr/>
      </w:pPr>
      <w:r>
        <w:rPr>
          <w:rFonts w:ascii="IRNazanin" w:hAnsi="IRNazanin" w:eastAsia="IRNazanin"/>
          <w:color w:val="111111"/>
          <w:sz w:val="28"/>
          <w:sz w:val="28"/>
          <w:szCs w:val="28"/>
          <w:rtl w:val="true"/>
          <w:lang w:bidi="fa-IR"/>
        </w:rPr>
        <w:t xml:space="preserve">سپاری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اِوّلیوسِرو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اینتگرین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فایده برون سپاری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برون سپاری خدمات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گزارش انجمن کتاب خانه های تخصصی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اطلاع رسانی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بیان ارزشی مهارت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حفظ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شناسایی بانیان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فراهم آوری اطلاعات مناسب تصمیم گیری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مدیریت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مصاحبه لیکلی، دونالد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اطلاع رسانان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تعیین ارزش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بانیان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برون سپاری انتخابی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برون سپاری عمده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رشد هسته کار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بریستر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بلایا و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طبیعی</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بلایای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جامعه بین المللی </w:t>
      </w:r>
    </w:p>
    <w:p>
      <w:pPr>
        <w:pStyle w:val="BookText"/>
        <w:rPr/>
      </w:pPr>
      <w:r>
        <w:rPr>
          <w:rFonts w:eastAsia="Times New Roman" w:cs="Times New Roman" w:ascii="Times New Roman" w:hAnsi="Times New Roman"/>
          <w:color w:val="111111"/>
          <w:sz w:val="28"/>
          <w:szCs w:val="28"/>
          <w:lang w:val="en-US" w:bidi="en-US"/>
        </w:rPr>
        <w:t>319-309</w:t>
      </w:r>
    </w:p>
    <w:p>
      <w:pPr>
        <w:pStyle w:val="BookText"/>
        <w:rPr/>
      </w:pPr>
      <w:r>
        <w:rPr>
          <w:rFonts w:ascii="IRNazanin" w:hAnsi="IRNazanin" w:eastAsia="IRNazanin"/>
          <w:color w:val="111111"/>
          <w:sz w:val="28"/>
          <w:sz w:val="28"/>
          <w:szCs w:val="28"/>
          <w:rtl w:val="true"/>
          <w:lang w:bidi="fa-IR"/>
        </w:rPr>
        <w:t xml:space="preserve">زلزله شیلی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زلزله هانیتی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طوفان فیلیپین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نقش سازمان غیرانتفاعی کتاب خانه های بدون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بنیاد حقوقی ایالت انتاریو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بنیاد کتاب خانه ملی اروپا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سبز شدن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گواهی نامه ای برای کتاب خانه های سبز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بیرن، جاش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بیمارستان آنکارا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بیمارستان دولتی جلال ارتوگ</w:t>
      </w:r>
    </w:p>
    <w:p>
      <w:pPr>
        <w:pStyle w:val="BookText"/>
        <w:rPr/>
      </w:pPr>
      <w:r>
        <w:rPr>
          <w:rFonts w:ascii="IRNazanin" w:hAnsi="IRNazanin" w:eastAsia="IRNazanin"/>
          <w:color w:val="111111"/>
          <w:sz w:val="28"/>
          <w:sz w:val="28"/>
          <w:szCs w:val="28"/>
          <w:rtl w:val="true"/>
          <w:lang w:bidi="fa-IR"/>
        </w:rPr>
        <w:t xml:space="preserve">اتیمسکوت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بیمارستان سینز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کتاب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سینز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پاردک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پالایش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استیبل، جف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پایگاه داده بین المللی سانسور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داده فانوس دریایی</w:t>
      </w:r>
    </w:p>
    <w:p>
      <w:pPr>
        <w:pStyle w:val="BookText"/>
        <w:rPr/>
      </w:pPr>
      <w:r>
        <w:rPr>
          <w:rFonts w:ascii="IRNazanin" w:hAnsi="IRNazanin" w:eastAsia="IRNazanin"/>
          <w:color w:val="111111"/>
          <w:sz w:val="28"/>
          <w:sz w:val="28"/>
          <w:szCs w:val="28"/>
          <w:rtl w:val="true"/>
          <w:lang w:bidi="fa-IR"/>
        </w:rPr>
        <w:t xml:space="preserve">پایگاه داده فانوس دریایی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اتاق بایگانی آرشیو سانسور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چشم انداز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دسترسی به متن کتب سانسور شده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همکاری بین المللی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انجمن نروژی آزادی بیان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کتاب خانه اسکندریه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کتاب خانه بدون مرز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 محیط رقومی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مرحله پس انتشار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مرحله پیش انتشار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پل، هنری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پیر، ماکس پتی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تاد، رز </w:t>
      </w:r>
      <w:r>
        <w:rPr>
          <w:rFonts w:eastAsia="IRNazanin" w:cs="IRNazanin"/>
          <w:color w:val="111111"/>
          <w:sz w:val="28"/>
          <w:szCs w:val="28"/>
          <w:lang w:bidi="fa-IR"/>
        </w:rPr>
        <w:t>256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چه سازمان های بین المللی </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تاریخ شفاهی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سواد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سواد بهداشتی</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بهداشت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تفکر انتقادی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تنوع فرهنگی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توسعه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دسترسی به آموزش و اطلاعات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نقش کتابخانه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تولید دانش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انتشار و توزیع سنتی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چرخه تولید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تولید دانش رقومی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دانش رقومی</w:t>
      </w:r>
    </w:p>
    <w:p>
      <w:pPr>
        <w:pStyle w:val="BookText"/>
        <w:rPr/>
      </w:pPr>
      <w:r>
        <w:rPr>
          <w:rFonts w:ascii="IRNazanin" w:hAnsi="IRNazanin" w:eastAsia="IRNazanin"/>
          <w:color w:val="111111"/>
          <w:sz w:val="28"/>
          <w:sz w:val="28"/>
          <w:szCs w:val="28"/>
          <w:rtl w:val="true"/>
          <w:lang w:bidi="fa-IR"/>
        </w:rPr>
        <w:t xml:space="preserve">اقتباس موقعیتی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اینترنت متحرک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نقش کتاب خانه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پالایش اطلاعات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پردازش اطلاعات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چرخه تولید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طراحی و بازیابی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فرآیند پژوهش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مفهوم انتشار و توزیع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نقش کتاب خانه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دسترسی به اینترنت متحرک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کارگزار اطلاعات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گردآوری اطلاعات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متصدی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یافته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توماس، باربرو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تونا، گولوزار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جاجا، اولیورا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جاناویشن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جنس، اریک مای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حق مؤلف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در خدمات کتاب خانه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تفاوت با قرارداد ارائه خدمات در کتاب خانه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مدیریت حق رقومی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حق مؤلف در محیط رقومی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اندیشه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غیر انتفاعی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خانه اندیشه</w:t>
      </w:r>
    </w:p>
    <w:p>
      <w:pPr>
        <w:pStyle w:val="BookText"/>
        <w:rPr/>
      </w:pPr>
      <w:r>
        <w:rPr>
          <w:rFonts w:ascii="IRNazanin" w:hAnsi="IRNazanin" w:eastAsia="IRNazanin"/>
          <w:color w:val="111111"/>
          <w:sz w:val="28"/>
          <w:sz w:val="28"/>
          <w:szCs w:val="28"/>
          <w:rtl w:val="true"/>
          <w:lang w:bidi="fa-IR"/>
        </w:rPr>
        <w:t xml:space="preserve">خدمات مرجع و آزادی بیان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w:t>
      </w:r>
    </w:p>
    <w:p>
      <w:pPr>
        <w:pStyle w:val="BookText"/>
        <w:rPr/>
      </w:pPr>
      <w:r>
        <w:rPr>
          <w:rFonts w:ascii="IRNazanin" w:hAnsi="IRNazanin" w:eastAsia="IRNazanin"/>
          <w:color w:val="111111"/>
          <w:sz w:val="28"/>
          <w:sz w:val="28"/>
          <w:szCs w:val="28"/>
          <w:rtl w:val="true"/>
          <w:lang w:bidi="fa-IR"/>
        </w:rPr>
        <w:t xml:space="preserve">اشتراک گذاری اطلاعات پایگاه فانوس دریایی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اشتراک و به روزرسانی اطلاعات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داده پیوندی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اشتراک گذاری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توصیف منبع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اقدام محلی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ریزدانگی معنایی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ریزدانگی نحوی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ساختار سه بخشی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برون داد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پیشینه ساز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جداساز پیشینه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جداساز گزاره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درون داد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گزاره ساز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مترجم اصطلاح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مترجم فرانما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وب معنایی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دیدگاه محلی، رویکرد جهانی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رویکرد جزئی نگر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مدیریت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فراداده</w:t>
      </w:r>
    </w:p>
    <w:p>
      <w:pPr>
        <w:pStyle w:val="BookText"/>
        <w:rPr/>
      </w:pPr>
      <w:r>
        <w:rPr>
          <w:rFonts w:ascii="IRNazanin" w:hAnsi="IRNazanin" w:eastAsia="IRNazanin"/>
          <w:color w:val="111111"/>
          <w:sz w:val="28"/>
          <w:sz w:val="28"/>
          <w:szCs w:val="28"/>
          <w:rtl w:val="true"/>
          <w:lang w:bidi="fa-IR"/>
        </w:rPr>
        <w:t xml:space="preserve">روش موجودیت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دارندورف، رالف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دافی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داک ورکس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رقومی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تولید دانش </w:t>
      </w:r>
    </w:p>
    <w:p>
      <w:pPr>
        <w:pStyle w:val="BookText"/>
        <w:rPr/>
      </w:pPr>
      <w:r>
        <w:rPr>
          <w:rFonts w:ascii="IRNazanin" w:hAnsi="IRNazanin" w:eastAsia="IRNazanin"/>
          <w:color w:val="111111"/>
          <w:sz w:val="28"/>
          <w:sz w:val="28"/>
          <w:szCs w:val="28"/>
          <w:rtl w:val="true"/>
          <w:lang w:bidi="fa-IR"/>
        </w:rPr>
        <w:t>رقومی</w:t>
      </w:r>
    </w:p>
    <w:p>
      <w:pPr>
        <w:pStyle w:val="BookText"/>
        <w:rPr/>
      </w:pPr>
      <w:r>
        <w:rPr>
          <w:rFonts w:ascii="IRNazanin" w:hAnsi="IRNazanin" w:eastAsia="IRNazanin"/>
          <w:color w:val="111111"/>
          <w:sz w:val="28"/>
          <w:sz w:val="28"/>
          <w:szCs w:val="28"/>
          <w:rtl w:val="true"/>
          <w:lang w:bidi="fa-IR"/>
        </w:rPr>
        <w:t xml:space="preserve">آینده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ارائه خدمات کامل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پویایی فضای رقومی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دسترس پذیری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دیدگاه ،سرس میشل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زیر ساخت اطلاعاتی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سواد اطلاعاتی رقومی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کاردانش آموزش و یادگیری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مفهوم انتشار و توزیع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گرودین، جانانان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دانشگاه ایندیانا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دانشگاه به اسکنت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دانشگاه پرینستون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دانشگاه پنسیلوانیا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دانشگاه پرتسدام، مرکز عالی مهندسی نظام ها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دانشگاه تورنتو، دانشکده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یادداشت دامنه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استعاره ها در خاطرات سازمانی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دانشگاه ژنو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دانشگاه علوم کاربردی ساتا کونتا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دانشگاه کلرادو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دانشگاه کلمبیا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دانشگاه ماساریک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برنو، جمهوری چک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دانشگاه موناش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دانشگاه ملی تایوان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دانشگاه ملی مستقل مکزیک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دانشگاه نیوبرانزویک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دانشگاه وستون، دانشکده مطالعات اطلاعات و رسانه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دانشگاه ییل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رقومی سازی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لارم</w:t>
      </w:r>
    </w:p>
    <w:p>
      <w:pPr>
        <w:pStyle w:val="BookText"/>
        <w:rPr/>
      </w:pPr>
      <w:r>
        <w:rPr>
          <w:rFonts w:ascii="IRNazanin" w:hAnsi="IRNazanin" w:eastAsia="IRNazanin"/>
          <w:color w:val="111111"/>
          <w:sz w:val="28"/>
          <w:sz w:val="28"/>
          <w:szCs w:val="28"/>
          <w:rtl w:val="true"/>
          <w:lang w:bidi="fa-IR"/>
        </w:rPr>
        <w:t xml:space="preserve">دلور، ژاک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دلونی، سادی پیتسون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کتاب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مناسب، حقوق </w:t>
      </w:r>
    </w:p>
    <w:p>
      <w:pPr>
        <w:pStyle w:val="BookText"/>
        <w:rPr/>
      </w:pPr>
      <w:r>
        <w:rPr>
          <w:rFonts w:ascii="IRNazanin" w:hAnsi="IRNazanin" w:eastAsia="IRNazanin"/>
          <w:color w:val="111111"/>
          <w:sz w:val="28"/>
          <w:sz w:val="28"/>
          <w:szCs w:val="28"/>
          <w:rtl w:val="true"/>
          <w:lang w:bidi="fa-IR"/>
        </w:rPr>
        <w:t xml:space="preserve">از بین رفته و قاعده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رادین،</w:t>
      </w:r>
    </w:p>
    <w:p>
      <w:pPr>
        <w:pStyle w:val="BookText"/>
        <w:rPr/>
      </w:pPr>
      <w:r>
        <w:rPr>
          <w:rFonts w:ascii="IRNazanin" w:hAnsi="IRNazanin" w:eastAsia="IRNazanin"/>
          <w:color w:val="111111"/>
          <w:sz w:val="28"/>
          <w:sz w:val="28"/>
          <w:szCs w:val="28"/>
          <w:rtl w:val="true"/>
          <w:lang w:bidi="fa-IR"/>
        </w:rPr>
        <w:t xml:space="preserve">مارگرت جین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دیویس، سارا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رادین، مارگرت جین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راکفلر جونیور، جان دی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سازمان بین المللی</w:t>
      </w:r>
    </w:p>
    <w:p>
      <w:pPr>
        <w:pStyle w:val="BookText"/>
        <w:rPr/>
      </w:pPr>
      <w:r>
        <w:rPr>
          <w:rFonts w:ascii="Amiri" w:hAnsi="Amiri" w:eastAsia="Amiri" w:cs="Amiri"/>
          <w:color w:val="111111"/>
          <w:sz w:val="28"/>
          <w:sz w:val="28"/>
          <w:szCs w:val="28"/>
          <w:rtl w:val="true"/>
          <w:lang w:bidi="ar-SA"/>
        </w:rPr>
        <w:t xml:space="preserve">روتلج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رينالدا، باب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رایان،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ردر، استیون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رقومی سازی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رقومی سازی دانش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دانش رقومی</w:t>
      </w:r>
    </w:p>
    <w:p>
      <w:pPr>
        <w:pStyle w:val="BookText"/>
        <w:rPr/>
      </w:pPr>
      <w:r>
        <w:rPr>
          <w:rFonts w:ascii="IRNazanin" w:hAnsi="IRNazanin" w:eastAsia="IRNazanin"/>
          <w:color w:val="111111"/>
          <w:sz w:val="28"/>
          <w:sz w:val="28"/>
          <w:szCs w:val="28"/>
          <w:rtl w:val="true"/>
          <w:lang w:bidi="fa-IR"/>
        </w:rPr>
        <w:t xml:space="preserve">رقومی سازی مواد شنیداری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آرشیو رقومی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بیشتر، سود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سازی و کتاب خانه های دولتی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سوزان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روزالینا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رینالدا، باب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تدریس شیوه استفاده از اسناد رسمی آیو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آیو</w:t>
      </w:r>
    </w:p>
    <w:p>
      <w:pPr>
        <w:pStyle w:val="BookText"/>
        <w:rPr/>
      </w:pPr>
      <w:r>
        <w:rPr>
          <w:rFonts w:ascii="IRNazanin" w:hAnsi="IRNazanin" w:eastAsia="IRNazanin"/>
          <w:color w:val="111111"/>
          <w:sz w:val="28"/>
          <w:sz w:val="28"/>
          <w:szCs w:val="28"/>
          <w:rtl w:val="true"/>
          <w:lang w:bidi="fa-IR"/>
        </w:rPr>
        <w:t xml:space="preserve">طرح پژوهشی آیوبایو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آیوبایو</w:t>
      </w:r>
    </w:p>
    <w:p>
      <w:pPr>
        <w:pStyle w:val="BookText"/>
        <w:rPr/>
      </w:pPr>
      <w:r>
        <w:rPr>
          <w:rFonts w:ascii="IRNazanin" w:hAnsi="IRNazanin" w:eastAsia="IRNazanin"/>
          <w:color w:val="111111"/>
          <w:sz w:val="28"/>
          <w:sz w:val="28"/>
          <w:szCs w:val="28"/>
          <w:rtl w:val="true"/>
          <w:lang w:bidi="fa-IR"/>
        </w:rPr>
        <w:t xml:space="preserve">عضو گروه دانشگاه انتقادی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زلزله شیلی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زلزله هائیتی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ژوبرت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سارتر، راسل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سازمان بین المللی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اتحادیه دبیرخانه سازمان ملل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دبیران کل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دسترسی به اطلاعات شغلی دبیران کل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طرح تدوین شرح حال نویسی دبیران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کمیسیون ناوبری راین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کیفیت رهبری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سازمان غیر انتفاعی اینفورمیشن نیوویو </w:t>
      </w:r>
      <w:r>
        <w:rPr>
          <w:rFonts w:eastAsia="Times New Roman" w:cs="Times New Roman" w:ascii="Times New Roman" w:hAnsi="Times New Roman"/>
          <w:color w:val="111111"/>
          <w:sz w:val="28"/>
          <w:szCs w:val="28"/>
          <w:lang w:val="en-US" w:bidi="en-US"/>
        </w:rPr>
        <w:t>I.N.W-192-191</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غیرانتفاعی کتاب خانه های بدون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اقدامات پس از زلزله هائیتی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تشکیل همایش بین المللی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جذب حمایت برندگان جایزه نوبل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جذب هم کاری کمیساریای عالی سازمان</w:t>
      </w:r>
    </w:p>
    <w:p>
      <w:pPr>
        <w:pStyle w:val="BookText"/>
        <w:rPr/>
      </w:pPr>
      <w:r>
        <w:rPr>
          <w:rFonts w:ascii="IRNazanin" w:hAnsi="IRNazanin" w:eastAsia="IRNazanin"/>
          <w:color w:val="111111"/>
          <w:sz w:val="28"/>
          <w:sz w:val="28"/>
          <w:szCs w:val="28"/>
          <w:rtl w:val="true"/>
          <w:lang w:bidi="fa-IR"/>
        </w:rPr>
        <w:t xml:space="preserve">ملل متحد در امور پناهندگان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جذب همکاری یونیسف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فراخوان بین المللی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نقش پیشگیری کننده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طرح خانه اندیشه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امکان به روز رسانی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برقراری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تأثیر آموزشی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تأثیر اطلاعات و دانش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تأثیر روانی اجتماعی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توسعه برنامه آموزشی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توسعه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دوستانه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 آسیا و اقیانوسیه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 اردن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 اردوگاه پناهندگان سوری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 اردوگاه پناهندگان کاوومو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 اردوگاه پناهندگان موساسا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 لبنان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زبان و محتوا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هدف از طرح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هدف از تأسیس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تشکیلات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هدف از تأسیس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سازمان های بین المللی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سان ایلد، تربن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سانسور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و آزادی بیان</w:t>
      </w:r>
    </w:p>
    <w:p>
      <w:pPr>
        <w:pStyle w:val="BookText"/>
        <w:rPr/>
      </w:pPr>
      <w:r>
        <w:rPr>
          <w:rFonts w:ascii="IRNazanin" w:hAnsi="IRNazanin" w:eastAsia="IRNazanin"/>
          <w:color w:val="111111"/>
          <w:sz w:val="28"/>
          <w:sz w:val="28"/>
          <w:szCs w:val="28"/>
          <w:rtl w:val="true"/>
          <w:lang w:bidi="fa-IR"/>
        </w:rPr>
        <w:t xml:space="preserve">تأسیس کتاب خانه بدون مرز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و جهانی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دیدگاه اریکسن، تامس هیلاند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خدمات مرجع کتاب خانه ← خدمات مرجع و آزادی بیان</w:t>
      </w:r>
    </w:p>
    <w:p>
      <w:pPr>
        <w:pStyle w:val="BookText"/>
        <w:rPr/>
      </w:pPr>
      <w:r>
        <w:rPr>
          <w:rFonts w:ascii="IRNazanin" w:hAnsi="IRNazanin" w:eastAsia="IRNazanin"/>
          <w:color w:val="111111"/>
          <w:sz w:val="28"/>
          <w:sz w:val="28"/>
          <w:szCs w:val="28"/>
          <w:rtl w:val="true"/>
          <w:lang w:bidi="fa-IR"/>
        </w:rPr>
        <w:t xml:space="preserve">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فریموسا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مؤسسه بین المللی 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آیفکس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مبارزه با سانسور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نقش خدمات مرجع کتاب خانه ← خدمات</w:t>
      </w:r>
    </w:p>
    <w:p>
      <w:pPr>
        <w:pStyle w:val="BookText"/>
        <w:rPr/>
      </w:pPr>
      <w:r>
        <w:rPr>
          <w:rFonts w:ascii="IRNazanin" w:hAnsi="IRNazanin" w:eastAsia="IRNazanin"/>
          <w:color w:val="111111"/>
          <w:sz w:val="28"/>
          <w:sz w:val="28"/>
          <w:szCs w:val="28"/>
          <w:rtl w:val="true"/>
          <w:lang w:bidi="fa-IR"/>
        </w:rPr>
        <w:t>مرجع و آزادی بیان</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حوادث سیدی بوزید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شبکه آیفکس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فهرست لیبروریم پروهیبتوریم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سرس، میشل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سگارا، ملانی پادیلا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نظام</w:t>
      </w:r>
    </w:p>
    <w:p>
      <w:pPr>
        <w:pStyle w:val="BookText"/>
        <w:rPr/>
      </w:pPr>
      <w:r>
        <w:rPr>
          <w:rFonts w:ascii="IRNazanin" w:hAnsi="IRNazanin" w:eastAsia="IRNazanin"/>
          <w:color w:val="111111"/>
          <w:sz w:val="28"/>
          <w:sz w:val="28"/>
          <w:szCs w:val="28"/>
          <w:rtl w:val="true"/>
          <w:lang w:bidi="fa-IR"/>
        </w:rPr>
        <w:t xml:space="preserve">امتیاز گذاری در کتاب خانه عمومی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سمپسونیاوی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برخط</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سوادآموزی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برنامه بین المللی ارزیابی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ایجاد اینفوگرافیک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پرونده ویژه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تولید منابع به زبان فرانسه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زبان انگلیسی و فرانسه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دوزبانه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مدارک هسته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مشارکت در اشاعه اطلاعات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مشارکت در اشتراک پژوهش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نتیجه برنامه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نقش کتابدار مقیم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مشارکت و همکاری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شبکه توسعه سواد آموزی و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کارکرد نوآوری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شبکه ملی توسعه اقتصادی فرانسه زبان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ایجاد روابط پرمعنی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شرکت توسعه اقتصادی جامعه و استخدام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کتاب خانه مرکز اسناد آموزش بزرگسالان و زنان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کارکرد اطلاعات </w:t>
      </w:r>
      <w:r>
        <w:rPr>
          <w:rFonts w:eastAsia="IRNazanin" w:cs="IRNazanin"/>
          <w:color w:val="111111"/>
          <w:sz w:val="28"/>
          <w:szCs w:val="28"/>
          <w:lang w:bidi="fa-IR"/>
        </w:rPr>
        <w:t>37</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مرکز سوادآموزی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هدف ها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سواد اطلاعاتی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دیدگاه، استیونز، کریستی آر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 محیط رقومی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سواد بهداشتی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ارکان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ارزیابی معیارها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اطلاعات بهداشتی مصرف کننده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رفتار اطلاع یابی بهداشتی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سواد اطلاعاتی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سوتیز، برتا وان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فرهنگ و زبان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شاکری، موهد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شبکه آیفکس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شرح حال نویسی مختصر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دیدگاه والتر، جیمز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شلونگ، الکساندر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طرح پژوهشی آیوبایو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ایجاد دبیرخانه بین المللی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برگزاری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اسناد مکتوب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تعهدات منتج از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تدوین شرح حال نویسی دبیران کل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دسترسی به اطلاعات شغلی و دبیران کل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شبيه هوز هو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who's who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کیفیت رهبری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دسترسی به منابع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دوره آموزشی تاریخچه سازمان های بین المللی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اهمیت تاریخ شفاهی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تولید اطلاعات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دروس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مدرسان دوره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اشمیتس، هانس پیتر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اشنایدر، کریستینا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بلاد گود، الیزابت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بیرت، فرانسیس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چرچ، جیمز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دیویس، توماس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رودونو، داویده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گارتزک، اریک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لاگوس، مارتا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مکافری، مایکل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وویتن، اریک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هان چو، یون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منابع آموزشی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بین المللى هينال پیتر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سازمان بین المللی روتلج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سازمان بین المللی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تاریخ فراملیتی پالگریو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مؤسسات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وایس،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ویلکینسون، روردن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تاریخی سازمان 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وروناف، جان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راهنمای استفاده از اسناد و اطلاعات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رقومی سازی آرشیو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طوفان هایان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فرا داده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پیشینه نویسی توسط کاربر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تولید شده توسط کاربر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تولید کاربر</w:t>
      </w:r>
    </w:p>
    <w:p>
      <w:pPr>
        <w:pStyle w:val="BookText"/>
        <w:rPr/>
      </w:pPr>
      <w:r>
        <w:rPr>
          <w:rFonts w:ascii="IRNazanin" w:hAnsi="IRNazanin" w:eastAsia="IRNazanin"/>
          <w:color w:val="111111"/>
          <w:sz w:val="28"/>
          <w:sz w:val="28"/>
          <w:szCs w:val="28"/>
          <w:rtl w:val="true"/>
          <w:lang w:bidi="fa-IR"/>
        </w:rPr>
        <w:t xml:space="preserve">حاشیه نویسی توسط کاربر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سوء استفاده از فراداده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غنی سازی توسط کاربر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کتاب خانه رقومی میراث گونه های زیستی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فراداده تولید کاربر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اقدام و بهره برداری کتاب خانه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برچسب گذاری توسط کاربر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تدوین راهنمای فعالیت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تعریف فراداده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تعهد و تصمیم گیری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تهیه سیاهه وارسی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حق مؤلف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دوام و پایداری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ذخیره در وب گاه مرکزی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سازماندهی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سؤالات حقوقی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فراداده توصیفی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گزینش داده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مجموعه سازی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واسپاری و تحویل فراداده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فراداده در فهرست نویسی </w:t>
      </w:r>
      <w:r>
        <w:rPr>
          <w:rFonts w:eastAsia="IRNazanin" w:cs="IRNazanin"/>
          <w:color w:val="111111"/>
          <w:sz w:val="28"/>
          <w:szCs w:val="28"/>
          <w:lang w:bidi="fa-IR"/>
        </w:rPr>
        <w:t>516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فرانکفورتر آلگمینی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تاریخ فراملیتی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پالگریو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فرهنگ خوش بینی مفرط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فناوری هزاره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سرس، میشل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فريد، ألفريد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فریموسا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سانسور جهانی</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فَگفوربِندِت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کارگزی نروژ</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آموزش تفکر انتقادی برای کودکان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برنامه کتاب خانه عمومی دسترسی پذیر و جامع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نمایندگان شهرستان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توسعه سازمان دهی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سازماندهی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کارگری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همکاری با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همکاری برای بهبود کتاب خانه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فناوری ابر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ساختار باز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مزیت ها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ابر در کتاب خانه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افزایش اثر بخشی خدمات به مشتری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آگاه سازی لحظه ای پایانه ها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اطلاعات تکمیلی زنجیره های آلن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پاسخگویی به نیاز مراجعین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پایگاه داده های اشتراکی فروشندگان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تأثیر شبکه ای جامعه فرا محلی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توسعه مجموعه داده محور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خدمات پیشنهاد دهنده مشارکت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سرورهای پیشنهاد دهنده به مراجعین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صورت بندی های توزیع شده تر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فهرستگان مشترک آنی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تغییر در نظام مدیریتی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چالش ها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عوامل انسانی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عوامل موفقیت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برقراری ارتباط مستمر با کارکنان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برگزاری جلسات منظم داخلی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تبیین چشم انداز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رتبه بندی عوامل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عامل انسانی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نقش رهبری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فهرست مستند مجازی بین المللی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انگیزه تدوین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فهرست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عام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استاندارد محتوا </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الزامات کاربردی داده های مستند </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برنامه تعاونی مستندات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ناکو</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تکمیل پیشینه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طرح رمزگذاری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مشارکت در محتوای پیشینه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پیشینه مستند مرلین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مستند نام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تعداد فیلدها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524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تکمیل مشخصات در سطح پیشینه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تکمیل مشخصات در کنسرسیوم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جدول فیلد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کنسرسیوم کتاب خانه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ایالت میسوری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محدودیت پژوهش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مدخل جنسیت ثبت شده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مدخل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مدخل مشاغل ثبت شده </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مدخل مکان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مشخصات جمعیت شناختی شخصی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تفکیکی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نتیجه پژوهش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وب معنایی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پیشینه مستندنویسی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پیشینه مستندنویسی نام شخصی </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گزارشی ریمر و شرور </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توصیف و دسترسی منابع </w:t>
      </w:r>
      <w:r>
        <w:rPr>
          <w:rFonts w:eastAsia="Times New Roman" w:cs="Times New Roman" w:ascii="Times New Roman" w:hAnsi="Times New Roman"/>
          <w:color w:val="111111"/>
          <w:sz w:val="28"/>
          <w:szCs w:val="28"/>
          <w:lang w:val="en-US" w:bidi="en-US"/>
        </w:rPr>
        <w:t>RDR 511-530</w:t>
      </w:r>
    </w:p>
    <w:p>
      <w:pPr>
        <w:pStyle w:val="BookText"/>
        <w:rPr/>
      </w:pPr>
      <w:r>
        <w:rPr>
          <w:rFonts w:ascii="IRNazanin" w:hAnsi="IRNazanin" w:eastAsia="IRNazanin"/>
          <w:color w:val="111111"/>
          <w:sz w:val="28"/>
          <w:sz w:val="28"/>
          <w:szCs w:val="28"/>
          <w:rtl w:val="true"/>
          <w:lang w:bidi="fa-IR"/>
        </w:rPr>
        <w:t xml:space="preserve">زنجیره نویسی مستند نام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جدول نقاط دسترسی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کتاب خانه اینترنتی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ورلدکت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جدول نقاط دسترسی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شناسگر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ورلدکت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فراداده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پژوهش زنگ و کین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پژوهش میلر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مستند نویسی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فهرست نویسی تعاونی </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قانون حق دسترسی به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قانون خدمات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قانون دسترسی دانش آموزان به کتابخانه ← کتاب خانه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شهرداری در ارائه خدمات کتاب خانه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و اسپاری منابع الکترونیکی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کرواسی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قطع نامه شوانکا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قواعد فهرست نویسی انگلوامریکن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کاتسلو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کافه زبان در کتاب خانه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کالینز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الکترونیکی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الکترونیکی</w:t>
      </w:r>
    </w:p>
    <w:p>
      <w:pPr>
        <w:pStyle w:val="BookText"/>
        <w:rPr/>
      </w:pPr>
      <w:r>
        <w:rPr>
          <w:rFonts w:ascii="IRNazanin" w:hAnsi="IRNazanin" w:eastAsia="IRNazanin"/>
          <w:color w:val="111111"/>
          <w:sz w:val="28"/>
          <w:sz w:val="28"/>
          <w:szCs w:val="28"/>
          <w:rtl w:val="true"/>
          <w:lang w:bidi="fa-IR"/>
        </w:rPr>
        <w:t xml:space="preserve">در کرواسی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پژوهش سیکیچ و گلدستاین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پژوهش ولاگیج و پهار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تجربه کتاب خانه ملی و دانشگاهی زاگرب کتاب خانه ملی و دانشگاهی زاکرب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رقومی سازی</w:t>
      </w:r>
    </w:p>
    <w:p>
      <w:pPr>
        <w:pStyle w:val="BookText"/>
        <w:rPr/>
      </w:pPr>
      <w:r>
        <w:rPr>
          <w:rFonts w:ascii="IRNazanin" w:hAnsi="IRNazanin" w:eastAsia="IRNazanin"/>
          <w:color w:val="111111"/>
          <w:sz w:val="28"/>
          <w:sz w:val="28"/>
          <w:szCs w:val="28"/>
          <w:rtl w:val="true"/>
          <w:lang w:bidi="fa-IR"/>
        </w:rPr>
        <w:t xml:space="preserve">تحلیل تک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مدیریت حقوق رقومی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ویژگی تک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شبکه امانت بین کتاب خانه ای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بین کتاب خانه ای</w:t>
      </w:r>
    </w:p>
    <w:p>
      <w:pPr>
        <w:pStyle w:val="BookText"/>
        <w:rPr/>
      </w:pPr>
      <w:r>
        <w:rPr>
          <w:rFonts w:ascii="IRNazanin" w:hAnsi="IRNazanin" w:eastAsia="IRNazanin"/>
          <w:color w:val="111111"/>
          <w:sz w:val="28"/>
          <w:sz w:val="28"/>
          <w:szCs w:val="28"/>
          <w:rtl w:val="true"/>
          <w:lang w:bidi="fa-IR"/>
        </w:rPr>
        <w:t xml:space="preserve">مفهوم و مصداق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پژوهش اسچریچ، فین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رسانه تولید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شناسگر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کاربرد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کاربرد دستیابی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محتوا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نحوه انتشار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نحوه تولید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وابستگی به آنالوگ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دریافت گواهی دفتر سبز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انتقال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تأثیر بر توسعه فردی و اجتماعی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خدمات تحقیقاتی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قرارداد ارائه خدمات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مؤلف</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با حق مؤلف در خدمات کتاب خانه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چاش آزادی بیان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چالش آگاهی دادن به کاربر از 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چالش تخطی از قرارداد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چالش حق محرمانگی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چالش رقومی سازی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چالش شرایط قرارداد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چالش فایل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چالش کنترل منابع انحصاری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چالش مسایل قضایی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پیمان شرمن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مجوز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تیونز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مجوز کیندل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چالش مغایرت با خط مشی عمومی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حق امانت منابع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رفتار کاربر در محیط مجازی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ضمانت استفاده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محیط مجازی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دیدگاه رادین، مارگرت جین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استفاده فراتر از حق مؤلف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حق دفاع از حقوق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مجوز دسترسی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فعالیت اتحادیه اروپا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تحمیلی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مجوز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تیونز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مجوز اپل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مجوز پروکوئست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مجوز کیندل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مجوز گوگل بوکز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مجوز لغو قرارداد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مجوز نیچر آکادمیک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تحمیل اطلاعات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فرسودگی اطلاعات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فروش ثانویه اطلاعات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فروش نخست اطلاعات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مدیریت حقوق رقومی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قلب دانشگاه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کارگزار اطلاعات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متصدی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یافته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مجوز ارائه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ارائه خدمات</w:t>
      </w:r>
    </w:p>
    <w:p>
      <w:pPr>
        <w:pStyle w:val="BookText"/>
        <w:rPr/>
      </w:pPr>
      <w:r>
        <w:rPr>
          <w:rFonts w:ascii="IRNazanin" w:hAnsi="IRNazanin" w:eastAsia="IRNazanin"/>
          <w:color w:val="111111"/>
          <w:sz w:val="28"/>
          <w:sz w:val="28"/>
          <w:szCs w:val="28"/>
          <w:rtl w:val="true"/>
          <w:lang w:bidi="fa-IR"/>
        </w:rPr>
        <w:t xml:space="preserve">مخزن دانش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مدیریت ارتباط با مشتری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مدیریت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تغییر در کتاب خانه</w:t>
      </w:r>
    </w:p>
    <w:p>
      <w:pPr>
        <w:pStyle w:val="BookText"/>
        <w:rPr/>
      </w:pPr>
      <w:r>
        <w:rPr>
          <w:rFonts w:ascii="IRNazanin" w:hAnsi="IRNazanin" w:eastAsia="IRNazanin"/>
          <w:color w:val="111111"/>
          <w:sz w:val="28"/>
          <w:sz w:val="28"/>
          <w:szCs w:val="28"/>
          <w:rtl w:val="true"/>
          <w:lang w:bidi="fa-IR"/>
        </w:rPr>
        <w:t xml:space="preserve">نقش در جهانی شدن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کتاب خانه آزاد آرشیوی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کتاب خانه اسکندریه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کتاب خانه اسمیت سونیان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کتاب خانه ایالتی باواریا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کتاب خانه بدون مرز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نیز ← سازمان غیرانتفاعی کتاب خانه های بدون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بیمارستانی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سواد</w:t>
      </w:r>
    </w:p>
    <w:p>
      <w:pPr>
        <w:pStyle w:val="BookText"/>
        <w:rPr/>
      </w:pPr>
      <w:r>
        <w:rPr>
          <w:rFonts w:ascii="IRNazanin" w:hAnsi="IRNazanin" w:eastAsia="IRNazanin"/>
          <w:color w:val="111111"/>
          <w:sz w:val="28"/>
          <w:sz w:val="28"/>
          <w:szCs w:val="28"/>
          <w:rtl w:val="true"/>
          <w:lang w:bidi="fa-IR"/>
        </w:rPr>
        <w:t xml:space="preserve">بهداشتی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ارکان سواد بهداشتی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راهبری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پیشینه پژوهش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تحقیقات کاربردی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ارزیابی معیارها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اطلاعات سلامت مصرف کننده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رفتار اطلاع یابی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سواد اطلاعاتی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شبکه بهداشت ملی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تحقیقات و توسعه مطالعات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ارتقای سواد بهداشتی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تعریف سواد بهداشتی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سنجش سواد بهداشتی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نقش کتاب خانه و کتابدار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طرح آنکارا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ارزیابی معیارها </w:t>
      </w:r>
      <w:r>
        <w:rPr>
          <w:rFonts w:eastAsia="IRNazanin" w:cs="IRNazanin"/>
          <w:color w:val="111111"/>
          <w:sz w:val="28"/>
          <w:szCs w:val="28"/>
          <w:lang w:bidi="fa-IR"/>
        </w:rPr>
        <w:t>462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سلامت مصرف کننده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رفتار اطلاع یابی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سواد بهداشتی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طرح شبکه ملی بهداشت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نتیجه پژوهش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نقش کتاب خانه عمومی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کتاب خانه پارلمانی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ایجاد پایگاه دانش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تعامل اطلاع رسان و مخاطب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تعامل با مخاطب درون و برون سازمانی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تقسیم بندی مخاطب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خدمات اطلاع رسانی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دفتر نمایندگان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طرح مدیریت ارتباط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اهمیت طرح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پشتیبانی فناورانه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تدوین راهنمای ارتباط با مخاطب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تعریف اصطلاحی ارتباط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تعریف سطح تعامل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تولید اصطلاح نامه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چرخه مذاکره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حوزه های فعالیت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خدمات اطلاع رسانی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درخواست اطلاعات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فراهم آوری اطلاعات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فراهم آوری خدمات اطلاع رسانی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فعالیت های تحویل اطلاعات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فلسفه مدیریت ارتباط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کمیته مدیریت ارتباط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طرح مدیریت راهبردی تأمین نیاز اطلاعاتی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گروه های عضویت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نیازهای اطلاعات آموزشی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کتاب خانه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بیمارستانی</w:t>
      </w:r>
    </w:p>
    <w:p>
      <w:pPr>
        <w:pStyle w:val="BookText"/>
        <w:rPr/>
      </w:pPr>
      <w:r>
        <w:rPr>
          <w:rFonts w:ascii="IRNazanin" w:hAnsi="IRNazanin" w:eastAsia="IRNazanin"/>
          <w:color w:val="111111"/>
          <w:sz w:val="28"/>
          <w:sz w:val="28"/>
          <w:szCs w:val="28"/>
          <w:rtl w:val="true"/>
          <w:lang w:bidi="fa-IR"/>
        </w:rPr>
        <w:t xml:space="preserve">کتاب خانه پیس پالاس </w:t>
      </w:r>
      <w:r>
        <w:rPr>
          <w:rFonts w:eastAsia="IRNazanin" w:cs="IRNazanin"/>
          <w:color w:val="111111"/>
          <w:sz w:val="28"/>
          <w:szCs w:val="28"/>
          <w:lang w:bidi="fa-IR"/>
        </w:rPr>
        <w:t>146</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تنسبرگ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خانه جامعه ملل ← کتاب خانه دفتر سازمان ملل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چند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اتوپیای</w:t>
      </w:r>
    </w:p>
    <w:p>
      <w:pPr>
        <w:pStyle w:val="BookText"/>
        <w:rPr/>
      </w:pPr>
      <w:r>
        <w:rPr>
          <w:rFonts w:ascii="IRNazanin" w:hAnsi="IRNazanin" w:eastAsia="IRNazanin"/>
          <w:color w:val="111111"/>
          <w:sz w:val="28"/>
          <w:sz w:val="28"/>
          <w:szCs w:val="28"/>
          <w:rtl w:val="true"/>
          <w:lang w:bidi="fa-IR"/>
        </w:rPr>
        <w:t xml:space="preserve">ضروری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کتاب خانه چند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خدمات اجتماعی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نقش اینترنت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کتاب خانه حمدان 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طرح دوستان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درمانی – طرح کتاب خانه حمدان 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دانشگاه آمستردام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کتاب خانه حقوق بین الملل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کتاب خانه دانشگاه سوربن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آمار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برنامه افزایش خدمات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برنامه بازسازی و مرمت ساختمان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برنامه گسترش فضا در مجموعه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برنامه نظام ذخیره سازی پویا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پل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ساختمان و معماری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طرح انتقال و جا به جایی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اهمیت میراث فرهنگی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محل جدید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مرمت ساختمان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مشکلات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نتیجه طرح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هدف طرح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طرح جهانی دانشگاه سوربن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منابع ویژه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کتاب خانه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میشیگان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مشاوره مرجع در کافی شاپ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کتاب خانه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 سواد اطلاعاتی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در 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نام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دفتر خزانه و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165-164</w:t>
      </w:r>
    </w:p>
    <w:p>
      <w:pPr>
        <w:pStyle w:val="BookText"/>
        <w:rPr/>
      </w:pPr>
      <w:r>
        <w:rPr>
          <w:rFonts w:ascii="IRNazanin" w:hAnsi="IRNazanin" w:eastAsia="IRNazanin"/>
          <w:color w:val="111111"/>
          <w:sz w:val="28"/>
          <w:sz w:val="28"/>
          <w:szCs w:val="28"/>
          <w:rtl w:val="true"/>
          <w:lang w:bidi="fa-IR"/>
        </w:rPr>
        <w:t xml:space="preserve">کتاب خانه دفتر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آرشیو جنبش صلح طلبانه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اسناد دولتی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اقدامات توسعه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برگزاری همایش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ثبت آرشیو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نمایشگاه دائمی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انتقال مجموعه از کتاب خانه جامعه ملل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برنامه های فرهنگی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بخش حقوق و سیاست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تاریخ و بررسی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حفظ و نگهداری میراث جهانی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ضرورت بازسازی ساختمان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هزینه ها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حمایت مالی راکفلر جونیور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دسترس پذیری جهانی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راهنمای تحقیق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ساختار کتاب خانه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کتاب خانه دفتر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رقومی سازی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چالش ذخیره سازی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همکاری با آرشیو ملی نروژ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همکاری با دانشگاه ایندیانا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همکاری با دانشگاه ژنو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همکاری با مدارس بین المللی سوئیس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طرح نوسازی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فهرست برخط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مدیریت مجموعه آثار هنری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برنامه راهبردی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چالش ها و فرصت ها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حفظ و نگهداری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دسترس پذیری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نمایان سازی میراث فرهنگی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مرجع روابط بین الملل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یادداشت های آلفرد فرید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یادداشت های برتا وان سوتنر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کتاب خانه دو زبانه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421</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رقومی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 کتاب خانه ملی رقومی</w:t>
      </w:r>
    </w:p>
    <w:p>
      <w:pPr>
        <w:pStyle w:val="BookText"/>
        <w:rPr/>
      </w:pPr>
      <w:r>
        <w:rPr>
          <w:rFonts w:ascii="IRNazanin" w:hAnsi="IRNazanin" w:eastAsia="IRNazanin"/>
          <w:color w:val="111111"/>
          <w:sz w:val="28"/>
          <w:sz w:val="28"/>
          <w:szCs w:val="28"/>
          <w:rtl w:val="true"/>
          <w:lang w:bidi="fa-IR"/>
        </w:rPr>
        <w:t xml:space="preserve">ذخیره و حفاظت وبی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طرح آرشیو وب اسکاندیناوی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طرح آرشیو ملی نروژ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کتاب خانه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کتاب خانه رقومی جهان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کتاب خانه رقومی یوروپیانا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کتاب خانه سبز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کتاب خانه دانشگاه اوانستون ایلی نویز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کتاب خانه سبز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کرواسی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کتاب خانه عمومی کلارکسویل مونتگومری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کتاب خانه نیبرهود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جنبش کتاب خانه سبز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چشم انداز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شاخص توسعه پایدار در کتاب خانه عمومی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شاخص شناسایی و ارزیابی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نظام صدور گواهی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کتاب خانه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برنامه گردآوری انتشارات الکترونیک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اصلاح قانون حق مؤلف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تاریخچه گردآوری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تعريف انتشارات برخط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قانون </w:t>
      </w:r>
      <w:r>
        <w:rPr>
          <w:rFonts w:eastAsia="Times New Roman" w:cs="Times New Roman" w:ascii="Times New Roman" w:hAnsi="Times New Roman"/>
          <w:color w:val="111111"/>
          <w:sz w:val="28"/>
          <w:szCs w:val="28"/>
          <w:lang w:val="en-US" w:bidi="en-US"/>
        </w:rPr>
        <w:t>N.D.L 301-32</w:t>
      </w:r>
    </w:p>
    <w:p>
      <w:pPr>
        <w:pStyle w:val="BookText"/>
        <w:rPr/>
      </w:pPr>
      <w:r>
        <w:rPr>
          <w:rFonts w:ascii="IRNazanin" w:hAnsi="IRNazanin" w:eastAsia="IRNazanin"/>
          <w:color w:val="111111"/>
          <w:sz w:val="28"/>
          <w:sz w:val="28"/>
          <w:szCs w:val="28"/>
          <w:rtl w:val="true"/>
          <w:lang w:bidi="fa-IR"/>
        </w:rPr>
        <w:t xml:space="preserve">مالکیت انتشارات برخط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محدوده گردآوری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مشکلات فنی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نظام ذخیره سازی انتشارات برخط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پرداخت غرامت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ذخیره سازی موقت کارمزدی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شورای نظام ذخیره سازی قانونی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هدف از تأسیس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طرح آرشیو وب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طرح ذخیره سازی موقت کارمزدی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مرحله خدمات حق مالکیت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مرحله خدمات حق مالکیت </w:t>
      </w:r>
      <w:r>
        <w:rPr>
          <w:rFonts w:eastAsia="IRNazanin" w:cs="IRNazanin"/>
          <w:color w:val="111111"/>
          <w:sz w:val="28"/>
          <w:szCs w:val="28"/>
          <w:lang w:bidi="fa-IR"/>
        </w:rPr>
        <w:t>305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خدمات عمومی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گردآوری و ذخیره سازی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مفهوم نظام مالکیت انتشارات الکترونیک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کتاب خانه شهرداری لوویا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کتاب خانه علوم و فناوری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طرح کاربر محوری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استاندارد ایزو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9241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اقدامات اصلی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بررسی رویکرد کاربر محوری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بهینه سازی طرح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توسعه و پیشرفت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سوالات پژوهش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شیوه های بازیابی نوین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مراحل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مرحله آزمون کاربردپذیری با ردیابی چشمی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مرحله ارزیابی راهکار پیشنهادی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مرحله ارائه راهکار طراحی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مرحله تعیین نیازها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مرحله شناخت کاربر و زمینه استفاده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نتیجه طرح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نمای کلی طرح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وب گاه رسانه های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جستجو در ویدئو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دسترسی به ویدئو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شناسگر شئ رقومی </w:t>
      </w:r>
      <w:r>
        <w:rPr>
          <w:rFonts w:eastAsia="Times New Roman" w:cs="Times New Roman" w:ascii="Times New Roman" w:hAnsi="Times New Roman"/>
          <w:color w:val="111111"/>
          <w:sz w:val="28"/>
          <w:szCs w:val="28"/>
          <w:lang w:val="en-US" w:bidi="en-US"/>
        </w:rPr>
        <w:t>DOI 339</w:t>
      </w:r>
    </w:p>
    <w:p>
      <w:pPr>
        <w:pStyle w:val="BookText"/>
        <w:rPr/>
      </w:pPr>
      <w:r>
        <w:rPr>
          <w:rFonts w:ascii="IRNazanin" w:hAnsi="IRNazanin" w:eastAsia="IRNazanin"/>
          <w:color w:val="111111"/>
          <w:sz w:val="28"/>
          <w:sz w:val="28"/>
          <w:szCs w:val="28"/>
          <w:rtl w:val="true"/>
          <w:lang w:bidi="fa-IR"/>
        </w:rPr>
        <w:t xml:space="preserve">فراداده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نمایه سازی خودکار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کتاب خانه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رویدادهای فرهنگی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مطالعات و نیازها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تنوع فرهنگ و زبان جامعه مخاطب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روزنامه نگاری فرامحلی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محل آموزش و مشارکت فعال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شاخص توسعه پایدار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کتاب خانه عمومی استاتگارت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عمومی آمریکا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آمار جمعیت خدمت گیر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تحلیل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گیر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تشابه با مک دونالد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تعیین نقشه جغرافیایی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تعیین خصوصیات خدمت گیر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توصیف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شناختی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حفظ بودجه مالیاتی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خدمت گیران مجازی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شمارش همه خدمات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ضرورت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طرح پایگاه داده کتاب خانه عمومی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کاهش مراجعه حضوری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منابع بیرونی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منابع داخلی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ناحیه جغرافیایی بازار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توسعه و گسترش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خدمت گیران مجازی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روش تعیین و شناسایی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کاربران راه دور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ناحیه خدمت قانونی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کتاب خانه عمومی بیسکوپسگاردن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گوتنبرگ، سوئد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ارائه خدمات فرهنگی، اجتماعی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ارتباط مستقیم با مخاطب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اقدامات زبان آموزی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آموزشیاران تکالیف منزل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برنامه زبان آموزی مستمر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داستان سرایی برای بچه ها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الگوهای بهبود خدمات کتاب خانه ای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برگزاری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فرهنگی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طرح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برگزاری میزگرد بهبود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فرهنگی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اعضای میزگرد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دیدگاه گولوزار تونا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پل بین فرهنگی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تشکیل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کتاب خانه ای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تنوع فرهنگ و زبان جامعه مخاطب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436</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خدمات اجتماعی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کتابدار کتاب خانه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فضای دموکراتیک بین فرهنگی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محل آموزش و مشارکت فعال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محل خلق میراث فرهنگی جدید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کتاب خانه عمومی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بهداشتی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کتاب خانه عمومی سوئد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انجمن دوستان کتاب خانه ای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برگزاری رویدادهای بین فرهنگی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پل بین فرهنگی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تنوع فرهنگ و زبان جامعه مخاطب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روزنامه نگاری فرامحلی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کتاب خانه بیسکوپسگاردن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عمومی بیسکوپسگاردن</w:t>
      </w:r>
    </w:p>
    <w:p>
      <w:pPr>
        <w:pStyle w:val="BookText"/>
        <w:rPr/>
      </w:pPr>
      <w:r>
        <w:rPr>
          <w:rFonts w:ascii="IRNazanin" w:hAnsi="IRNazanin" w:eastAsia="IRNazanin"/>
          <w:color w:val="111111"/>
          <w:sz w:val="28"/>
          <w:sz w:val="28"/>
          <w:szCs w:val="28"/>
          <w:rtl w:val="true"/>
          <w:lang w:bidi="fa-IR"/>
        </w:rPr>
        <w:t xml:space="preserve">کتاب خانه فیسکساترا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میراث فرهنگی جدید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طرح خانه خدا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فضای دموکراتیک بین فرهنگی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کتاب خانه کورتوالا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گوتنبرگ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برگزاری کافه زبان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کتاب خانه گاملستادن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گوتنبرگ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کتاب خانه لاند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کتاب خانه عمومی میامی دید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کتاب خانه عمومی نروژ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کتاب خانه کنگره </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کتاب خانه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طرح توسعه پایدار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استفاده از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انگیزه و هدف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برگزاری جشنواره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برنامه بازدید هدفمند از کتاب خانه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بهره وری آب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بهره وری انرژی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پایداری در همه زمینه ها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ترویج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توسعه پایدار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تعامل با مردم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تولید انرژی تجدید پذیر </w:t>
      </w:r>
      <w:r>
        <w:rPr>
          <w:rFonts w:eastAsia="IRNazanin" w:cs="IRNazanin"/>
          <w:color w:val="111111"/>
          <w:sz w:val="28"/>
          <w:szCs w:val="28"/>
          <w:lang w:bidi="fa-IR"/>
        </w:rPr>
        <w:t>209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زیست پایدار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چشم انداز طبیعی محیط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حساس به آب و هوا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حمایت همگانی جامعه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حمل و نقل پایدار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خوش بینی مفرط به طرح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دیدگاه نوریس، ران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ساختمان الهام بخش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سایه یابی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شعار کتاب خانه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طرح اولیه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طرحی پر مخاطره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برنامه های توسعه </w:t>
      </w:r>
      <w:r>
        <w:rPr>
          <w:rFonts w:eastAsia="IRNazanin" w:cs="IRNazanin"/>
          <w:color w:val="111111"/>
          <w:sz w:val="28"/>
          <w:szCs w:val="28"/>
          <w:lang w:bidi="fa-IR"/>
        </w:rPr>
        <w:t>251258</w:t>
      </w:r>
    </w:p>
    <w:p>
      <w:pPr>
        <w:pStyle w:val="BookText"/>
        <w:rPr/>
      </w:pPr>
      <w:r>
        <w:rPr>
          <w:rFonts w:ascii="IRNazanin" w:hAnsi="IRNazanin" w:eastAsia="IRNazanin"/>
          <w:color w:val="111111"/>
          <w:sz w:val="28"/>
          <w:sz w:val="28"/>
          <w:szCs w:val="28"/>
          <w:rtl w:val="true"/>
          <w:lang w:bidi="fa-IR"/>
        </w:rPr>
        <w:t xml:space="preserve">کارکنان سبز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اولیه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گروه ارتباطات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ریج </w:t>
      </w:r>
      <w:r>
        <w:rPr>
          <w:rFonts w:eastAsia="Times New Roman" w:cs="Times New Roman" w:ascii="Times New Roman" w:hAnsi="Times New Roman"/>
          <w:color w:val="111111"/>
          <w:sz w:val="28"/>
          <w:szCs w:val="28"/>
          <w:lang w:val="en-US" w:bidi="en-US"/>
        </w:rPr>
        <w:t>oakridge 207-208</w:t>
      </w:r>
    </w:p>
    <w:p>
      <w:pPr>
        <w:pStyle w:val="BookText"/>
        <w:rPr/>
      </w:pPr>
      <w:r>
        <w:rPr>
          <w:rFonts w:ascii="IRNazanin" w:hAnsi="IRNazanin" w:eastAsia="IRNazanin"/>
          <w:color w:val="111111"/>
          <w:sz w:val="28"/>
          <w:sz w:val="28"/>
          <w:szCs w:val="28"/>
          <w:rtl w:val="true"/>
          <w:lang w:bidi="fa-IR"/>
        </w:rPr>
        <w:t xml:space="preserve">گروه دوستداران زمین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مأموریت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مدیریت کتاب خانه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ملزومات محیطی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منابع سبز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هزینه طرح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کتاب خانه سبز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معمار و طراح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بیرن، جاش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وودلند، بیلی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پاولت، کاکس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موقعیت جغرافیایی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کتاب خانه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اجبار در تأسیس کتاب خانه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انتخاب کتاب خانه برگزیده سال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برگزاری همایش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پژوهش در سیاستگذاری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تدوین شرایط دانش آموز برای دسترسی به کتاب خانه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تدوین شرح وظیفه کتابدار مدرسه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تدوین معیار کیفیت کتاب خانه برگزیده جهانی </w:t>
      </w:r>
      <w:r>
        <w:rPr>
          <w:rFonts w:eastAsia="IRNazanin" w:cs="IRNazanin"/>
          <w:color w:val="111111"/>
          <w:sz w:val="28"/>
          <w:szCs w:val="28"/>
          <w:lang w:bidi="fa-IR"/>
        </w:rPr>
        <w:t>255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تغییر قوانین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پشتیبانی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کنترل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پژوهش لیمبرگ، لوئیس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حامیان و ذی نفعان برنامه توسعه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آژانس ملی آموزش سوئد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انجمن اسناد، اطلاعات، فرهنگ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انجمن کتاب خانه سوئد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گروه کتاب خانه ملی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مقامات محلی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هیئت بازرسان مدارس ملی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حمایت و پشتیبانی کتاب خانه ملی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دیدگاه اریکسون، بی بی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دیدگاه بارت، هل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دیدگاه توماس، باربرو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قانون دسترسی دانش آموزان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ویژگی مطلوب بودن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کتاب خانه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تأثیر گذاری بر آینده جامعه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ضرورت آموزش تفکر انتقادی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هم کاری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فگفوربندت</w:t>
      </w:r>
    </w:p>
    <w:p>
      <w:pPr>
        <w:pStyle w:val="BookText"/>
        <w:rPr/>
      </w:pPr>
      <w:r>
        <w:rPr>
          <w:rFonts w:ascii="IRNazanin" w:hAnsi="IRNazanin" w:eastAsia="IRNazanin"/>
          <w:color w:val="111111"/>
          <w:sz w:val="28"/>
          <w:sz w:val="28"/>
          <w:szCs w:val="28"/>
          <w:rtl w:val="true"/>
          <w:lang w:bidi="fa-IR"/>
        </w:rPr>
        <w:t xml:space="preserve">کتاب خانه مرکز اسناد آموزش بزرگسالان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کتاب خانه مرکز سواد 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کتاب خانه مرکز مشاوره ای کارگران آسیب دیده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508-495</w:t>
      </w:r>
    </w:p>
    <w:p>
      <w:pPr>
        <w:pStyle w:val="BookText"/>
        <w:rPr/>
      </w:pPr>
      <w:r>
        <w:rPr>
          <w:rFonts w:ascii="IRNazanin" w:hAnsi="IRNazanin" w:eastAsia="IRNazanin"/>
          <w:color w:val="111111"/>
          <w:sz w:val="28"/>
          <w:sz w:val="28"/>
          <w:szCs w:val="28"/>
          <w:rtl w:val="true"/>
          <w:lang w:bidi="fa-IR"/>
        </w:rPr>
        <w:t xml:space="preserve">طرح اصطلاح نامه تخصصی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آزمون هم بستگی واژه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ارزیابی اصطلاح نامه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الگوبرداری از اصطلاح نامه بهداشت و سلامت حرفه ای استرالیا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پرسش نامه کاربر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پرسش نامه کارکنان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تجدید نظر دائمی </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تحلیل کارشناختی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توصیه های جنس، اریک مای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جستجو در اصطلاح نامه </w:t>
      </w:r>
      <w:r>
        <w:rPr>
          <w:rFonts w:eastAsia="IRNazanin" w:cs="IRNazanin"/>
          <w:color w:val="111111"/>
          <w:sz w:val="28"/>
          <w:szCs w:val="28"/>
          <w:lang w:bidi="fa-IR"/>
        </w:rPr>
        <w:t>506</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اطلاع یابی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ساختار انعطاف پذیر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سرنام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قابلیت استفاده چندگانه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قابلیت واژه شناسی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مصاحبه کاربران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ملاحظات توسعه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نتیجه ارزیابی </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نظام سلسله مراتبی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نمونه مدخل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یافته ها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کتاب خانه ملی سوئد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حمایت و پشتیبانی از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گروه کتاب خانه مدرسه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کتاب خانه ملی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نروژ</w:t>
      </w:r>
    </w:p>
    <w:p>
      <w:pPr>
        <w:pStyle w:val="BookText"/>
        <w:rPr/>
      </w:pPr>
      <w:r>
        <w:rPr>
          <w:rFonts w:ascii="IRNazanin" w:hAnsi="IRNazanin" w:eastAsia="IRNazanin"/>
          <w:color w:val="111111"/>
          <w:sz w:val="28"/>
          <w:sz w:val="28"/>
          <w:szCs w:val="28"/>
          <w:rtl w:val="true"/>
          <w:lang w:bidi="fa-IR"/>
        </w:rPr>
        <w:t xml:space="preserve">الزامات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کتاب خانه ملی 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رقومی سازی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الزامات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موافقت نامه بوک شلف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موافقت نامه با خبرگزاری رادیو اصلی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موافقت نامه با روزنامه ها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موافقت نامه با صاحب اثر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موافقت نامه با ناشر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برنامه و اسپاری رقومی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برنامه حمایت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برنامه نظام حفاظت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تجدید نظر در قانون واسپاری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ذخیره و حفاظت وبی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روزنامه ها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انتقال فایل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برنامه های آینده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تدوین استاندارد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توسعه و متناسب سازی عناوین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گام اجرا و بارگذاری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ضرورت موافقت نامه با ناشر </w:t>
      </w:r>
      <w:r>
        <w:rPr>
          <w:rFonts w:eastAsia="IRNazanin" w:cs="IRNazanin"/>
          <w:color w:val="111111"/>
          <w:sz w:val="28"/>
          <w:szCs w:val="28"/>
          <w:lang w:bidi="fa-IR"/>
        </w:rPr>
        <w:t>471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 نامه ها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و اسپاری رقومی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کتاب خانه ملی و دانشگاهی زاگرب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رقومی سازی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آرشیو وب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انباره دانشگاهی رقومی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تحویل فراداده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دریافت و تحویل محتوای رقومی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رساله و پایان نامه رقومی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روزنامه و مجله تاریخی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سیاست دسترسی رایگان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کتاب رقومی شده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منابع وب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نظام ماژولی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کتاب خانه میراث گونه های زیستی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آمار منابع رقومی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رقومی سازی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تصاویر و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جستجوگر محتوا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دانش افزایی مخاطبان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درگاه تخصصی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ساختار ذخیره سازی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طرح باغ های گیاه شناسی میزوری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گردآوری اسناد کتاب شناسی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طرح هنر زندگی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ابزار و گردش کار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الگوی فراداده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اشتراک گذاری تصاویر تاریخ طبیعی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دیدگاه براون، جانت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دیدگاه کاربران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پذیرش فراداده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توصیف منبع یابی انبوه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شناسایی خودکار تصاویر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بندی تصاویر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موزه استیو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فرایند استخراج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فرایند اشتراک گذاری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فرایند توصیف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فرایند طبقه بندی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نرم افزار وب جانگو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وب سایت آرتستور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وب سایت فلیکر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وضعیت فعلی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رقومی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همکاری کتاب خانه اسمیت سونیان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همکاری موزه هنر ایندیانا پولیس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کتاب خانه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کرواسی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کتاب خانه و سانسور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مرجع و آزادی بیان</w:t>
      </w:r>
    </w:p>
    <w:p>
      <w:pPr>
        <w:pStyle w:val="BookText"/>
        <w:rPr/>
      </w:pPr>
      <w:r>
        <w:rPr>
          <w:rFonts w:ascii="IRNazanin" w:hAnsi="IRNazanin" w:eastAsia="IRNazanin"/>
          <w:color w:val="111111"/>
          <w:sz w:val="28"/>
          <w:sz w:val="28"/>
          <w:szCs w:val="28"/>
          <w:rtl w:val="true"/>
          <w:lang w:bidi="fa-IR"/>
        </w:rPr>
        <w:t xml:space="preserve">دیدگاه گرت، جفری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های عمومی و عدالت اجتماعی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کتابدار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وظیفه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کتابداری بین المللی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کتابداری مرجع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کتاب درمانی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3344</w:t>
      </w:r>
    </w:p>
    <w:p>
      <w:pPr>
        <w:pStyle w:val="BookText"/>
        <w:rPr/>
      </w:pPr>
      <w:r>
        <w:rPr>
          <w:rFonts w:ascii="IRNazanin" w:hAnsi="IRNazanin" w:eastAsia="IRNazanin"/>
          <w:color w:val="111111"/>
          <w:sz w:val="28"/>
          <w:sz w:val="28"/>
          <w:szCs w:val="28"/>
          <w:rtl w:val="true"/>
          <w:lang w:bidi="fa-IR"/>
        </w:rPr>
        <w:t xml:space="preserve">بیمارستان سینز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تقسیم بندی جاناویشن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پژوهش بریستر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پژوهش پاردک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پژوهش دافی و همکاران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پژوهش روزالینا و موهد شاکرمی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پژوهش ژوبرت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پژوهش فاس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روش ها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سابقه دینی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طرح دوستان کتاب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اهداف طرح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بررسی طرح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پیشنهادات طرح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چالش ها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پایین بودن سطح سواد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فقدان همکاری اولیه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کمبود بودجه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مهارت نداشتن داوطلبان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روش اجرای طرح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انجام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مذاکره و مصاحبه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نتیجه طرح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ارتقای عادت خواندن در بیمار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تعاملات مؤثر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تعاون و همکاری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حمایت معنوی از بیمار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هم کاری آسان تر بیمار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رشد شناختی بیمار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طرح کتاب خانه حمدان 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دوستان کتاب</w:t>
      </w:r>
    </w:p>
    <w:p>
      <w:pPr>
        <w:pStyle w:val="BookText"/>
        <w:rPr/>
      </w:pPr>
      <w:r>
        <w:rPr>
          <w:rFonts w:ascii="IRNazanin" w:hAnsi="IRNazanin" w:eastAsia="IRNazanin"/>
          <w:color w:val="111111"/>
          <w:sz w:val="28"/>
          <w:sz w:val="28"/>
          <w:szCs w:val="28"/>
          <w:rtl w:val="true"/>
          <w:lang w:bidi="fa-IR"/>
        </w:rPr>
        <w:t xml:space="preserve">فرایند و مراحل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مفهوم و تعریف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کتاب رقومی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الکترونیکی</w:t>
      </w:r>
    </w:p>
    <w:p>
      <w:pPr>
        <w:pStyle w:val="BookText"/>
        <w:rPr/>
      </w:pPr>
      <w:r>
        <w:rPr>
          <w:rFonts w:ascii="IRNazanin" w:hAnsi="IRNazanin" w:eastAsia="IRNazanin"/>
          <w:color w:val="111111"/>
          <w:sz w:val="28"/>
          <w:sz w:val="28"/>
          <w:szCs w:val="28"/>
          <w:rtl w:val="true"/>
          <w:lang w:bidi="fa-IR"/>
        </w:rPr>
        <w:t xml:space="preserve">کتاب شناختی یونی مارک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کتاب و 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نظام سنتی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دیدگاه برگ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دیدگاه شومان، ربکا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دیدگاه زیکا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دیدگاه سیگلر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دیدگاه مالیک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کرال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کرالیویچ، ایوان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کرواسی – قانون و اسپاری منابع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واسپاری منابع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کروتسفلد، جاکوب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کریون، تیمونی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آموزشی برخط فراگیر رایگان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برخط</w:t>
      </w:r>
    </w:p>
    <w:p>
      <w:pPr>
        <w:pStyle w:val="BookText"/>
        <w:rPr/>
      </w:pPr>
      <w:r>
        <w:rPr>
          <w:rFonts w:ascii="IRNazanin" w:hAnsi="IRNazanin" w:eastAsia="IRNazanin"/>
          <w:color w:val="111111"/>
          <w:sz w:val="28"/>
          <w:sz w:val="28"/>
          <w:szCs w:val="28"/>
          <w:rtl w:val="true"/>
          <w:lang w:bidi="fa-IR"/>
        </w:rPr>
        <w:t xml:space="preserve">فراگیر رایگان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توسعه</w:t>
      </w:r>
    </w:p>
    <w:p>
      <w:pPr>
        <w:pStyle w:val="BookText"/>
        <w:rPr/>
      </w:pPr>
      <w:r>
        <w:rPr>
          <w:rFonts w:ascii="IRNazanin" w:hAnsi="IRNazanin" w:eastAsia="IRNazanin"/>
          <w:color w:val="111111"/>
          <w:sz w:val="28"/>
          <w:sz w:val="28"/>
          <w:szCs w:val="28"/>
          <w:rtl w:val="true"/>
          <w:lang w:bidi="fa-IR"/>
        </w:rPr>
        <w:t xml:space="preserve">کمک کتابدار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کمیساریای عالی سازمان ملل متحد در امور پناهندگان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مرکزی ناوبری راین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کنترل کتاب شناختی جهانی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اشتراک گذاری داده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بخش اصلی توصیف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پژوهش اندرسن، دروتی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ترکیب رویکرد محلی و جهانی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داده پیوندی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روش شناختی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فهرست مستند مجازی بین المللی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قالب کتاب شناختی یونی مارک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کنترل هوشمند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کنسرسیوم کتاب خانه های تحقیقاتی اروپایی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گزاره سرعنوان قراردادی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نخستین فهرست مشترک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نویسنده سند کنترل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ویژگی محلی و جهانی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کنسرسیوم بین المللی حفاظت اینترنت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کنسرسیوم خدمات اطلاعاتی کتاب خانه ای کنیا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کنسرسیوم کتاب خانه ای خرید نشریات</w:t>
      </w:r>
    </w:p>
    <w:p>
      <w:pPr>
        <w:pStyle w:val="BookText"/>
        <w:rPr/>
      </w:pPr>
      <w:r>
        <w:rPr>
          <w:rFonts w:ascii="IRNazanin" w:hAnsi="IRNazanin" w:eastAsia="IRNazanin"/>
          <w:color w:val="111111"/>
          <w:sz w:val="28"/>
          <w:sz w:val="28"/>
          <w:szCs w:val="28"/>
          <w:rtl w:val="true"/>
          <w:lang w:bidi="fa-IR"/>
        </w:rPr>
        <w:t xml:space="preserve">الکترونیک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کنسرسیوم کتاب خانه های تحقیقاتی</w:t>
      </w:r>
    </w:p>
    <w:p>
      <w:pPr>
        <w:pStyle w:val="BookText"/>
        <w:rPr/>
      </w:pPr>
      <w:r>
        <w:rPr>
          <w:rFonts w:ascii="IRNazanin" w:hAnsi="IRNazanin" w:eastAsia="IRNazanin"/>
          <w:color w:val="111111"/>
          <w:sz w:val="28"/>
          <w:sz w:val="28"/>
          <w:szCs w:val="28"/>
          <w:rtl w:val="true"/>
          <w:lang w:bidi="fa-IR"/>
        </w:rPr>
        <w:t xml:space="preserve">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کنسرسیوم کتاب خانه های تحقیقاتی و دانشگاهی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کنسرسیوم کتاب خانه های دانشگاهی</w:t>
      </w:r>
    </w:p>
    <w:p>
      <w:pPr>
        <w:pStyle w:val="BookText"/>
        <w:rPr/>
      </w:pPr>
      <w:r>
        <w:rPr>
          <w:rFonts w:ascii="IRNazanin" w:hAnsi="IRNazanin" w:eastAsia="IRNazanin"/>
          <w:color w:val="111111"/>
          <w:sz w:val="28"/>
          <w:sz w:val="28"/>
          <w:szCs w:val="28"/>
          <w:rtl w:val="true"/>
          <w:lang w:bidi="fa-IR"/>
        </w:rPr>
        <w:t xml:space="preserve">اوگاندا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یویوال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کنسرسیوم ملی کتاب خانه های تحقیقاتی و آموزش عالی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کنفدراسیون نروژی اتحادیه های</w:t>
      </w:r>
    </w:p>
    <w:p>
      <w:pPr>
        <w:pStyle w:val="BookText"/>
        <w:rPr/>
      </w:pPr>
      <w:r>
        <w:rPr>
          <w:rFonts w:ascii="IRNazanin" w:hAnsi="IRNazanin" w:eastAsia="IRNazanin"/>
          <w:color w:val="111111"/>
          <w:sz w:val="28"/>
          <w:sz w:val="28"/>
          <w:szCs w:val="28"/>
          <w:rtl w:val="true"/>
          <w:lang w:bidi="fa-IR"/>
        </w:rPr>
        <w:t>کارگری ← فگفور بندت</w:t>
      </w:r>
    </w:p>
    <w:p>
      <w:pPr>
        <w:pStyle w:val="BookText"/>
        <w:rPr/>
      </w:pPr>
      <w:r>
        <w:rPr>
          <w:rFonts w:ascii="IRNazanin" w:hAnsi="IRNazanin" w:eastAsia="IRNazanin"/>
          <w:color w:val="111111"/>
          <w:sz w:val="28"/>
          <w:sz w:val="28"/>
          <w:szCs w:val="28"/>
          <w:rtl w:val="true"/>
          <w:lang w:bidi="fa-IR"/>
        </w:rPr>
        <w:t xml:space="preserve">کورسرا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برگزار کننده آموزش برخط رایگان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کولتاو، کارول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گدیس، پاتریک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گرت، جفری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گوتنبرگ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لالمیه، کاترین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شورای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لورت، دونالد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لوکاچیچ، پترا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لوکانیلسن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لونسا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 جستجوی اتحادیه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لیبارز، هرمن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لیکهیلت، ساندرا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لیمبرگ، لوئیس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نام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ماستریخت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مانتادس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مدارس بین المللی سوئیس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ارتباط با شهروندان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الکساندر شلونگ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مدیریت ارتباط با مشتری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چرخه مذاکره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دیدگاه اندرسن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دیدگاه شلونگ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مدیریت اطلاعات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مدیریت تغییر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پژوهش ها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مدیریت تغییر در کتاب خانه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چالش ها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عوامل انسانی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سبک اکو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عوامل موفقیت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برقراری ارتباط مستمر با کارکنان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برگزاری جلسات منظم داخلی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تبیین چشم انداز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نقش رهبری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نقش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انجام شده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پیوندی</w:t>
      </w:r>
    </w:p>
    <w:p>
      <w:pPr>
        <w:pStyle w:val="BookText"/>
        <w:rPr/>
      </w:pPr>
      <w:r>
        <w:rPr>
          <w:rFonts w:ascii="IRNazanin" w:hAnsi="IRNazanin" w:eastAsia="IRNazanin"/>
          <w:color w:val="111111"/>
          <w:sz w:val="28"/>
          <w:sz w:val="28"/>
          <w:szCs w:val="28"/>
          <w:rtl w:val="true"/>
          <w:lang w:bidi="fa-IR"/>
        </w:rPr>
        <w:t xml:space="preserve">نظام اشتراکی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نظام سنتی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نظام موجودیت بنیان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مدیریت فراداده در کتاب خانه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آزمایش بر روی موجودیت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سرمایه گذاری مستمر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گسترش اسکیما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بازیابی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نمایش در اینترنت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مدیریت کتاب خانه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مرجع مجازی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مرجع</w:t>
      </w:r>
    </w:p>
    <w:p>
      <w:pPr>
        <w:pStyle w:val="BookText"/>
        <w:rPr/>
      </w:pPr>
      <w:r>
        <w:rPr>
          <w:rFonts w:ascii="IRNazanin" w:hAnsi="IRNazanin" w:eastAsia="IRNazanin"/>
          <w:color w:val="111111"/>
          <w:sz w:val="28"/>
          <w:sz w:val="28"/>
          <w:szCs w:val="28"/>
          <w:rtl w:val="true"/>
          <w:lang w:bidi="fa-IR"/>
        </w:rPr>
        <w:t xml:space="preserve">مرکز اطلاع رسانی گروه های زیستی، باغ های گیاه شناسی میزوری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مشارکت اجتماعی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مطالعه و خواندن کودکان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بازی نوشتاری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رقومی مبتنی 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بازی گروهی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پویش کتاب به صورت گروهی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دانشگاه علوم کاربردی ساتا کونتا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دیدگاه آموزشی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سؤالات پژوهش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شیوه امتیازدهی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طراحی و اجرا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فیلم دستورالعمل پویش کتاب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کتاب خانه شهرداری لوویا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مسابقه ادبیات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مفهوم بازی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موتور جستجو کتاب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نتیجه آزمون و مصاحبه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هدف از بازی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ارتباط با کتاب و کتاب خانه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معاهده صلح ورسای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منابع برخط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پایداری و کیفیت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INASP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وافقتنامه بوک شلف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مودل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موزه هنر ایندیانا پولیس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وایس توماس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ویلکینسون، روردن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اروپایی تحقیقات کتاب خانه 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مؤسسه اطلاعات و مستندات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مؤسسه بین المللی آزادی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آیفکس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موسسه هاسو پلاتنر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مولر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مونته، ویلهم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میردال، گونار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میز مرجع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اقول نظام سنتی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پرسش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کارلسون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پژوهش استیونز کریستی آر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پژوهش بانت و مک الکساندر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پژوهش بنت، اسکات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پژوهش پاتریک، فتیس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و لانگ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پژوهش رایان، سوزان 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پژوهش سانتگ و پالسون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پژوهش سامسون و اُلِز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پژوهش فارست، لیزا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پژوهش کارلسون، اسکات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پژوهش کیلر، کارن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پژوهش واتستین و بل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پژوهش یوئینگ و هاپتمن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خدمات مرجع نو ظهور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آموزش تفکر انتقادی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آموزش سواد اطلاعاتی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ارتباط با مراجعین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دیدگاه استیونز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دیدگاه شِردین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مشاوره در کافی شاپ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دسترسی به کتاب دار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مرجع گفتگوی دوستانه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مرجع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مجازی</w:t>
      </w:r>
    </w:p>
    <w:p>
      <w:pPr>
        <w:pStyle w:val="BookText"/>
        <w:rPr/>
      </w:pPr>
      <w:r>
        <w:rPr>
          <w:rFonts w:ascii="IRNazanin" w:hAnsi="IRNazanin" w:eastAsia="IRNazanin"/>
          <w:color w:val="111111"/>
          <w:sz w:val="28"/>
          <w:sz w:val="28"/>
          <w:szCs w:val="28"/>
          <w:rtl w:val="true"/>
          <w:lang w:bidi="fa-IR"/>
        </w:rPr>
        <w:t xml:space="preserve">مفهوم ارتباط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مفهوم انعطاف پذیری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مفهوم یاری رساندن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نقطه اشتراک با کتاب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NACO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برنامه تعاونی مستندات نام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فگفور بندت</w:t>
      </w:r>
    </w:p>
    <w:p>
      <w:pPr>
        <w:pStyle w:val="BookText"/>
        <w:rPr/>
      </w:pPr>
      <w:r>
        <w:rPr>
          <w:rFonts w:ascii="IRNazanin" w:hAnsi="IRNazanin" w:eastAsia="IRNazanin"/>
          <w:color w:val="111111"/>
          <w:sz w:val="28"/>
          <w:sz w:val="28"/>
          <w:szCs w:val="28"/>
          <w:rtl w:val="true"/>
          <w:lang w:bidi="fa-IR"/>
        </w:rPr>
        <w:t xml:space="preserve">روابط صنعتی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قانون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کتاب خانه 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 کتاب خانه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اجتماعی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نظام دسترسی آزاد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نوریس، 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 موسمان پارک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نیوت، مت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نیونگار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واجاک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تاریخی سازمان 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وروناف، جان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واسپاری رقومی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کتاب خانه ملی 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واسپاری رقومی</w:t>
      </w:r>
    </w:p>
    <w:p>
      <w:pPr>
        <w:pStyle w:val="BookText"/>
        <w:rPr/>
      </w:pPr>
      <w:r>
        <w:rPr>
          <w:rFonts w:ascii="IRNazanin" w:hAnsi="IRNazanin" w:eastAsia="IRNazanin"/>
          <w:color w:val="111111"/>
          <w:sz w:val="28"/>
          <w:sz w:val="28"/>
          <w:szCs w:val="28"/>
          <w:rtl w:val="true"/>
          <w:lang w:bidi="fa-IR"/>
        </w:rPr>
        <w:t xml:space="preserve">والتر، جیمز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وب جانگو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وب گاه آرتستور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وب گاه اُمِگا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وب گاه اینجر دورکس </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وب گاه تریپ آدوایزو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وب گاه فلیکر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اشتراک گذاری تصاویر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وب گاه ناکو </w:t>
      </w:r>
      <w:r>
        <w:rPr>
          <w:rFonts w:eastAsia="IRNazanin" w:cs="IRNazanin"/>
          <w:color w:val="111111"/>
          <w:sz w:val="28"/>
          <w:szCs w:val="28"/>
          <w:lang w:bidi="fa-IR"/>
        </w:rPr>
        <w:t>515</w:t>
      </w:r>
      <w:r>
        <w:rPr>
          <w:rFonts w:eastAsia="Times New Roman" w:cs="Times New Roman" w:ascii="Times New Roman" w:hAnsi="Times New Roman"/>
          <w:color w:val="111111"/>
          <w:sz w:val="28"/>
          <w:szCs w:val="28"/>
          <w:lang w:val="en-US" w:bidi="en-US"/>
        </w:rPr>
        <w:t>NACO</w:t>
      </w:r>
    </w:p>
    <w:p>
      <w:pPr>
        <w:pStyle w:val="BookText"/>
        <w:rPr/>
      </w:pPr>
      <w:r>
        <w:rPr>
          <w:rFonts w:ascii="IRNazanin" w:hAnsi="IRNazanin" w:eastAsia="IRNazanin"/>
          <w:color w:val="111111"/>
          <w:sz w:val="28"/>
          <w:sz w:val="28"/>
          <w:szCs w:val="28"/>
          <w:rtl w:val="true"/>
          <w:lang w:bidi="fa-IR"/>
        </w:rPr>
        <w:t xml:space="preserve">وب گاه یلپ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وب معنایی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ورلدکت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وودلند، بیلی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وياف </w:t>
      </w:r>
      <w:r>
        <w:rPr>
          <w:rFonts w:eastAsia="Times New Roman" w:cs="Times New Roman" w:ascii="Times New Roman" w:hAnsi="Times New Roman"/>
          <w:color w:val="111111"/>
          <w:sz w:val="28"/>
          <w:szCs w:val="28"/>
          <w:lang w:val="en-US" w:bidi="en-US"/>
        </w:rPr>
        <w:t>VIAF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مستند بین المللی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519</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 آی 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ویکی اسپسایس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ویل، پاتریک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مبتکر کتاب خانه بدون مرز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وینر، آلن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وینست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هاکسلی، بولیان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هاولت، کاکس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همایش کتاب خانه مدارس </w:t>
      </w:r>
      <w:r>
        <w:rPr>
          <w:rFonts w:eastAsia="IRNazanin" w:cs="IRNazanin"/>
          <w:color w:val="111111"/>
          <w:sz w:val="28"/>
          <w:szCs w:val="28"/>
          <w:lang w:bidi="fa-IR"/>
        </w:rPr>
        <w:t>2014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هنیسی، پیتر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هوارد </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هوز هو </w:t>
      </w:r>
      <w:r>
        <w:rPr>
          <w:rFonts w:eastAsia="Times New Roman" w:cs="Times New Roman" w:ascii="Times New Roman" w:hAnsi="Times New Roman"/>
          <w:color w:val="111111"/>
          <w:sz w:val="28"/>
          <w:szCs w:val="28"/>
          <w:lang w:val="en-US" w:bidi="en-US"/>
        </w:rPr>
        <w:t>who's who 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هوز هوز </w:t>
      </w:r>
      <w:r>
        <w:rPr>
          <w:rFonts w:eastAsia="Times New Roman" w:cs="Times New Roman" w:ascii="Times New Roman" w:hAnsi="Times New Roman"/>
          <w:color w:val="111111"/>
          <w:sz w:val="28"/>
          <w:szCs w:val="28"/>
          <w:lang w:val="en-US" w:bidi="en-US"/>
        </w:rPr>
        <w:t>who's who's 155</w:t>
      </w:r>
    </w:p>
    <w:p>
      <w:pPr>
        <w:pStyle w:val="BookText"/>
        <w:rPr/>
      </w:pPr>
      <w:r>
        <w:rPr>
          <w:rFonts w:ascii="IRNazanin" w:hAnsi="IRNazanin" w:eastAsia="IRNazanin"/>
          <w:color w:val="111111"/>
          <w:sz w:val="28"/>
          <w:sz w:val="28"/>
          <w:szCs w:val="28"/>
          <w:rtl w:val="true"/>
          <w:lang w:bidi="fa-IR"/>
        </w:rPr>
        <w:t xml:space="preserve">هیل، تریشا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هینال، پیتر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شومان، ربکا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کتاب خانه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یونیسف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 غیرانتفاعی</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خانه های بدون مرز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1448" w:name="pg9659_94401"/>
    </w:p>
    <w:p>
      <w:pPr>
        <w:pStyle w:val="Heading2"/>
        <w:numPr>
          <w:ilvl w:val="1"/>
          <w:numId w:val="1"/>
        </w:numPr>
        <w:rPr/>
      </w:pPr>
      <w:bookmarkStart w:id="1449" w:name="__RefHeading___Toc7826281_2870459653"/>
      <w:bookmarkStart w:id="1450" w:name="_Toc535"/>
      <w:bookmarkEnd w:id="1448"/>
      <w:bookmarkEnd w:id="1449"/>
      <w:r>
        <w:rPr>
          <w:rtl w:val="true"/>
        </w:rPr>
        <w:t xml:space="preserve">فهرست موضوعی گزیده مقالات ایفلا </w:t>
      </w:r>
      <w:r>
        <w:rPr/>
        <w:t>2014</w:t>
      </w:r>
      <w:bookmarkEnd w:id="1450"/>
    </w:p>
    <w:p>
      <w:pPr>
        <w:pStyle w:val="BookText"/>
        <w:rPr/>
      </w:pPr>
      <w:r>
        <w:rPr>
          <w:rFonts w:ascii="IRNazanin" w:hAnsi="IRNazanin" w:eastAsia="IRNazanin"/>
          <w:color w:val="111111"/>
          <w:sz w:val="28"/>
          <w:sz w:val="28"/>
          <w:szCs w:val="28"/>
          <w:rtl w:val="true"/>
          <w:lang w:bidi="fa-IR"/>
        </w:rPr>
        <w:t xml:space="preserve">برون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کتاب خانه ای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سپاری در کتاب خانه های تخصصی شرکت های حقوقی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یا تهدید؟ نمونه های جدید مدیریتی و چالش های آینده خدمات اطلاع رسانی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دونالد لیکلی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تهوری</w:t>
      </w:r>
    </w:p>
    <w:p>
      <w:pPr>
        <w:pStyle w:val="BookText"/>
        <w:rPr/>
      </w:pPr>
      <w:r>
        <w:rPr>
          <w:rFonts w:ascii="IRNazanin" w:hAnsi="IRNazanin" w:eastAsia="IRNazanin"/>
          <w:color w:val="111111"/>
          <w:sz w:val="28"/>
          <w:sz w:val="28"/>
          <w:szCs w:val="28"/>
          <w:rtl w:val="true"/>
          <w:lang w:bidi="fa-IR"/>
        </w:rPr>
        <w:t>حفاظت رقمی</w:t>
      </w:r>
    </w:p>
    <w:p>
      <w:pPr>
        <w:pStyle w:val="BookText"/>
        <w:rPr/>
      </w:pPr>
      <w:r>
        <w:rPr>
          <w:rFonts w:ascii="IRNazanin" w:hAnsi="IRNazanin" w:eastAsia="IRNazanin"/>
          <w:color w:val="111111"/>
          <w:sz w:val="28"/>
          <w:sz w:val="28"/>
          <w:szCs w:val="28"/>
          <w:rtl w:val="true"/>
          <w:lang w:bidi="fa-IR"/>
        </w:rPr>
        <w:t xml:space="preserve">ماژول دریافت کتاب الکترونیکی در کتاب خانه ملی و دانشگاهی زاگرب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سوفیا کلارین زادرویچ، تانیا بوزینا و دونیا سریتر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اسورکو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میترا صمیعی</w:t>
      </w:r>
    </w:p>
    <w:p>
      <w:pPr>
        <w:pStyle w:val="BookText"/>
        <w:rPr/>
      </w:pPr>
      <w:r>
        <w:rPr>
          <w:rFonts w:ascii="IRNazanin" w:hAnsi="IRNazanin" w:eastAsia="IRNazanin"/>
          <w:color w:val="111111"/>
          <w:sz w:val="28"/>
          <w:sz w:val="28"/>
          <w:szCs w:val="28"/>
          <w:rtl w:val="true"/>
          <w:lang w:bidi="fa-IR"/>
        </w:rPr>
        <w:t>حق مولف</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 از قرارداد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 چالش ها، فرصت ها و خطرات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لیپینسکی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فاطمه پازوکی</w:t>
      </w:r>
    </w:p>
    <w:p>
      <w:pPr>
        <w:pStyle w:val="BookText"/>
        <w:rPr/>
      </w:pPr>
      <w:r>
        <w:rPr>
          <w:rFonts w:ascii="IRNazanin" w:hAnsi="IRNazanin" w:eastAsia="IRNazanin"/>
          <w:color w:val="111111"/>
          <w:sz w:val="28"/>
          <w:sz w:val="28"/>
          <w:szCs w:val="28"/>
          <w:rtl w:val="true"/>
          <w:lang w:bidi="fa-IR"/>
        </w:rPr>
        <w:t>خدمات مرجع</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میز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مرجع چشم انداز تغییر اطلاعات نوشته ایمی پَترسون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مهشید برجیان بروجنی </w:t>
      </w:r>
    </w:p>
    <w:p>
      <w:pPr>
        <w:pStyle w:val="BookText"/>
        <w:rPr/>
      </w:pPr>
      <w:r>
        <w:rPr>
          <w:rFonts w:ascii="IRNazanin" w:hAnsi="IRNazanin" w:eastAsia="IRNazanin"/>
          <w:color w:val="111111"/>
          <w:sz w:val="28"/>
          <w:sz w:val="28"/>
          <w:szCs w:val="28"/>
          <w:rtl w:val="true"/>
          <w:lang w:bidi="fa-IR"/>
        </w:rPr>
        <w:t>سازماندهی اطلاعات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بطن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کتاب شناختی جهانی با رویکرد روش شناختی پایین به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گوردون دانسایر، میرنا ویلر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سعیده اکبریداریان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موجودیت ها و انجمن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تئودور فونس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صدیقه پیرهادی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همه فهرستنویس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قادر خواهید بود فراداده ها را برای مجموعه های تحقیقاتی خودتان سازمان دهی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ربکا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محبوبه ربیعی</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پاسخگوی اجتماعی فهرست ها و اصطلاح نامه های کتاب خانه ای در یک سازمان غیر انتفاعی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تورنتو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لاتا سوگلاسنووا و مری هنسن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مرضیه هدایت</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مستندات در نظام های کتاب خانه ای فرا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پژوهی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هیثر لی مولیسون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یعقوب پور نرگسی</w:t>
      </w:r>
    </w:p>
    <w:p>
      <w:pPr>
        <w:pStyle w:val="BookText"/>
        <w:rPr/>
      </w:pPr>
      <w:r>
        <w:rPr>
          <w:rFonts w:ascii="IRNazanin" w:hAnsi="IRNazanin" w:eastAsia="IRNazanin"/>
          <w:color w:val="111111"/>
          <w:sz w:val="28"/>
          <w:sz w:val="28"/>
          <w:szCs w:val="28"/>
          <w:rtl w:val="true"/>
          <w:lang w:bidi="fa-IR"/>
        </w:rPr>
        <w:t>سازمان های بین المللی</w:t>
      </w:r>
    </w:p>
    <w:p>
      <w:pPr>
        <w:pStyle w:val="BookText"/>
        <w:rPr/>
      </w:pPr>
      <w:r>
        <w:rPr>
          <w:rFonts w:ascii="IRNazanin" w:hAnsi="IRNazanin" w:eastAsia="IRNazanin"/>
          <w:color w:val="111111"/>
          <w:sz w:val="28"/>
          <w:sz w:val="28"/>
          <w:szCs w:val="28"/>
          <w:rtl w:val="true"/>
          <w:lang w:bidi="fa-IR"/>
        </w:rPr>
        <w:t>دبیران کل سازمان 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اطلاعاتی در کتاب خانه ها و آرشیوها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باب رينالدا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آرزو تجلی</w:t>
      </w:r>
    </w:p>
    <w:p>
      <w:pPr>
        <w:pStyle w:val="BookText"/>
        <w:rPr/>
      </w:pPr>
      <w:r>
        <w:rPr>
          <w:rFonts w:ascii="IRNazanin" w:hAnsi="IRNazanin" w:eastAsia="IRNazanin"/>
          <w:color w:val="111111"/>
          <w:sz w:val="28"/>
          <w:sz w:val="28"/>
          <w:szCs w:val="28"/>
          <w:rtl w:val="true"/>
          <w:lang w:bidi="fa-IR"/>
        </w:rPr>
        <w:t>سواد آموزی</w:t>
      </w:r>
    </w:p>
    <w:p>
      <w:pPr>
        <w:pStyle w:val="BookText"/>
        <w:rPr/>
      </w:pPr>
      <w:r>
        <w:rPr>
          <w:rFonts w:ascii="IRNazanin" w:hAnsi="IRNazanin" w:eastAsia="IRNazanin"/>
          <w:color w:val="111111"/>
          <w:sz w:val="28"/>
          <w:sz w:val="28"/>
          <w:szCs w:val="28"/>
          <w:rtl w:val="true"/>
          <w:lang w:bidi="fa-IR"/>
        </w:rPr>
        <w:t>نوآوری در سواد آموزی و مهارت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شارون هکِت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اسدی</w:t>
      </w:r>
    </w:p>
    <w:p>
      <w:pPr>
        <w:pStyle w:val="BookText"/>
        <w:rPr/>
      </w:pPr>
      <w:r>
        <w:rPr>
          <w:rFonts w:ascii="IRNazanin" w:hAnsi="IRNazanin" w:eastAsia="IRNazanin"/>
          <w:color w:val="111111"/>
          <w:sz w:val="28"/>
          <w:sz w:val="28"/>
          <w:szCs w:val="28"/>
          <w:rtl w:val="true"/>
          <w:lang w:bidi="fa-IR"/>
        </w:rPr>
        <w:t>سواد سلامت</w:t>
      </w:r>
    </w:p>
    <w:p>
      <w:pPr>
        <w:pStyle w:val="BookText"/>
        <w:rPr/>
      </w:pPr>
      <w:r>
        <w:rPr>
          <w:rFonts w:ascii="IRNazanin" w:hAnsi="IRNazanin" w:eastAsia="IRNazanin"/>
          <w:color w:val="111111"/>
          <w:sz w:val="28"/>
          <w:sz w:val="28"/>
          <w:szCs w:val="28"/>
          <w:rtl w:val="true"/>
          <w:lang w:bidi="fa-IR"/>
        </w:rPr>
        <w:t>تصمیمات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منتقدانه به سواد بهداشتی در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اینجی 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لیلا نعمتی انارکی</w:t>
      </w:r>
    </w:p>
    <w:p>
      <w:pPr>
        <w:pStyle w:val="BookText"/>
        <w:rPr/>
      </w:pPr>
      <w:r>
        <w:rPr>
          <w:rFonts w:ascii="IRNazanin" w:hAnsi="IRNazanin" w:eastAsia="IRNazanin"/>
          <w:color w:val="111111"/>
          <w:sz w:val="28"/>
          <w:sz w:val="28"/>
          <w:szCs w:val="28"/>
          <w:rtl w:val="true"/>
          <w:lang w:bidi="fa-IR"/>
        </w:rPr>
        <w:t>فهرست نویسی مواد دیداری و شنیداری</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ترین مخرج مشترک، نیازهای کاربران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فراداده برای آرشیوهای صوتی رقومی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اِلکه جایفینیدار، بنت لارسن، بیرگر لارسن، آکن لوند و مته اِسكُو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امیررضا اصنافی </w:t>
      </w:r>
    </w:p>
    <w:p>
      <w:pPr>
        <w:pStyle w:val="BookText"/>
        <w:rPr/>
      </w:pPr>
      <w:r>
        <w:rPr>
          <w:rFonts w:ascii="IRNazanin" w:hAnsi="IRNazanin" w:eastAsia="IRNazanin"/>
          <w:color w:val="111111"/>
          <w:sz w:val="28"/>
          <w:sz w:val="28"/>
          <w:szCs w:val="28"/>
          <w:rtl w:val="true"/>
          <w:lang w:bidi="fa-IR"/>
        </w:rPr>
        <w:t xml:space="preserve">کتاب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فرهنگی</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 مطالعات و امکانات یک کتاب خانه شهری در محیط چند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اینگرید اَتلِستام و رَندی مایر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عصمت مؤمنی</w:t>
      </w:r>
    </w:p>
    <w:p>
      <w:pPr>
        <w:pStyle w:val="BookText"/>
        <w:rPr/>
      </w:pPr>
      <w:r>
        <w:rPr>
          <w:rFonts w:ascii="IRNazanin" w:hAnsi="IRNazanin" w:eastAsia="IRNazanin"/>
          <w:color w:val="111111"/>
          <w:sz w:val="28"/>
          <w:sz w:val="28"/>
          <w:szCs w:val="28"/>
          <w:rtl w:val="true"/>
          <w:lang w:bidi="fa-IR"/>
        </w:rPr>
        <w:t xml:space="preserve">کتاب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زیست محیطی</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گرو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سبز از لحاظ تعامل مداوم جامعه، انتظارات جامعه، فراهم آوری و اشتراک اطلاعات و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دِبرا 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رضا خانی پور</w:t>
      </w:r>
    </w:p>
    <w:p>
      <w:pPr>
        <w:pStyle w:val="BookText"/>
        <w:rPr/>
      </w:pPr>
      <w:r>
        <w:rPr>
          <w:rFonts w:ascii="IRNazanin" w:hAnsi="IRNazanin" w:eastAsia="IRNazanin"/>
          <w:color w:val="111111"/>
          <w:sz w:val="28"/>
          <w:sz w:val="28"/>
          <w:szCs w:val="28"/>
          <w:rtl w:val="true"/>
          <w:lang w:bidi="fa-IR"/>
        </w:rPr>
        <w:t xml:space="preserve">چگونه کتاب خانه ای سبز بشویم یا آن را شناسایی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استانداردهایی برای صدور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پِترا هاوک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محبوبه قربانی</w:t>
      </w:r>
    </w:p>
    <w:p>
      <w:pPr>
        <w:pStyle w:val="BookText"/>
        <w:rPr/>
      </w:pPr>
      <w:r>
        <w:rPr>
          <w:rFonts w:ascii="IRNazanin" w:hAnsi="IRNazanin" w:eastAsia="IRNazanin"/>
          <w:color w:val="111111"/>
          <w:sz w:val="28"/>
          <w:sz w:val="28"/>
          <w:szCs w:val="28"/>
          <w:rtl w:val="true"/>
          <w:lang w:bidi="fa-IR"/>
        </w:rPr>
        <w:t xml:space="preserve">کتاب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دیدوشنودی</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رسانه های دیداری شنیداری با رویکرد کاربر محور در حال توسعه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مارگرت پلانک و استفن ویچرت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سهیلا فعال</w:t>
      </w:r>
    </w:p>
    <w:p>
      <w:pPr>
        <w:pStyle w:val="BookText"/>
        <w:rPr/>
      </w:pPr>
      <w:r>
        <w:rPr>
          <w:rFonts w:ascii="IRNazanin" w:hAnsi="IRNazanin" w:eastAsia="IRNazanin"/>
          <w:color w:val="111111"/>
          <w:sz w:val="28"/>
          <w:sz w:val="28"/>
          <w:szCs w:val="28"/>
          <w:rtl w:val="true"/>
          <w:lang w:bidi="fa-IR"/>
        </w:rPr>
        <w:t xml:space="preserve">کتاب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دریایی برای 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و فعالیت های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چشم انداز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میشل آنتوانت تیسدِل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افسانه تیموری خانی</w:t>
      </w:r>
    </w:p>
    <w:p>
      <w:pPr>
        <w:pStyle w:val="BookText"/>
        <w:rPr/>
      </w:pPr>
      <w:r>
        <w:rPr>
          <w:rFonts w:ascii="IRNazanin" w:hAnsi="IRNazanin" w:eastAsia="IRNazanin"/>
          <w:color w:val="111111"/>
          <w:sz w:val="28"/>
          <w:sz w:val="28"/>
          <w:szCs w:val="28"/>
          <w:rtl w:val="true"/>
          <w:lang w:bidi="fa-IR"/>
        </w:rPr>
        <w:t xml:space="preserve">کتاب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اطلاعاتی الکترونیکی</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کتاب خانه شورای ملی بر سر گردآوری انتشارات برخط در 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تاتسومو آکی 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زهراسادات عالمی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استفاده اشتراکی از کتاب های الکترونیکی مشترک در شبکه امانت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آدریانا پوپسکو و داگلاس مکگی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گیلوری</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واسپاری رقومی در کتاب خانه ملی 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اِسوین آرنه سولباک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سودابه نوذری</w:t>
      </w:r>
    </w:p>
    <w:p>
      <w:pPr>
        <w:pStyle w:val="BookText"/>
        <w:rPr/>
      </w:pPr>
      <w:r>
        <w:rPr>
          <w:rFonts w:ascii="IRNazanin" w:hAnsi="IRNazanin" w:eastAsia="IRNazanin"/>
          <w:color w:val="111111"/>
          <w:sz w:val="28"/>
          <w:sz w:val="28"/>
          <w:szCs w:val="28"/>
          <w:rtl w:val="true"/>
          <w:lang w:bidi="fa-IR"/>
        </w:rPr>
        <w:t>کتاب خانه های آموزشگاهی</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اتحادیه ها باید از کتاب خانه های مدارس حمایت کنند؟ نمونه نروژی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مَت هنریکسِن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زینب پاپی </w:t>
      </w:r>
    </w:p>
    <w:p>
      <w:pPr>
        <w:pStyle w:val="BookText"/>
        <w:rPr/>
      </w:pPr>
      <w:r>
        <w:rPr>
          <w:rFonts w:ascii="IRNazanin" w:hAnsi="IRNazanin" w:eastAsia="IRNazanin"/>
          <w:color w:val="111111"/>
          <w:sz w:val="28"/>
          <w:sz w:val="28"/>
          <w:szCs w:val="28"/>
          <w:rtl w:val="true"/>
          <w:lang w:bidi="fa-IR"/>
        </w:rPr>
        <w:t xml:space="preserve">همکاری با هدف قانون گذاری در کتاب خانه مدارس و توسعه کتاب خانه مدارس در کشور 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مود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عارف ریاحی</w:t>
      </w:r>
    </w:p>
    <w:p>
      <w:pPr>
        <w:pStyle w:val="BookText"/>
        <w:rPr/>
      </w:pPr>
      <w:r>
        <w:rPr>
          <w:rFonts w:ascii="IRNazanin" w:hAnsi="IRNazanin" w:eastAsia="IRNazanin"/>
          <w:color w:val="111111"/>
          <w:sz w:val="28"/>
          <w:sz w:val="28"/>
          <w:szCs w:val="28"/>
          <w:rtl w:val="true"/>
          <w:lang w:bidi="fa-IR"/>
        </w:rPr>
        <w:t>کتاب خانه های الکترونیکی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دنیای هنر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تریش رز ساندلر، نانسی 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 و کنستانس رینالدو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فریبرز درودی</w:t>
      </w:r>
    </w:p>
    <w:p>
      <w:pPr>
        <w:pStyle w:val="BookText"/>
        <w:rPr/>
      </w:pPr>
      <w:r>
        <w:rPr>
          <w:rFonts w:ascii="IRNazanin" w:hAnsi="IRNazanin" w:eastAsia="IRNazanin"/>
          <w:color w:val="111111"/>
          <w:sz w:val="28"/>
          <w:sz w:val="28"/>
          <w:szCs w:val="28"/>
          <w:rtl w:val="true"/>
          <w:lang w:bidi="fa-IR"/>
        </w:rPr>
        <w:t>کتاب خانه های سیار</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 توانمندسازی جوامع در منطقه آسیا و اقیانوسیه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ژرمی لاشال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عزیزیان</w:t>
      </w:r>
    </w:p>
    <w:p>
      <w:pPr>
        <w:pStyle w:val="BookText"/>
        <w:rPr/>
      </w:pPr>
      <w:r>
        <w:rPr>
          <w:rFonts w:ascii="IRNazanin" w:hAnsi="IRNazanin" w:eastAsia="IRNazanin"/>
          <w:color w:val="111111"/>
          <w:sz w:val="28"/>
          <w:sz w:val="28"/>
          <w:szCs w:val="28"/>
          <w:rtl w:val="true"/>
          <w:lang w:bidi="fa-IR"/>
        </w:rPr>
        <w:t>کتاب خانه های مجلس</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ارتباط با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برای خدمات اطلاع رسانی پارلمانی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کریستین کوئیلو پایوا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اعظم نجفقلی نژاد</w:t>
      </w:r>
    </w:p>
    <w:p>
      <w:pPr>
        <w:pStyle w:val="BookText"/>
        <w:rPr/>
      </w:pPr>
      <w:r>
        <w:rPr>
          <w:rFonts w:ascii="IRNazanin" w:hAnsi="IRNazanin" w:eastAsia="IRNazanin"/>
          <w:color w:val="111111"/>
          <w:sz w:val="28"/>
          <w:sz w:val="28"/>
          <w:szCs w:val="28"/>
          <w:rtl w:val="true"/>
          <w:lang w:bidi="fa-IR"/>
        </w:rPr>
        <w:t>کتاب داری بین المللی</w:t>
      </w:r>
    </w:p>
    <w:p>
      <w:pPr>
        <w:pStyle w:val="BookText"/>
        <w:rPr/>
      </w:pPr>
      <w:r>
        <w:rPr>
          <w:rFonts w:ascii="IRNazanin" w:hAnsi="IRNazanin" w:eastAsia="IRNazanin"/>
          <w:color w:val="111111"/>
          <w:sz w:val="28"/>
          <w:sz w:val="28"/>
          <w:szCs w:val="28"/>
          <w:rtl w:val="true"/>
          <w:lang w:bidi="fa-IR"/>
        </w:rPr>
        <w:t xml:space="preserve">کتاب داری بین المللی در اروپا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جوزپه ویتییِلو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زهرا اباذری</w:t>
      </w:r>
    </w:p>
    <w:p>
      <w:pPr>
        <w:pStyle w:val="BookText"/>
        <w:rPr/>
      </w:pPr>
      <w:r>
        <w:rPr>
          <w:rFonts w:ascii="IRNazanin" w:hAnsi="IRNazanin" w:eastAsia="IRNazanin"/>
          <w:color w:val="111111"/>
          <w:sz w:val="28"/>
          <w:sz w:val="28"/>
          <w:szCs w:val="28"/>
          <w:rtl w:val="true"/>
          <w:lang w:bidi="fa-IR"/>
        </w:rPr>
        <w:t>کتاب درمانی</w:t>
      </w:r>
    </w:p>
    <w:p>
      <w:pPr>
        <w:pStyle w:val="BookText"/>
        <w:rPr/>
      </w:pPr>
      <w:r>
        <w:rPr>
          <w:rFonts w:ascii="IRNazanin" w:hAnsi="IRNazanin" w:eastAsia="IRNazanin"/>
          <w:color w:val="111111"/>
          <w:sz w:val="28"/>
          <w:sz w:val="28"/>
          <w:szCs w:val="28"/>
          <w:rtl w:val="true"/>
          <w:lang w:bidi="fa-IR"/>
        </w:rPr>
        <w:t>دوستان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فرهنگ، عادات خواندن در میان بیماران بخش کودکان و اولیاء در بیمارستان دانشگاه سِینز مالزی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اِنگکو را زیفا اِنگکو چیک، نورایدا حسن، نورال آزورا موهدرونی، رابیاتول آداویا اِی بی مانان، هرمان هاریانتو چِهارون، امین هانس وان روزنبرگ، عزیزه عثمان و سورینی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 غفاری</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مواد خواندنی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ابعاد رسانه های نوشتاری و رقومی در یک بازی ماجراجویی غیر خطی مبتنی بر اِن اِف سی برای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آنتی کوویستو، هاری کِتامو و اِروها 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فریبا هاشمی </w:t>
      </w:r>
    </w:p>
    <w:p>
      <w:pPr>
        <w:pStyle w:val="BookText"/>
        <w:rPr/>
      </w:pPr>
      <w:r>
        <w:rPr>
          <w:rFonts w:ascii="IRNazanin" w:hAnsi="IRNazanin" w:eastAsia="IRNazanin"/>
          <w:color w:val="111111"/>
          <w:sz w:val="28"/>
          <w:sz w:val="28"/>
          <w:szCs w:val="28"/>
          <w:rtl w:val="true"/>
          <w:lang w:bidi="fa-IR"/>
        </w:rPr>
        <w:t xml:space="preserve">مجموعه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ها</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و سازماندهی مجدد مجموعه ها از نظام ذخیره سازی منفعل قدیمی به نظام پویای نوین در کتاب خانه دانشگاه سوربن فرانسه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فیلیپ مارسرو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مرضیه خان سفید</w:t>
      </w:r>
    </w:p>
    <w:p>
      <w:pPr>
        <w:pStyle w:val="BookText"/>
        <w:rPr/>
      </w:pPr>
      <w:r>
        <w:rPr>
          <w:rFonts w:ascii="IRNazanin" w:hAnsi="IRNazanin" w:eastAsia="IRNazanin"/>
          <w:color w:val="111111"/>
          <w:sz w:val="28"/>
          <w:sz w:val="28"/>
          <w:szCs w:val="28"/>
          <w:rtl w:val="true"/>
          <w:lang w:bidi="fa-IR"/>
        </w:rPr>
        <w:t>مدیریت دانش</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زیستبوم دانش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آینده کتاب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کلاس کی نوآ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فاطمه اسفندیاری</w:t>
      </w:r>
    </w:p>
    <w:p>
      <w:pPr>
        <w:pStyle w:val="BookText"/>
        <w:rPr/>
      </w:pPr>
      <w:r>
        <w:rPr>
          <w:rFonts w:ascii="IRNazanin" w:hAnsi="IRNazanin" w:eastAsia="IRNazanin"/>
          <w:color w:val="111111"/>
          <w:sz w:val="28"/>
          <w:sz w:val="28"/>
          <w:szCs w:val="28"/>
          <w:rtl w:val="true"/>
          <w:lang w:bidi="fa-IR"/>
        </w:rPr>
        <w:t>مدیریت طرح های تحقیقاتی</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داده های موجود برای ایجاد داده های جدید به منظور تصمیمات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 کونتس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فاطمه زارع زاده</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پایداری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توانمندی این اَسپ و شرکای آن در دستیابی به پژوهش ها در 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آن پاوِل، اِما فارو و پیتر برنت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صديقه محمد اسماعیل</w:t>
      </w:r>
    </w:p>
    <w:p>
      <w:pPr>
        <w:pStyle w:val="BookText"/>
        <w:rPr/>
      </w:pPr>
      <w:r>
        <w:rPr>
          <w:rFonts w:ascii="IRNazanin" w:hAnsi="IRNazanin" w:eastAsia="IRNazanin"/>
          <w:color w:val="111111"/>
          <w:sz w:val="28"/>
          <w:sz w:val="28"/>
          <w:szCs w:val="28"/>
          <w:rtl w:val="true"/>
          <w:lang w:bidi="fa-IR"/>
        </w:rPr>
        <w:t xml:space="preserve">مواد کتاب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کردن</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دفتر سازمان ملل در 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میراث جامعه ملل و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بلاندین بلاکِچ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لوییزفِرت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نرگس محمد علی پور</w:t>
      </w:r>
    </w:p>
    <w:p>
      <w:pPr>
        <w:pStyle w:val="BookText"/>
        <w:rPr/>
      </w:pPr>
      <w:r>
        <w:rPr>
          <w:rFonts w:ascii="IRNazanin" w:hAnsi="IRNazanin" w:eastAsia="IRNazanin"/>
          <w:color w:val="111111"/>
          <w:sz w:val="28"/>
          <w:sz w:val="28"/>
          <w:szCs w:val="28"/>
          <w:rtl w:val="true"/>
          <w:lang w:bidi="fa-IR"/>
        </w:rPr>
        <w:t xml:space="preserve">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برپایه 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کاربرد کتاب خانه ای</w:t>
      </w:r>
    </w:p>
    <w:p>
      <w:pPr>
        <w:pStyle w:val="BookText"/>
        <w:rPr/>
      </w:pPr>
      <w:r>
        <w:rPr>
          <w:rFonts w:ascii="IRNazanin" w:hAnsi="IRNazanin" w:eastAsia="IRNazanin"/>
          <w:color w:val="111111"/>
          <w:sz w:val="28"/>
          <w:sz w:val="28"/>
          <w:szCs w:val="28"/>
          <w:rtl w:val="true"/>
          <w:lang w:bidi="fa-IR"/>
        </w:rPr>
        <w:t>دوره های آموزشی برخط فراگیر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برای دسترسی به اطلاعات در کشورهای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جدید برای کمک به رفع چالش های آموزش و پرورش با استفاده از فناوری های اطلاعات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لویدا گارسیا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مهدی خادمیان</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کتاب خانه ای</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ناشی از انتقال به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پِترا دورِن و راب 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امیر مقدمی </w:t>
      </w:r>
    </w:p>
    <w:p>
      <w:pPr>
        <w:pStyle w:val="BookText"/>
        <w:rPr/>
      </w:pPr>
      <w:r>
        <w:rPr>
          <w:rFonts w:eastAsia="Times New Roman" w:cs="Times New Roman" w:ascii="Times New Roman" w:hAnsi="Times New Roman"/>
          <w:color w:val="111111"/>
          <w:sz w:val="28"/>
          <w:szCs w:val="28"/>
          <w:lang w:val="en-US" w:bidi="en-US"/>
        </w:rPr>
        <w:t>IFLA</w:t>
      </w:r>
    </w:p>
    <w:p>
      <w:pPr>
        <w:pStyle w:val="BookText"/>
        <w:rPr/>
      </w:pPr>
      <w:r>
        <w:rPr>
          <w:rFonts w:eastAsia="Times New Roman" w:cs="Times New Roman" w:ascii="Times New Roman" w:hAnsi="Times New Roman"/>
          <w:color w:val="111111"/>
          <w:sz w:val="28"/>
          <w:szCs w:val="28"/>
          <w:lang w:val="en-US" w:bidi="en-US"/>
        </w:rPr>
        <w:t>2014</w:t>
      </w:r>
    </w:p>
    <w:p>
      <w:pPr>
        <w:pStyle w:val="BookText"/>
        <w:rPr/>
      </w:pPr>
      <w:r>
        <w:rPr>
          <w:rFonts w:eastAsia="Times New Roman" w:cs="Times New Roman" w:ascii="Times New Roman" w:hAnsi="Times New Roman"/>
          <w:color w:val="111111"/>
          <w:sz w:val="28"/>
          <w:szCs w:val="28"/>
          <w:lang w:val="en-US" w:bidi="en-US"/>
        </w:rPr>
        <w:t>Compiled and edited by REZA KHANIPOUR</w:t>
      </w:r>
    </w:p>
    <w:p>
      <w:pPr>
        <w:pStyle w:val="BookText"/>
        <w:rPr/>
      </w:pPr>
      <w:r>
        <w:rPr>
          <w:rFonts w:eastAsia="Times New Roman" w:cs="Times New Roman" w:ascii="Times New Roman" w:hAnsi="Times New Roman"/>
          <w:color w:val="111111"/>
          <w:sz w:val="28"/>
          <w:szCs w:val="28"/>
          <w:lang w:val="en-US" w:bidi="en-US"/>
        </w:rPr>
        <w:t>Assisted by M.GHORBANI</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NATIONAL LIBRARY &amp; ARCHIEVS OF THE IR .IRAN 2018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مقدمه بیشتر از این منبع اخذ شده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http://www.ifla.org</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niversal Bibliographic Control and International MARC Core Program (UBCIM)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Availability of Publication (UAP)</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MARC Program (IMP)2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Dataflow Telecommunications (UDT)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Advancement of Librarianship in the Third World (ALP)</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Journal</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Annual Report 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Publication Series</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Professional Reports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Cataloguing and Bibliographic Control (ICBC)</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Directory</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Policies and Procedures</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Libraries, Citizens, Societies: Confluence for knowledg</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Union</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Telematics</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Commission (EC)</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 Directorate General(DG)XIII</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Europe-EBLIDA: is the european bureau of library information and documentation associations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Fifth FP</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Librarianship in Europe (1990-2000)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Giuseppe Vitiello: NATO Defense College, Rome, Italy ;E-mail ddress:g.vitiello@ndc.nato.int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علم اطلاعات و دانش شناسی دانشگاه آزاد اسلامی واحد تهران شمال</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Fresh breeze</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Council of Europe (CIE)</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Monnet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strait-jacket: IS a garment shaped like a jacket with overlong sleeves and typically used to restrain</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Delors</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Maastricht Treaty</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Convention of Human Rights</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Annex</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Altiero Spinelli</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Ralf Dahrendorf</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Étienne Davignon</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Esprit, Fast, Brite, Euram and Eureka</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Framework Programmes (FP)</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Erasmus</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Telematics for Libraries(TL)</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Experienced commercial leadership program ECLP</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EC-TL</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Engine control unit(ECU)</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Strasbourg</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Publishing, Books and Archives</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Directorate General XIII(DG)</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Delors Commission</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Parliament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Schwencke</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long-cherished</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brick-and-mortar</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thematic</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telematic</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space</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networks</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circle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User-friendly society</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heritage and culture content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Multimedia content and tools</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Catherine Lalumière</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Books and Archives</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ISBN</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ISSN</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chain</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egislation for the book world</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Government love books</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EBLIDA</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Komintern</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Book Economy</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ADAPT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Wise Persons</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Mario Soares</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Member States</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offset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Rogers</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Wilhelm Munthe</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convergence</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Grand EURO</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optimal library space</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nomothetic</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Neopositivism</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LIBECON</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Free Trade Assdciation(EFTA)</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Focal Point (NFP)</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Less Favoured Regions (LFRS)</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Lander</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AIDA, ARCA, BAMBI, CANDLE and CASA</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ISTAG</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LIBER</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Association of Research Libraries</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Council of Europe</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Bureau of Library</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and Documentation Associations</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CENL</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oundation of European national libraries</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Library Associations - National Library Section</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Innovating for literacy and skills: A Canadian partnership</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استاد آموزش بزرگ سالان و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Sharon Hackett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معاون کتاب خانه مرکزی دانشگاه صنعتی شریف و عضو هیات مدیره انجمن کتابداری و اطلاع رسانی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Maryasadi2008@gmail.com</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Centre de documentation sur l'éducation des adultes et la condition féminine (CDEACF)</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Centre for Literacy (CLQ)</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Réseau pour le développement de l'alphabétisme et des compétences (RESDAC)</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COMPAS</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Office of Literacy and Essential Skills (OLES)</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Innovation</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Relations</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Programme for the International Assessment of Adult Competencies (PIAAC)</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Organization for Economic Co-operation and Development (OECD)</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Adult Literacy Survey (IALS)</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Adult Literacy and Life Skills Survey (ALL)</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dossier</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frequently asked questions (FAQ)</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infographic</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embedded librarian</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Summer Institute</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Council of Ministers of Education, Canada (CMEC)</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Agence nationale de lutte contre l'illettrisme (ANLCI)</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 Resources and Skills Development Canada (HR.SDC)</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Lurette</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Steven Reder</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RESDAC</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Management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Dissemination</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Stocks</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in the Digital Knowledge Ecosystem - Challenges for the Library of the Future</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Klaus Ceynowa</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 داری و اطلاع رسانی سازمان اسناد و کتاب خانه ملی ایران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Pre-publication (hase</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Post-publication Phase</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Handwritten Aarchment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printed Article</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Journal or A Hosted Digital Pbject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Catalogued And Provided</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Turns Into Library, Library Turns Into Research</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Storehouse of Knowledge</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Liquid</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Enhanced Publications</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Big Data</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Situational Adaptation</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Graphic User Interfaces</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 user Interfaces</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 Stibel</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App</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Individualised</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 Service</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Deutsche Digitale Bibliothek</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Europeana</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Display Windows</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work</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Grudin</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Serres</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Petite Poucette: The Culture and Technology of Millenials</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Literacy</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Literacy</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Work</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Item</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Bayerische Staatsbibliothek</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LARM: Lärm (German for noise) were a Dutch straight edge thrashcore band formed in 1981, first playing under the name of Total Chaoz. They referred to their music as "extreme noise", though having nothing to do with noise rock or noise music</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least common denominator does not satisfy user's needs: metadata schemes for digital audio archives</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Elke Greifender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سلطنتی علوم کتابداری و اطلاع رسانی دانشگاه کپنهاگ دانمار که </w:t>
      </w:r>
      <w:r>
        <w:rPr>
          <w:rFonts w:eastAsia="IRNazanin" w:cs="IRNazanin"/>
          <w:b w:val="false"/>
          <w:bCs w:val="false"/>
          <w:i w:val="false"/>
          <w:iCs w:val="false"/>
          <w:color w:val="333333"/>
          <w:sz w:val="20"/>
          <w:szCs w:val="20"/>
        </w:rPr>
        <w:t>ljb301@iva.ku.dk</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Birger Laren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ارتباطات، دانشگاه آلبرگ، کپنهاگ، دانمارک، </w:t>
      </w:r>
      <w:r>
        <w:rPr>
          <w:rFonts w:eastAsia="IRNazanin" w:cs="IRNazanin"/>
          <w:b w:val="false"/>
          <w:bCs w:val="false"/>
          <w:i w:val="false"/>
          <w:iCs w:val="false"/>
          <w:color w:val="333333"/>
          <w:sz w:val="20"/>
          <w:szCs w:val="20"/>
        </w:rPr>
        <w:t>tcm410@iva.ku.dk</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Bente Larsen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سلطنتی علوم کتاب داری و اطلاع رسانی دانشگاه کپنهاگ دانمارک </w:t>
      </w:r>
      <w:r>
        <w:rPr>
          <w:rFonts w:eastAsia="IRNazanin" w:cs="IRNazanin"/>
          <w:b w:val="false"/>
          <w:bCs w:val="false"/>
          <w:i w:val="false"/>
          <w:iCs w:val="false"/>
          <w:color w:val="333333"/>
          <w:sz w:val="20"/>
          <w:szCs w:val="20"/>
        </w:rPr>
        <w:t>bentelar@hum ku.dk</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Haakon Lund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سلطنتی علوم کتاب داری و اطلاع رسانی دانشگاه کپنهاگ دانمارک، </w:t>
      </w:r>
      <w:r>
        <w:rPr>
          <w:rFonts w:eastAsia="IRNazanin" w:cs="IRNazanin"/>
          <w:b w:val="false"/>
          <w:bCs w:val="false"/>
          <w:i w:val="false"/>
          <w:iCs w:val="false"/>
          <w:color w:val="333333"/>
          <w:sz w:val="20"/>
          <w:szCs w:val="20"/>
        </w:rPr>
        <w:t>tcm410@iva.ku.dk</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Mette kov</w:t>
      </w:r>
      <w:r>
        <w:rPr>
          <w:rFonts w:ascii="IRNazanin" w:hAnsi="IRNazanin" w:eastAsia="IRNazanin"/>
          <w:b w:val="false"/>
          <w:b w:val="false"/>
          <w:bCs w:val="false"/>
          <w:i w:val="false"/>
          <w:i w:val="false"/>
          <w:iCs w:val="false"/>
          <w:color w:val="333333"/>
          <w:sz w:val="20"/>
          <w:sz w:val="20"/>
          <w:szCs w:val="20"/>
          <w:rtl w:val="true"/>
        </w:rPr>
        <w:t xml:space="preserve">، بخش ارتباطات و فلسفه، دانشگاه آلبرگ دانمارک، </w:t>
      </w:r>
      <w:r>
        <w:rPr>
          <w:rFonts w:eastAsia="IRNazanin" w:cs="IRNazanin"/>
          <w:b w:val="false"/>
          <w:bCs w:val="false"/>
          <w:i w:val="false"/>
          <w:iCs w:val="false"/>
          <w:color w:val="333333"/>
          <w:sz w:val="20"/>
          <w:szCs w:val="20"/>
        </w:rPr>
        <w:t>skov@hum.aau.dk</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علم اطلاعات و دانش شناسی دانشگاه شهید بهشتی، </w:t>
      </w:r>
      <w:r>
        <w:rPr>
          <w:rFonts w:eastAsia="IRNazanin" w:cs="IRNazanin"/>
          <w:b w:val="false"/>
          <w:bCs w:val="false"/>
          <w:i w:val="false"/>
          <w:iCs w:val="false"/>
          <w:color w:val="333333"/>
          <w:sz w:val="20"/>
          <w:szCs w:val="20"/>
        </w:rPr>
        <w:t>a_asnafi@sbu.ac.ir</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Lund</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Society for Music Information Retrieval</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ISMIR</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 Description and Access (RDA)</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 Requirements for Bibliographic Records (FRBR)</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Ayres</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Kanai</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Riley</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Vainio</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Gligorov</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Kim</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Huurnink</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http://www.larm-archive.org</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Danish Media Archive</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Copenhagen</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Aalborg</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Roskilde</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LARM.fin blog</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Heritage Open Access System (CHAOS)</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 Kreutzfeld</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Torben Sangild</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Stockfelt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intro</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outro</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Skov &amp; Lykke</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 Metadata Initiative</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Arkivmetadata</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LARM.radio.producent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LARM.radio.serie</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Jingler</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Lydkilde</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Saldana &amp; Miles</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Adobe Connect(http://www.adobe.com/products/adobeconnect.html)</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youcanbook.me (https://gb.youcanbook.me/)</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Crowdsourcing</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Beate</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ational Program for Research Infrastructure</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Davis</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Sandra Lechelt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Marianne Lykke</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Aalborg University</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bibliographic control programme (UBC)</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GARR</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FRAD</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RDA</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 The Dublin Core Schema is a small set of vocabulary terms that can be used to describe web resources (video, images, web pages, etc.), as well as physical resources such as books or CDs, and objects like artworks</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BIBFRAME: (Bibliographic Framework) is a data model for bibliographic description</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schema.org: is an initiative launched on 2 June 2011 by Bing, Google and Yahoo![1][2][3] (the operators of the then world's largest search engines) [4] to create and support a common set of schemas for structured data markup on web pages</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local in the global: universal bibliographic control from the bottom up</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Dunsire: Independent Consultant, Edinburgh, Scotland. E-mail address: gordon@ gordondunsire.com</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Mirma Willer: Department of Information Sciences, University of Zadar, Zadar, Croatia. E-mail address: mwiller@unizd.hr</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و عضو هیات علمی سازمان اسناد و کتاب خانه ملی</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 Liebaers</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Bibliographic Control: A long term policy - A plan for action</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Uniformity</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Uniform Heading</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Paris Principles</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ISBD: International Standard Bibliographic Description</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IMCE is an image/file uploader and browser that supports personal directories and quota</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Dorothy</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Self-descriptive</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Collocation</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Standard Book Number (ISBN)</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Standard Serial Number(ISSN)</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Scholarly Research Notices (ISRN)</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International Standard Recording Code (ISRC)</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Standard Name Identifier (ISNI)</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Authorized access Points</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user</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GARR</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ix</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Consortium of European Research Libraries (CERL)</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Hand Press Book database</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Heritage of the Printed Book</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Lyon</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http://thesaurus.cerl.org/record/cn100011383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International Authority File (VIAF)</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http://viaf.org/viaf/158189703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retro - conversion</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Standard Bibliographic Description(ISBD)</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form and media type area</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material designation (GMD)</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Parallel title</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UNIMARC Bibliographic Format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Think global, act local</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Geddes</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Local</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regional</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Fine-grained approach</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mandatory</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Hillmann</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Dushay</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Phipps</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Europeana</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 Primer</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name/tag-value pairs</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 Description Framework (RDF)</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Triple</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Predicate</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Property</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Resource Identifier (URIS)</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 Resourcel isbd:P1016 Zagreb</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Terse Triple Language (TTL)</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Literal Language</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isbd:P1016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iflastandardsds.info/ns/isbd/elements/P1016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 place of publication, production, distribution</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ISBD Elements</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ex:Resourcel</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ex:Resourcel rdam:P30088 Zagreb</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Manifestation</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 place of publication</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RDA Registry</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coarser-grained</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ex:Resourcel bf provider Zagreb : Hrvatskoknjižničarsko društvo</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BIBFRAME: Bibliographic Framework</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Place, name, and/or date information relating to the publication, printing, distribution, issue, release, or production instance</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Element sub-type</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JSC</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Schema Translator</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 Translator</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Statement Maker</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Statement Breaker</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 Maker</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 Breaker</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ISBD Group</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Title proper</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DCMI Usage Board</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Schema Translator (ex:Resourcel isbd:P1004 Poem) = ex:Resourcel dc.title Poem</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Schema Translator (ex: Resourcel dc:title Poem) = ex: Resourcel schema:name Poem</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Knowledge Organization System (KOS</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U110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Frequency of issue in Continuing Resource</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Coded Data in Coded Data Field: Continuing Resources</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unimarccf (Continuing resources: Frequency of issue)</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rdaf (RDA Frequency)</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Coyle and Baker</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place of publication or publication place</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publication statement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publisher's name</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title proper</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label</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pseudonym</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editions</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Meetings of Experts on an International Cataloguing Code (IME ICC)</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 vocabularies</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Metadata Registry</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Identity Matcher</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cash</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snapshot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Reference Desk</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After the Desk: Reference Service in a Changing Information Landscape</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Amy Paterson, Reference Librarian, Bishops University, Sherbrook, Canada</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و کتاب خانه ملی ایران </w:t>
      </w:r>
      <w:r>
        <w:rPr>
          <w:rFonts w:eastAsia="IRNazanin" w:cs="IRNazanin"/>
          <w:b w:val="false"/>
          <w:bCs w:val="false"/>
          <w:i w:val="false"/>
          <w:iCs w:val="false"/>
          <w:color w:val="333333"/>
          <w:sz w:val="20"/>
          <w:szCs w:val="20"/>
        </w:rPr>
        <w:t>mah.borjian@yahoo.com</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Canadian Association of Research Libraries (CARL); Association des bibliothèques de recherche du Canada( ARBC)</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آماری سالانه انجمن کتاب خانه های پژوهشی کانادا</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Christy R.Stevens</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Fitzpatrick, Moore, &amp; Lang</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Samson and Oelz</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Sonntag and Palsson</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Ewing and Hauptman</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 M. Ryan</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Watstein and Bell</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Services Librarian</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Canadian Association of Research Librarians (CARL)</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Library Association (ALA)</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Amazon</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Kindle</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Malik</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R.I.P</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Blog Posts</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Siegler, M.G</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Zickuhr</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book-centered</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Berg</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Rebecca Schumann</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Forrest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Apologists</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 Bennett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technology-focused</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Karen Keiller</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LibQual</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Brunswick St. John(UNBSJ)</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 Reference</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Reference</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Bonnet and McAlexander</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 Reference</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 Carlson</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Michigan's</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Latte</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Bishops University</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Mount Saint Vincent University</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Literacy</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Literacy and Critical Thinking (ILT)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Literacy and Critical Thinking (ILT)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 Guide</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Julien and Given</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Polger</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flexibility</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Access Journals and Institutional Repositories</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Offices</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Student Services</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Copyright Offices</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Fagorbundet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اتحادیه نروژی کارکنان شهرداری و عمومی، بزرگ ترین اتحادیه در نروژ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کنفدراسیون نروژی اتحادیه های کارگری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نزدیک به </w:t>
      </w:r>
      <w:r>
        <w:rPr>
          <w:rFonts w:eastAsia="IRNazanin" w:cs="IRNazanin"/>
          <w:b w:val="false"/>
          <w:bCs w:val="false"/>
          <w:i w:val="false"/>
          <w:iCs w:val="false"/>
          <w:color w:val="333333"/>
          <w:sz w:val="20"/>
          <w:szCs w:val="20"/>
        </w:rPr>
        <w:t>340,000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آن در بخش دولتی، در دولت های محلی و شهرستان و در بیمارستان ها و هم چنین در بخش خصوصی فعالیت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این اتحادیه کارآموزان و دانش آموزان را نیز سازماندهی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وب سایت اتحادیه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http://www.fagforbundet.no/international</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school library</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Strong societies need strong school libraries</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Why should Unions support School Libraries? The Norwegian model</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Mette Henriksen Aas: The National Executive Board of agforbundet TheNorwegian Union of Municipal and General Employees), Oslo, Norway</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علم اطلاعات و دانش شناسی، سازمان اسناد و کتاب خانه ملی ایران</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Scandinavian Peninsula</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North Atlantic</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GulfStream</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hydroelectric power</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Harald (the fifth)</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Erma Solberg</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Union</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کودکان در مدارس دولتی تحصیل می کنند و تنها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آن ها به مدارس خصوصی می 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 وب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http://intropersisk.cappelendamm.no/c40671/sammendrag/vishtmh?tid=41091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private schools</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Libraries Act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Norwegian Model</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Norwegian Confederation of Trade Unions(NCTU/LO)</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ground rules</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uneducated</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fake</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labour movement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sector</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belong</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Executive Board</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norwegian Union of Municipal and General Employees</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Tonsberg Library</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Culture and Church</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Incursion of Contract Law (Licensing) in the Library: Concerns, Challenges, Opportunities and Risks</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Tomas A. Lipinski</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علم اطلاعات و دانش شناسی دانشگاه الزهرا و کارشناس اداره استاندارد نهاد کتاب خانه های عمومی کشور</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Exclusive rights</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Books</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Judge Chin</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district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unilateralism</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Jane Radin</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Boilerplate: The Fine Print, Vanishing Rights, and the Rule of Law (2013)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Normative degradation</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Democratic degradation</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positivism</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Terms and conditions</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proQuest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Apple</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Department of Justice of anti-trust violation</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Sherman Act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Speech</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privacy</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DeWitt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Massachusetts Institute of Technology</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Sale</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contract law</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Mailbox rule</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advocacy</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Adhesion contracts</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European Union</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market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Nimmer</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Dodd</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ublic Policy</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Judicial public policy</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Adhesion</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Shrink-wrapped</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iTunes</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District Court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sale</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EULA</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Kindle</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Rights Management (DRM)</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Technological Protection Management(TPM)</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Copyright Management Information (CMI)</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 data</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graph theory</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دان مستند مجازی بین المللی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VIAF: Virtual International Authority File</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استاندارد بین المللی شناسه 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ISNI : International Standard Name Identifier</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Schema.org</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Authorities, Entities &amp; Communities</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Theodore Fons</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 داری شاغل در سازمان اسناد و کتاب خانه ملی ایران</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MARC21</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UNIMARC</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Shared Systems</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Transliteration</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Syndetic Structures</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Entity-Based</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Record-Based</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Manifestations</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organizations (IOs)</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Executive heads</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Decision Making within International Organization</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Bertjan Verbeek</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Routledge History of International Organizations: From 1815 to the Present Day</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Biographical Dictionary of Secretaries-General of International Organizations or IO BIO Project www.ru.nl/fm/iobio</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Secretaries-General of International Organizations: Information Sources in Libraries and Archives</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Bob Reinalda, Radboud University Nijmegen, Nijmegen, Netherlands: b.reinalda@fm.ru.nl</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گروه پژوهش های اسلام و ایران</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Frankfurter Allgemeine</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 University</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Russell-Sartre</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Dutch</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 Stone's Weekly) http://ifstone.org/weekly_searchable.php</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parliamentary proceedings</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Stone's</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Peace Palace</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Hague</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box</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Central Commission for the Navigation of the Rhine</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Claude, Jr</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Acte finale</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Information</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Hajnal</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Yearbook of International Organizations</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Historical Dictionaries of International Organizations Series</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 Woronoff</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Scarecrow Press</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Institutions Series</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Weiss</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Rorden Wilkinson</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state-of-the-art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Ashgate Research Companion to Non-State Actors</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NGO</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Routledge Handbook of International Organization</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Bloodgood</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Yearbook of International Organizations</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Davies</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Baert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 Intellectual History Project (UNIPH)</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Church</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McCaffrey</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Routledge Handbook</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Erik Gartzke</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Christina Schneider</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Erik Voeten</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 Peter Schmitz</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Marta Lagos</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Yun-han Chu</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Davide Rodogno</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Palgrave Dictionary of Transnational History</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Iriye and Saunier</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LONSE A</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www.lonsea.de</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Biographical Dictionary of Secretaries-General of International Organizations or IO BIO Project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Kille</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Walter</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Who's Who</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Who's who's</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Contracting out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Outsourcing</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Offshoring</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Outsourcing in UK law firm libraries - opportunity or threat? New management models and future challenges for legal information services</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Lickley, donald .lickley@suchill.com</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اجرایی فصل نامه مطالعات ملی کتاب داری و سازماندهی اطلاعات و پژوهشگر سازمان اسناد و کتاب خانه ملی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ztahavori@yahoo.com</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Services Act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Fiona Brown</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Monash University</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Suzanne Burge</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Libraries Association (SLA)</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Integreon</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Evalueserve</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Baker &amp; Mackenzie</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Pillsbury, Madison &amp; Sutro</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permutations</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Market Testing</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Competing for Quality</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 for money (VFM)</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HM Treasury &amp; Cabinet Office Library (HMTCABLIS)</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Hennessy</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leading the relationship</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Business Development and Marketing</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واگذاری به بیرون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مکان از شرکت با تجارتی خاص در یک کشور به دیگری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Libraries Association (SLA)</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FT/SLA</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lot of value</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return on investment (ROI)</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service</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pyramid principal</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mutually exclusive and collectively exhaustive (MECE)</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www.beaconforfreedom.org</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http://www.oed.com/view/Entry/1957?redirectedFrom-activismeid</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Beacon for Freedom for Expression: Censorship and "Reference activism" in a Global Perspective</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پژوهش کتاب خانه ملی نروژ، </w:t>
      </w:r>
      <w:r>
        <w:rPr>
          <w:rFonts w:eastAsia="IRNazanin" w:cs="IRNazanin"/>
          <w:b w:val="false"/>
          <w:bCs w:val="false"/>
          <w:i w:val="false"/>
          <w:iCs w:val="false"/>
          <w:color w:val="333333"/>
          <w:sz w:val="20"/>
          <w:szCs w:val="20"/>
        </w:rPr>
        <w:t>Michelle Antoinette Tisdel: michelle tisdel @nb.no</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کتاب داری و اطلاع رسانی و رئیس گروه پردازش اطلاعات دیجیتال سازمان اسناد و کتاب خانه ملی ایران</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http://portal.unesco.org/ci/en/ev.php-URL_ID=4562&amp;URL_DO=DO_TOPIC&amp;URL SECTION-201.html</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structures</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Other important aspects are Archives, Community Multimedia Centres, E-Governance, Ethical Issues of Information Society, Freedom of Information, Information Processing Tools, Internet Goverm ance, Libraries, PC Refurbishment, and Public Domain Information. According to UNESCO, library and archives are important social actors in information structures and especially at the local level. UNAL (UNESCO Network of Associated Libraries) was established in 1990 to promote cooperation between public libraries in areas such as human rights, peace and illiteracy and environmental protection. The network consists of about 500 libraries. http://portal.unesco.org/ci/en/ev.php-URL_ID=1506&amp;URL_DO-DO_TOPIC&amp;URL_SECTIO</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Committee on Access to information and freedom of expression: FAIFE</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http://portal.unesco.org/ci/en/ev.php-URL_ID=19488&amp;URL_DO-DO_TOPIC&amp;URL SECTION=201.html</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FAIFES website intellectual freedom is describes as: [...] The individual's right to have and express opinions and to seek and receive information. Intellectual Freedom is the foundation of democracy.” Spirit of Freedom is the core of the library concept. http://www.ifla.org/en/about-faife</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http://www.oed.com/view/Entry/1957?redirectedFrom=activismeid</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Jeffrey Garrett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bibliocide</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bibliocaust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biblioclasm</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Nation's Universal Declaration of Human Rights</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Norwegian Forum for Freedom of Expression</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NFFE</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Mette Newth</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first campaign to track material for the database focused on contact with libraries in different countries and especially where there has been a history of authoritarian political regimes, that is, places where censorship was a direct result of a prolonged exercise of state authority. Letters were sent to several hundred organizations as well as national and university libraries. Thirty countries from all continents were included in the pilot project. The project creators, focused on countries where there were partners and available information. The database was produced in cooperation with faculty and students at the Faculty of Journalism, Library and Information Science, Oslo University College(OUC)</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Librorum Prohibitorum</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Freedom of Expression (IFEX)</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IFEX This Week</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laughing stock</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NUSOJ</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IFEX Communiqué Vol. 20 No. 02 | 12 January 2011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Committee to Protect Journalists(CPJ)</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Al-Mawkif</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Al-Tariq al-Jadid</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Sidi Bouzid</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http://www.ifex.org/tunisia/2011/01/12/censorship_of_unrest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glocal</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Hylland Eriksen</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Freemuse</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Sampsonia Way</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City of Asylum Pittsburg</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ICORN</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Guest Writers</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Cities of Refuge Network</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Society of Concerned Citizens</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 Room</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Voices Advocacy</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Muntadas</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andolph Street Gallery</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Patrick Weil</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MOOCs as access to information in developing countries: new ways to utilize ICTs to help meet challenges in the education sector</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Loida Garcia-Febo, Information New Wave, Brooklyn, NY, United States</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علم اطلاعات و دانش شناسی دانشگاه شهید چمران 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گروه مستند سازی سازمان اسناد و کتاب خانه ملی جمهوری اسلامی ایران </w:t>
      </w:r>
      <w:r>
        <w:rPr>
          <w:rFonts w:eastAsia="IRNazanin" w:cs="IRNazanin"/>
          <w:b w:val="false"/>
          <w:bCs w:val="false"/>
          <w:i w:val="false"/>
          <w:iCs w:val="false"/>
          <w:color w:val="333333"/>
          <w:sz w:val="20"/>
          <w:szCs w:val="20"/>
        </w:rPr>
        <w:t>Mahdik55@gmail.com</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MOOC</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Massive Open Online Course</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Coursera</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University of Taiwan</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New Economy Skills for Africa Program - ICT (NESAP-ICT)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Sub-Saharan Africa</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Autonomous University of Mexico (UNAM)</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Moodle</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Webinars</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Socialbiblio</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WizIQ</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Aprender3c</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Socialbiblio</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YouTube Live Events</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Hangout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hubs</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Translator Community Program</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New Wave</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Schnuer and Ujala</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Sorbonne</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تی ال ای 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Centre technique du livre de l'enseignement supérieur</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Library of Sorbonne, from passive to dynamic Storage Refurbishments and New Organization of the Collections(2003-2016</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Philippe Marcerou</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مسئول اداره کل پردازش و سازماندهی سازمان اسناد و کتاب خانه ملی</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incunabula</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Henri-Paul Nénot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Panthéon-Sorbonne</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Quartier Latin district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Marne-la-Vallée</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le-de-France</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Sainte-Barbe</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Grove Library</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Perth</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Grove Library as an example: A "green" library in terms of ongoing community engagement, community expectations, information provision and sharing, and partnerships</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Debra Burm</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و مدیرکل پژوهش و آموزش سازمان اسناد و کتاب خانه ملی</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Whadjuk</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Nyoongar</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Peppermint Grove</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Swan River</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Mosman Park</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Cottesloe</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Tricia Hille</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 Hawlett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Baily Woodland</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environmentally sustainable design-ESD</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Oak Ridge</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Josh Byme</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Geothermal</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photovoltaic system</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sedge bed</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این منابع در وب سایت حوزه گرو به آدرس </w:t>
      </w:r>
      <w:r>
        <w:rPr>
          <w:rFonts w:eastAsia="IRNazanin" w:cs="IRNazanin"/>
          <w:b w:val="false"/>
          <w:bCs w:val="false"/>
          <w:i w:val="false"/>
          <w:iCs w:val="false"/>
          <w:color w:val="333333"/>
          <w:sz w:val="20"/>
          <w:szCs w:val="20"/>
        </w:rPr>
        <w:t>www.the Groveprecinct.com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روئیت هستند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Earth Carers</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Living Smart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Coastcare, Millennium Kids (Sustainability Ambassadors Youth Group), Slow Food Forum, Climate Change Commission, Native Plant Subsidy Scheme, and the Climate Smart Community Information Forum</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Less is More</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Community Event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Hauke</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Halloween</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Hallowgreen</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 Norris</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Mosman Park</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Biodiversity Herity Library(BHL)</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Portal (http://www.biodiversitylibrary.org/)</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James Audubon</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Dionysus Ehret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Pierre Redouté</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Flickr</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Missouri Botanical Garden</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of Life</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ARTstor</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igital Public Library of America</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Art of Life: Merging the Worlds of Art and Science</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Trish Rose- Sandler : Center for Biodiversity Informatics, Missouri Botanical Garden, St. Louis, MO, USA. trish.rose-sandler@mobot.org</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Nancy E. Gwinn:Smithsonian Libraries, Washington, DC, USA .gwinnn@si.edu</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Ernst Mayr Library, Museum of Comparative Zoology, Harvard University, Cambridge, MA, USA .crinaldo@oeb.harvard.edu</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پژوهشگاه علوم و فناوی اطلاعات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داک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 notebooks</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https:\archive.org</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http://www.biodiversitylibrary.org</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of the Week or Darwin's Library</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BioStor.org</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OCR D</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Microtus Ensylvanicus</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http://www.biodiversity library.orginamel</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Europeana: (http://www.europeana.eu)</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http://dp.la</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EOL http://eol.org</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Flickr: https:\flickr.com\photos\biodivlibrary \sets</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https://www.facebook.com/BioDivLibrary</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Pinterest boards</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http://www.pinterest.com/biodivlibrary/-images</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https://www.flickr.com/groups/encyclopedia_of_life</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Endowment. for the Humanities (NEH)</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Humanities Collection and References Resources (HCRR)</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http://www.neh.gov/grants/preservation/humanities-collections-and-reference-resources</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Crowd Sourced Metadata Generated</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Ecology &amp; Evolutionary Biology Department at the University of Colorado at Boulde: (http://ebio. colorado.edu/)</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Wikmedia</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VRA Core: Visual Resources Association</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LIDO</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Dublin Core</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Darwin Core</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Audubon Core</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Indianapolis Museum of Art (IMA) Lab (http://lab.imamuseum.org)</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Steve.museum : (http://www.steve.museuml)</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Optical character recognition (OCR)</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Smithsonian Libraries )SIL) : (SIL http://library.si.edu</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Macaw</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https://www.flickr.com/photos/biodivlibrary/sets</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http://commons.wikimedia.org/wiki/Commons:Biodiversity_Heritage_Library</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EOL</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http://www.artstor.org</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extraction process</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Django web application</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MongoDB</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https://github.com/MA.museum/artoflife</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classification process</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https://github.com/cajunjoel</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description process</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http://biodivlib.wikispaces.com/Art+of+Life</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http://biodivlib.wikispaces.com/Art+of+Life</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Blum</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Burtt &amp; Davis</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Janet Browne</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Wikispecies</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ptical Character Recognition</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 are all catalogers now: leveraging do it yourself metadata for research collections</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Rebecca L. lubas. Claremont Colleges Library, Claremont, California, USA. rebecca_lubas@cuc. claremont.edu</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سازمان اسناد و کتاب خانه 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rabieimana@ gmail.com</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Creative Commons licenses</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Lampert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Hooland</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Gorzalski</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Flickr</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Jett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Twitter</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Stvilia</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Omeka</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Madden</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Bullen</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Act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School Library Group</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NGO</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Swedish National Agency of Education</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Collaboration for school library legislation and school library development in Sweden</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Maud Hell: Swedish Library Association, Lund, Sweden</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علم اطلاعات و دانش شناسی، دانشگاه آزاد اسلامی واحد علوم و تحقیقات تهران، ایران</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Sweden.se/quick-facts</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NSG</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National Schools Inspectorate</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Jensinger</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Swedish National Agency for Education</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Check the Source</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National Schools Inspectorate</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Svensk biblioteksförening Swedish Library Association(SLA)</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Barbro Thomas</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 School Library Manifesto</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Documents, Information, Culture(DIK)</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Class School Library</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Helle Barrett and Bibi Eriksson</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Association of School Librarianship (IASL)</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Government Mandate for School Libraries in Sweden</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Louise Limberg</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 Kuhlthau and Dr Ross Todd</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Scandinavian Library Quarterly</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Swedish Association of School Principals and Directors of Education</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Culture of Reading</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PISA</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KB</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Centres</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Växjö</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Linköping</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population-served</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geographic market area</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Using the Data You Have to Create New Data for New Decisions</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Christie Koontz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دستیار تحقیق، مدرسه اطلاعات، دانشگاه ایالتی فلوریدا تالاهاسی، فلوریدا آمریکا</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کتاب داری و اطلاع رسانی پزشکی، کتاب خانه ملی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fatizarezadeh@yahoo.com</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population served</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geographic market area (GMA)</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service area</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Fast food</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McDonald's</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Census Data</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output measures</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 capita count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footprints</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Analytics</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Public Library Database</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www.geolib.org</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www.implibraries.org</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Miami-Dade Public Library System (MDPLS</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imaplibraries.org</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National and University Library in Zagreb (NSK)</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D-book System: Digitized Book System</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Monograph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نگاشت نوشتاری تخصصی و نیمه مبسوط است که توسط پژوهشگری خبره در موضوعی خاص نگاشته می شود تک گاشت، از نظر حجم و محتوا، حد فاصل مقاله و کتا است و نویسنده با پردازش و تحلیل یافته ها و مطالعات تخصصی پیشین و افزودن یافته های پژوهشی جدید خود و تحلیل جامع و منسجم افق های تازه ای را در زمینه مدنظر می گشاید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Digitized Book</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Born digital books</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PDF Print Master</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Croatian Web Archive(HAW)</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SofijaKlarinZadravec: National and University Library in Zagreb, Croatia. sklarin@nsk.hr</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TanjaBuzina: National and University Library in Zagreb, Croatia. tbuzina@nsk.hr</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DunjaSeiter-Sverko: National and University Library in Zagreb, Croatia. dseiter-sverko@nsk.hr</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علامه طباطبایی</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http://narodne-novine.nn.hr/clanci/sluzbeni/267274.html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Zakon o knjiznicama</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Ministry of Culture of the Republic of Croatia</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مطالعه صنعت کتاب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دیجیتال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BISG Policy Statement POL-1101: Best Practices for IdentifyingDigital Products. The Books Industry Study Group Inc., cop. 2013,4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https://www.bisg.org/docs/BISG_Policy_1101.pdf</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Upshall, Michael. Content licencing : buying and selling digital resources. Oxford: Chandos Publishing, 2009</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ODLIS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http://www.abc-clio.com/ODLIS/odlis_e.aspxelectronicbook</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EBLIDA Key principles on the acquisition of and access to e-books by libraries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http://www.eblida.org/Special%20Events/Key-principles-acquistion-eBooks-November2012/GB-English%20Version%20Key%20Principles.pdf</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Filimowicz, Michael. Digital and Analog : some refinements and new semiotic directions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https://www.academia.edu/6955470/Digital_and_Analog_some_refinements_and_new_semiotic_directions</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Zivkovic, Daniela. The Electronic Book: Evolution or Revolution? http://eprints.rclis. org/11419/1/1-19.pdf</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One-off Publication</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ISBN Agency. Guidelines for assignment to e-books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https://www.isbninternational.org/content/guidelines-assignment-e-books</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Zivkovic, Daniela.. The Electronic Book: Evolution or Revolution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http://eprints.rclis.org/11419/1/1-19.pdf</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Rouse, Margaret. What is eBook?( WhatIs.com)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http://searchmobilecomputing.techtarget.com/definition/eBook</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principles for library e-lending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http://www.ifla.org/files/assets/hq/topics/e-lending/ifla-principles-forelending.pdf</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Book World. Some Differences Between Ebooks, Enhanced Ebooks, And Apps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http://www.digitalbookworld.com/2014/some-differences-between-ebooks-enhanced-ebooks-and-apps</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Meredith, Leslie. What Are E-Textbooks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http://www.technewsdaily.com/4723-what-are-e-textbooks.html</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ODLIS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http://www.abc-clio.com/ODLIS/odlis_e.aspxelectronicbook</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Upshall, Michael. Content licencing: buying and selling digital resources. Oxford: Chandos Publishing, 2009</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ONIX for Books.Epublication type code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http://www.editeur.org/files/ONIX%20for%20books%20-%20code%20lists/ONIX_BookProduct_Codelists Current.html</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Electronic Book: Evolution or Revolution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http://eprints.rclis.org/11419/1/1-19.pdf</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Internatonal ISBN Agency.Guidelines for assignment to e-books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https://www.isbninternational.org/content/guidelines-assignment-e-books</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Guidelines for assignment to e-books. .A separate publication is normally idefined by 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combination of file format andDigital Rights Management software https://www.isbn-international.org/content/guidelines-assignment-e-books</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ISTC Agency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http://www.istc-international.org/html</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Girard, Adam. E-books are not books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http://express.ifla.org/sites/default/files/files/de-gruyter-saur-iflaresearch-award-2012-girard.pdf</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Romano, Frank. E-books and challenge of presentation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http://www.clir.org/pubs/reports/pub106/ebooks.html</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.Stein</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Stein, Bob. The future of publishing will be shaped by a more dynamic social reading experience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http://blogs.lse.ac.uk/impactofsocialsciences/2013/04/08/the-future-of-the-book-is-the-future-of-soc</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کاربران می توانند</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Codex</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Finn, Ed; Joey Eschrich. The Word E-Book Should Be Replaced With Codex: E-books are so different from traditionalreading that they need a new word.//Future Tense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http://www.slate.com/articles/technology/future_tense/2013/10/we_need_a_new_word_for_e_book_here_s_one_idea_beyondthebook.html</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Hoffelder, Nate. Do We Really Need a New Term for eBook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http://www.the-digitalreader.com/2013/10/17/really-need-new-term-ebook/.U3IgHIF_uv9</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Tangible Book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نسخه ای از کتاب ها و نشریات است که روی رسانه های ملموس مانند سی دی و دیسکت ذخیره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نسخه ملموس، ممکن است از نسخه اینترنتی و برخط کتاب ها و نشریات نیز نگهداری شود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audio books</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Velagic, Zoran Pehar, Franjo. An overview of e-book market in Croatia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http://projectebooks.wordpress.com/2013/02/28/an-overview-of-e-book-market-in-croatia</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Velagi &amp;Pehar</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کننده معادل الکترونیکی توزیع کننده، شرکتی است که محتوای تولید شده توسط ناشران گوناگون را در دسترس می گذارد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Upshall, Michael. Content licencing : buying and selling digital resources. Oxford :Chandos Publishing, 2009</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ISBN: International Standard Book Number</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books in e-format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Goldstein, Simona;Sikic Anita. An overview of the Ebooks business in Croatia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http://www.digitalbookworld.com/2013/an-overview-of-the-ebooks-business-in-croatia</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Academic Repository</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Digitised Croatian historical newspapers and journals</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Klarin, Sofija. Projektiza.titeprijenosnihdigitalnihmedija u knji.nicama = Tangible digital media preservation projects in libraries // 12. seminar Arhivi, knji.nice, muzeji: mogu_nostisuradnje u okru enjuglobalneinformacijskeinfrastrukture zbornikradova / uredilaSanjicaFaletar Tanackovi. Zagreb : Hrvatskoknji.ni_arskodru.tvo, 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https://www.academia.edu/4285305/Projekti_zastite_prijenosnih_digitalnih_medija_u_knjiznicama_Tangible_Digital_Media_Preservation_Projects_in_Libraries_Sofija_Klarin</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Croatica</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Ir,com,fault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Academic Repository - DAR</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 akon o izmjenama i dopunama Zakona o manstvenojdjelamosti i visokomobrazovanju (July 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http://harodne novine blanc i husbeni/2013_07_94_2132 kal</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ناشرین، کتاب خانه ها، و نهادهای میراث فرهنگی گوناگونی در کرواسی از این پلتفرم نشر دیجیتال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ISSUU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انتشار محتوای دیجیتال یا دریافت شده شان استفاده می کنند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Register of digitised books</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Croatian Library for the Blind</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DAISY</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ArchivPRO</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JavaScript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Interoperability</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Extensible Marlap Language: XML</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EBLIDA Key Principles on acquisition of and access to e-books by libraries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http://www.eblida.org/Special%20Events/Key-principles-acquistion-eBooks-November2012/GB_ English%20Version%20Key%20Principles.pdf</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انتخابی به واسپاری دیجیتال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پذیرش قالبی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مشکلات فنی نگهداری بلند مدت از آن، به همراه کاهش چشم گیر بودجه، پرسش هایی درباره نقش کتاب خانه های واسپاری در محیط دیجیتال به وجود آورده است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 Principles for Library eLending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http://www.ifla.org/files/assets/hq/topics/e-lending/principles-forlibrary-elending-rev-aug-2013.pdf</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EBLIDA Key Principles on the acquisition of and access to E-books by libraries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http://www.eblida.org/Special%20Events/Key-principles-acquistion-eBooks-November2012/GB_ English%20Version%20Key%20Principles.pdf</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NDL: National Diet Library</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PDF</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EPUB</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DAISY</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ISBN: International Standard Book Number</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ISSN: International Standard Serial Number</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DOI: Digital Object Identifier</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DRM: Digital Rights Management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Struggles of the National Diet Library in Collecting Online Publications in Japan</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Tsutomu Akiyama</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مسؤول سازمان اسناد و کتاب خانه ملی</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Archiving Project=WARP</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ژاپن، کتب، نشریات، روزنامه ها و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با قیمت حمایتی فروخته می شوند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UNHCR</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Philippe Stark</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Ideas Box</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www.ideas-box.org</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Lachal: Director, Libraries Without Borders; jeremy lachal@bibliosansfrontieres.org</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علم اطلاعات و دانش شناسی دانشگاه آزاد اسلامی و کارشناس ارشد سازمان اسناد و کتاب خانه ملی</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Haiyan</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Aguilar and Retamal</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Thabet and Vostanis</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Sinclair</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48Child Friendly Spaces</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Save the Children</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CRC article</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UDHR article</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TASCHA</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NGO</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UNICEF</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Urgency of Reading</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J.M. Coetze</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Toni Morrisson</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Doris Lessing</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Isabelle Allende</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King</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Salman Rushdie</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Antony Appiah</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Natalie Davies</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Owen Fiss</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Sasskia Sassen</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Maison de l'Amerique Latine</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AA.VV</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UNHCR</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African Great Lakes and MENA</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Kavumu and Musasa</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Burundi</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Bwagiriza</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NGOs</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 Lost Generation</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Hamdan Tahir</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buddies: Nurture and culture, reading habits among paediatric patients and guardians at hospital Universiti Sains Malaysia</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Engku Razifah Engku Chik</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Noraida Hassan</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Nurul Azurah Mohd Roni</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Rabiatul Adawiah Ab. Manan</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 Harianto Che Harun</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Amin Hans Van Rostenberghe</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Azizah Othman</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Surini Yusoff</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و عضو هیات علمی دانشگاه پیام نور</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Universiti Sains Malaysia</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Gubert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Sadie peterson Deloney</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Veterans Administration Hospital</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Tuskegee,Alabama</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Riang Ria Rabu</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Mattel Shared Service Solutions Pt. Limited., the Institut Terjemahan dan Buku Malaysia (ITBM), and Koperasi USM Berhad</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biblion</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therapy</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Brewster</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Roselina and Mohd Shukry</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Duffy</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bibliothearpy</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Janaviciene</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Pardeck</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Foss</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Puten Alia</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 and Stanford</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Competence Centre for Non-Textual Materials</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German National Library of Science and Technology</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Hasso-Plattner-Institut (HPI)</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Centre of Excellence in Systems Engineering</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Potsdam</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TIB/AV Portal</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Usability.de</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Eye tracking</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Don't forget the users - Developing a portal for audiovisual media with a user-centered approach</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Margret Plank. Competence Centre for Non-Textual Materials German National Library of Science and Technology Hannover, Germany Margret Plank@tib.uni-hannover.de</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Steffen Weichert. usability.de Hannover, Germany steffen.weichert@usability.de</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علم اطلاعات و دانش شناسی و رئیس گروه سازماندهی منابع غیر کتابی سازمان اسناد و کتاب خانه ملی ایران</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av.getinfo.de</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http://www.tib-hannover.de/en/services/competence-centre-for-non-textual-materials</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http://www.tib-hannover.de/en/the-tib</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http://www.usability.de/en</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specialist agency for usability and user experience</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anthologies</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DBpedia</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Wikipedia</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TIB GetInfo</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Object Identifier (DOI)</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Fragment Identifier (MFID)</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 experience (UX)</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user-centred design (UCD)</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genre</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CeBIT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TP10</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voice-over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بخش از گفتار روی تصویر که گوینده آن نشان داده نمی شود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JavaScript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Archives Initiative (OAD)</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Leadership in Energy and Environmental Design</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Environmental Sustainability and Libraries SIG=ENSULIB</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 to become / How to identify a Green Library? Standards for Certification</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Petra Hauke</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و معاون اداره کل پژوهش و آموزش سازمان اسناد و کتاب خانه ملی</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Maria Antonelli</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Northwestern University Library in Evanston, Illinois</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Clarksville Montgomery County Public Library in Tennessee</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Sleep mode</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 Library of the Neighbourhood</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urban gardening</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DIY projects</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Ivan Kraljević</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Petar Lukačić</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BREEAM (BRE Environmental Assessment Method</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Energy Star for Buildings program</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Masaryk-University in Bmo</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Melanie Padilla Segarra</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Stuttgart Media University</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Professionals Special Interest Group</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Borrow Direct (BD)</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Center for Research Libraries</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Engineering Librarians</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Demand driven acquisition (DDA)</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Assessing the shared usage of collaboratively acquired ebooks within the Borrow Direct network</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Adriana Popescu: Engineering Library, Princeton University, Princeton, New Jersey, U.S.A. pescua@princeton.edu</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Douglas McGee. Engineering &amp; Physical Sciences Libraries, University of Pennsylvania, Philadelphia Pennsylvania, U.S.A. dmcgee@upenn.edu</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علم اطلاعات و دانش شناسی، عضو هیئت علمی و معاون مرکز اطلاعات و مدارک علمی کشاورزی، سازمان تحقیقات، آموزش و ترویج کشاورزی</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Interlibrary loan (ILL)</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Yale</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Krall</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Collins</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Dartmouth</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Massachusetts Institute of Technology (MIT)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Nitecki, Jones and Barnett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Muller</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lending</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Reproduction</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Occam's Reader</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GWLA and Springer</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GWLA and Springer</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Aggregator vendors</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Timeline</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Request for proposal (RFP)</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ProQuest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ebrary</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Ingram</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MyiLibrary</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EBL</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EBSCO</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YBP</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Major STEM publisher</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Purchase trigger mechanism</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shared</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Buying club model</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buying club</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single-userpurchase-option).SUPO</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shared access</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InfoTools</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TOC</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Deposit account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Strategy, sustainability and quality: how INASP and its partners are strengthening access to research in Africa</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 Powell: Information Access and Use, Research Access and Availability, INASP, Oxford UK apowell@inasp .info</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Emma Farrow: Library Strengthening, Research Access and Availability, INASP, Oxford, UK. efarrow@inasp.info</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Burnett: Library Curricula/Network Management, Research Access and Availability, INASP, Oxford, UK. pburnett@inasp.info</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دانشگاه آزاد اسلامی واحد علوم و تحقیقات تهران</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Access</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PERI: PERI was founded in 1969 and is today one of the leading providers of formwork and scaffolding systems</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Journals Online projects</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NRENS</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Literacy(IL)</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Pedagogical Skills</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Working Together to Support Research (WTSR)</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MEERU</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Management and Evaluation (M&amp;E)</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Communities of Practice</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Research4Life is central to our goal of achieving universal access to scientific, technical and medical research information</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Sierra Leone</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Kenya Library and Information Services Consortium (KLISC)</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Consortium of Uganda University Libraries (CUUL)</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Consortium of Academic and Research Libraries, Ghana (CARLIGH)</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Consortium Administrative Assistant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Kenya Education Network, (KENET)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Commission of University Education (CUE)</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United Nations Office at Geneva (UNOG</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D. Rockefeller Jr</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Register</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Declaration and the Covenants on Human Rights</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Library of the United Nations Office at Geneva - Custodian of League of Nations and United Nations Heritage</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BlandineBlukacz-Louisfert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حافظه سازمانی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خانه دفتر سازمان ملل متحد در ژنو، سوئیس</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عضوهیئت علمی دانشگاه پیام نور</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Petitpierre</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Permanent Missions in Geneva</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Institutional Memory Section</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League of Nations Archives</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Versailles</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Assembly and a Council</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Permanent Secretariat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Secretary-General</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Palais Wilson</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Palais Des Nations</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Official Journal</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Fried</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Bertha Von Suttner</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Julian Huxley</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Gunnar Myrdal</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Commission for Europe</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Carnegie Ennowment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Historical Collections</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Reading Room</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Administration Division</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Activities Programme (CAP)</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Year of Dialogue Among Civilizations</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internationalism</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Institutional Memory Section</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Services Section</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Strategic Planning</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Programme Evaluation and Outreach</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consolidation of in-person referenceservices</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catalogue</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Guide</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League of Nations photo collection</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Indiana (U.S.)</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Sean Lester</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Digital Library</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Holocaust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paper archives</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UNOG's Strategic Heritage Plan</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International Organizations Network (HION)</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Graduate Institute of International and Development Studies, the University of Geneva</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Schools of Switzerland</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Cloud</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Risks of Moving to the Cloud: The Human Factor</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Petra Düren: Professor, Hamburg University of Applied Sciences, Hamburg, Germany. E-mail address: petra.dueren@haw-hamburg.de</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 Ross: Director, Implementation Programs, OCLC, Inc., Dublin, Ohio, USA. E-mail address: rossr@oclc.org</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چندینه های غلبه بر خرابی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Failover Redundancies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حوزه رایانه، به سرورها، سیستم ها، اجزای سخت افزاری و یا شبکه های اضافی در حالت انتظاری اشاره دارند که به محض وقوع خرابی یا عمل کرد نا مناسب مؤلفه اصلی، جایگزین آن مؤلفه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 Programming Interfaces: API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ای از روال ها، پروتکل ها، و ابزارهای لازم برای ایجاد نرم افزارهای کاربردی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سوم شخص 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Third parties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یا گروه هایی هستند که نه در سمت تولید کننده محصولات نرم افزاری قرار می گیرند و نه در سمت مشتریان آن نرم افزارها، بلکه به واسطه علائق شخصی خود به توسعه نرم افزارهای مختلف می پردازند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ios</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Apple</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Yelp</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TripAdvisor</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Exponentially</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Krummaker/Vogel</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Radio-frequency identification (RFID)</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Change Management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Kruger</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Yukl</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Hofler</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O'Connor</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OCLC's WorldShare Management Services (WMS)</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Keller/Aiken</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 aspects</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Return-On-Investment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ROI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معیاری برای اندازه گیری ضریب بازده سرمایه گذاری در یک موضوع یا مقایسه سرمایه گذاری در چند موضوع با یک دیگر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نسبت بازگشت سرمایه به اصل سرمایه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Shopper's syndrome</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Houben</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Voß/Röttger</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Pugh</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Nussbaumer/Merkley</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Doppler/Lauterburg</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Empathic Change Communication Style (ECCo-Style)</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Biskopsgarden</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Göteborg</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 mångspråkiga biblioteket-en nödvändig utopi</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BTJ Forlag</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Needs, reads and possibilities in a suburban library in a multicultural setting</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Ingrid Atlestam: Immigrant Institute, Göteborg, Sweden. ingrid.atlestam@gmail.com</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Randi Myhre: Immigrant Institute, Göteborg, Sweden. randi.myhre@immi.se</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علامه طباطبایی، دانشکده روان شناسی و علوم تربیتی، گروه علم اطلاعات و دانش شناسی</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schengen area</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village</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glocal</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 (information technology)</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IFLA</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interlingual library</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Libraries for all ESME</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NGO (none governmental organization)</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Gomlestaden</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Kortedala</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 (information and communication technology)</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Language cafe</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Café bridging words_conversation in easy Swdish</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 cross</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Annacarin Elf</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Malmo</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VIL(vuxna I larande_adults in learning)</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Red Cross Youth</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Story Time in Swedish</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Olivera Djudja</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Friends associations</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Guluzar Tuna</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EMSE</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Collective power</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 Saturdays</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culture</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Multicultural society</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 single people</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Culture</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boundries</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Fisksatra</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Botkyrka</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Gods House</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Stage</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Meeting</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Hallunda</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Hjallbo</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Pateman</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Vincent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librarie and social justice</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Buy on demand</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Next Generation Resource Center</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 local journalism</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Allen weiner</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Gartner</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curators</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Parliamentary information services</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Brazilian Chamber of Deputies</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corporate governance model</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personalized support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Center for Information and Documentation</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Cedi</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Customer Relationship Management (CRM)</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Customer Relationship Management: application for parliamentary information services</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Christiane Coelho Paiva, Center for Documentation and Information, christiane.cpaiva@gmail.com</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علم اطلاعات و دانش شناسی و کارشناس سازمان اسناد و کتاب خانه ملی ایران </w:t>
      </w:r>
      <w:r>
        <w:rPr>
          <w:rFonts w:eastAsia="IRNazanin" w:cs="IRNazanin"/>
          <w:b w:val="false"/>
          <w:bCs w:val="false"/>
          <w:i w:val="false"/>
          <w:iCs w:val="false"/>
          <w:color w:val="333333"/>
          <w:sz w:val="20"/>
          <w:szCs w:val="20"/>
        </w:rPr>
        <w:t>a-najafgholi@nlai.ir</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Educational information</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Segmentation of clients</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Chamber of Deputies</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corporate project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governance operating model</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citizen-oriented</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collegiate bodies</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Relationship Management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corporate model of governance</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deliverance</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prioritize</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redirect processes</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Central Inquiry Unit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Personalized</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quality patterns</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Customer Relationship Management (CRM)</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attaining customers</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Schellong</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Citizen Relationship Management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Customer-centric</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Citizen-oriented</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Personalization</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Customer integration</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Pre-relationship</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Negotiation</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Ombudsman</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Chief Legislative Office</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Tachygraphy Sector</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 Advisory Office</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Inquiry Unit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Corpi</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 Management Institute (PMI)</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Participatory process mapping</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 group technique</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Typology</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Denunciations and Complaints</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Political expressions</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Compliments</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transactions</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request of information</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Citizen Information Service (SIC)</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Relationship Management Committee</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Chamber's corporate project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Health Network</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Evaluation of the Written Materials Appropriateness</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DISCERN</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Ankara Project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 - Way ANOVA</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chi-square</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Vital Decisions: A Critical Look at Health Literacy in Turkey</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H.InciOnal: Department of Information Management, Hacettepe University, Ankara - TURKEY; E-mail dress: onal@hacettepe.edu.tr</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علوم پزشکی ایران، تهران،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Nematianaraki.l@iums.ac.ir</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Ministry of Health (MOH)</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Organisation for Economic Co-operation and Development=OECD</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Ağartan</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 umbrella term</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Pleasant and Kuruvilla</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Rowlands</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Avcı, Sönmez</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Bilir</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Çınarlı</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Erbaydar</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Erkoç, Yardım</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Gücük, Alkan, Arica, Ateş</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Güçlü, Uysal</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Meydanlıoğlu, Emiroğlu</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Savaş, Karahan, Saka</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Sener, Samur</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Topbas, Yaris, Can</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Cetin</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Hergenç</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Safer, Kenan</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Akalin</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Erbaydar, Demirkıran, Özhan, Cevahir, İşci</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Ayaz, Tezcan, Akıncı</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Ayrancı</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Okay</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Sezer</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Demir, Özşeker, Özcan</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Uğurlu</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Test of Functional Health Literacy in Adults = TOFHL A</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numeracy</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Rapid Estimate of Adult Literacy in Medicine-REALM</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Özdemir, Alper, Uncu, Bilgel</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Health Activities Literacy Scale</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Newest Vital Sign =NVS</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Akıncı</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Demir</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Özşeker</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Components of Health Literacy</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Health Education Research</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Celal ErtugEtimesgut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GHS</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Implementation of digital deposit at the National Library of Norway</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Svein Ame Solbakk: Digital Library Development, National Library of Norway, Mo i Rana, Norway; E-mail address: svein.solbakk@nb.no</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سازمان اسناد و کتاب خانه ملی ایران </w:t>
      </w:r>
      <w:r>
        <w:rPr>
          <w:rFonts w:eastAsia="IRNazanin" w:cs="IRNazanin"/>
          <w:b w:val="false"/>
          <w:bCs w:val="false"/>
          <w:i w:val="false"/>
          <w:iCs w:val="false"/>
          <w:color w:val="333333"/>
          <w:sz w:val="20"/>
          <w:szCs w:val="20"/>
        </w:rPr>
        <w:t>nozari.sudabeh@gmail.com</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National Library of Norway</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Bookshelf agreement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Norwegian Broadcast Corporation</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Optical character recognition(optical character reader) (OCR)</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ePub</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 or a zip file</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سرویس انتقال فایل </w:t>
      </w:r>
      <w:r>
        <w:rPr>
          <w:rFonts w:eastAsia="IRNazanin" w:cs="IRNazanin"/>
          <w:b w:val="false"/>
          <w:bCs w:val="false"/>
          <w:i w:val="false"/>
          <w:iCs w:val="false"/>
          <w:color w:val="333333"/>
          <w:sz w:val="20"/>
          <w:szCs w:val="20"/>
        </w:rPr>
        <w:t>ftp-server</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Aftenposten</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md5 checksum</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md5</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null</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Buffer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بافر یا حافظه میانی، در تمام تجهیزاتی که نیاز به پردازش دارند،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بافر وظیفه یکسان سازی و متعادل کردن سرعت پردازش های متفاوت را بر عهده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 حافظه امر انتقال اطلاعات به صورت مستقیم از طریق حافظه بافر انجام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در هر مرحله وارد بافر شده و سپس به مقصد منتقل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JHOVE</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docWorks</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XML/ALTO</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search hits</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JPEG2000 files</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METS container</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Mavis</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Nordic Web Archive project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Internet Preservation Consortium (IIPC)</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Libraries</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Archive</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Source</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Heritrix</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OpenWayback</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Literature Race</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Near Field Communication (NFC)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ای وسیله ارتباطی بی سیم بین دو دستگاه در مجاورت هم دیگر است که در فاصله های کوتاه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حداکثر چند سانتی 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دارد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NFC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جایگزینی برای انتقال اطلاعات و فایل ها بین دو دستگاه موبایل توسط بلوتوث است که برخلاف بلوتوث نیازی به صرف زمان برای جستجوی دستگاه های نزدیک ندارد و به سادگی و با نزدیک کردن دستگاه دوم قابل استفاده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NFC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روش های افزایش امنیت نظیر الزام به تایید برقراری ارتباط توسط دستگاه دوم هم پشتیبانی می کند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Combining the Dimensions of Written and Digital Media in a NFC-based Non-linear Adventure Game for Children</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Antti Koivisto Satakunta University of Applied Sciences, Pori, Finland</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 Ketamo: Satakunta University of Applied Sciences, Pori, Finland</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Eero Hammais: Satakunta University of Applied Sciences, Pori, Finland</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سازمان اسناد و کتاب خانه ملی</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Satakunta University of Applied Sciences (FInland)</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Luvia municipality library (Finland)</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Radio Frequency Identification(RFID)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سامانه بازشناسی با امواج رادیویی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سامانه شناسایی بی سیمی است که قادر به تبادل داده ها به وسیله برقراری اطّلاعات بین یک </w:t>
      </w:r>
      <w:r>
        <w:rPr>
          <w:rFonts w:eastAsia="IRNazanin" w:cs="IRNazanin"/>
          <w:b w:val="false"/>
          <w:bCs w:val="false"/>
          <w:i w:val="false"/>
          <w:iCs w:val="false"/>
          <w:color w:val="333333"/>
          <w:sz w:val="20"/>
          <w:szCs w:val="20"/>
        </w:rPr>
        <w:t>Tag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یک کالا، شیّ، کارت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 شده است و یک بازخوان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Reader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سامانه های </w:t>
      </w:r>
      <w:r>
        <w:rPr>
          <w:rFonts w:eastAsia="IRNazanin" w:cs="IRNazanin"/>
          <w:b w:val="false"/>
          <w:bCs w:val="false"/>
          <w:i w:val="false"/>
          <w:iCs w:val="false"/>
          <w:color w:val="333333"/>
          <w:sz w:val="20"/>
          <w:szCs w:val="20"/>
        </w:rPr>
        <w:t>RFID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سیگنال های الکترونیکی و الکترومغناطیسی برای خواندن و نوشتن داده ها بدون تماس بهره گیری می کنند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Nandwani, Coulton &amp; Edwards</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Garrido, Miraz, Ruiz &amp; Gomez-Nieto</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Rashid</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Bamford</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Broll, Graebsch, Holleis &amp; Wagner</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Vajk</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Sánchez, Cortés, Riekki &amp; Oja</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Nexus tablets</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Literature Race</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scanning</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Csikszentmihalyi</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Kiili &amp; Ketamo</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freeware</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socially responsive design for a library catalogue and thesaurus in a non-profit community organization (Toronto, Canada)</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Lana Soglasnova: Materials and Bibliographic Processing, Robarts Library, University of Toronto, Toronto, Canada svetana.soglasnova@utoronto.ca</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Hanson: Injured Workers' Consultants Community Legal Clinic, Toronto, Canada mary.hansonto@gmail.com</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سازمان اسناد و کتاب خانه ملی جمهوری اسلامی ایران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 Foundation of Ontario</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Injured Workers Consultants (IWC)</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injuredworkersonline.org</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http://www.injuredworkersonline.org/Library/library.html</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TheW32, (http://publish.uwo.ca/~craven/freeware.htm)</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Timothy Craven</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Western University Faculty of Information &amp; Media Studies</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Australian Occupational Health and Safety Thesaurus</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 National Occupational Health and Safety Commission, 2003, p.3</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psychological disability</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compensation neurosis</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private insurance mentality</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Cognitive Work Analysis (CWA)</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LS</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MH</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Association Test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Lykke Nielsen</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Acronyms</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WSIB</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Synonyms</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LOE, NEL, FEL</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thesaurus conundrums</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Advocacy</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Justice</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NTS</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Workers' Safety and Insurance Board</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Board</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WCB</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Workers' Compensation Board</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Aitchinson</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Gilchrist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Bawden</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Appeals Tribunal</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Speaker School</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Action Alliance on the Consequences of Work Injury (RAACWI)</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http://www.consequencesofworkinjury.ca</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claimants</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NEL or FEL or LMRP</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FAE</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MLD</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MMR</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Ontario Workers' Compensation Board</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workmen's</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رفته برای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USE FOR USED FOR</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دامنه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SCOPE NOTE</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Workmens</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Workers</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perpetual beta</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RBMS Bibliographic Standards Committee (ACRL, 2002)</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Powering Search</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VOCML</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Vorsey</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Elson</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Gregorev</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Hansen</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TemaTres</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http://www.vocabularyserver.com</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 Tes Pro</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Minisis M2L</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hierarchy exercise</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trauma</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Jens-Erik Mai</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What's in a scope note: articulating metaphors in institutional memories</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Housing Memory</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Housing Memory Graduate Student Conference, Faculty of Information, University of Toronto, March 13-14, 2009</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Daniela Ansovini</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Merlin Cluster</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Post-RDA</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Authors and Authorities in Post-RDA Library Systems: A Case Study</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Heather Lea Moulaison</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سازمان اسناد و کتاب خانه ملی ایران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 and Description and Access</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 Requirements for Bibliographic Records</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RDA Toolkit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Yee</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Anglo- American Cataloguing Rules,second edition</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 Requirements for Authority Data</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 Requirements for Bibliographic Record</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Program for Cooperative Cataloging=PCC</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PCC Day One for RDA Authority Records</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Machine Readable Cataloging</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RDA Cataloger Training</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Repeatable(“MARC 21,2013)</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NR</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Nonrepeatable( MARC 21, 2013)</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RDA Cataloger Training</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http://www.loc.gov/aba/pcc</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Name Authority Cooperative Program-NACO:http://www.loc.gov/aba/pcc/naco/index.html</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 NACO Funnel</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NACO-AV</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NACO-Music</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Zeng&amp;Qin</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RDA Tookit," 2014, sect. Undifferentiated Name Indicator</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Reimer</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Schreur</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International Authority File=VIAF</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Integrated Library Systems=ILSs</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http://www.loc.gov/marc/transition/pdf/marcld-re-port-11-21-2012.pdf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بيب فریم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Bibliographic Framework</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Kroeger</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Dbpedia: http://dbpedia.org/About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Internet Archive's Open Library: http://openlibrary.org</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Hengle-Dittrich, O'Neil, &amp; Tillett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WorldCat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http://OCLC.org/research/activities/marcusage.html 5</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 Cataloguing Library of Congress OCLC</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Congress Subject Headings</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Task Group</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Non-MARC</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ISNI</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MacEwan, Angieli, &amp; Gatenby</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LC[NAF]</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ISNI</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GND</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SUDAC</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BNF</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NDL</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کتاب داری، پوری سلطانی، فروردین راستین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ویرایش دوم، ذیل واژه نمایه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نوروزی، علی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نمایه سازی کتاب،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74948</Words>
  <Characters>311547</Characters>
  <CharactersWithSpaces>383575</CharactersWithSpaces>
  <Paragraphs>3167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2026-08-20T17:47:05Z</dcterms:created>
  <dc:creator>ghaemiyeh.com</dc:creator>
  <dc:description/>
  <dc:language>en-US</dc:language>
  <cp:lastModifiedBy/>
  <dcterms:modified xsi:type="dcterms:W3CDTF">2026-08-20T21:17:26Z</dcterms:modified>
  <cp:revision>1</cp:revision>
  <dc:subject/>
  <dc:title>گزیده مقالات ایفلا 2014 لیون فرانسه 16 - 22 آگوست 2014</dc:title>
</cp:coreProperties>
</file>

<file path=docProps/custom.xml><?xml version="1.0" encoding="utf-8"?>
<Properties xmlns="http://schemas.openxmlformats.org/officeDocument/2006/custom-properties" xmlns:vt="http://schemas.openxmlformats.org/officeDocument/2006/docPropsVTypes"/>
</file>