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گفتار باورها و دستاوردها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893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488938_2870459653">
            <w:r>
              <w:rPr>
                <w:webHidden/>
                <w:rStyle w:val="IndexLink"/>
                <w:rtl w:val="true"/>
              </w:rPr>
              <w:t xml:space="preserve">آخرین گفتار </w:t>
            </w:r>
            <w:r>
              <w:rPr>
                <w:rStyle w:val="IndexLink"/>
                <w:rtl w:val="true"/>
              </w:rPr>
              <w:t>(</w:t>
            </w:r>
            <w:r>
              <w:rPr>
                <w:rStyle w:val="IndexLink"/>
                <w:rtl w:val="true"/>
              </w:rPr>
              <w:t>باورها ودستاوردها</w:t>
            </w:r>
            <w:r>
              <w:rPr>
                <w:rStyle w:val="IndexLink"/>
                <w:rtl w:val="true"/>
              </w:rPr>
              <w:t>)</w:t>
              <w:tab/>
            </w:r>
            <w:r>
              <w:rPr>
                <w:rStyle w:val="IndexLink"/>
              </w:rPr>
              <w:t>4</w:t>
            </w:r>
          </w:hyperlink>
        </w:p>
        <w:p>
          <w:pPr>
            <w:pStyle w:val="Contents2"/>
            <w:tabs>
              <w:tab w:val="clear" w:pos="8743"/>
              <w:tab w:val="right" w:pos="9026" w:leader="dot"/>
            </w:tabs>
            <w:rPr/>
          </w:pPr>
          <w:hyperlink w:anchor="__RefHeading___Toc6488940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6488942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488944_2870459653">
            <w:r>
              <w:rPr>
                <w:webHidden/>
                <w:rStyle w:val="IndexLink"/>
                <w:rtl w:val="true"/>
              </w:rPr>
              <w:t>محور اوّل</w:t>
            </w:r>
            <w:r>
              <w:rPr>
                <w:rStyle w:val="IndexLink"/>
                <w:rtl w:val="true"/>
              </w:rPr>
              <w:t xml:space="preserve">: </w:t>
            </w:r>
            <w:r>
              <w:rPr>
                <w:rStyle w:val="IndexLink"/>
                <w:rtl w:val="true"/>
              </w:rPr>
              <w:t>ضرورت برنامه ریزی</w:t>
            </w:r>
            <w:r>
              <w:rPr>
                <w:rStyle w:val="IndexLink"/>
                <w:rtl w:val="true"/>
              </w:rPr>
              <w:tab/>
            </w:r>
            <w:r>
              <w:rPr>
                <w:rStyle w:val="IndexLink"/>
              </w:rPr>
              <w:t>10</w:t>
            </w:r>
          </w:hyperlink>
        </w:p>
        <w:p>
          <w:pPr>
            <w:pStyle w:val="Contents2"/>
            <w:tabs>
              <w:tab w:val="clear" w:pos="8743"/>
              <w:tab w:val="right" w:pos="9026" w:leader="dot"/>
            </w:tabs>
            <w:rPr/>
          </w:pPr>
          <w:hyperlink w:anchor="__RefHeading___Toc6488946_2870459653">
            <w:r>
              <w:rPr>
                <w:webHidden/>
                <w:rStyle w:val="IndexLink"/>
                <w:rtl w:val="true"/>
              </w:rPr>
              <w:t>محور دوم</w:t>
            </w:r>
            <w:r>
              <w:rPr>
                <w:rStyle w:val="IndexLink"/>
                <w:rtl w:val="true"/>
              </w:rPr>
              <w:t xml:space="preserve">: </w:t>
            </w:r>
            <w:r>
              <w:rPr>
                <w:rStyle w:val="IndexLink"/>
                <w:rtl w:val="true"/>
              </w:rPr>
              <w:t>برنامه هایی که سزاوار انجامند</w:t>
            </w:r>
            <w:r>
              <w:rPr>
                <w:rStyle w:val="IndexLink"/>
                <w:rtl w:val="true"/>
              </w:rPr>
              <w:tab/>
            </w:r>
            <w:r>
              <w:rPr>
                <w:rStyle w:val="IndexLink"/>
              </w:rPr>
              <w:t>22</w:t>
            </w:r>
          </w:hyperlink>
        </w:p>
        <w:p>
          <w:pPr>
            <w:pStyle w:val="Contents3"/>
            <w:tabs>
              <w:tab w:val="clear" w:pos="8459"/>
              <w:tab w:val="right" w:pos="9026" w:leader="dot"/>
            </w:tabs>
            <w:rPr/>
          </w:pPr>
          <w:hyperlink w:anchor="__RefHeading___Toc6488948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6488950_2870459653">
            <w:r>
              <w:rPr>
                <w:webHidden/>
                <w:rStyle w:val="IndexLink"/>
                <w:rtl w:val="true"/>
              </w:rPr>
              <w:t>برنامه نخست</w:t>
            </w:r>
            <w:r>
              <w:rPr>
                <w:rStyle w:val="IndexLink"/>
                <w:rtl w:val="true"/>
              </w:rPr>
              <w:t xml:space="preserve">: </w:t>
            </w:r>
            <w:r>
              <w:rPr>
                <w:rStyle w:val="IndexLink"/>
                <w:rtl w:val="true"/>
              </w:rPr>
              <w:t>تهذیبِ نفس و پالایش روح</w:t>
            </w:r>
            <w:r>
              <w:rPr>
                <w:rStyle w:val="IndexLink"/>
                <w:rtl w:val="true"/>
              </w:rPr>
              <w:tab/>
            </w:r>
            <w:r>
              <w:rPr>
                <w:rStyle w:val="IndexLink"/>
              </w:rPr>
              <w:t>22</w:t>
            </w:r>
          </w:hyperlink>
        </w:p>
        <w:p>
          <w:pPr>
            <w:pStyle w:val="Contents4"/>
            <w:tabs>
              <w:tab w:val="clear" w:pos="8176"/>
              <w:tab w:val="right" w:pos="9026" w:leader="dot"/>
            </w:tabs>
            <w:rPr/>
          </w:pPr>
          <w:hyperlink w:anchor="__RefHeading___Toc6488952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488954_2870459653">
            <w:r>
              <w:rPr>
                <w:webHidden/>
                <w:rStyle w:val="IndexLink"/>
                <w:rtl w:val="true"/>
              </w:rPr>
              <w:t>برنامه دوم</w:t>
            </w:r>
            <w:r>
              <w:rPr>
                <w:rStyle w:val="IndexLink"/>
                <w:rtl w:val="true"/>
              </w:rPr>
              <w:t xml:space="preserve">: </w:t>
            </w:r>
            <w:r>
              <w:rPr>
                <w:rStyle w:val="IndexLink"/>
                <w:rtl w:val="true"/>
              </w:rPr>
              <w:t>برنامه بازگشت به اصول</w:t>
            </w:r>
            <w:r>
              <w:rPr>
                <w:rStyle w:val="IndexLink"/>
                <w:rtl w:val="true"/>
              </w:rPr>
              <w:tab/>
            </w:r>
            <w:r>
              <w:rPr>
                <w:rStyle w:val="IndexLink"/>
              </w:rPr>
              <w:t>30</w:t>
            </w:r>
          </w:hyperlink>
        </w:p>
        <w:p>
          <w:pPr>
            <w:pStyle w:val="Contents5"/>
            <w:tabs>
              <w:tab w:val="clear" w:pos="7892"/>
              <w:tab w:val="right" w:pos="9026" w:leader="dot"/>
            </w:tabs>
            <w:rPr/>
          </w:pPr>
          <w:hyperlink w:anchor="__RefHeading___Toc6488956_2870459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488958_2870459653">
            <w:r>
              <w:rPr>
                <w:webHidden/>
                <w:rStyle w:val="IndexLink"/>
                <w:rtl w:val="true"/>
              </w:rPr>
              <w:t>برنامه سوم</w:t>
            </w:r>
            <w:r>
              <w:rPr>
                <w:rStyle w:val="IndexLink"/>
                <w:rtl w:val="true"/>
              </w:rPr>
              <w:t xml:space="preserve">: </w:t>
            </w:r>
            <w:r>
              <w:rPr>
                <w:rStyle w:val="IndexLink"/>
                <w:rtl w:val="true"/>
              </w:rPr>
              <w:t>برنامه ریزی برای همکاری در انجام تغییرات اجتماعی</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3_111450"/>
      <w:bookmarkStart w:id="1" w:name="pg9503_111450"/>
      <w:bookmarkEnd w:id="1"/>
    </w:p>
    <w:p>
      <w:pPr>
        <w:pStyle w:val="Heading2"/>
        <w:numPr>
          <w:ilvl w:val="1"/>
          <w:numId w:val="1"/>
        </w:numPr>
        <w:rPr/>
      </w:pPr>
      <w:bookmarkStart w:id="2" w:name="pg9503_111450"/>
      <w:bookmarkStart w:id="3" w:name="__RefHeading___Toc648893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آخرین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و دستاوردها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بازنویسی آخرین سخنرانی</w:t>
      </w:r>
    </w:p>
    <w:p>
      <w:pPr>
        <w:pStyle w:val="BookText"/>
        <w:rPr/>
      </w:pPr>
      <w:r>
        <w:rPr>
          <w:rFonts w:ascii="IRNazanin" w:hAnsi="IRNazanin" w:eastAsia="IRNazanin"/>
          <w:color w:val="111111"/>
          <w:sz w:val="28"/>
          <w:sz w:val="28"/>
          <w:szCs w:val="28"/>
          <w:rtl w:val="true"/>
          <w:lang w:bidi="fa-IR"/>
        </w:rPr>
        <w:t>آیة الله سید محمدرضا شیرازی قدس سرّه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88938_2870459653"/>
      <w:bookmarkStart w:id="6" w:name="_Toc2"/>
      <w:bookmarkEnd w:id="5"/>
      <w:r>
        <w:rPr>
          <w:rtl w:val="true"/>
        </w:rPr>
        <w:t xml:space="preserve">آخرین گفتار </w:t>
      </w:r>
      <w:r>
        <w:rPr>
          <w:rtl w:val="true"/>
        </w:rPr>
        <w:t>(</w:t>
      </w:r>
      <w:r>
        <w:rPr>
          <w:rtl w:val="true"/>
        </w:rPr>
        <w:t>باورها ودستاوردها</w:t>
      </w:r>
      <w:r>
        <w:rPr>
          <w:rtl w:val="true"/>
        </w:rPr>
        <w:t>)</w:t>
      </w:r>
      <w:bookmarkEnd w:id="6"/>
    </w:p>
    <w:p>
      <w:pPr>
        <w:pStyle w:val="BookText"/>
        <w:rPr/>
      </w:pPr>
      <w:r>
        <w:rPr>
          <w:rFonts w:ascii="IRNazanin" w:hAnsi="IRNazanin" w:eastAsia="IRNazanin"/>
          <w:color w:val="111111"/>
          <w:sz w:val="28"/>
          <w:sz w:val="28"/>
          <w:szCs w:val="28"/>
          <w:rtl w:val="true"/>
          <w:lang w:bidi="fa-IR"/>
        </w:rPr>
        <w:t xml:space="preserve">آخرین سخنرانی فقيه مقدس آیة الله سید محمدرضا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هزار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اهدائی به فرهیختگان و دانش پژوهان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503_111453"/>
    </w:p>
    <w:p>
      <w:pPr>
        <w:pStyle w:val="Heading2"/>
        <w:numPr>
          <w:ilvl w:val="1"/>
          <w:numId w:val="1"/>
        </w:numPr>
        <w:rPr/>
      </w:pPr>
      <w:bookmarkStart w:id="8" w:name="__RefHeading___Toc648894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برنامه ریزی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سزاوار انجامند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برنامه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و پالایش روح</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بازگشت به اصول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همکاری در انجام</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اجتماعی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 w:name="pg9503_111454"/>
    </w:p>
    <w:p>
      <w:pPr>
        <w:pStyle w:val="Heading2"/>
        <w:numPr>
          <w:ilvl w:val="1"/>
          <w:numId w:val="1"/>
        </w:numPr>
        <w:rPr/>
      </w:pPr>
      <w:bookmarkStart w:id="11" w:name="__RefHeading___Toc6488942_2870459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مُحَمَّدٍ</w:t>
      </w:r>
    </w:p>
    <w:p>
      <w:pPr>
        <w:pStyle w:val="BookText"/>
        <w:rPr/>
      </w:pPr>
      <w:r>
        <w:rPr>
          <w:rFonts w:ascii="Amiri" w:hAnsi="Amiri" w:eastAsia="Amiri" w:cs="Amiri"/>
          <w:color w:val="111111"/>
          <w:sz w:val="28"/>
          <w:sz w:val="28"/>
          <w:szCs w:val="28"/>
          <w:rtl w:val="true"/>
          <w:lang w:bidi="ar-SA"/>
        </w:rPr>
        <w:t>وَ آلهِ اَلطَّيِّبِينَ اَلطَّاهِرِينَ وَ لَعْنَةُ اَللَّهِ عَلَى اَعْدَائِهِمْ</w:t>
      </w:r>
    </w:p>
    <w:p>
      <w:pPr>
        <w:pStyle w:val="BookText"/>
        <w:rPr/>
      </w:pPr>
      <w:r>
        <w:rPr>
          <w:rFonts w:ascii="Amiri" w:hAnsi="Amiri" w:eastAsia="Amiri" w:cs="Amiri"/>
          <w:color w:val="111111"/>
          <w:sz w:val="28"/>
          <w:sz w:val="28"/>
          <w:szCs w:val="28"/>
          <w:rtl w:val="true"/>
          <w:lang w:bidi="ar-SA"/>
        </w:rPr>
        <w:t>اِجْمَعِينَ إِلَى يَوْمِ اَلدِّينِ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خدای سبحان موضوع صحبت ما درباره برنامه ریزی برای تعطیلات تابستانی حوزه است، که به زودی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خود را درباره این موضوع در ضمن دو محور اساسی آغاز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برنامه ریزی به صورت فراگیر و گسترده؛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تعطیلات بایستی چه برنامه هایی را برای خود طراحی کنیم؟ </w:t>
      </w:r>
      <w:bookmarkStart w:id="13" w:name="pg9503_111456"/>
    </w:p>
    <w:p>
      <w:pPr>
        <w:pStyle w:val="Heading2"/>
        <w:numPr>
          <w:ilvl w:val="1"/>
          <w:numId w:val="1"/>
        </w:numPr>
        <w:rPr/>
      </w:pPr>
      <w:bookmarkStart w:id="14" w:name="__RefHeading___Toc6488944_2870459653"/>
      <w:bookmarkStart w:id="15" w:name="_Toc5"/>
      <w:bookmarkEnd w:id="13"/>
      <w:bookmarkEnd w:id="14"/>
      <w:r>
        <w:rPr>
          <w:rtl w:val="true"/>
        </w:rPr>
        <w:t>محور اوّل</w:t>
      </w:r>
      <w:r>
        <w:rPr>
          <w:rtl w:val="true"/>
        </w:rPr>
        <w:t xml:space="preserve">: </w:t>
      </w:r>
      <w:r>
        <w:rPr>
          <w:rtl w:val="true"/>
        </w:rPr>
        <w:t>ضرورت برنامه ریزی</w:t>
      </w:r>
      <w:bookmarkEnd w:id="15"/>
    </w:p>
    <w:p>
      <w:pPr>
        <w:pStyle w:val="BookText"/>
        <w:rPr/>
      </w:pPr>
      <w:r>
        <w:rPr>
          <w:rFonts w:ascii="IRNazanin" w:hAnsi="IRNazanin" w:eastAsia="IRNazanin"/>
          <w:color w:val="111111"/>
          <w:sz w:val="28"/>
          <w:sz w:val="28"/>
          <w:szCs w:val="28"/>
          <w:rtl w:val="true"/>
          <w:lang w:bidi="fa-IR"/>
        </w:rPr>
        <w:t xml:space="preserve">درباره محورِ اول باید گفت که به طور کلی یکی از عوامل بسیار مهم و بنیادین در پدید آوردن و بهسازیِ نظام قناعات </w:t>
      </w:r>
      <w:r>
        <w:rPr>
          <w:rStyle w:val="FootnoteAnchor"/>
          <w:rtl w:val="true"/>
        </w:rPr>
        <w:footnoteReference w:id="3"/>
      </w:r>
      <w:r>
        <w:rPr>
          <w:rFonts w:ascii="IRNazanin" w:hAnsi="IRNazanin" w:eastAsia="IRNazanin"/>
          <w:color w:val="111111"/>
          <w:sz w:val="28"/>
          <w:sz w:val="28"/>
          <w:szCs w:val="28"/>
          <w:rtl w:val="true"/>
          <w:lang w:bidi="fa-IR"/>
        </w:rPr>
        <w:t>و باورهاست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می دانید که نظام باورها یکی از مهمترین نظام های موجود در حیات بشری است؛ و حتی از این فراتر، می توان گفت که نظام باورها اساسی ترین بستر و قاعده ای </w:t>
      </w:r>
    </w:p>
    <w:p>
      <w:pPr>
        <w:pStyle w:val="BookText"/>
        <w:rPr/>
      </w:pPr>
      <w:r>
        <w:rPr>
          <w:rFonts w:ascii="IRNazanin" w:hAnsi="IRNazanin" w:eastAsia="IRNazanin"/>
          <w:color w:val="111111"/>
          <w:sz w:val="28"/>
          <w:sz w:val="28"/>
          <w:szCs w:val="28"/>
          <w:rtl w:val="true"/>
          <w:lang w:bidi="fa-IR"/>
        </w:rPr>
        <w:t>است که حیات بشری بر آن تمرکز می یابد و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عالِمی را عالِم می کند و نادانی را نادان، بی تردید همان نظام باورهاست، زیرا عالِم باور کرد و این باور را پذیرفت که می تواند دانشمند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قاعده مشهوری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تفکّر آخر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آخر عمل و سرانجامِ آن اهمیتِ چندانی ندارد، بلکه آن چه مهم است نقطه آغازین تفکّر است؛ لذا عالِم از روز اوّل باور کرد و پذیرفت که دانشمند شود، و این تصویر همان است که از آغاز در ذهنش نقش بسته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شخصی کارش منشی گریِ پزشکی بود و در مطب او کار می کرد، سخت آرزومند آن بود که او نیز پزشک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اتاق شخصیِ خود تصویر بزرگی از خود را قاپ و روی دیوار نصب کرده بود و با حروف درشت و زیبایی زیر آن نام خود را نوشته بود، آن هم با عنوانِ پزشکِ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روز به آن نگاه می کرد و در رؤیایش خود را </w:t>
      </w:r>
    </w:p>
    <w:p>
      <w:pPr>
        <w:pStyle w:val="BookText"/>
        <w:rPr/>
      </w:pPr>
      <w:r>
        <w:rPr>
          <w:rFonts w:ascii="IRNazanin" w:hAnsi="IRNazanin" w:eastAsia="IRNazanin"/>
          <w:color w:val="111111"/>
          <w:sz w:val="28"/>
          <w:sz w:val="28"/>
          <w:szCs w:val="28"/>
          <w:rtl w:val="true"/>
          <w:lang w:bidi="fa-IR"/>
        </w:rPr>
        <w:t>پزشکی مشهور می دید و به خود باورانده بود که بالاخره روزی پزشک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پزشک شد، هر چند ذکر چگونگیِ آن بر ایمان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عالِم را عالِم می سازد و نادان را نادان، نظامِ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دارا و مالدار را ثروتمند می کند و تهیدست را فقیر و نادار، همانا نظامِ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یک نفر را حاکم و فرمان دهنده و دیگری را محکوم و فرمانپذیر می نماید، نظام باورهاست؛ آن چه نامداران و بزرگان را بزرگ می سازد و فرودستان را در زندگی فرو دست و حقیر، نظام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افراد ناشی از همین نظامِ ذهنیِ مهم است، لذا این نظام در زندگی آدمی و مقطع های مهم زندگی اش، حقیقتاً نقش بسیار مهم و فراگیری دارد که نمی توان به سادگی از کنارش گذشت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آزمایش های پزشکی، مریضی را آوردند که از بیماری قلبی در رنج بود و برای آرامش بخشیِ بیماری اش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قرص خاصّی استفاده می کرد و سخت وابسته آن 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آن قرص در دسترس نبود یا تمام شده و از آن نداشتند، یا اصلاً پزشکان می خواستند آزمایشی علمی روی آن بیمار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قرص دیگری به او دادند که در ظاهر کاملاً شبیهِ آن بود و هیچ تفاوت ظاهری ای با قرص اصلی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قرص غیر حقیقی را به آن بیمار دادند و او آن را مصرف کرد، احساس آرامش نمود همان گونه که هنگام مصرف داروی حقیقی خود را راحت و بی درد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دلیل است که وی آن دارو را باور کرده بود و به خوبی باورِ تجاربِ درمانگر و ضد دردِ آن را در ذهن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مصرفِ آن قرص جعلی، که فقط در ظاهر با داروی حقیقی شباهت داشت، و قطعاً از حیث دارویی بی خاصیت بود، احساس 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آن چه تأثیر گذار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باور در بیمار وجود داشت نه در آن داروی جعلیِ مصرف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حالت فراگیر و </w:t>
      </w:r>
    </w:p>
    <w:p>
      <w:pPr>
        <w:pStyle w:val="BookText"/>
        <w:rPr/>
      </w:pPr>
      <w:r>
        <w:rPr>
          <w:rFonts w:ascii="IRNazanin" w:hAnsi="IRNazanin" w:eastAsia="IRNazanin"/>
          <w:color w:val="111111"/>
          <w:sz w:val="28"/>
          <w:sz w:val="28"/>
          <w:szCs w:val="28"/>
          <w:rtl w:val="true"/>
          <w:lang w:bidi="fa-IR"/>
        </w:rPr>
        <w:t>عام نیست، اما تجارب و آزموده های بسیاری در برخی حالات وجود دارد که این موضوع را اثبات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برنامه ای نداشته باشد و از طرح و برنامه ای برای کار خود و نقشه دقیقی برای سیر فعالیت هایش محروم باشد، و در این میان نیز برای خود باوری داشته باشد که از آن باور انتظار چندانی هم نداشته باشد، هرگز از چنین شخصی توقعی ندارند و از او چیزی نمی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شخصی باورش او را به تنبلی و تن آسانی و خواب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برنامه ای ندارد چه کند؟ راه خود را پیش می گیرد و به خواب غفلت فرو می رود، یا وقتِ عزیز و عمرِ گرانمایه را با همنشینی و همدمی با بیکارگان و با افکار منفی و نابهنجار،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همیشه در حالتی نابهنجار زندگی می کنند و همواره در افکار منفی سیر می کنند و درباره امور مثبت و خیر هرگز تأمل نمی کنند، بلکه پیوسته به مسائل منفی می اندیشند و جنبه های تاریک زندگی را در نظر می 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آری، کسی که در زندگیِ خود هدفی ندارد و آن را بر پایه آرمانی مثبت استوار نکرده است، گرفتار افسردگی و روانپریشی می شود و دیدگاهش بدبینانه می گردد و نسبت به خود و زندگیِ خود و دیگران و حتی همه چیز بدبین می شود؛ حال آن که اگر انسان هدف و برنامه و نقشه ای داشته باشد تا به آرمان و هدفِ خویش برسد، بی تردید در باورهایش تأثیر می گذارد و انسانی بهنجار و مثبت می شود و طبعاً در آن صورت به جوانب روشن و تابناک زندگی می نگرد و روشنی ها را می بیند،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بایستی فلان برنامه را اجرا کنم و به فلان هدف برسم؛ و این نگرش در دل و جانش نفوذ می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جواهر الکلام باورش این بوده است که کتاب جواهر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شبانه روز و به طور خستگی ناپذیر کار می کرد همچنین نویسنده مفتاح الكرامة باورش آن بوده </w:t>
      </w:r>
    </w:p>
    <w:p>
      <w:pPr>
        <w:pStyle w:val="BookText"/>
        <w:rPr/>
      </w:pPr>
      <w:r>
        <w:rPr>
          <w:rFonts w:ascii="IRNazanin" w:hAnsi="IRNazanin" w:eastAsia="IRNazanin"/>
          <w:color w:val="111111"/>
          <w:sz w:val="28"/>
          <w:sz w:val="28"/>
          <w:szCs w:val="28"/>
          <w:rtl w:val="true"/>
          <w:lang w:bidi="fa-IR"/>
        </w:rPr>
        <w:t>است که طرحِ بزرگِ خود را به سرانجام برساند و کامل نماید؛ برای همین است که هم همگامِ مجاهدان در شکستنِ محاصره نجفِ اشرف می کوشید و فداکاری می کرد، و هم کتاب فقهیِ خود را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هدفمند، نیروها را بر می انگیزانند و قدرت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امیرمؤمنان علی علیه السّلام سخن دلپذیر و شگفت انگیزی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قَدرُ الرَّجُلِ على قَدرِ هِمَّتِهِ، وَ عَمَلُهُ عَلَيٌ قَدْرُ نِيَّتِهِ؛</w:t>
      </w:r>
      <w:r>
        <w:rPr>
          <w:rStyle w:val="FootnoteAnchor"/>
          <w:rtl w:val="true"/>
        </w:rPr>
        <w:footnoteReference w:id="4"/>
      </w:r>
      <w:r>
        <w:rPr>
          <w:rFonts w:ascii="IRNazanin" w:hAnsi="IRNazanin" w:eastAsia="IRNazanin"/>
          <w:color w:val="111111"/>
          <w:sz w:val="28"/>
          <w:sz w:val="28"/>
          <w:szCs w:val="28"/>
          <w:rtl w:val="true"/>
          <w:lang w:bidi="fa-IR"/>
        </w:rPr>
        <w:t>ارزش آدمی به اندازه همّتش، و عملش به اندازه نیّتش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را اینگونه می توان تقریر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خواستید به ارزش و بهای کسی پی ببرید، به همّت او و میزان آرمان ها و شوقمندی هایش در زندگی نگاه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وصف رسول اکرم صلی الله علیه و آله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همم لامنتهی لکبارها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همته الصغری اجلّ من الدهر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همّت هایی است که برای همّت های بزرگِ او نهایتی نمی توان تصور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کوچک او از روزگار، بسی بزرگتر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ارزش و بهای عملِ کسی را بدانید به این نکته توجه کنید که نیتِ او چیست؟ نیت اوست که ارزشِ کارش را مشخص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ای که برای خود ترسیم کرده ای، همان است که کار و تلاشِ تو را تعیین می کند، و حتی قوّت و ضعفِ تو را نیز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اساس هدفِ پیشِ رویِ خویش می تواند میزان توان و ناتوانیِ خود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p>
    <w:p>
      <w:pPr>
        <w:pStyle w:val="BookText"/>
        <w:rPr/>
      </w:pPr>
      <w:r>
        <w:rPr>
          <w:rFonts w:ascii="IRNazanin" w:hAnsi="IRNazanin" w:eastAsia="IRNazanin"/>
          <w:color w:val="111111"/>
          <w:sz w:val="28"/>
          <w:sz w:val="28"/>
          <w:szCs w:val="28"/>
          <w:rtl w:val="true"/>
          <w:lang w:bidi="fa-IR"/>
        </w:rPr>
        <w:t>هدف، نزدیک و در دسترس باشد، آدمی سریع تر می تواند ضعفِ خویش را بشناسد، و هرگاه هدفِ او دورتر و دامنه دارتر باشد، طرح و نقشه ای بزرگ تر و عملش نیز بزرگ تر، و دورانِ ناآشنایی اش با نقاطِ ضعفش طولانی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معنای سخن امیر مؤمنان علیه السّلام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قَدْرُ نِيَّتِهِ</w:t>
      </w:r>
      <w:r>
        <w:rPr>
          <w:rFonts w:ascii="IRNazanin" w:hAnsi="IRNazanin" w:eastAsia="IRNazanin"/>
          <w:color w:val="111111"/>
          <w:sz w:val="28"/>
          <w:sz w:val="28"/>
          <w:szCs w:val="28"/>
          <w:rtl w:val="true"/>
          <w:lang w:bidi="fa-IR"/>
        </w:rPr>
        <w:t>، برای ما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بایستی برای خود برنامه ای طراحی کنیم تا تمام زندگی ما را در بر گیرد؛ برنامه ای که مثلاً شاید زودتر از چهل سال نتوانیم آن را به پایان برسانیم؛ برنامه ای دراز مدت و هدفمند و دامنه دار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در پانزده سالگیِ خود کاغذ و قلمی برداشت و اهدافِ خویش را از زندگی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یکصد و بیست و هفت هدف را برای کل زندگی اش نوشت که بایستی آن ها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اهدافش پر خطر و حساس بوده اند، به گونه ای که در راه تحققِ آن اهداف هیجده </w:t>
      </w:r>
    </w:p>
    <w:p>
      <w:pPr>
        <w:pStyle w:val="BookText"/>
        <w:rPr/>
      </w:pPr>
      <w:r>
        <w:rPr>
          <w:rFonts w:ascii="IRNazanin" w:hAnsi="IRNazanin" w:eastAsia="IRNazanin"/>
          <w:color w:val="111111"/>
          <w:sz w:val="28"/>
          <w:sz w:val="28"/>
          <w:szCs w:val="28"/>
          <w:rtl w:val="true"/>
          <w:lang w:bidi="fa-IR"/>
        </w:rPr>
        <w:t>مرتبه در معرض مرگ قرار گرفت، و این نشانگرِ آن است که اهدافش عادی و ساده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پنجاه و نُه سالگی، یعنی پس از گذرِ چهل و چهار سال، توانست صد و شش هدف را تحقق بخشد؛ یعنی از مجموعه یکصد و بیست و هفت هدف، تنها بیست و یک هدف او ناتمام و تحقق نایافته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بایستی مشخص کنیم که اهدافمان چیست؟ آیا مثلاً در زندگی خود صد هدف را دنبال می کنیم و با زندگیِ خود می کوشیم در مسیر تحقق بخشیدن به این اهداف گام برداریم؟ در این صورت آن که اهداف بزرگی در سر دارد معنای خستگی و ناکامی را نمی فهمد، و هرگز خود را با پرداختن به جنبه های تاریکِ زندگی مشغول نمی سازد؛ زیرا اهدافش او را از این امر باز می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آدمی خود را با امور نابهنجار و منفی مشغول می کند؟ زیرا کاری ندارد تا با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کودکان، وقتی کاری ندارند و در محیط منزل خود را بی کار می یابند، طبعاً </w:t>
      </w:r>
    </w:p>
    <w:p>
      <w:pPr>
        <w:pStyle w:val="BookText"/>
        <w:rPr/>
      </w:pPr>
      <w:r>
        <w:rPr>
          <w:rFonts w:ascii="IRNazanin" w:hAnsi="IRNazanin" w:eastAsia="IRNazanin"/>
          <w:color w:val="111111"/>
          <w:sz w:val="28"/>
          <w:sz w:val="28"/>
          <w:szCs w:val="28"/>
          <w:rtl w:val="true"/>
          <w:lang w:bidi="fa-IR"/>
        </w:rPr>
        <w:t>شروع می کنند به خرابکاری و انجامِ کارهای نادرست و آزارنده؛ حال آن که کودکی که برنامه ای پیشِ رویِ خود دارد، خود را با اجرایِ آن برنامه مشغول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سرشت و طبیعت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اندیشوران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های خداوند این است که هر روز صبح وقتی از خواب بیدار می شویم، پیش رویِ خود کارهایی داریم که هرگز تمام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نپرسید که چرا این خطِ سیر هرگز به پایان نمی رسد؟ چرا دانش فقه به پایان نمی رسد؟ چرا دانش اصول فقه به پایان نمی رسد؟ این ها از نعمت هایی است که خدای سبحان به ما عطا کرده است، و کسی که از این نعمتِ بزرگ زبان به گلایه می گشاید، روزی خواهد رسید که بیکار و بی بار می شود، و طبعاً شخصِ بیکار، هم خود را نابود می کند و هم دیگران را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کتاب جامع المقدمات می خواندیم که خواجه نصیرالدین طوسی کتاب های مختلف با موضوعات مختلف </w:t>
      </w:r>
    </w:p>
    <w:p>
      <w:pPr>
        <w:pStyle w:val="BookText"/>
        <w:rPr/>
      </w:pPr>
      <w:r>
        <w:rPr>
          <w:rFonts w:ascii="IRNazanin" w:hAnsi="IRNazanin" w:eastAsia="IRNazanin"/>
          <w:color w:val="111111"/>
          <w:sz w:val="28"/>
          <w:sz w:val="28"/>
          <w:szCs w:val="28"/>
          <w:rtl w:val="true"/>
          <w:lang w:bidi="fa-IR"/>
        </w:rPr>
        <w:t>را پیشِ رویِ خود می گشود و به مطالعه می پرداخت، و از آغاز شب تا سپیده دم این کار را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فراگیری دانشی معیّن خسته می شد به مطالعه دانشی دیگر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وقتی که خیلی خسته می شد، صورتش را می شست یا آبی به آن می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حل مسأله ای می رسید یا گره یکی از مشکلات علمی را می گشود یا به کشفی علمی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شاهزادگان کجا و این لذت و کامجویی کجا؟ اگر به این لذت دست می یافتند بر سر تصاحبِ آن با ما می جنگیدند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شاهان کجا و این لذتِ بی نظیر کجا؟ شاهان شب ها در کاخ های خود در خواب فرو رفته اند، و روزها در نخجیر و شکارگاه های اختصاصی خود به شکار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های آن ها در برابر این رازگشایی های علمی چه ارزشی دارد؟ </w:t>
      </w:r>
      <w:bookmarkStart w:id="16" w:name="pg9503_111468"/>
    </w:p>
    <w:p>
      <w:pPr>
        <w:pStyle w:val="Heading2"/>
        <w:numPr>
          <w:ilvl w:val="1"/>
          <w:numId w:val="1"/>
        </w:numPr>
        <w:rPr/>
      </w:pPr>
      <w:bookmarkStart w:id="17" w:name="__RefHeading___Toc6488946_2870459653"/>
      <w:bookmarkStart w:id="18" w:name="_Toc6"/>
      <w:bookmarkEnd w:id="16"/>
      <w:bookmarkEnd w:id="17"/>
      <w:r>
        <w:rPr>
          <w:rtl w:val="true"/>
        </w:rPr>
        <w:t>محور دوم</w:t>
      </w:r>
      <w:r>
        <w:rPr>
          <w:rtl w:val="true"/>
        </w:rPr>
        <w:t xml:space="preserve">: </w:t>
      </w:r>
      <w:r>
        <w:rPr>
          <w:rtl w:val="true"/>
        </w:rPr>
        <w:t>برنامه هایی که سزاوار انجامند</w:t>
      </w:r>
      <w:bookmarkEnd w:id="18"/>
    </w:p>
    <w:p>
      <w:pPr>
        <w:pStyle w:val="Heading3"/>
        <w:numPr>
          <w:ilvl w:val="2"/>
          <w:numId w:val="1"/>
        </w:numPr>
        <w:rPr/>
      </w:pPr>
      <w:bookmarkStart w:id="19" w:name="__RefHeading___Toc6488948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ما اکنون در آستانه تعطیلات تابستانی حوزه علمیه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برای خود چه برنامه هایی طراحی کنیم، که علاوه بر برنامه های عادی خود آن ها را اجرا نماییم؟ در این میانه سه نکته را از سر ضرورت ذکر می کنیم</w:t>
      </w:r>
      <w:r>
        <w:rPr>
          <w:rFonts w:eastAsia="IRNazanin" w:cs="IRNazanin"/>
          <w:color w:val="111111"/>
          <w:sz w:val="28"/>
          <w:szCs w:val="28"/>
          <w:rtl w:val="true"/>
          <w:lang w:bidi="fa-IR"/>
        </w:rPr>
        <w:t>:</w:t>
      </w:r>
    </w:p>
    <w:p>
      <w:pPr>
        <w:pStyle w:val="Heading3"/>
        <w:numPr>
          <w:ilvl w:val="2"/>
          <w:numId w:val="1"/>
        </w:numPr>
        <w:rPr/>
      </w:pPr>
      <w:bookmarkStart w:id="21" w:name="__RefHeading___Toc6488950_2870459653"/>
      <w:bookmarkStart w:id="22" w:name="_Toc8"/>
      <w:bookmarkEnd w:id="21"/>
      <w:r>
        <w:rPr>
          <w:rtl w:val="true"/>
        </w:rPr>
        <w:t>برنامه نخست</w:t>
      </w:r>
      <w:r>
        <w:rPr>
          <w:rtl w:val="true"/>
        </w:rPr>
        <w:t xml:space="preserve">: </w:t>
      </w:r>
      <w:r>
        <w:rPr>
          <w:rtl w:val="true"/>
        </w:rPr>
        <w:t>تهذیبِ نفس و پالایش روح</w:t>
      </w:r>
      <w:bookmarkEnd w:id="22"/>
    </w:p>
    <w:p>
      <w:pPr>
        <w:pStyle w:val="Heading4"/>
        <w:numPr>
          <w:ilvl w:val="3"/>
          <w:numId w:val="1"/>
        </w:numPr>
        <w:rPr/>
      </w:pPr>
      <w:bookmarkStart w:id="23" w:name="__RefHeading___Toc6488952_2870459653"/>
      <w:bookmarkStart w:id="24" w:name="_Toc9"/>
      <w:bookmarkEnd w:id="23"/>
      <w:r>
        <w:rPr>
          <w:rtl w:val="true"/>
        </w:rPr>
        <w:t>اشاره</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علیه السّلام در همین باره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ازْدَادَ عِلْمُ الرَّجُلِ زَادَتْ عِنَايَتَهُ بِنَفْسِهِ وَ بَذَلَ فِي رِيَاضَتِهَا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صَلاَحُهَا جُهْدُهُ</w:t>
      </w:r>
      <w:r>
        <w:rPr>
          <w:rStyle w:val="FootnoteAnchor"/>
          <w:rtl w:val="true"/>
        </w:rPr>
        <w:footnoteReference w:id="6"/>
      </w:r>
      <w:r>
        <w:rPr>
          <w:rFonts w:ascii="IRNazanin" w:hAnsi="IRNazanin" w:eastAsia="IRNazanin"/>
          <w:color w:val="111111"/>
          <w:sz w:val="28"/>
          <w:sz w:val="28"/>
          <w:szCs w:val="28"/>
          <w:rtl w:val="true"/>
          <w:lang w:bidi="fa-IR"/>
        </w:rPr>
        <w:t>هر چه بر دانش آدمی افزوده می شود، توجّهش به نفسش افزوده می گردد و تمام تلاش خود را در امر اصلاح و ریاضتِ آن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نفس در این جا به دانش مرتبط می شود؟ بنابراین انسانِ جاهل هرگز نمی داند که اهمیت این نفس و روان چه اندازه است و در برابر چه خطر بسیار بزرگی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کودکان به خوبی و به فراوانی احساس خطر نمی کنند و گاه از خطر بودنِ آن بی اطلاعند؟ آری، غالباً احساس خطر نمی کنند، زیرا مصدر و خواستگاه خطر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مسافرِ اتوبوسی باشید که در جاده پُرپیچ و خم کوهستانی حرکت می کند و به سبب بروز حادثه ای در آستانه سقوط در درّه باشید، کودک متوجه خطر نمی شود، زیرا نسبت به خودِ خطر جاهل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شفقت و مهرورزی اولیای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به آن تصریح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قَبْلُ فِى أَهْلِنَا مُشْفِقِينَ</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 تر در میان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برخاسته باشد که آن ها احساس خطر می کردند، و می ترسیدند که در درّه شقاوت و ناکامی ابدی درافتند،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سمیر حق و سعادتِ جاودانی منحرف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حقيقتاً در این میانه خطری بس بزرگ وجود دارد که اولیایِ خدا از آن آگاهند و نسبت به آن نگران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چنین نقل کرده است که عالمی فرزانه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عمرم افزوده می شود بیشتر احساس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حکیمانه آن است که هر چه علمِ انسان افزایش یابد، احساسِ آگاهیِ او از محیط پیرامونِ خود بیشتر می شود و خطرها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و عنایتش </w:t>
      </w:r>
    </w:p>
    <w:p>
      <w:pPr>
        <w:pStyle w:val="BookText"/>
        <w:rPr/>
      </w:pPr>
      <w:r>
        <w:rPr>
          <w:rFonts w:ascii="IRNazanin" w:hAnsi="IRNazanin" w:eastAsia="IRNazanin"/>
          <w:color w:val="111111"/>
          <w:sz w:val="28"/>
          <w:sz w:val="28"/>
          <w:szCs w:val="28"/>
          <w:rtl w:val="true"/>
          <w:lang w:bidi="fa-IR"/>
        </w:rPr>
        <w:t>به نفسش نیز افزایش می یابد و بیشتر و بهتر به آن اهتمام می ورزد و در ریاضت و اصلاحِ آن کوشش بیشتری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دم و هر آن به این توجه و عنایت نیازمند است، چنان که در روایتِ پیشگفته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برخی چیزها سالی یکبار نیازمند می شود، مانند دارو، برخی دیگر را روزی یک یا دو یا سه بار، مانند غذا، و به برخی هر دَم و هر آن نیاز دارد، مانند هوایی که تنفس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هوا را از انسان بگیرند، ولو برای چند دقیقه، بی تردید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آدمی پیوسته به اکسیژن نیاز دارد، لذا اگر چیزی از این اکسیژن گرفته شود، انسان به صورت عقب مانده ذهنی در می آید، همان گونه که گاه به هنگام زایمان به صورت اورژانسی پیش می آید و لحظاتی چند، اکسیژن به مقدار کافی به نوزاد نمی رسد و پیامدِ آن عقب ماندگی ذهنی است که تا آخر عمر مایه رنج و ناکاریِ شخص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و بارها چنین افرادی را دیده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موجب مرگ آن </w:t>
      </w:r>
    </w:p>
    <w:p>
      <w:pPr>
        <w:pStyle w:val="BookText"/>
        <w:rPr/>
      </w:pPr>
      <w:r>
        <w:rPr>
          <w:rFonts w:ascii="IRNazanin" w:hAnsi="IRNazanin" w:eastAsia="IRNazanin"/>
          <w:color w:val="111111"/>
          <w:sz w:val="28"/>
          <w:sz w:val="28"/>
          <w:szCs w:val="28"/>
          <w:rtl w:val="true"/>
          <w:lang w:bidi="fa-IR"/>
        </w:rPr>
        <w:t>نوزاد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 آدمی به مواظبت از نفس و روان و عنایت کردنِ به آن، مانند نیاز انسان است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بسا یک بار سهل انگاری کردن در ریاضت و اصلاح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شقاوت آدمی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گفت کسی که در حالتی نظام‌مند و اصولی و ساختار اجتماعیِ معیّنی زندگی می کند، طبعاً از نگرش کلی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گاه می بیند شرع برخی تعالیم و اوامر تمام نظام زندگی ما را به یکباره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وقتی ماه رمضان فرا می رسد، تمام ساختار زندگی ما تغییر می کند و شب به روز و روز به شب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وعده های غذایی و تمامی فعالیت ها تغییر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دستاوردش خارج شدن از حالت عادت و ساختار معیّنِ تکراری است، و در پیِ آن به ما این فرصت را می دهد که درباره خویشتن به تفکر و تأمل و بررسی بپردازیم و خود را </w:t>
      </w:r>
    </w:p>
    <w:p>
      <w:pPr>
        <w:pStyle w:val="BookText"/>
        <w:rPr/>
      </w:pPr>
      <w:r>
        <w:rPr>
          <w:rFonts w:ascii="IRNazanin" w:hAnsi="IRNazanin" w:eastAsia="IRNazanin"/>
          <w:color w:val="111111"/>
          <w:sz w:val="28"/>
          <w:sz w:val="28"/>
          <w:szCs w:val="28"/>
          <w:rtl w:val="true"/>
          <w:lang w:bidi="fa-IR"/>
        </w:rPr>
        <w:t>واکاوی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نیز به همین گونه است، و روش زیستن تکراری و عادیِ شخص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تحولی است زمانی، و حجّ تحولی است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حاجی در سفرِ حج حالتی دیگر می یابد و از تکرار خارج و در حالتی دیگر وارد می گردد، زیرا به کشوری دیگر می رود و هنجارها و معادلات دیگری را در زندگیِ خود لحاظ می کند و مجبور می شود اموری را انجام دهد که در سراسر زندگیِ پیشینِ او، و در طول سال و در جای دیگر، هرگز انجامشان نداده بود و ملزم به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او حرام می شود که به آینه نگاه کند، و بسیاری امورِ دیگر، که برایش حلال بوده اند و اکنون به امری حرام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یعنی به دست آوردن حالتی دیگر و بروز تحول و تغییر و خروج از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تحوّلی و دگرگونی است که می تواند به زندگی خود نگاهی بیندازد و مسیر و سرنوشت و سرانجامش را بررسی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تعطیلات نیز همین فرصت را به ما می دهد، زیرا انسان از چارچوب معمولی و همیشگی اش خارج می شود و وارد حالتی دیگر و معادلاتی دیگر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به سفر عمره برود که این نیز نقشِ تغییر دهنده و دگرگونسازیِ در زندگی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توبه کنندگان در سفر حج یا عمره تو به کرده اند یا مثلاً به مشهد امام رضا علیه السّلام یا سایر مشاهد مشرفه یا مزارهای اولیای خدا در سوریه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مزاری تأثیرگذاری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مرقد مطهر صحابی مشهور، عمار بن یاسر رضی الله عنه در سوریه تأثیرگذاری خود را دارد و مرقد حضرت جعفر بن ابی طالبان علیه السّلام در اردن تأثیرگذاری خاصّ خود را؛ و چنین است مرقد خواهر حضرت معصومه علیها السّلام در آذربایجان و</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زیارتِ این مزارها نوعی تجدید و بازنگری در زندگی به شمار می آیند و فرصت درنگ و تأمّل را به انسان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شخص می تواند در تعطیلات، برخی کتاب های اخلاقی را مطالعه کنند، هر چند اگر برای این منظور مربّی لایقی نیز به دست آورد، به نهایت آرزوی دست یافته است، زیرا غالباً این امر تحقق نمی یابد و نمی توان به آسانی مربّی اخلاقی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هر دانشی به مربّی خوب نیاز دارد، لذا همان گونه که فراگیری علم فقه و اصول و اختر شناسی و سایر علوم، نیازمند معلّم و مربّی خوب است، علم اخلاق نیز به مربّی خوب و وارسته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آدمی چنین مربّی ای را یافت بایستی کمر همت را بربندد و به سویش بشتابد، که این نهایت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چنین کسی یافت نشود بایستی کتاب های اخلاقی و احوال عالمان بزرگ اخلاق را مطالعه نماید؛ عالمانی چون شیخ انصاری، مقدس اردبیلی و سید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تردید مطالعه حیات این عالمان بزرگ تأثیر بسزایی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مرحوم شیخ انصاری مربّی اخلاق </w:t>
      </w:r>
      <w:bookmarkStart w:id="25" w:name="pg9503_111476"/>
    </w:p>
    <w:p>
      <w:pPr>
        <w:pStyle w:val="BookText"/>
        <w:rPr/>
      </w:pPr>
      <w:bookmarkEnd w:id="25"/>
      <w:r>
        <w:rPr>
          <w:rFonts w:ascii="IRNazanin" w:hAnsi="IRNazanin" w:eastAsia="IRNazanin"/>
          <w:color w:val="111111"/>
          <w:sz w:val="28"/>
          <w:sz w:val="28"/>
          <w:szCs w:val="28"/>
          <w:rtl w:val="true"/>
          <w:lang w:bidi="fa-IR"/>
        </w:rPr>
        <w:t>داشت، که همان مرحوم سید علی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 شیخ انصاری در فقه و اصول بود و شیخ انصاری شاگرد او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هر هفته یک جلسه نزد او می رفت و اخلاق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از سید علی شوشتری کرامات و شگفتی های بسیاری نقل شده، و ما در این مجال اندک، در پی بازگویی آن 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خوب است در این ایام تعطیل برخی اعمال مستحبی را بی آغازد، که در کتاب های فقهی و کتاب شریفِ مفاتيح الجنان موجودند، و اگر کسی به آن ها عمل نماید، مایه رشد و تعالی اش می شوند</w:t>
      </w:r>
      <w:r>
        <w:rPr>
          <w:rFonts w:eastAsia="IRNazanin" w:cs="IRNazanin"/>
          <w:color w:val="111111"/>
          <w:sz w:val="28"/>
          <w:szCs w:val="28"/>
          <w:rtl w:val="true"/>
          <w:lang w:bidi="fa-IR"/>
        </w:rPr>
        <w:t>.</w:t>
      </w:r>
    </w:p>
    <w:p>
      <w:pPr>
        <w:pStyle w:val="Heading4"/>
        <w:numPr>
          <w:ilvl w:val="3"/>
          <w:numId w:val="1"/>
        </w:numPr>
        <w:rPr/>
      </w:pPr>
      <w:bookmarkStart w:id="26" w:name="__RefHeading___Toc6488954_2870459653"/>
      <w:bookmarkStart w:id="27" w:name="_Toc10"/>
      <w:bookmarkEnd w:id="26"/>
      <w:r>
        <w:rPr>
          <w:rtl w:val="true"/>
        </w:rPr>
        <w:t>برنامه دوم</w:t>
      </w:r>
      <w:r>
        <w:rPr>
          <w:rtl w:val="true"/>
        </w:rPr>
        <w:t xml:space="preserve">: </w:t>
      </w:r>
      <w:r>
        <w:rPr>
          <w:rtl w:val="true"/>
        </w:rPr>
        <w:t>برنامه بازگشت به اصول</w:t>
      </w:r>
      <w:bookmarkEnd w:id="27"/>
    </w:p>
    <w:p>
      <w:pPr>
        <w:pStyle w:val="Heading5"/>
        <w:numPr>
          <w:ilvl w:val="4"/>
          <w:numId w:val="1"/>
        </w:numPr>
        <w:rPr/>
      </w:pPr>
      <w:bookmarkStart w:id="28" w:name="__RefHeading___Toc6488956_2870459653"/>
      <w:bookmarkStart w:id="29" w:name="_Toc11"/>
      <w:bookmarkEnd w:id="28"/>
      <w:r>
        <w:rPr>
          <w:rtl w:val="true"/>
        </w:rPr>
        <w:t>اشاره</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ما کدامند؟ اصول ما همان هاست که رسول اکرم صلی الله علیه و آله همگان را به آن دو اصلِ اساسی و بنیادین توصیه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انّى تَارِكٌ فِيكُمُ اَلثَّقَلَيْنِ كِتَابَ الله وَ عِتْرَتِي اَهْلُ بَيْتِي؛</w:t>
      </w:r>
      <w:r>
        <w:rPr>
          <w:rStyle w:val="FootnoteAnchor"/>
          <w:rtl w:val="true"/>
        </w:rPr>
        <w:footnoteReference w:id="8"/>
      </w:r>
      <w:r>
        <w:rPr>
          <w:rFonts w:ascii="IRNazanin" w:hAnsi="IRNazanin" w:eastAsia="IRNazanin"/>
          <w:color w:val="111111"/>
          <w:sz w:val="28"/>
          <w:sz w:val="28"/>
          <w:szCs w:val="28"/>
          <w:rtl w:val="true"/>
          <w:lang w:bidi="fa-IR"/>
        </w:rPr>
        <w:t>من میان شما دو چیز گرانسنگ نهاده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 اصولِ اساسی اند و باقی همه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تمسک جستن به قرآن کریم چیست؟ قرآن کریم مایه نظام یافتن زندگانی است؛ حال اگر کسی قرآن را نشناسد و از آن دور شده باشد، در آن صورت چگونه می تواند به آن تمسک جوید و از آن پیروی نماید؟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تأکیدی است بسیار أكيد در امر وجودِ ارتباط میان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خدای سبحان از مسلمانان شکایت می کند، زیرا آن ها قرآن را مهجور ساخته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يَارِبٍ إِنَّ قَوْمِي اِتَّخَذُوا هَذَا اَلْقُرْءَانُ مَهْجُوراً</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قومِ من قرآن را مهجور ساخته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رضا علیه السّلام قرآن را هر سه روز یک بار ختم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یک شبانه روز یک صفحه قرآن را می خوانیم؟ کسی که قرآن را نمی خواند آیا می تواند به آن تمسک جوید و از آن پیروی نماید؟ آن که قرآن را نفهمد و در معانی آن تدبّر نکند می تواند به آن تمسک جوید؟</w:t>
      </w:r>
    </w:p>
    <w:p>
      <w:pPr>
        <w:pStyle w:val="BookText"/>
        <w:rPr/>
      </w:pPr>
      <w:r>
        <w:rPr>
          <w:rFonts w:ascii="IRNazanin" w:hAnsi="IRNazanin" w:eastAsia="IRNazanin"/>
          <w:color w:val="111111"/>
          <w:sz w:val="28"/>
          <w:sz w:val="28"/>
          <w:szCs w:val="28"/>
          <w:rtl w:val="true"/>
          <w:lang w:bidi="fa-IR"/>
        </w:rPr>
        <w:t xml:space="preserve">قرآن،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مجموعه ای از افراد و به عنوان یک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 شده است، و متأسفانه قرآن به کتابی حاشیه ای تبدیل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درباره عترت پیامبر صلی الله علیه و آله و اهل بيت علیهم السّلام و درباره وجوب تمسک جستن به آنان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سیره اهل بیت علیهم السّلام و احادیث آنان را نداند چگونه می تواند به آنان تمسک جوید؟ و در این موضوع هم آن چه به عیان می بینیم مایه تأسف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همین مسأله را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یکجا گرد آورید که مثلاً هزار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آن جمع کسی هست </w:t>
      </w:r>
    </w:p>
    <w:p>
      <w:pPr>
        <w:pStyle w:val="BookText"/>
        <w:rPr/>
      </w:pPr>
      <w:r>
        <w:rPr>
          <w:rFonts w:ascii="IRNazanin" w:hAnsi="IRNazanin" w:eastAsia="IRNazanin"/>
          <w:color w:val="111111"/>
          <w:sz w:val="28"/>
          <w:sz w:val="28"/>
          <w:szCs w:val="28"/>
          <w:rtl w:val="true"/>
          <w:lang w:bidi="fa-IR"/>
        </w:rPr>
        <w:t>که ده سخن از سخنان امام هادی علیه السّلام را بلد باشد؟ در میان هزار نفر، چند نفر می توانند سؤال پیشگفته را پاسخ گویند؟ و می بینیم که عترت پیامبر اکرم صلی الله علیه و آله نیز به موضوعی حاشیه ای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بزرگ تر و ارزشمند تر از قرآن و پیامبر صلی الله علیه و آله و عترت طاهره آن حضرت چیزی داریم؟ شگفتا که این ها همه در حاشیه قرار گرفته اند؟</w:t>
      </w:r>
    </w:p>
    <w:p>
      <w:pPr>
        <w:pStyle w:val="BookText"/>
        <w:rPr/>
      </w:pPr>
      <w:r>
        <w:rPr>
          <w:rFonts w:ascii="IRNazanin" w:hAnsi="IRNazanin" w:eastAsia="IRNazanin"/>
          <w:color w:val="111111"/>
          <w:sz w:val="28"/>
          <w:sz w:val="28"/>
          <w:szCs w:val="28"/>
          <w:rtl w:val="true"/>
          <w:lang w:bidi="fa-IR"/>
        </w:rPr>
        <w:t>نقل کرده اند که بر کتابی علمی، که در سده اخیر نگراش یافته است، تاکنون یکصد و پنجاه شرح نگاشته شده، حال آن که بر نهج البلاغه، که از زمان نگارشش تاکنون تقریباً هزار سال گذشته است، گمان نمی کنم که یکصد و پنجاه شرح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نوعی بی توجهی به نهج البلاغه نیست؟</w:t>
      </w:r>
    </w:p>
    <w:p>
      <w:pPr>
        <w:pStyle w:val="BookText"/>
        <w:rPr/>
      </w:pPr>
      <w:r>
        <w:rPr>
          <w:rFonts w:ascii="IRNazanin" w:hAnsi="IRNazanin" w:eastAsia="IRNazanin"/>
          <w:color w:val="111111"/>
          <w:sz w:val="28"/>
          <w:sz w:val="28"/>
          <w:szCs w:val="28"/>
          <w:rtl w:val="true"/>
          <w:lang w:bidi="fa-IR"/>
        </w:rPr>
        <w:t>و چه دردناک است که قرآن، نهج البلاغه و صحیفه سجادیه و کتاب کافی در تاقچه نهاده شده است و مهجور</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احادیث عترت پیامبر صلی الله علیه و آله و سیره آن بزرگواران را </w:t>
      </w:r>
    </w:p>
    <w:p>
      <w:pPr>
        <w:pStyle w:val="BookText"/>
        <w:rPr/>
      </w:pPr>
      <w:r>
        <w:rPr>
          <w:rFonts w:ascii="IRNazanin" w:hAnsi="IRNazanin" w:eastAsia="IRNazanin"/>
          <w:color w:val="111111"/>
          <w:sz w:val="28"/>
          <w:sz w:val="28"/>
          <w:szCs w:val="28"/>
          <w:rtl w:val="true"/>
          <w:lang w:bidi="fa-IR"/>
        </w:rPr>
        <w:t>نداند، نمی تواند به آنان تمسک جوید، و آن گونه که شایسته و بایسته است از ایشان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قرآن و اهل بیت علیهم السّلام مرجعیت قرار ندهیم، و در مراجعات و استنباطاتمان، به تمامی از آن ها پیروی ننماییم، معنایش این خواهد بود که ما یا بر پایه اجتهاداتِ شخصی خود عمل می کنیم یا در این امر مقهور جامعه شده ایم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هر روز نظریات و دیدگاه هایی نوپدید می بینیم که در عرصه اجتماعی یا اخلاقی و دینی طرح شده اند که آن ها را از جامعه دریافت کرده اند؛ یعنی جامعه برای آن ها ملاک شده است و نه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 های دور از قرآن و جدای از عترت، و این شیوه دریافت از مجتمع، که قطعاً قرآن از آن ها دور و بیزار است، معنایی جز ضلالت و گمراهی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می فرماید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أَعْرَضَ عَنْ ذِكْرِی فَإِنَّ لَهُ مَعِيشَةً ضَنْكًا</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و هر که از ذکر و یاد من دوری گزیند، زندگی دشواری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های فراوانی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مجرّد و ازدواج ناکرده در جامعه ما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آمارهای وحشتناک که هر روزه آن ها را می شنویم، علتشان فقط دوری از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أَنْكِحُوا اَلْأَيَامَى مِنْكُمْ</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همسرانِ خود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آن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آموزه ای است کوچک از میان آموزه هایِ فراوان دیگر، و علتش آن است که ما برای خود فرهنگ خاصّی ایجاد کرده ایم و در آن عُمری معیّن و محدود و شرایطی معیّن و پیش فرض هایی ویژه قرار داده ایم و صد البته همه این ها طبق میل مردم است نه خدا،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مَانَزَلَ اَللَّهُ بِهَا مِنْ</w:t>
      </w:r>
    </w:p>
    <w:p>
      <w:pPr>
        <w:pStyle w:val="BookText"/>
        <w:rPr/>
      </w:pPr>
      <w:r>
        <w:rPr>
          <w:rFonts w:ascii="Amiri" w:hAnsi="Amiri" w:eastAsia="Amiri" w:cs="Amiri"/>
          <w:color w:val="111111"/>
          <w:sz w:val="28"/>
          <w:sz w:val="28"/>
          <w:szCs w:val="28"/>
          <w:rtl w:val="true"/>
          <w:lang w:bidi="ar-SA"/>
        </w:rPr>
        <w:t>سُلْطَنٍ</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حقانیت آن ها برهانی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جَائَكُمْ مَنْ تَرْضَوْنَ دِينَهُ وَ خُلُقُهُ فَزَوِّجُوهُ</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هر گاه کسی نزد شما به خواستگاری آمد و شما دین و اخلاقش را پسندیدید، به او زن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ما در جامعه مقیاس های دیگری داریم که نمی توانیم از آن ها بگذریم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نِسَاءٍ اِمَّتى اِقْلُهُنَّ مَهْراً</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بهترین زنان امت من آن هایند که مهریه شان از همه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تمام زنان خود بر اساس مهرالسنة که پانصد درهم </w:t>
      </w:r>
      <w:r>
        <w:rPr>
          <w:rStyle w:val="FootnoteAnchor"/>
          <w:rtl w:val="true"/>
        </w:rPr>
        <w:footnoteReference w:id="15"/>
      </w:r>
      <w:r>
        <w:rPr>
          <w:rFonts w:ascii="IRNazanin" w:hAnsi="IRNazanin" w:eastAsia="IRNazanin"/>
          <w:color w:val="111111"/>
          <w:sz w:val="28"/>
          <w:sz w:val="28"/>
          <w:szCs w:val="28"/>
          <w:rtl w:val="true"/>
          <w:lang w:bidi="fa-IR"/>
        </w:rPr>
        <w:t>است،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نیز همین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ما در جوامعِ خویش به مهرالسنة عمل </w:t>
      </w:r>
    </w:p>
    <w:p>
      <w:pPr>
        <w:pStyle w:val="BookText"/>
        <w:rPr/>
      </w:pPr>
      <w:r>
        <w:rPr>
          <w:rFonts w:ascii="IRNazanin" w:hAnsi="IRNazanin" w:eastAsia="IRNazanin"/>
          <w:color w:val="111111"/>
          <w:sz w:val="28"/>
          <w:sz w:val="28"/>
          <w:szCs w:val="28"/>
          <w:rtl w:val="true"/>
          <w:lang w:bidi="fa-IR"/>
        </w:rPr>
        <w:t>نمی کنیم، و در نتیجه میلیون ها دختر و پسر به در خانه ها به صورت مجرّد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 گمراهی بزرگی است و چه ظلمی دردناک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عمومی و اجتماعی نیز خدای سبحان ما را رهنمون می شود و راه درست را پیش رویمان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وأمْرُهُم شُورَى بَيْنَهُم</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کارهایشان بر اساس رایزنی و مشورتِ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در جایی است که نصّ صریحی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قضیّه امامت، مانند نبوت، دارای نصّ است و طبعاً موضوع سخن ما در جایی که نصِ الهی وجود دارد،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دستور می بینیم که در گذر تاریخ دیرپای اسلام، تمامی نظام های سیاسی و حکومت ها از این آیه کریمه دوری جسته اند و شورا در زندگی سیاسیِ امروزه ما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w:t>
      </w:r>
    </w:p>
    <w:p>
      <w:pPr>
        <w:pStyle w:val="BookText"/>
        <w:rPr/>
      </w:pPr>
      <w:r>
        <w:rPr>
          <w:rFonts w:ascii="IRNazanin" w:hAnsi="IRNazanin" w:eastAsia="IRNazanin"/>
          <w:color w:val="111111"/>
          <w:sz w:val="28"/>
          <w:sz w:val="28"/>
          <w:szCs w:val="28"/>
          <w:rtl w:val="true"/>
          <w:lang w:bidi="fa-IR"/>
        </w:rPr>
        <w:t>عقب ماندگی و توسعه نیافتگی گرفتار مانده اند، حال آن که جهان غرب به بسیاری از پیشرفت ها دست یافت، زیرا به برخی از جوانب این حکم قرآنی عمل کرده است، که همان قانون شوراست، همان گونه که به قانون آزادی ها و سایر قوانین دیگر قرآن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ها، قوانین دیگری نیز وجود دارد که اسلام پیش از همه آن ها را وضع کرد، و دنیای غرب به آن ها عمل می کنند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اَلْأَرْضِ اَللَّهُ وَ لِمَنْ عَمَرَهَا</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زمین از آن خداست و از آنِ کسی که موجب آبادانی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سَبَقَ إِلَى مَا لاَ يَسْبِقُهُ إِلَيْهِ مُسْلِمٌ فَهُوَ اُحْقٌ بِهِ</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هر که به چیزی، پیش از آن که مسلمانی به آن دست یابد، دست یافت، در تملک اوست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قوانین امروزه نزد ما ملغا شده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دولت ها و افراد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 و دیدگاه های خودمان، و نه آراء </w:t>
      </w:r>
    </w:p>
    <w:p>
      <w:pPr>
        <w:pStyle w:val="BookText"/>
        <w:rPr/>
      </w:pPr>
      <w:r>
        <w:rPr>
          <w:rFonts w:ascii="IRNazanin" w:hAnsi="IRNazanin" w:eastAsia="IRNazanin"/>
          <w:color w:val="111111"/>
          <w:sz w:val="28"/>
          <w:sz w:val="28"/>
          <w:szCs w:val="28"/>
          <w:rtl w:val="true"/>
          <w:lang w:bidi="fa-IR"/>
        </w:rPr>
        <w:t>قرآن، عمل می کنیم؛ خدا چیزی می گوید و ما در برابرش چیزی دیگر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عجله کنید،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يَكُونُوا فُقَرَاءَ يُغْنِهِمُ اَللَّهُ فَضْلِهِ</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فقیر باشند خداوند از فضل خود آن ها را غنی و بی نیاز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زبان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به خواستگاری آمد و شما دین و اخلاقش را پسندیدید، به او زن بدهید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اما ما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دلائل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آن می شود که شاهد مشکلات فراوانی هستیم که جوامع اسلامی ما را از درون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با مرگ شوهر خود روبرو می شود و او در سن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مجبورش می کند که </w:t>
      </w:r>
    </w:p>
    <w:p>
      <w:pPr>
        <w:pStyle w:val="BookText"/>
        <w:rPr/>
      </w:pPr>
      <w:r>
        <w:rPr>
          <w:rFonts w:ascii="IRNazanin" w:hAnsi="IRNazanin" w:eastAsia="IRNazanin"/>
          <w:color w:val="111111"/>
          <w:sz w:val="28"/>
          <w:sz w:val="28"/>
          <w:szCs w:val="28"/>
          <w:rtl w:val="true"/>
          <w:lang w:bidi="fa-IR"/>
        </w:rPr>
        <w:t>تا آخر عمر بی شوهر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گمراهی آشکاری است که مردم گرفتارش شده اند و چه ره گم کردگی است که جامعه گرفتار آن گردیده است؟</w:t>
      </w:r>
    </w:p>
    <w:p>
      <w:pPr>
        <w:pStyle w:val="BookText"/>
        <w:rPr/>
      </w:pPr>
      <w:r>
        <w:rPr>
          <w:rFonts w:ascii="IRNazanin" w:hAnsi="IRNazanin" w:eastAsia="IRNazanin"/>
          <w:color w:val="111111"/>
          <w:sz w:val="28"/>
          <w:sz w:val="28"/>
          <w:szCs w:val="28"/>
          <w:rtl w:val="true"/>
          <w:lang w:bidi="fa-IR"/>
        </w:rPr>
        <w:t>از امام باقر علیه السّلام نقل کرده اند که آن حضرت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اَللَّهُ اُحِبُّ اَنَّ لِى اَلدُّنْيَا وَ مَا فِيهَا وَ أَنِّي اَبَيْتُ لَيْلَةً لَيْسَ لِى زَوْجَة</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دوست ندارم که تمام دنیا را و آن چه در آن است به من دهند و در عوض مجبور شوم یک شب بدون همسر بخوابم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زندگی پیامبر اعظم صلی الله علیه و آله مراجعه کنید و ببینید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فرهنگی که ایشان بر جامعه حاکم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از دنیا می رفت، مردی دیگر زنِ آن مرد فوت شده را به همسری می گرفت و نمی گذاشت برای مدتی طولانی بیوه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خدای سبحان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طلاب جوان اصفهانی به نام شیخ محمدتقی در درس عالم بزرگ، مرحوم شیخ جعفر كاشف الغطاء شركت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کاشف الغطاء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کسی حاضر است به غریبی فقیر زن بدهد؟ شیخ به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منتظرم بمانید؛ بزودی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محمدتقی را با خود به اندرونی خانه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تا دختر دارم که یکی از آن ها بسیار زیبا و دیگری بسیار باکمال و فهمیده است، یکی از آن ها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محمدتقی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که بسیار با کمال است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شیخ به اتاق تدریس بازگشت و به ادامه بحث و درس خود پرداخت و پس از آن موافقت دختر را گرفت و او را به همسری آن شیخ جوان درآورد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قرآنی چنین است، اما جامعه امروزی ما فرهنگ دیگری غیر قرآنی و غیر اهل 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شیخ کاشف </w:t>
      </w:r>
    </w:p>
    <w:p>
      <w:pPr>
        <w:pStyle w:val="BookText"/>
        <w:rPr/>
      </w:pPr>
      <w:r>
        <w:rPr>
          <w:rFonts w:ascii="IRNazanin" w:hAnsi="IRNazanin" w:eastAsia="IRNazanin"/>
          <w:color w:val="111111"/>
          <w:sz w:val="28"/>
          <w:sz w:val="28"/>
          <w:szCs w:val="28"/>
          <w:rtl w:val="true"/>
          <w:lang w:bidi="fa-IR"/>
        </w:rPr>
        <w:t>الغطاء انجام داد، در نظر جامعه امروز ما از بزرگ ترین معایب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جامعه با این دوری گزیدن از قرآن و اهل بیت علیهم السّلام به دست می آورد، گمراهی سیاسی و اقتصادی و اجتماعی و بلکه گمراهیِ همه سویه و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های ما در گمراهی اند، و جوامع و افراد ما نیز در گمراهی اند، که البته قصد ما همه مردم نیست، بلکه اکثر و اغلب آن ها چنین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گرفتار انواع بیماری های روانی است و قرآن داروی آن در دهاست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بَصَائِرُ لِلنَّاسِ</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مایه بصیرت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فِيهِ شِفَاءٌ لِّلنَّاسِ</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مردم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نیز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يَشْتَشِيرُونَ بِهِ</w:t>
      </w:r>
    </w:p>
    <w:p>
      <w:pPr>
        <w:pStyle w:val="BookText"/>
        <w:rPr/>
      </w:pPr>
      <w:r>
        <w:rPr>
          <w:rFonts w:ascii="Amiri" w:hAnsi="Amiri" w:eastAsia="Amiri" w:cs="Amiri"/>
          <w:color w:val="111111"/>
          <w:sz w:val="28"/>
          <w:sz w:val="28"/>
          <w:szCs w:val="28"/>
          <w:rtl w:val="true"/>
          <w:lang w:bidi="ar-SA"/>
        </w:rPr>
        <w:t>دَوَاءُ دَائِهِمْ</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درمان درد خود را در آن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کمیل نیز این گونه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اِسْمُهُ دَوَاءٌ وَ ذِكْرُهُ شِفَاءٌ</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ای که نامش دارو و یادکردنِ او شفا و تندرستی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و این برای کسی که قرآن را می خواند و درمانش را در آن می جوید امری است آزموده و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روانشناسان معاصر معتقدند که بهترین راه درمان بیماری های روانی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کلام، سخن خدا باشد،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یکی از امور مهم و در عین حال غفلت شده کلمات خداست که در قرآن کریم و احادیث قدسی نمود یافته و بسیار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محرومیت حقیقی و جانکاه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مرحوم محدث قمی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نورانی 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شگفتی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تمامی عمر </w:t>
      </w:r>
    </w:p>
    <w:p>
      <w:pPr>
        <w:pStyle w:val="BookText"/>
        <w:rPr/>
      </w:pPr>
      <w:r>
        <w:rPr>
          <w:rFonts w:ascii="IRNazanin" w:hAnsi="IRNazanin" w:eastAsia="IRNazanin"/>
          <w:color w:val="111111"/>
          <w:sz w:val="28"/>
          <w:sz w:val="28"/>
          <w:szCs w:val="28"/>
          <w:rtl w:val="true"/>
          <w:lang w:bidi="fa-IR"/>
        </w:rPr>
        <w:t>خود را صرف مطالعه احادیث اهل بیت علیهم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خواندم که او برای تألیف کتاب دو جلدى سفينة البحار سی و پنج سال از عمر خویش را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کتابی است بسیار پر بها و پر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یکی از دانشمندان غربی این کتاب را دیده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کار یک گروه است، او چگونه توانسته یک تنه آن را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که او برای تألیف این کتاب، بحار الانوار را دو بار مطالعه کرد، یعنی تقریباً دویست و بیست 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سفینة البحار از بهترین و مفیدترین کتاب هاست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او یک روز از خواب برخاست و متوجه شد که چشمش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 گوید آن روز دیدم که پدرم به کار همیشه اش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چشمم درد می کند و نمی توانم احادیث اهل بیت علیهم السّلام را بخوانم و در حالی که اندوه در چهره اش آشکار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از </w:t>
      </w:r>
    </w:p>
    <w:p>
      <w:pPr>
        <w:pStyle w:val="BookText"/>
        <w:rPr/>
      </w:pPr>
      <w:r>
        <w:rPr>
          <w:rFonts w:ascii="IRNazanin" w:hAnsi="IRNazanin" w:eastAsia="IRNazanin"/>
          <w:color w:val="111111"/>
          <w:sz w:val="28"/>
          <w:sz w:val="28"/>
          <w:szCs w:val="28"/>
          <w:rtl w:val="true"/>
          <w:lang w:bidi="fa-IR"/>
        </w:rPr>
        <w:t>محضر اهل بيت علیهم السّلام طرد شده باشم، زیرا امروز از مطالعه و نوشتن احادیث آنان محروم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که قرآن نخواند از رحمت خدا طرد شده است، هر که احادیث اهل بیت علیهم السّلام را نخواند از رحمت الهی طرد شده است؛ هر که نهج البلاغه و صحیفه سجادیه نخواند از رحمت خدا طرد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ترسم که رانده شده باشم از این 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از این نگرانی اندوهگین و دردمند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کاری رفتم و پس از چندی برگشتم و دیدم که او در میان کتاب ها و برگه ها به کار نوشتن و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رفتی، برخواستم و وضویی گرفتم و روبه روی قبله نشستم و کتاب کافی </w:t>
      </w:r>
      <w:r>
        <w:rPr>
          <w:rStyle w:val="FootnoteAnchor"/>
          <w:rtl w:val="true"/>
        </w:rPr>
        <w:footnoteReference w:id="26"/>
      </w:r>
      <w:r>
        <w:rPr>
          <w:rFonts w:ascii="IRNazanin" w:hAnsi="IRNazanin" w:eastAsia="IRNazanin"/>
          <w:color w:val="111111"/>
          <w:sz w:val="28"/>
          <w:sz w:val="28"/>
          <w:szCs w:val="28"/>
          <w:rtl w:val="true"/>
          <w:lang w:bidi="fa-IR"/>
        </w:rPr>
        <w:t xml:space="preserve">را برداشتم و آن را به </w:t>
      </w:r>
    </w:p>
    <w:p>
      <w:pPr>
        <w:pStyle w:val="BookText"/>
        <w:rPr/>
      </w:pPr>
      <w:r>
        <w:rPr>
          <w:rFonts w:ascii="IRNazanin" w:hAnsi="IRNazanin" w:eastAsia="IRNazanin"/>
          <w:color w:val="111111"/>
          <w:sz w:val="28"/>
          <w:sz w:val="28"/>
          <w:szCs w:val="28"/>
          <w:rtl w:val="true"/>
          <w:lang w:bidi="fa-IR"/>
        </w:rPr>
        <w:t>نیّت استشفا و بهبود بر چشمانم کشیدم و شفا یافتم، و چنان که می بینی به کار نگارش و تحقیق مشغولم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مرحوم محدث قمی ذکر کرده اند که از آن پس دیگر هرگز و تا واپسین دم حیات درد چشمش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پاک و زلال را ببینید و این توفیق را بنگرید؛ آیا ما این چنینیم؟ بی تردید کتاب کافی یا در خانه هایمان وجود ندارد و یا اگر هم آن را داریم، در قفسه و طاقچه در زیر لایه ای از گرد و غبار،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احوال مرحوم محدث قمی قدس سرّه نقل شده است که کودکی سه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مریض شد و برایش دارو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برای آماده کردن و آمیختن دارو از انگشت خود استفاده کرد و آن را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دیدن این صحنه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برایت قاشق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انگشت دستِ خود را برای استشفاء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استناخ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نهادم، زیرا با این دست و این انگشت هزاران حدیث از اهل بیت علیهم السّلام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دستی که احادیث اهل بیت علیهم السّلام می نویسد مایه شفاست، همان گونه که قلب، جایگاهِ معارفِ اهل بیت علیهم السّلام، به سبب این معارف نورانی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باقر علیه السّلام نقل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اِعْرِفُوا مَنَازِلَ شِيعَتِنَا بِقَدْرِ مَا يُحْسِنُونَ مِنْ رِوَايَاتِهِمْ عَنَّا</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جایگاه شیعیان ما را با مقدار روایاتی که از ما به خوبی، حفظ و نقل کرده اند،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شناختِ صحیح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مقدار روایت به خوبی بلدیم تا جایگاه خود را بشناسیم؟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تعطیلات بایستی به اصول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تفسیر آن، نهج البلاغه صحیفه سجادیه، کتاب کافی، بحار الانوار و سایر کتب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دوم است</w:t>
      </w:r>
      <w:r>
        <w:rPr>
          <w:rFonts w:eastAsia="IRNazanin" w:cs="IRNazanin"/>
          <w:color w:val="111111"/>
          <w:sz w:val="28"/>
          <w:szCs w:val="28"/>
          <w:rtl w:val="true"/>
          <w:lang w:bidi="fa-IR"/>
        </w:rPr>
        <w:t xml:space="preserve">. </w:t>
      </w:r>
      <w:bookmarkStart w:id="30" w:name="pg9503_111494"/>
    </w:p>
    <w:p>
      <w:pPr>
        <w:pStyle w:val="Heading5"/>
        <w:numPr>
          <w:ilvl w:val="4"/>
          <w:numId w:val="1"/>
        </w:numPr>
        <w:rPr/>
      </w:pPr>
      <w:bookmarkStart w:id="31" w:name="__RefHeading___Toc6488958_2870459653"/>
      <w:bookmarkStart w:id="32" w:name="_Toc12"/>
      <w:bookmarkEnd w:id="30"/>
      <w:bookmarkEnd w:id="31"/>
      <w:r>
        <w:rPr>
          <w:rtl w:val="true"/>
        </w:rPr>
        <w:t>برنامه سوم</w:t>
      </w:r>
      <w:r>
        <w:rPr>
          <w:rtl w:val="true"/>
        </w:rPr>
        <w:t xml:space="preserve">: </w:t>
      </w:r>
      <w:r>
        <w:rPr>
          <w:rtl w:val="true"/>
        </w:rPr>
        <w:t>برنامه ریزی برای همکاری در انجام تغییرات اجتماعی</w:t>
      </w:r>
      <w:bookmarkEnd w:id="32"/>
    </w:p>
    <w:p>
      <w:pPr>
        <w:pStyle w:val="BookText"/>
        <w:rPr/>
      </w:pPr>
      <w:r>
        <w:rPr>
          <w:rFonts w:ascii="IRNazanin" w:hAnsi="IRNazanin" w:eastAsia="IRNazanin"/>
          <w:color w:val="111111"/>
          <w:sz w:val="28"/>
          <w:sz w:val="28"/>
          <w:szCs w:val="28"/>
          <w:rtl w:val="true"/>
          <w:lang w:bidi="fa-IR"/>
        </w:rPr>
        <w:t>ما امروز در موقعیتی زندگی می کنیم که جوامع، در امور سیاسی، اقتصادی، فرهنگی، فکری و دینی متخلّفند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برای مشارکت برای تغییر و اصلاحات اجتماعی برنامه اجرایی مناسبی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آیا می توانیم به این امر دست یابیم، مسأله ای است که به نظام باورها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این مقال، از آن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سه سخن را به اختصار ذکر می کنم تا در این مجال برایمان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دین به نقل از دانشمندی فرزانه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به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دارم؛ یعنی چنان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تواند به فراوانی و بسیاری 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تولید فکر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نیز یکی از علما بیان می کرد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همواره در پشت و ورای بسیاری از تحولات و دگرگونی های تاریخی، افرادی وجود داشته اند؛ یعنی همیشه یک نفر در پشت یک تحول تاریخی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هند دگرگونی به وجود آورد؟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عنایت الله و دوستش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بسیاری از تحولات بزرگ تاریخ، مردانی همّتمدار و باورمند، تأثیرگذار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سوم را بر آن دو سخن می افزایم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از شمار مستضعفان بوده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خطبا برایم نقل کرد که روزی یکی از علمای دین به تهران رفت و علامه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همّت بلند خود به این امت خدمتِ بزرگی کرده و کتاب پُر برگ و پر برکت الغدیر را تألیف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 اما از آن عالمِ دین دعوتی نکرد و او را به خانه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درباره این امر از او سؤال کرد که چرا مرا به خانه خود دعوت نکردی،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پول پذیراییِ از </w:t>
      </w:r>
    </w:p>
    <w:p>
      <w:pPr>
        <w:pStyle w:val="BookText"/>
        <w:rPr/>
      </w:pPr>
      <w:r>
        <w:rPr>
          <w:rFonts w:ascii="IRNazanin" w:hAnsi="IRNazanin" w:eastAsia="IRNazanin"/>
          <w:color w:val="111111"/>
          <w:sz w:val="28"/>
          <w:sz w:val="28"/>
          <w:szCs w:val="28"/>
          <w:rtl w:val="true"/>
          <w:lang w:bidi="fa-IR"/>
        </w:rPr>
        <w:t>شما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علامه امینی تعریف مشهوری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الغدير را تألیف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تعریف دومی می شود برای او کرد، که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پولِ پذیرایی از دوستش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در پشت تحولات بزرگ تاریخی حضور داشته اند، شاید اکثرشان، یا بسیاری از آن ها افرادی بوده اند مستضعف، امّا با همّتی بلند و قناعت و توکّل به خدا توانستند تحولاتی بزرگ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خدا توکّل کنیم و از او و اولیاء او استمداد بطلبیم، خواهیم توانست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تحولات تاریخی سهیم شویم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به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جمادى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گردید، که آخرین سخنرانی آن عالم وارسته قدس سرّه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چهار روز پس از آن، دعوت معبود خویش را لبیک گفت و به ملکوت اعلی پیوست، روان پاکش با اجداد طاهرینش همنشین باد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باورها، ایده آل ها، خواسته ها، نقطه رسیدن به خرسندی و رضایت، آرمان هایی که آدمی برای رسیدن به آن ها می کوشد و مانند این ها، می باشد چنان که در ادامه بحث نیز با انواع مثال ها روبه رو می شویم، منظور از قناعات باور و هدفی است که انسان بدان ایمان دارد و برای رسیدن به آن تلاش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آرمانی است که هدف نهایی تلاش انسان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مازندرانی، انتشارات علامه،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ش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ش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و بسیاری منابع روایی دیگر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ش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باب استحباب مهرالسنة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في احياء الأرض الموات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ش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متقیان را توصیف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کمیل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نسخه ای از کتاب شریف کافی داشت که با خط مرحوم فاضل تونی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 </w:t>
      </w:r>
      <w:r>
        <w:rPr>
          <w:rFonts w:eastAsia="IRNazanin" w:cs="IRNazanin"/>
          <w:b w:val="false"/>
          <w:bCs w:val="false"/>
          <w:i w:val="false"/>
          <w:iCs w:val="false"/>
          <w:color w:val="333333"/>
          <w:sz w:val="20"/>
          <w:szCs w:val="20"/>
        </w:rPr>
        <w:t>33453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6658</Words>
  <Characters>24037</Characters>
  <CharactersWithSpaces>30530</CharactersWithSpaces>
  <Paragraphs>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2026-08-20T15:29:17Z</dcterms:created>
  <dc:creator>ghaemiyeh.com</dc:creator>
  <dc:description/>
  <dc:language>en-US</dc:language>
  <cp:lastModifiedBy/>
  <dcterms:modified xsi:type="dcterms:W3CDTF">2026-08-20T18:59:19Z</dcterms:modified>
  <cp:revision>1</cp:revision>
  <dc:subject/>
  <dc:title>آخرین گفتار باورها و دستاوردها</dc:title>
</cp:coreProperties>
</file>

<file path=docProps/custom.xml><?xml version="1.0" encoding="utf-8"?>
<Properties xmlns="http://schemas.openxmlformats.org/officeDocument/2006/custom-properties" xmlns:vt="http://schemas.openxmlformats.org/officeDocument/2006/docPropsVTypes"/>
</file>