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برخی از مبانی احکام روابط مسلمانان با غیرمسلمانان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012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2012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20128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620130_2870459653">
            <w:r>
              <w:rPr>
                <w:webHidden/>
                <w:rStyle w:val="IndexLink"/>
                <w:rtl w:val="true"/>
              </w:rPr>
              <w:t>سخن نخست</w:t>
            </w:r>
            <w:r>
              <w:rPr>
                <w:rStyle w:val="IndexLink"/>
                <w:rtl w:val="true"/>
              </w:rPr>
              <w:tab/>
            </w:r>
            <w:r>
              <w:rPr>
                <w:rStyle w:val="IndexLink"/>
              </w:rPr>
              <w:t>10</w:t>
            </w:r>
          </w:hyperlink>
        </w:p>
        <w:p>
          <w:pPr>
            <w:pStyle w:val="Contents2"/>
            <w:tabs>
              <w:tab w:val="clear" w:pos="8743"/>
              <w:tab w:val="right" w:pos="9026" w:leader="dot"/>
            </w:tabs>
            <w:rPr/>
          </w:pPr>
          <w:hyperlink w:anchor="__RefHeading___Toc5620132_2870459653">
            <w:r>
              <w:rPr>
                <w:webHidden/>
                <w:rStyle w:val="IndexLink"/>
                <w:rtl w:val="true"/>
              </w:rPr>
              <w:t>روابط مسلمانان با غیرمسلمانان</w:t>
            </w:r>
            <w:r>
              <w:rPr>
                <w:rStyle w:val="IndexLink"/>
                <w:rtl w:val="true"/>
              </w:rPr>
              <w:tab/>
            </w:r>
            <w:r>
              <w:rPr>
                <w:rStyle w:val="IndexLink"/>
              </w:rPr>
              <w:t>13</w:t>
            </w:r>
          </w:hyperlink>
        </w:p>
        <w:p>
          <w:pPr>
            <w:pStyle w:val="Contents3"/>
            <w:tabs>
              <w:tab w:val="clear" w:pos="8459"/>
              <w:tab w:val="right" w:pos="9026" w:leader="dot"/>
            </w:tabs>
            <w:rPr/>
          </w:pPr>
          <w:hyperlink w:anchor="__RefHeading___Toc5620134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620136_2870459653">
            <w:r>
              <w:rPr>
                <w:webHidden/>
                <w:rStyle w:val="IndexLink"/>
                <w:rtl w:val="true"/>
              </w:rPr>
              <w:t>الف</w:t>
            </w:r>
            <w:r>
              <w:rPr>
                <w:rStyle w:val="IndexLink"/>
                <w:rtl w:val="true"/>
              </w:rPr>
              <w:t xml:space="preserve">) </w:t>
            </w:r>
            <w:r>
              <w:rPr>
                <w:rStyle w:val="IndexLink"/>
                <w:rtl w:val="true"/>
              </w:rPr>
              <w:t>دین یک مجموعه‌ی جهان شمول و فرا زمانی با هدف واحد است</w:t>
            </w:r>
            <w:r>
              <w:rPr>
                <w:rStyle w:val="IndexLink"/>
                <w:rtl w:val="true"/>
              </w:rPr>
              <w:t>.</w:t>
              <w:tab/>
            </w:r>
            <w:r>
              <w:rPr>
                <w:rStyle w:val="IndexLink"/>
              </w:rPr>
              <w:t>14</w:t>
            </w:r>
          </w:hyperlink>
        </w:p>
        <w:p>
          <w:pPr>
            <w:pStyle w:val="Contents4"/>
            <w:tabs>
              <w:tab w:val="clear" w:pos="8176"/>
              <w:tab w:val="right" w:pos="9026" w:leader="dot"/>
            </w:tabs>
            <w:rPr/>
          </w:pPr>
          <w:hyperlink w:anchor="__RefHeading___Toc5620138_2870459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620140_2870459653">
            <w:r>
              <w:rPr>
                <w:webHidden/>
                <w:rStyle w:val="IndexLink"/>
              </w:rPr>
              <w:t>1</w:t>
            </w:r>
            <w:r>
              <w:rPr>
                <w:rStyle w:val="IndexLink"/>
                <w:rtl w:val="true"/>
              </w:rPr>
              <w:t xml:space="preserve">. </w:t>
            </w:r>
            <w:r>
              <w:rPr>
                <w:rStyle w:val="IndexLink"/>
                <w:rtl w:val="true"/>
              </w:rPr>
              <w:t>توجه به مبانی بالا دستی در استنباط</w:t>
            </w:r>
            <w:r>
              <w:rPr>
                <w:rStyle w:val="IndexLink"/>
                <w:rtl w:val="true"/>
              </w:rPr>
              <w:tab/>
            </w:r>
            <w:r>
              <w:rPr>
                <w:rStyle w:val="IndexLink"/>
              </w:rPr>
              <w:t>16</w:t>
            </w:r>
          </w:hyperlink>
        </w:p>
        <w:p>
          <w:pPr>
            <w:pStyle w:val="Contents4"/>
            <w:tabs>
              <w:tab w:val="clear" w:pos="8176"/>
              <w:tab w:val="right" w:pos="9026" w:leader="dot"/>
            </w:tabs>
            <w:rPr/>
          </w:pPr>
          <w:hyperlink w:anchor="__RefHeading___Toc5620142_2870459653">
            <w:r>
              <w:rPr>
                <w:webHidden/>
                <w:rStyle w:val="IndexLink"/>
              </w:rPr>
              <w:t>2</w:t>
            </w:r>
            <w:r>
              <w:rPr>
                <w:rStyle w:val="IndexLink"/>
                <w:rtl w:val="true"/>
              </w:rPr>
              <w:t xml:space="preserve">. </w:t>
            </w:r>
            <w:r>
              <w:rPr>
                <w:rStyle w:val="IndexLink"/>
                <w:rtl w:val="true"/>
              </w:rPr>
              <w:t>توجه به اصول در استنباط فروع</w:t>
            </w:r>
            <w:r>
              <w:rPr>
                <w:rStyle w:val="IndexLink"/>
                <w:rtl w:val="true"/>
              </w:rPr>
              <w:tab/>
            </w:r>
            <w:r>
              <w:rPr>
                <w:rStyle w:val="IndexLink"/>
              </w:rPr>
              <w:t>17</w:t>
            </w:r>
          </w:hyperlink>
        </w:p>
        <w:p>
          <w:pPr>
            <w:pStyle w:val="Contents3"/>
            <w:tabs>
              <w:tab w:val="clear" w:pos="8459"/>
              <w:tab w:val="right" w:pos="9026" w:leader="dot"/>
            </w:tabs>
            <w:rPr/>
          </w:pPr>
          <w:hyperlink w:anchor="__RefHeading___Toc5620144_2870459653">
            <w:r>
              <w:rPr>
                <w:webHidden/>
                <w:rStyle w:val="IndexLink"/>
                <w:rtl w:val="true"/>
              </w:rPr>
              <w:t>ب</w:t>
            </w:r>
            <w:r>
              <w:rPr>
                <w:rStyle w:val="IndexLink"/>
                <w:rtl w:val="true"/>
              </w:rPr>
              <w:t xml:space="preserve">) </w:t>
            </w:r>
            <w:r>
              <w:rPr>
                <w:rStyle w:val="IndexLink"/>
                <w:rtl w:val="true"/>
              </w:rPr>
              <w:t>التزام به جایگاه عقل در استنباط</w:t>
            </w:r>
            <w:r>
              <w:rPr>
                <w:rStyle w:val="IndexLink"/>
                <w:rtl w:val="true"/>
              </w:rPr>
              <w:tab/>
            </w:r>
            <w:r>
              <w:rPr>
                <w:rStyle w:val="IndexLink"/>
              </w:rPr>
              <w:t>26</w:t>
            </w:r>
          </w:hyperlink>
        </w:p>
        <w:p>
          <w:pPr>
            <w:pStyle w:val="Contents4"/>
            <w:tabs>
              <w:tab w:val="clear" w:pos="8176"/>
              <w:tab w:val="right" w:pos="9026" w:leader="dot"/>
            </w:tabs>
            <w:rPr/>
          </w:pPr>
          <w:hyperlink w:anchor="__RefHeading___Toc5620146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620148_2870459653">
            <w:r>
              <w:rPr>
                <w:webHidden/>
                <w:rStyle w:val="IndexLink"/>
              </w:rPr>
              <w:t>1</w:t>
            </w:r>
            <w:r>
              <w:rPr>
                <w:rStyle w:val="IndexLink"/>
                <w:rtl w:val="true"/>
              </w:rPr>
              <w:t xml:space="preserve">. </w:t>
            </w:r>
            <w:r>
              <w:rPr>
                <w:rStyle w:val="IndexLink"/>
                <w:rtl w:val="true"/>
              </w:rPr>
              <w:t>پذیرش انفتاح باب اجتهاد</w:t>
            </w:r>
            <w:r>
              <w:rPr>
                <w:rStyle w:val="IndexLink"/>
                <w:rtl w:val="true"/>
              </w:rPr>
              <w:tab/>
            </w:r>
            <w:r>
              <w:rPr>
                <w:rStyle w:val="IndexLink"/>
              </w:rPr>
              <w:t>27</w:t>
            </w:r>
          </w:hyperlink>
        </w:p>
        <w:p>
          <w:pPr>
            <w:pStyle w:val="Contents4"/>
            <w:tabs>
              <w:tab w:val="clear" w:pos="8176"/>
              <w:tab w:val="right" w:pos="9026" w:leader="dot"/>
            </w:tabs>
            <w:rPr/>
          </w:pPr>
          <w:hyperlink w:anchor="__RefHeading___Toc5620150_2870459653">
            <w:r>
              <w:rPr>
                <w:webHidden/>
                <w:rStyle w:val="IndexLink"/>
              </w:rPr>
              <w:t>2</w:t>
            </w:r>
            <w:r>
              <w:rPr>
                <w:rStyle w:val="IndexLink"/>
                <w:rtl w:val="true"/>
              </w:rPr>
              <w:t xml:space="preserve">. </w:t>
            </w:r>
            <w:r>
              <w:rPr>
                <w:rStyle w:val="IndexLink"/>
                <w:rtl w:val="true"/>
              </w:rPr>
              <w:t>درک تأثیر تحوّلات و اقتضائات زمان در فقه</w:t>
            </w:r>
            <w:r>
              <w:rPr>
                <w:rStyle w:val="IndexLink"/>
                <w:rtl w:val="true"/>
              </w:rPr>
              <w:tab/>
            </w:r>
            <w:r>
              <w:rPr>
                <w:rStyle w:val="IndexLink"/>
              </w:rPr>
              <w:t>31</w:t>
            </w:r>
          </w:hyperlink>
        </w:p>
        <w:p>
          <w:pPr>
            <w:pStyle w:val="Contents4"/>
            <w:tabs>
              <w:tab w:val="clear" w:pos="8176"/>
              <w:tab w:val="right" w:pos="9026" w:leader="dot"/>
            </w:tabs>
            <w:rPr/>
          </w:pPr>
          <w:hyperlink w:anchor="__RefHeading___Toc5620152_2870459653">
            <w:r>
              <w:rPr>
                <w:webHidden/>
                <w:rStyle w:val="IndexLink"/>
              </w:rPr>
              <w:t>3</w:t>
            </w:r>
            <w:r>
              <w:rPr>
                <w:rStyle w:val="IndexLink"/>
                <w:rtl w:val="true"/>
              </w:rPr>
              <w:t xml:space="preserve">. </w:t>
            </w:r>
            <w:r>
              <w:rPr>
                <w:rStyle w:val="IndexLink"/>
                <w:rtl w:val="true"/>
              </w:rPr>
              <w:t>تأثیر شرایط اجتماعی در احکام اجتماعی</w:t>
            </w:r>
            <w:r>
              <w:rPr>
                <w:rStyle w:val="IndexLink"/>
                <w:rtl w:val="true"/>
              </w:rPr>
              <w:tab/>
            </w:r>
            <w:r>
              <w:rPr>
                <w:rStyle w:val="IndexLink"/>
              </w:rPr>
              <w:t>39</w:t>
            </w:r>
          </w:hyperlink>
        </w:p>
        <w:p>
          <w:pPr>
            <w:pStyle w:val="Contents4"/>
            <w:tabs>
              <w:tab w:val="clear" w:pos="8176"/>
              <w:tab w:val="right" w:pos="9026" w:leader="dot"/>
            </w:tabs>
            <w:rPr/>
          </w:pPr>
          <w:hyperlink w:anchor="__RefHeading___Toc5620154_2870459653">
            <w:r>
              <w:rPr>
                <w:webHidden/>
                <w:rStyle w:val="IndexLink"/>
              </w:rPr>
              <w:t>4</w:t>
            </w:r>
            <w:r>
              <w:rPr>
                <w:rStyle w:val="IndexLink"/>
                <w:rtl w:val="true"/>
              </w:rPr>
              <w:t xml:space="preserve">. </w:t>
            </w:r>
            <w:r>
              <w:rPr>
                <w:rStyle w:val="IndexLink"/>
                <w:rtl w:val="true"/>
              </w:rPr>
              <w:t>بازشناسي امور تأسيسي از امور امضايي</w:t>
            </w:r>
            <w:r>
              <w:rPr>
                <w:rStyle w:val="IndexLink"/>
                <w:rtl w:val="true"/>
              </w:rPr>
              <w:tab/>
            </w:r>
            <w:r>
              <w:rPr>
                <w:rStyle w:val="IndexLink"/>
              </w:rPr>
              <w:t>45</w:t>
            </w:r>
          </w:hyperlink>
        </w:p>
        <w:p>
          <w:pPr>
            <w:pStyle w:val="Contents4"/>
            <w:tabs>
              <w:tab w:val="clear" w:pos="8176"/>
              <w:tab w:val="right" w:pos="9026" w:leader="dot"/>
            </w:tabs>
            <w:rPr/>
          </w:pPr>
          <w:hyperlink w:anchor="__RefHeading___Toc5620156_2870459653">
            <w:r>
              <w:rPr>
                <w:webHidden/>
                <w:rStyle w:val="IndexLink"/>
              </w:rPr>
              <w:t>5</w:t>
            </w:r>
            <w:r>
              <w:rPr>
                <w:rStyle w:val="IndexLink"/>
                <w:rtl w:val="true"/>
              </w:rPr>
              <w:t xml:space="preserve">. </w:t>
            </w:r>
            <w:r>
              <w:rPr>
                <w:rStyle w:val="IndexLink"/>
                <w:rtl w:val="true"/>
              </w:rPr>
              <w:t>توجه به مقام اجرا و عمل، در استنباط</w:t>
            </w:r>
            <w:r>
              <w:rPr>
                <w:rStyle w:val="IndexLink"/>
                <w:rtl w:val="true"/>
              </w:rPr>
              <w:tab/>
            </w:r>
            <w:r>
              <w:rPr>
                <w:rStyle w:val="IndexLink"/>
              </w:rPr>
              <w:t>47</w:t>
            </w:r>
          </w:hyperlink>
        </w:p>
        <w:p>
          <w:pPr>
            <w:pStyle w:val="Contents5"/>
            <w:tabs>
              <w:tab w:val="clear" w:pos="7892"/>
              <w:tab w:val="right" w:pos="9026" w:leader="dot"/>
            </w:tabs>
            <w:rPr/>
          </w:pPr>
          <w:hyperlink w:anchor="__RefHeading___Toc5620158_287045965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620160_2870459653">
            <w:r>
              <w:rPr>
                <w:webHidden/>
                <w:rStyle w:val="IndexLink"/>
                <w:rtl w:val="true"/>
              </w:rPr>
              <w:t>یکم</w:t>
            </w:r>
            <w:r>
              <w:rPr>
                <w:rStyle w:val="IndexLink"/>
                <w:rtl w:val="true"/>
              </w:rPr>
              <w:t xml:space="preserve">) </w:t>
            </w:r>
            <w:r>
              <w:rPr>
                <w:rStyle w:val="IndexLink"/>
                <w:rtl w:val="true"/>
              </w:rPr>
              <w:t>عملی بودن فتوا</w:t>
            </w:r>
            <w:r>
              <w:rPr>
                <w:rStyle w:val="IndexLink"/>
                <w:rtl w:val="true"/>
              </w:rPr>
              <w:tab/>
            </w:r>
            <w:r>
              <w:rPr>
                <w:rStyle w:val="IndexLink"/>
              </w:rPr>
              <w:t>47</w:t>
            </w:r>
          </w:hyperlink>
        </w:p>
        <w:p>
          <w:pPr>
            <w:pStyle w:val="Contents5"/>
            <w:tabs>
              <w:tab w:val="clear" w:pos="7892"/>
              <w:tab w:val="right" w:pos="9026" w:leader="dot"/>
            </w:tabs>
            <w:rPr/>
          </w:pPr>
          <w:hyperlink w:anchor="__RefHeading___Toc5620162_2870459653">
            <w:r>
              <w:rPr>
                <w:webHidden/>
                <w:rStyle w:val="IndexLink"/>
                <w:rtl w:val="true"/>
              </w:rPr>
              <w:t>دوم</w:t>
            </w:r>
            <w:r>
              <w:rPr>
                <w:rStyle w:val="IndexLink"/>
                <w:rtl w:val="true"/>
              </w:rPr>
              <w:t xml:space="preserve">) </w:t>
            </w:r>
            <w:r>
              <w:rPr>
                <w:rStyle w:val="IndexLink"/>
                <w:rtl w:val="true"/>
              </w:rPr>
              <w:t>پرهیز از احتیاطات فردی</w:t>
            </w:r>
            <w:r>
              <w:rPr>
                <w:rStyle w:val="IndexLink"/>
                <w:rtl w:val="true"/>
              </w:rPr>
              <w:tab/>
            </w:r>
            <w:r>
              <w:rPr>
                <w:rStyle w:val="IndexLink"/>
              </w:rPr>
              <w:t>51</w:t>
            </w:r>
          </w:hyperlink>
        </w:p>
        <w:p>
          <w:pPr>
            <w:pStyle w:val="Contents3"/>
            <w:tabs>
              <w:tab w:val="clear" w:pos="8459"/>
              <w:tab w:val="right" w:pos="9026" w:leader="dot"/>
            </w:tabs>
            <w:rPr/>
          </w:pPr>
          <w:hyperlink w:anchor="__RefHeading___Toc5620164_2870459653">
            <w:r>
              <w:rPr>
                <w:webHidden/>
                <w:rStyle w:val="IndexLink"/>
                <w:rtl w:val="true"/>
              </w:rPr>
              <w:t>ج</w:t>
            </w:r>
            <w:r>
              <w:rPr>
                <w:rStyle w:val="IndexLink"/>
                <w:rtl w:val="true"/>
              </w:rPr>
              <w:t xml:space="preserve">) </w:t>
            </w:r>
            <w:r>
              <w:rPr>
                <w:rStyle w:val="IndexLink"/>
                <w:rtl w:val="true"/>
              </w:rPr>
              <w:t>نگرش به غیر مسلمان بر اساس فرهنگ قرآن</w:t>
            </w:r>
            <w:r>
              <w:rPr>
                <w:rStyle w:val="IndexLink"/>
                <w:rtl w:val="true"/>
              </w:rPr>
              <w:tab/>
            </w:r>
            <w:r>
              <w:rPr>
                <w:rStyle w:val="IndexLink"/>
              </w:rPr>
              <w:t>53</w:t>
            </w:r>
          </w:hyperlink>
        </w:p>
        <w:p>
          <w:pPr>
            <w:pStyle w:val="Contents4"/>
            <w:tabs>
              <w:tab w:val="clear" w:pos="8176"/>
              <w:tab w:val="right" w:pos="9026" w:leader="dot"/>
            </w:tabs>
            <w:rPr/>
          </w:pPr>
          <w:hyperlink w:anchor="__RefHeading___Toc5620166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620168_2870459653">
            <w:r>
              <w:rPr>
                <w:webHidden/>
                <w:rStyle w:val="IndexLink"/>
              </w:rPr>
              <w:t>1</w:t>
            </w:r>
            <w:r>
              <w:rPr>
                <w:rStyle w:val="IndexLink"/>
                <w:rtl w:val="true"/>
              </w:rPr>
              <w:t xml:space="preserve">. </w:t>
            </w:r>
            <w:r>
              <w:rPr>
                <w:rStyle w:val="IndexLink"/>
                <w:rtl w:val="true"/>
              </w:rPr>
              <w:t>برابری مسلمان و غیر مسلمان در خون و خون‌بها</w:t>
            </w:r>
            <w:r>
              <w:rPr>
                <w:rStyle w:val="IndexLink"/>
                <w:rtl w:val="true"/>
              </w:rPr>
              <w:tab/>
            </w:r>
            <w:r>
              <w:rPr>
                <w:rStyle w:val="IndexLink"/>
              </w:rPr>
              <w:t>71</w:t>
            </w:r>
          </w:hyperlink>
        </w:p>
        <w:p>
          <w:pPr>
            <w:pStyle w:val="Contents5"/>
            <w:tabs>
              <w:tab w:val="clear" w:pos="7892"/>
              <w:tab w:val="right" w:pos="9026" w:leader="dot"/>
            </w:tabs>
            <w:rPr/>
          </w:pPr>
          <w:hyperlink w:anchor="__RefHeading___Toc5620170_287045965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5620172_2870459653">
            <w:r>
              <w:rPr>
                <w:webHidden/>
                <w:rStyle w:val="IndexLink"/>
                <w:rtl w:val="true"/>
              </w:rPr>
              <w:t>الف</w:t>
            </w:r>
            <w:r>
              <w:rPr>
                <w:rStyle w:val="IndexLink"/>
                <w:rtl w:val="true"/>
              </w:rPr>
              <w:t xml:space="preserve">) </w:t>
            </w:r>
            <w:r>
              <w:rPr>
                <w:rStyle w:val="IndexLink"/>
                <w:rtl w:val="true"/>
              </w:rPr>
              <w:t>كشتن غيرمسلمان توسط مسلمان</w:t>
            </w:r>
            <w:r>
              <w:rPr>
                <w:rStyle w:val="IndexLink"/>
                <w:rtl w:val="true"/>
              </w:rPr>
              <w:tab/>
            </w:r>
            <w:r>
              <w:rPr>
                <w:rStyle w:val="IndexLink"/>
              </w:rPr>
              <w:t>71</w:t>
            </w:r>
          </w:hyperlink>
        </w:p>
        <w:p>
          <w:pPr>
            <w:pStyle w:val="Contents5"/>
            <w:tabs>
              <w:tab w:val="clear" w:pos="7892"/>
              <w:tab w:val="right" w:pos="9026" w:leader="dot"/>
            </w:tabs>
            <w:rPr/>
          </w:pPr>
          <w:hyperlink w:anchor="__RefHeading___Toc5620174_2870459653">
            <w:r>
              <w:rPr>
                <w:webHidden/>
                <w:rStyle w:val="IndexLink"/>
                <w:rtl w:val="true"/>
              </w:rPr>
              <w:t>ب</w:t>
            </w:r>
            <w:r>
              <w:rPr>
                <w:rStyle w:val="IndexLink"/>
                <w:rtl w:val="true"/>
              </w:rPr>
              <w:t xml:space="preserve">) </w:t>
            </w:r>
            <w:r>
              <w:rPr>
                <w:rStyle w:val="IndexLink"/>
                <w:rtl w:val="true"/>
              </w:rPr>
              <w:t>كشتن مسلمان توسط غيرمسلمان</w:t>
            </w:r>
            <w:r>
              <w:rPr>
                <w:rStyle w:val="IndexLink"/>
                <w:rtl w:val="true"/>
              </w:rPr>
              <w:tab/>
            </w:r>
            <w:r>
              <w:rPr>
                <w:rStyle w:val="IndexLink"/>
              </w:rPr>
              <w:t>73</w:t>
            </w:r>
          </w:hyperlink>
        </w:p>
        <w:p>
          <w:pPr>
            <w:pStyle w:val="Contents4"/>
            <w:tabs>
              <w:tab w:val="clear" w:pos="8176"/>
              <w:tab w:val="right" w:pos="9026" w:leader="dot"/>
            </w:tabs>
            <w:rPr/>
          </w:pPr>
          <w:hyperlink w:anchor="__RefHeading___Toc5620176_2870459653">
            <w:r>
              <w:rPr>
                <w:webHidden/>
                <w:rStyle w:val="IndexLink"/>
              </w:rPr>
              <w:t>2</w:t>
            </w:r>
            <w:r>
              <w:rPr>
                <w:rStyle w:val="IndexLink"/>
                <w:rtl w:val="true"/>
              </w:rPr>
              <w:t xml:space="preserve">. </w:t>
            </w:r>
            <w:r>
              <w:rPr>
                <w:rStyle w:val="IndexLink"/>
                <w:rtl w:val="true"/>
              </w:rPr>
              <w:t>برابری قصاص در آیات قرآن</w:t>
            </w:r>
            <w:r>
              <w:rPr>
                <w:rStyle w:val="IndexLink"/>
                <w:rtl w:val="true"/>
              </w:rPr>
              <w:tab/>
            </w:r>
            <w:r>
              <w:rPr>
                <w:rStyle w:val="IndexLink"/>
              </w:rPr>
              <w:t>73</w:t>
            </w:r>
          </w:hyperlink>
        </w:p>
        <w:p>
          <w:pPr>
            <w:pStyle w:val="Contents5"/>
            <w:tabs>
              <w:tab w:val="clear" w:pos="7892"/>
              <w:tab w:val="right" w:pos="9026" w:leader="dot"/>
            </w:tabs>
            <w:rPr/>
          </w:pPr>
          <w:hyperlink w:anchor="__RefHeading___Toc5620178_287045965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5620180_2870459653">
            <w:r>
              <w:rPr>
                <w:webHidden/>
                <w:rStyle w:val="IndexLink"/>
                <w:rtl w:val="true"/>
              </w:rPr>
              <w:t>الف</w:t>
            </w:r>
            <w:r>
              <w:rPr>
                <w:rStyle w:val="IndexLink"/>
                <w:rtl w:val="true"/>
              </w:rPr>
              <w:t xml:space="preserve">) </w:t>
            </w:r>
            <w:r>
              <w:rPr>
                <w:rStyle w:val="IndexLink"/>
                <w:rtl w:val="true"/>
              </w:rPr>
              <w:t>آيات خاص</w:t>
            </w:r>
            <w:r>
              <w:rPr>
                <w:rStyle w:val="IndexLink"/>
                <w:rtl w:val="true"/>
              </w:rPr>
              <w:tab/>
            </w:r>
            <w:r>
              <w:rPr>
                <w:rStyle w:val="IndexLink"/>
              </w:rPr>
              <w:t>73</w:t>
            </w:r>
          </w:hyperlink>
        </w:p>
        <w:p>
          <w:pPr>
            <w:pStyle w:val="Contents5"/>
            <w:tabs>
              <w:tab w:val="clear" w:pos="7892"/>
              <w:tab w:val="right" w:pos="9026" w:leader="dot"/>
            </w:tabs>
            <w:rPr/>
          </w:pPr>
          <w:hyperlink w:anchor="__RefHeading___Toc5620182_2870459653">
            <w:r>
              <w:rPr>
                <w:webHidden/>
                <w:rStyle w:val="IndexLink"/>
                <w:rtl w:val="true"/>
              </w:rPr>
              <w:t>ب</w:t>
            </w:r>
            <w:r>
              <w:rPr>
                <w:rStyle w:val="IndexLink"/>
                <w:rtl w:val="true"/>
              </w:rPr>
              <w:t xml:space="preserve">) </w:t>
            </w:r>
            <w:r>
              <w:rPr>
                <w:rStyle w:val="IndexLink"/>
                <w:rtl w:val="true"/>
              </w:rPr>
              <w:t>آيات عام</w:t>
            </w:r>
            <w:r>
              <w:rPr>
                <w:rStyle w:val="IndexLink"/>
                <w:rtl w:val="true"/>
              </w:rPr>
              <w:tab/>
            </w:r>
            <w:r>
              <w:rPr>
                <w:rStyle w:val="IndexLink"/>
              </w:rPr>
              <w:t>75</w:t>
            </w:r>
          </w:hyperlink>
        </w:p>
        <w:p>
          <w:pPr>
            <w:pStyle w:val="Contents4"/>
            <w:tabs>
              <w:tab w:val="clear" w:pos="8176"/>
              <w:tab w:val="right" w:pos="9026" w:leader="dot"/>
            </w:tabs>
            <w:rPr/>
          </w:pPr>
          <w:hyperlink w:anchor="__RefHeading___Toc5620184_2870459653">
            <w:r>
              <w:rPr>
                <w:webHidden/>
                <w:rStyle w:val="IndexLink"/>
              </w:rPr>
              <w:t>3</w:t>
            </w:r>
            <w:r>
              <w:rPr>
                <w:rStyle w:val="IndexLink"/>
                <w:rtl w:val="true"/>
              </w:rPr>
              <w:t xml:space="preserve">. </w:t>
            </w:r>
            <w:r>
              <w:rPr>
                <w:rStyle w:val="IndexLink"/>
                <w:rtl w:val="true"/>
              </w:rPr>
              <w:t>برابرى ديه مسلمان و غير مسلمان</w:t>
            </w:r>
            <w:r>
              <w:rPr>
                <w:rStyle w:val="IndexLink"/>
                <w:rtl w:val="true"/>
              </w:rPr>
              <w:tab/>
            </w:r>
            <w:r>
              <w:rPr>
                <w:rStyle w:val="IndexLink"/>
              </w:rPr>
              <w:t>87</w:t>
            </w:r>
          </w:hyperlink>
        </w:p>
        <w:p>
          <w:pPr>
            <w:pStyle w:val="Contents2"/>
            <w:tabs>
              <w:tab w:val="clear" w:pos="8743"/>
              <w:tab w:val="right" w:pos="9026" w:leader="dot"/>
            </w:tabs>
            <w:rPr/>
          </w:pPr>
          <w:hyperlink w:anchor="__RefHeading___Toc5620186_2870459653">
            <w:r>
              <w:rPr>
                <w:webHidden/>
                <w:rStyle w:val="IndexLink"/>
                <w:rtl w:val="true"/>
              </w:rPr>
              <w:t>کتابنامه</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4_76400"/>
      <w:bookmarkStart w:id="1" w:name="pg9404_76400"/>
      <w:bookmarkEnd w:id="1"/>
    </w:p>
    <w:p>
      <w:pPr>
        <w:pStyle w:val="Heading2"/>
        <w:numPr>
          <w:ilvl w:val="1"/>
          <w:numId w:val="1"/>
        </w:numPr>
        <w:rPr/>
      </w:pPr>
      <w:bookmarkStart w:id="2" w:name="pg9404_76400"/>
      <w:bookmarkStart w:id="3" w:name="__RefHeading___Toc562012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مبانی احکام روابط مسلمانان با غیرمسلمانان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صانعی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فقه‌الثقلین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Saanei. Som of the bases for the laws governing the relations between muslim and non- muslims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اقلیت‌های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اقلیت‌های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4064718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012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 فقه الثقلین </w:t>
      </w:r>
    </w:p>
    <w:p>
      <w:pPr>
        <w:pStyle w:val="BookText"/>
        <w:rPr/>
      </w:pPr>
      <w:r>
        <w:rPr>
          <w:rFonts w:ascii="IRNazanin" w:hAnsi="IRNazanin" w:eastAsia="IRNazanin"/>
          <w:color w:val="111111"/>
          <w:sz w:val="28"/>
          <w:sz w:val="28"/>
          <w:szCs w:val="28"/>
          <w:rtl w:val="true"/>
          <w:lang w:bidi="fa-IR"/>
        </w:rPr>
        <w:t>پاسخ به مسایل شرعی</w:t>
      </w:r>
    </w:p>
    <w:p>
      <w:pPr>
        <w:pStyle w:val="BookText"/>
        <w:rPr/>
      </w:pPr>
      <w:r>
        <w:rPr>
          <w:rFonts w:ascii="IRNazanin" w:hAnsi="IRNazanin" w:eastAsia="IRNazanin"/>
          <w:color w:val="111111"/>
          <w:sz w:val="28"/>
          <w:sz w:val="28"/>
          <w:szCs w:val="28"/>
          <w:rtl w:val="true"/>
          <w:lang w:bidi="fa-IR"/>
        </w:rPr>
        <w:t>دفتر حضرت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الله العظمی صانعی مدظلّه العالی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37744767</w:t>
      </w:r>
      <w:r>
        <w:rPr>
          <w:rFonts w:eastAsia="IRNazanin" w:cs="IRNazanin"/>
          <w:color w:val="111111"/>
          <w:sz w:val="28"/>
          <w:szCs w:val="28"/>
          <w:rtl w:val="true"/>
          <w:lang w:bidi="fa-IR"/>
        </w:rPr>
        <w:t xml:space="preserve"> / </w:t>
      </w:r>
      <w:r>
        <w:rPr>
          <w:rFonts w:eastAsia="IRNazanin" w:cs="IRNazanin"/>
          <w:color w:val="111111"/>
          <w:sz w:val="28"/>
          <w:szCs w:val="28"/>
          <w:lang w:bidi="fa-IR"/>
        </w:rPr>
        <w:t>37744010</w:t>
      </w:r>
      <w:r>
        <w:rPr>
          <w:rFonts w:eastAsia="IRNazanin" w:cs="IRNazanin"/>
          <w:color w:val="111111"/>
          <w:sz w:val="28"/>
          <w:szCs w:val="28"/>
          <w:rtl w:val="true"/>
          <w:lang w:bidi="fa-IR"/>
        </w:rPr>
        <w:t xml:space="preserve"> / </w:t>
      </w:r>
      <w:r>
        <w:rPr>
          <w:rFonts w:eastAsia="IRNazanin" w:cs="IRNazanin"/>
          <w:color w:val="111111"/>
          <w:sz w:val="28"/>
          <w:szCs w:val="28"/>
          <w:lang w:bidi="fa-IR"/>
        </w:rPr>
        <w:t>37744009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37831662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37831660</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37735080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شهید محمد منتظری، کوچة هشتم ، پلاک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دفاتر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66564001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66409278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22885300</w:t>
      </w:r>
      <w:r>
        <w:rPr>
          <w:rFonts w:eastAsia="IRNazanin" w:cs="IRNazanin"/>
          <w:color w:val="111111"/>
          <w:sz w:val="28"/>
          <w:szCs w:val="28"/>
          <w:rtl w:val="true"/>
          <w:lang w:bidi="fa-IR"/>
        </w:rPr>
        <w:t xml:space="preserve"> / </w:t>
      </w:r>
      <w:r>
        <w:rPr>
          <w:rFonts w:eastAsia="IRNazanin" w:cs="IRNazanin"/>
          <w:color w:val="111111"/>
          <w:sz w:val="28"/>
          <w:szCs w:val="28"/>
          <w:lang w:bidi="fa-IR"/>
        </w:rPr>
        <w:t>22884600</w:t>
      </w:r>
      <w:r>
        <w:rPr>
          <w:rFonts w:eastAsia="IRNazanin" w:cs="IRNazanin"/>
          <w:color w:val="111111"/>
          <w:sz w:val="28"/>
          <w:szCs w:val="28"/>
          <w:rtl w:val="true"/>
          <w:lang w:bidi="fa-IR"/>
        </w:rPr>
        <w:t xml:space="preserve"> / </w:t>
      </w:r>
      <w:r>
        <w:rPr>
          <w:rFonts w:eastAsia="IRNazanin" w:cs="IRNazanin"/>
          <w:color w:val="111111"/>
          <w:sz w:val="28"/>
          <w:szCs w:val="28"/>
          <w:lang w:bidi="fa-IR"/>
        </w:rPr>
        <w:t>22768181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22847095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88583415</w:t>
      </w:r>
      <w:r>
        <w:rPr>
          <w:rFonts w:eastAsia="IRNazanin" w:cs="IRNazanin"/>
          <w:color w:val="111111"/>
          <w:sz w:val="28"/>
          <w:szCs w:val="28"/>
          <w:rtl w:val="true"/>
          <w:lang w:bidi="fa-IR"/>
        </w:rPr>
        <w:t xml:space="preserve"> / </w:t>
      </w:r>
      <w:r>
        <w:rPr>
          <w:rFonts w:eastAsia="IRNazanin" w:cs="IRNazanin"/>
          <w:color w:val="111111"/>
          <w:sz w:val="28"/>
          <w:szCs w:val="28"/>
          <w:lang w:bidi="fa-IR"/>
        </w:rPr>
        <w:t>88583425</w:t>
      </w:r>
      <w:r>
        <w:rPr>
          <w:rFonts w:eastAsia="IRNazanin" w:cs="IRNazanin"/>
          <w:color w:val="111111"/>
          <w:sz w:val="28"/>
          <w:szCs w:val="28"/>
          <w:rtl w:val="true"/>
          <w:lang w:bidi="fa-IR"/>
        </w:rPr>
        <w:t xml:space="preserve"> / </w:t>
      </w:r>
      <w:r>
        <w:rPr>
          <w:rFonts w:eastAsia="IRNazanin" w:cs="IRNazanin"/>
          <w:color w:val="111111"/>
          <w:sz w:val="28"/>
          <w:szCs w:val="28"/>
          <w:lang w:bidi="fa-IR"/>
        </w:rPr>
        <w:t>88582697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88580821</w:t>
      </w:r>
    </w:p>
    <w:p>
      <w:pPr>
        <w:pStyle w:val="BookText"/>
        <w:rPr/>
      </w:pPr>
      <w:r>
        <w:rPr>
          <w:rFonts w:ascii="IRNazanin" w:hAnsi="IRNazanin" w:eastAsia="IRNazanin"/>
          <w:color w:val="111111"/>
          <w:sz w:val="28"/>
          <w:sz w:val="28"/>
          <w:szCs w:val="28"/>
          <w:rtl w:val="true"/>
          <w:lang w:bidi="fa-IR"/>
        </w:rPr>
        <w:t>دفتر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32251152</w:t>
      </w:r>
      <w:r>
        <w:rPr>
          <w:rFonts w:eastAsia="IRNazanin" w:cs="IRNazanin"/>
          <w:color w:val="111111"/>
          <w:sz w:val="28"/>
          <w:szCs w:val="28"/>
          <w:rtl w:val="true"/>
          <w:lang w:bidi="fa-IR"/>
        </w:rPr>
        <w:t xml:space="preserve"> / </w:t>
      </w:r>
      <w:r>
        <w:rPr>
          <w:rFonts w:eastAsia="IRNazanin" w:cs="IRNazanin"/>
          <w:color w:val="111111"/>
          <w:sz w:val="28"/>
          <w:szCs w:val="28"/>
          <w:lang w:bidi="fa-IR"/>
        </w:rPr>
        <w:t>32222277</w:t>
      </w:r>
      <w:r>
        <w:rPr>
          <w:rFonts w:eastAsia="IRNazanin" w:cs="IRNazanin"/>
          <w:color w:val="111111"/>
          <w:sz w:val="28"/>
          <w:szCs w:val="28"/>
          <w:rtl w:val="true"/>
          <w:lang w:bidi="fa-IR"/>
        </w:rPr>
        <w:t xml:space="preserve"> / </w:t>
      </w:r>
      <w:r>
        <w:rPr>
          <w:rFonts w:eastAsia="IRNazanin" w:cs="IRNazanin"/>
          <w:color w:val="111111"/>
          <w:sz w:val="28"/>
          <w:szCs w:val="28"/>
          <w:lang w:bidi="fa-IR"/>
        </w:rPr>
        <w:t>32210002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32230324</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34497660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34493391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اصفهان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36271093</w:t>
      </w:r>
      <w:r>
        <w:rPr>
          <w:rFonts w:eastAsia="IRNazanin" w:cs="IRNazanin"/>
          <w:color w:val="111111"/>
          <w:sz w:val="28"/>
          <w:szCs w:val="28"/>
          <w:rtl w:val="true"/>
          <w:lang w:bidi="fa-IR"/>
        </w:rPr>
        <w:t xml:space="preserve"> / </w:t>
      </w:r>
      <w:r>
        <w:rPr>
          <w:rFonts w:eastAsia="IRNazanin" w:cs="IRNazanin"/>
          <w:color w:val="111111"/>
          <w:sz w:val="28"/>
          <w:szCs w:val="28"/>
          <w:lang w:bidi="fa-IR"/>
        </w:rPr>
        <w:t>36281917</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اصفهان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42621173</w:t>
      </w:r>
      <w:r>
        <w:rPr>
          <w:rFonts w:eastAsia="IRNazanin" w:cs="IRNazanin"/>
          <w:color w:val="111111"/>
          <w:sz w:val="28"/>
          <w:szCs w:val="28"/>
          <w:rtl w:val="true"/>
          <w:lang w:bidi="fa-IR"/>
        </w:rPr>
        <w:t xml:space="preserve"> / </w:t>
      </w:r>
      <w:r>
        <w:rPr>
          <w:rFonts w:eastAsia="IRNazanin" w:cs="IRNazanin"/>
          <w:color w:val="111111"/>
          <w:sz w:val="28"/>
          <w:szCs w:val="28"/>
          <w:lang w:bidi="fa-IR"/>
        </w:rPr>
        <w:t>42616551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32243334</w:t>
      </w:r>
      <w:r>
        <w:rPr>
          <w:rFonts w:eastAsia="IRNazanin" w:cs="IRNazanin"/>
          <w:color w:val="111111"/>
          <w:sz w:val="28"/>
          <w:szCs w:val="28"/>
          <w:rtl w:val="true"/>
          <w:lang w:bidi="fa-IR"/>
        </w:rPr>
        <w:t xml:space="preserve"> / </w:t>
      </w:r>
      <w:r>
        <w:rPr>
          <w:rFonts w:eastAsia="IRNazanin" w:cs="IRNazanin"/>
          <w:color w:val="111111"/>
          <w:sz w:val="28"/>
          <w:szCs w:val="28"/>
          <w:lang w:bidi="fa-IR"/>
        </w:rPr>
        <w:t>32243498</w:t>
      </w:r>
      <w:r>
        <w:rPr>
          <w:rFonts w:eastAsia="IRNazanin" w:cs="IRNazanin"/>
          <w:color w:val="111111"/>
          <w:sz w:val="28"/>
          <w:szCs w:val="28"/>
          <w:rtl w:val="true"/>
          <w:lang w:bidi="fa-IR"/>
        </w:rPr>
        <w:t xml:space="preserve"> / </w:t>
      </w:r>
      <w:r>
        <w:rPr>
          <w:rFonts w:eastAsia="IRNazanin" w:cs="IRNazanin"/>
          <w:color w:val="111111"/>
          <w:sz w:val="28"/>
          <w:szCs w:val="28"/>
          <w:lang w:bidi="fa-IR"/>
        </w:rPr>
        <w:t>32222294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32226700</w:t>
      </w:r>
      <w:r>
        <w:rPr>
          <w:rFonts w:eastAsia="IRNazanin" w:cs="IRNazanin"/>
          <w:color w:val="111111"/>
          <w:sz w:val="28"/>
          <w:szCs w:val="28"/>
          <w:rtl w:val="true"/>
          <w:lang w:bidi="fa-IR"/>
        </w:rPr>
        <w:t xml:space="preserve"> (</w:t>
      </w:r>
      <w:r>
        <w:rPr>
          <w:rFonts w:eastAsia="IRNazanin" w:cs="IRNazanin"/>
          <w:color w:val="111111"/>
          <w:sz w:val="28"/>
          <w:szCs w:val="28"/>
          <w:lang w:bidi="fa-IR"/>
        </w:rPr>
        <w:t>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32272300</w:t>
      </w:r>
      <w:r>
        <w:rPr>
          <w:rFonts w:eastAsia="IRNazanin" w:cs="IRNazanin"/>
          <w:color w:val="111111"/>
          <w:sz w:val="28"/>
          <w:szCs w:val="28"/>
          <w:rtl w:val="true"/>
          <w:lang w:bidi="fa-IR"/>
        </w:rPr>
        <w:t xml:space="preserve"> / </w:t>
      </w:r>
      <w:r>
        <w:rPr>
          <w:rFonts w:eastAsia="IRNazanin" w:cs="IRNazanin"/>
          <w:color w:val="111111"/>
          <w:sz w:val="28"/>
          <w:szCs w:val="28"/>
          <w:lang w:bidi="fa-IR"/>
        </w:rPr>
        <w:t>32272200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32259777</w:t>
      </w:r>
      <w:r>
        <w:rPr>
          <w:rFonts w:eastAsia="IRNazanin" w:cs="IRNazanin"/>
          <w:color w:val="111111"/>
          <w:sz w:val="28"/>
          <w:szCs w:val="28"/>
          <w:rtl w:val="true"/>
          <w:lang w:bidi="fa-IR"/>
        </w:rPr>
        <w:t xml:space="preserve"> (</w:t>
      </w:r>
      <w:r>
        <w:rPr>
          <w:rFonts w:eastAsia="IRNazanin" w:cs="IRNazanin"/>
          <w:color w:val="111111"/>
          <w:sz w:val="28"/>
          <w:szCs w:val="28"/>
          <w:lang w:bidi="fa-IR"/>
        </w:rPr>
        <w:t>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35264626</w:t>
      </w:r>
      <w:r>
        <w:rPr>
          <w:rFonts w:eastAsia="IRNazanin" w:cs="IRNazanin"/>
          <w:color w:val="111111"/>
          <w:sz w:val="28"/>
          <w:szCs w:val="28"/>
          <w:rtl w:val="true"/>
          <w:lang w:bidi="fa-IR"/>
        </w:rPr>
        <w:t xml:space="preserve"> / </w:t>
      </w:r>
      <w:r>
        <w:rPr>
          <w:rFonts w:eastAsia="IRNazanin" w:cs="IRNazanin"/>
          <w:color w:val="111111"/>
          <w:sz w:val="28"/>
          <w:szCs w:val="28"/>
          <w:lang w:bidi="fa-IR"/>
        </w:rPr>
        <w:t>35232023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35252774</w:t>
      </w:r>
      <w:r>
        <w:rPr>
          <w:rFonts w:eastAsia="IRNazanin" w:cs="IRNazanin"/>
          <w:color w:val="111111"/>
          <w:sz w:val="28"/>
          <w:szCs w:val="28"/>
          <w:rtl w:val="true"/>
          <w:lang w:bidi="fa-IR"/>
        </w:rPr>
        <w:t xml:space="preserve"> (</w:t>
      </w:r>
      <w:r>
        <w:rPr>
          <w:rFonts w:eastAsia="IRNazanin" w:cs="IRNazanin"/>
          <w:color w:val="111111"/>
          <w:sz w:val="28"/>
          <w:szCs w:val="28"/>
          <w:lang w:bidi="fa-IR"/>
        </w:rPr>
        <w:t>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32233270</w:t>
      </w:r>
      <w:r>
        <w:rPr>
          <w:rFonts w:eastAsia="IRNazanin" w:cs="IRNazanin"/>
          <w:color w:val="111111"/>
          <w:sz w:val="28"/>
          <w:szCs w:val="28"/>
          <w:rtl w:val="true"/>
          <w:lang w:bidi="fa-IR"/>
        </w:rPr>
        <w:t xml:space="preserve"> / </w:t>
      </w:r>
      <w:r>
        <w:rPr>
          <w:rFonts w:eastAsia="IRNazanin" w:cs="IRNazanin"/>
          <w:color w:val="111111"/>
          <w:sz w:val="28"/>
          <w:szCs w:val="28"/>
          <w:lang w:bidi="fa-IR"/>
        </w:rPr>
        <w:t>32332270</w:t>
      </w:r>
      <w:r>
        <w:rPr>
          <w:rFonts w:eastAsia="IRNazanin" w:cs="IRNazanin"/>
          <w:color w:val="111111"/>
          <w:sz w:val="28"/>
          <w:szCs w:val="28"/>
          <w:rtl w:val="true"/>
          <w:lang w:bidi="fa-IR"/>
        </w:rPr>
        <w:t xml:space="preserve"> (</w:t>
      </w:r>
      <w:r>
        <w:rPr>
          <w:rFonts w:eastAsia="IRNazanin" w:cs="IRNazanin"/>
          <w:color w:val="111111"/>
          <w:sz w:val="28"/>
          <w:szCs w:val="28"/>
          <w:lang w:bidi="fa-IR"/>
        </w:rPr>
        <w:t>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به مسایل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37831660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09122510007</w:t>
      </w:r>
    </w:p>
    <w:p>
      <w:pPr>
        <w:pStyle w:val="BookText"/>
        <w:rPr/>
      </w:pPr>
      <w:r>
        <w:rPr>
          <w:rFonts w:ascii="IRNazanin" w:hAnsi="IRNazanin" w:eastAsia="IRNazanin"/>
          <w:color w:val="111111"/>
          <w:sz w:val="28"/>
          <w:sz w:val="28"/>
          <w:szCs w:val="28"/>
          <w:rtl w:val="true"/>
          <w:lang w:bidi="fa-IR"/>
        </w:rPr>
        <w:t>آدرس اینترنت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www.saanei.org</w:t>
      </w:r>
    </w:p>
    <w:p>
      <w:pPr>
        <w:pStyle w:val="BookText"/>
        <w:rPr/>
      </w:pPr>
      <w:r>
        <w:rPr>
          <w:rFonts w:ascii="IRNazanin" w:hAnsi="IRNazanin" w:eastAsia="IRNazanin"/>
          <w:color w:val="111111"/>
          <w:sz w:val="28"/>
          <w:sz w:val="28"/>
          <w:szCs w:val="28"/>
          <w:rtl w:val="true"/>
          <w:lang w:bidi="fa-IR"/>
        </w:rPr>
        <w:t>پاسخ به استفتائات</w:t>
      </w:r>
      <w:r>
        <w:rPr>
          <w:rFonts w:eastAsia="Times New Roman" w:cs="Times New Roman" w:ascii="Times New Roman" w:hAnsi="Times New Roman"/>
          <w:color w:val="111111"/>
          <w:sz w:val="28"/>
          <w:szCs w:val="28"/>
          <w:lang w:val="en-US" w:bidi="en-US"/>
        </w:rPr>
        <w:t>Istifta @ saanei.org</w:t>
      </w:r>
    </w:p>
    <w:p>
      <w:pPr>
        <w:pStyle w:val="BookText"/>
        <w:rPr/>
      </w:pPr>
      <w:r>
        <w:rPr>
          <w:rFonts w:ascii="IRNazanin" w:hAnsi="IRNazanin" w:eastAsia="IRNazanin"/>
          <w:color w:val="111111"/>
          <w:sz w:val="28"/>
          <w:sz w:val="28"/>
          <w:szCs w:val="28"/>
          <w:rtl w:val="true"/>
          <w:lang w:bidi="fa-IR"/>
        </w:rPr>
        <w:t>تماس با دفتر معظّم له</w:t>
      </w:r>
      <w:r>
        <w:rPr>
          <w:rFonts w:eastAsia="Times New Roman" w:cs="Times New Roman" w:ascii="Times New Roman" w:hAnsi="Times New Roman"/>
          <w:color w:val="111111"/>
          <w:sz w:val="28"/>
          <w:szCs w:val="28"/>
          <w:lang w:val="en-US" w:bidi="en-US"/>
        </w:rPr>
        <w:t>Saanei @ saanei.org</w:t>
      </w:r>
    </w:p>
    <w:p>
      <w:pPr>
        <w:pStyle w:val="BookText"/>
        <w:rPr/>
      </w:pPr>
      <w:r>
        <w:rPr>
          <w:rFonts w:ascii="IRNazanin" w:hAnsi="IRNazanin" w:eastAsia="IRNazanin"/>
          <w:color w:val="111111"/>
          <w:sz w:val="28"/>
          <w:sz w:val="28"/>
          <w:szCs w:val="28"/>
          <w:rtl w:val="true"/>
          <w:lang w:bidi="fa-IR"/>
        </w:rPr>
        <w:t>تهیه کتاب</w:t>
      </w:r>
      <w:r>
        <w:rPr>
          <w:rFonts w:eastAsia="Times New Roman" w:cs="Times New Roman" w:ascii="Times New Roman" w:hAnsi="Times New Roman"/>
          <w:color w:val="111111"/>
          <w:sz w:val="28"/>
          <w:szCs w:val="28"/>
          <w:lang w:val="en-US" w:bidi="en-US"/>
        </w:rPr>
        <w:t>Info @ saanei.org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پیام کوتاه</w:t>
      </w:r>
      <w:r>
        <w:rPr>
          <w:rFonts w:eastAsia="IRNazanin" w:cs="IRNazanin"/>
          <w:color w:val="111111"/>
          <w:sz w:val="28"/>
          <w:szCs w:val="28"/>
          <w:lang w:bidi="fa-IR"/>
        </w:rPr>
        <w:t>30007960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مبانی احکام</w:t>
      </w:r>
    </w:p>
    <w:p>
      <w:pPr>
        <w:pStyle w:val="BookText"/>
        <w:rPr/>
      </w:pPr>
      <w:r>
        <w:rPr>
          <w:rFonts w:ascii="IRNazanin" w:hAnsi="IRNazanin" w:eastAsia="IRNazanin"/>
          <w:color w:val="111111"/>
          <w:sz w:val="28"/>
          <w:sz w:val="28"/>
          <w:szCs w:val="28"/>
          <w:rtl w:val="true"/>
          <w:lang w:bidi="fa-IR"/>
        </w:rPr>
        <w:t>روابط مسلمانان با غیرمسلمانان</w:t>
      </w:r>
    </w:p>
    <w:p>
      <w:pPr>
        <w:pStyle w:val="BookText"/>
        <w:rPr/>
      </w:pPr>
      <w:r>
        <w:rPr>
          <w:rFonts w:ascii="Amiri" w:hAnsi="Amiri" w:eastAsia="Amiri" w:cs="Amiri"/>
          <w:color w:val="111111"/>
          <w:sz w:val="28"/>
          <w:sz w:val="28"/>
          <w:szCs w:val="28"/>
          <w:rtl w:val="true"/>
          <w:lang w:bidi="ar-SA"/>
        </w:rPr>
        <w:t>از منظر فقيه اهل بيت عصمت و طهارت</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حضرت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العظمي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bookmarkStart w:id="7" w:name="pg9404_76404"/>
    </w:p>
    <w:p>
      <w:pPr>
        <w:pStyle w:val="Heading2"/>
        <w:numPr>
          <w:ilvl w:val="1"/>
          <w:numId w:val="1"/>
        </w:numPr>
        <w:rPr/>
      </w:pPr>
      <w:bookmarkStart w:id="8" w:name="__RefHeading___Toc562012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روابط مسلمانان با غیرمسلمانان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یک مجموعه‌ی جهان شمول و فرا زمانی با هدف واحد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مبانی بالا دستی در استنباط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اصول در استنباط فروع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جایگاه عقل در استنباط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انفتاح باب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تأثیر تحوّلات و اقتضائات زمان در فقه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شرایط اجتماعی در احکام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بازشناسي امور تأسيسي از امور امضايي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مقام اجرا و عمل، در استنباط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بودن فتوا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احتیاطات فردی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به غیر مسلمان بر اساس فرهنگ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w:t>
      </w:r>
    </w:p>
    <w:p>
      <w:pPr>
        <w:pStyle w:val="BookText"/>
        <w:rPr/>
      </w:pPr>
      <w:r>
        <w:rPr>
          <w:rFonts w:ascii="IRNazanin" w:hAnsi="IRNazanin" w:eastAsia="IRNazanin"/>
          <w:color w:val="111111"/>
          <w:sz w:val="28"/>
          <w:sz w:val="28"/>
          <w:szCs w:val="28"/>
          <w:rtl w:val="true"/>
          <w:lang w:bidi="fa-IR"/>
        </w:rPr>
        <w:t xml:space="preserve">مسلمان و غیر مسلمان در خون و خون‌بها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غيرمسلمان توسط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مسلمان توسط غيرمسلمان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برابری قصاص در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برابرى ديه مسلمان و غير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0" w:name="pg9404_76406"/>
    </w:p>
    <w:p>
      <w:pPr>
        <w:pStyle w:val="Heading2"/>
        <w:numPr>
          <w:ilvl w:val="1"/>
          <w:numId w:val="1"/>
        </w:numPr>
        <w:rPr/>
      </w:pPr>
      <w:bookmarkStart w:id="11" w:name="__RefHeading___Toc5620130_287045965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تبیین و تشریح مبانی اندیشه‌های فقهی و تقریر برخی پیش فرض‌ها و باورهای کلان علمی که آرا و فتاوای یک فقیه بر آن استوار است، گامی است جهت تنویر افکار جویندگان و پاسخی است به مطالبه طالبان تحقیق و حقیقت، تا در حدّ بضاعت علمی و آشنایی با علوم و فنون حوزوی با دلایل و قضایایی که منجر به صدور یک فتوا می‌گردد، آشنا گردند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آنچه که در مبانی فتاوای مرجع عالیقدر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بین‌الملل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مشهود است،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عقل محور و خردمندانه بر اساس موازین روشنِاستنباطی و متدهای متداول و سنتی و جواهری به آیات و روایات است؛ البته عقلی که از آبشخور وحی و سنّت سیراب شده و بسان طفلی است که در آغوش کتاب مقدّس و سخنان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است و کامش را با طعم کلام خداوند متعال برداشته‌اند و بر سر سفره‌ی علوم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کرده است، چنین عقلی در چرخه استنباط کم‌کم تبدیل به مذاق فقیه شده و بر مدار نقل صحیح و روح کلّی و خردمندانه‌ی جاری در آن، می‌چرخد؛ نه بر ظواهر خشک و بی‌روح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عقل، هیچ‌گاه در برابر کتاب و سنّت و به اصطلاح قسیم آنان نیست، بلکه از همان جنس و نفس نورانی و شعاعی از انوار الهی است تا در مقام فهم کتاب و سنّت و احتجاج و برداشت روشن از آنها به کمک آید و باعث رشد و اعتلای دین و تطبیق آن با تحوّلات و تعمیق آن در روح انسانِ خردمند گردد؛ اما آنگاه که این عقل خود را در ردیف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بی نیاز از آنان فرض نمود و دکّانی مستقل برای خود باز کرد و پشت به خود نموده و در برابر ریشه‌ی خود ایستاد و حیات خود را در میان آراي کوته بینانه‌ی رجال جاهل و بی‌خرد دنبال نمود، سرانجام مراجعه به چنین عقلی محق دین و دینداری است که در سفارشات اولیای دین بر پرهیز از آن تأکیدگردیده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لازم به ذکر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تدوین این نوشتار به عنوان هدف متولّیان مؤسسه فقه‌الثقلین قرار گرفته است، آشنایی اجمالی با برخی از مبانی اندیشه‌های فقهی حضرت آیت‌الله العظمی صانعی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کسانی که به دنبال اقناع نفسِ حقیقت‌جو و روح جستجوگر خویشند، به آثار و مجامع مفصّل‌تر و مُدوّنات کامل‌تر پیرامون آرا و اندیشه‌های ایشان، مراجعه داشته باشند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13" w:name="pg9404_76409"/>
    </w:p>
    <w:p>
      <w:pPr>
        <w:pStyle w:val="Heading2"/>
        <w:numPr>
          <w:ilvl w:val="1"/>
          <w:numId w:val="1"/>
        </w:numPr>
        <w:rPr/>
      </w:pPr>
      <w:bookmarkStart w:id="14" w:name="__RefHeading___Toc5620132_2870459653"/>
      <w:bookmarkStart w:id="15" w:name="_Toc5"/>
      <w:bookmarkEnd w:id="13"/>
      <w:bookmarkEnd w:id="14"/>
      <w:r>
        <w:rPr>
          <w:rtl w:val="true"/>
        </w:rPr>
        <w:t>روابط مسلمانان با غیرمسلمانان</w:t>
      </w:r>
      <w:bookmarkEnd w:id="15"/>
    </w:p>
    <w:p>
      <w:pPr>
        <w:pStyle w:val="Heading3"/>
        <w:numPr>
          <w:ilvl w:val="2"/>
          <w:numId w:val="1"/>
        </w:numPr>
        <w:rPr/>
      </w:pPr>
      <w:bookmarkStart w:id="16" w:name="__RefHeading___Toc5620134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همان طور که اشاره شد، موضوع نوشته‌ی حاضر کنکاشی در مورد برخی از مبانی اندیشه فقهی و حقوقی حضرت آیت‌الله العظمی صانعی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مسلمانان با غیر‌مسلمانان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استفاده و بهره‌گیری از تقریرات کتبی و شفاهی از محضر ایشان، تدوین گردیده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فقهی نوینی که می‌توان آن را حاصل جمع میان عقل و نقل، با الهام از آرای فقهی اندیشمندانپیشرویی نظیر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bookmarkStart w:id="18" w:name="pg9404_76410"/>
    </w:p>
    <w:p>
      <w:pPr>
        <w:pStyle w:val="BookText"/>
        <w:rPr/>
      </w:pPr>
      <w:bookmarkEnd w:id="18"/>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روابط بین‌اللمل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پایه‌های برداشتی متفاوت از نصوص گشته و منجر به شکل‌گیری نظریات خاص در این باب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مسلمان و غیرمسلمان در خون‌بها، قصاص، توارث و جواز ازدواج و انواع داد و ستد مسلمان با غیرمسلمان، که در ذیل به بعضی مبانی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مجال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می‌گردد</w:t>
      </w:r>
      <w:r>
        <w:rPr>
          <w:rFonts w:eastAsia="IRNazanin" w:cs="IRNazanin"/>
          <w:color w:val="111111"/>
          <w:sz w:val="28"/>
          <w:szCs w:val="28"/>
          <w:rtl w:val="true"/>
          <w:lang w:bidi="fa-IR"/>
        </w:rPr>
        <w:t>:</w:t>
      </w:r>
    </w:p>
    <w:p>
      <w:pPr>
        <w:pStyle w:val="Heading3"/>
        <w:numPr>
          <w:ilvl w:val="2"/>
          <w:numId w:val="1"/>
        </w:numPr>
        <w:rPr/>
      </w:pPr>
      <w:bookmarkStart w:id="19" w:name="__RefHeading___Toc5620136_2870459653"/>
      <w:bookmarkStart w:id="20" w:name="_Toc7"/>
      <w:bookmarkEnd w:id="19"/>
      <w:r>
        <w:rPr>
          <w:rtl w:val="true"/>
        </w:rPr>
        <w:t>الف</w:t>
      </w:r>
      <w:r>
        <w:rPr>
          <w:rtl w:val="true"/>
        </w:rPr>
        <w:t xml:space="preserve">) </w:t>
      </w:r>
      <w:r>
        <w:rPr>
          <w:rtl w:val="true"/>
        </w:rPr>
        <w:t>دین یک مجموعه‌ی جهان شمول و فرا زمانی با هدف واحد است</w:t>
      </w:r>
      <w:r>
        <w:rPr>
          <w:rtl w:val="true"/>
        </w:rPr>
        <w:t>.</w:t>
      </w:r>
      <w:bookmarkEnd w:id="20"/>
    </w:p>
    <w:p>
      <w:pPr>
        <w:pStyle w:val="Heading4"/>
        <w:numPr>
          <w:ilvl w:val="3"/>
          <w:numId w:val="1"/>
        </w:numPr>
        <w:rPr/>
      </w:pPr>
      <w:bookmarkStart w:id="21" w:name="__RefHeading___Toc5620138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آیت‌الله العظمی صانعی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دینی است که داعیه جهان شمول بودن دارد، لذا باید آن را به گونه‌ای معرفی کنیم که انسان‌ها پذیرای آن باشند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ایشان با اعتقاد به اینکه اسلام دارای ظرفیت تمام نشدنی برای بشر تا روز قیامت است، البته مشروط به بهره‌وری از ساختار مناسب در جهت کارآمد نمودن و به فعلیّت رساندن این ظرفیت، می‌فرمایند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اسلام قابل انطباق در همه‌ی زمان‌هاست، البته به شرط بهره بردن از علم و دانش در تطبيق قالب‌ها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جمله اندیشه‌هایی که مبنای برخی آرای فقهی متفاوت در حوزه‌ی روابط بین الملل اسلام گردیده است، نگرش مجموعی و فرا زمانی به دین و تصویر غایت واحدی برای این مجموعه است؛ به این معنی که پیش و بیش از آنکه در باب روابط انسانیِ اسلام، با قواعد بخشی و جزیی سیر نماییم، با‌ید آن را با نگاه مجموعی از دریچه‌ای فراخ بنگریم و جهان‌شمولي و فرا زماني بودن آن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جز در سایه‌ی توجه به تحوّلات زندگي و پذيرش تأثير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نخواهد 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تئوري اداره حيات بشر از گهواره تا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پذيرش ظرفيت بالاي مديريتي فقه در عرصه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انديشه فقهی پيشرو انديشه‌اي است كه در دو نگاه، همواره زاويه جهد و اجتهاد فقهی خویش را بسنجد؛ يك نگاه به اصول و مباني جهان شناختی و معرفت دینی و منابع فقهی، و ديگري نگاه به مقاصد و اهداف شريعت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صورت فقدان چنین نگاه جامعی، در گذار زمان، مركّب استنباط احکام فرعی از ادلّه به بيراهه خواهد رفت و در چاه عمیق جزئی نگری،ظاهربینی و سطح انگاری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این فضا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وسیع و جامع به دین و غایت آن فاصله گرفته است و راه فقه از شاه راه </w:t>
      </w:r>
      <w:bookmarkStart w:id="23" w:name="pg9404_76412"/>
    </w:p>
    <w:p>
      <w:pPr>
        <w:pStyle w:val="BookText"/>
        <w:rPr/>
      </w:pPr>
      <w:bookmarkEnd w:id="23"/>
      <w:r>
        <w:rPr>
          <w:rFonts w:ascii="IRNazanin" w:hAnsi="IRNazanin" w:eastAsia="IRNazanin"/>
          <w:color w:val="111111"/>
          <w:sz w:val="28"/>
          <w:sz w:val="28"/>
          <w:szCs w:val="28"/>
          <w:rtl w:val="true"/>
          <w:lang w:bidi="fa-IR"/>
        </w:rPr>
        <w:t>مستقیم دین جدا گردیده است، ظلمی فاحش به فقه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حوزه فقه و استنباط را مجزّا از سایر حوزه‌های معرفت دینی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مصونیّت فقه از این خطر بزرگ، لازم است دو تدبیر در پیش گرفته شود</w:t>
      </w:r>
      <w:r>
        <w:rPr>
          <w:rFonts w:eastAsia="IRNazanin" w:cs="IRNazanin"/>
          <w:color w:val="111111"/>
          <w:sz w:val="28"/>
          <w:szCs w:val="28"/>
          <w:rtl w:val="true"/>
          <w:lang w:bidi="fa-IR"/>
        </w:rPr>
        <w:t>:</w:t>
      </w:r>
    </w:p>
    <w:p>
      <w:pPr>
        <w:pStyle w:val="Heading4"/>
        <w:numPr>
          <w:ilvl w:val="3"/>
          <w:numId w:val="1"/>
        </w:numPr>
        <w:rPr/>
      </w:pPr>
      <w:bookmarkStart w:id="24" w:name="__RefHeading___Toc5620140_2870459653"/>
      <w:bookmarkStart w:id="25" w:name="_Toc9"/>
      <w:bookmarkEnd w:id="24"/>
      <w:r>
        <w:rPr/>
        <w:t>1</w:t>
      </w:r>
      <w:r>
        <w:rPr>
          <w:rtl w:val="true"/>
        </w:rPr>
        <w:t xml:space="preserve">. </w:t>
      </w:r>
      <w:r>
        <w:rPr>
          <w:rtl w:val="true"/>
        </w:rPr>
        <w:t>توجه به مبانی بالا دستی در استنباط</w:t>
      </w:r>
      <w:bookmarkEnd w:id="25"/>
    </w:p>
    <w:p>
      <w:pPr>
        <w:pStyle w:val="BookText"/>
        <w:rPr/>
      </w:pPr>
      <w:r>
        <w:rPr>
          <w:rFonts w:ascii="IRNazanin" w:hAnsi="IRNazanin" w:eastAsia="IRNazanin"/>
          <w:color w:val="111111"/>
          <w:sz w:val="28"/>
          <w:sz w:val="28"/>
          <w:szCs w:val="28"/>
          <w:rtl w:val="true"/>
          <w:lang w:bidi="fa-IR"/>
        </w:rPr>
        <w:t>توجه به اسناد بالادستی در جهت‌گیری صحیح تدوین قوانین،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صانعی این نگاه را پیش‌نیاز استنباط از منابع معرفی نموده،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عنوان قانون اساسى 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مردم به خوبى رفتار كنيد؛ </w:t>
      </w:r>
      <w:r>
        <w:rPr>
          <w:rFonts w:ascii="Amiri" w:hAnsi="Amiri" w:eastAsia="Amiri" w:cs="Amiri"/>
          <w:color w:val="111111"/>
          <w:sz w:val="28"/>
          <w:sz w:val="28"/>
          <w:szCs w:val="28"/>
          <w:rtl w:val="true"/>
          <w:lang w:bidi="ar-SA"/>
        </w:rPr>
        <w:t>وَقُولُوا لِلنَّاسِ حُسْناً</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اگر تعداد اندكى هم در اين خصوص دچار اشتباه شده‌اند، به دليل اشتباه برداشت آنها از برخى آيات و روايات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قرآن کتابی است برای هدایت همیشگی بشر، فارغ از زمان، مکان، نژاد و جنسیّت، ومحروم ماندن از این چراغ پُر فروغ و اصول و مبانی مصرّحِ در آن، که به منزله‌ی قانون اساسی در نظام تقنینی اسلام است، به معنای به خطا رفتن و به خطا بردن </w:t>
      </w:r>
      <w:bookmarkStart w:id="26" w:name="pg9404_76413"/>
    </w:p>
    <w:p>
      <w:pPr>
        <w:pStyle w:val="BookText"/>
        <w:rPr/>
      </w:pPr>
      <w:bookmarkEnd w:id="26"/>
      <w:r>
        <w:rPr>
          <w:rFonts w:ascii="IRNazanin" w:hAnsi="IRNazanin" w:eastAsia="IRNazanin"/>
          <w:color w:val="111111"/>
          <w:sz w:val="28"/>
          <w:sz w:val="28"/>
          <w:szCs w:val="28"/>
          <w:rtl w:val="true"/>
          <w:lang w:bidi="fa-IR"/>
        </w:rPr>
        <w:t>مرکّب استنباط در جاده‌ای تاریک و پُرمخاطره و سقوط در درّه‌های دحشتناکی نظیر احادیث مجعول خواهد بود؛ خطری که اولیای دین همواره برآن هشدار داده و سخنان ناموافق با قرآن را ساختگی و باطل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يُوَافِقْ مِنَ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َدِيثِ الْقُرْآنَ فَهُوَ زُخْرُفٌ؛</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آنچه از احادیث که با قرآن موافق نباشد، سخن باطلی است که ظاهری زیبا دارد</w:t>
      </w:r>
      <w:r>
        <w:rPr>
          <w:rFonts w:eastAsia="IRNazanin" w:cs="IRNazanin"/>
          <w:color w:val="111111"/>
          <w:sz w:val="28"/>
          <w:szCs w:val="28"/>
          <w:rtl w:val="true"/>
          <w:lang w:bidi="fa-IR"/>
        </w:rPr>
        <w:t>.</w:t>
      </w:r>
    </w:p>
    <w:p>
      <w:pPr>
        <w:pStyle w:val="Heading4"/>
        <w:numPr>
          <w:ilvl w:val="3"/>
          <w:numId w:val="1"/>
        </w:numPr>
        <w:rPr/>
      </w:pPr>
      <w:bookmarkStart w:id="27" w:name="__RefHeading___Toc5620142_2870459653"/>
      <w:bookmarkStart w:id="28" w:name="_Toc10"/>
      <w:bookmarkEnd w:id="27"/>
      <w:r>
        <w:rPr/>
        <w:t>2</w:t>
      </w:r>
      <w:r>
        <w:rPr>
          <w:rtl w:val="true"/>
        </w:rPr>
        <w:t xml:space="preserve">. </w:t>
      </w:r>
      <w:r>
        <w:rPr>
          <w:rtl w:val="true"/>
        </w:rPr>
        <w:t>توجه به اصول در استنباط فروع</w:t>
      </w:r>
      <w:bookmarkEnd w:id="28"/>
    </w:p>
    <w:p>
      <w:pPr>
        <w:pStyle w:val="BookText"/>
        <w:rPr/>
      </w:pPr>
      <w:r>
        <w:rPr>
          <w:rFonts w:ascii="IRNazanin" w:hAnsi="IRNazanin" w:eastAsia="IRNazanin"/>
          <w:color w:val="111111"/>
          <w:sz w:val="28"/>
          <w:sz w:val="28"/>
          <w:szCs w:val="28"/>
          <w:rtl w:val="true"/>
          <w:lang w:bidi="fa-IR"/>
        </w:rPr>
        <w:t xml:space="preserve">جمله معروفی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إِلْقَاءُ الْأُصُولِ وَ عَلَيْكُمُ التَّفْرِيع؛</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 ماست كه اصول را براى شما مطرح كنيم و بر شما باد كه آنها را تفريع نمایيد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عوامل حرکت و پویایی فقه شیعه که باعث تطبیق آن با زمان گردید، دستور به توسعه و تطوّر فقه بر پایه‌ی همان اصول ثابتی است که توسط اولیای دینتدوین وتکوین شده است و فرمان به حرکت در همان مسیری است که خطوط آن در قرآن کریم و سیره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گردیده است؛ چرا که اگر </w:t>
      </w:r>
    </w:p>
    <w:p>
      <w:pPr>
        <w:pStyle w:val="BookText"/>
        <w:rPr/>
      </w:pPr>
      <w:r>
        <w:rPr>
          <w:rFonts w:ascii="IRNazanin" w:hAnsi="IRNazanin" w:eastAsia="IRNazanin"/>
          <w:color w:val="111111"/>
          <w:sz w:val="28"/>
          <w:sz w:val="28"/>
          <w:szCs w:val="28"/>
          <w:rtl w:val="true"/>
          <w:lang w:bidi="fa-IR"/>
        </w:rPr>
        <w:t>دایره‌ی معرفت فقهی خود را بی‌نیاز از اصول عقلانی جهان شناختی بیابیم و بخواهیم به طور مستقل راه خویش را بپیماییم و هدف و مقصد شریعت را در کوچه‌های ظواهر و پیچ و خم زمان و مکان، گم کنیم و اصول فطری و عقلی را قربانی برخی برداشت‌های سطحی از ظواهر و قواعد خشک، استنباط نماییم و به فرموده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را از روح آن جدا نماییم، چرا که روح حقوق، ثابت و پیکر آن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عدل، روح حقوق اسلامی است؛ ای عجب که دیگران به روح اسلامی نزدیک می‌شوند، ولی فقهای ما توجّه ندارند که اصل </w:t>
      </w:r>
      <w:r>
        <w:rPr>
          <w:rFonts w:ascii="Amiri" w:hAnsi="Amiri" w:eastAsia="Amiri" w:cs="Amiri"/>
          <w:color w:val="111111"/>
          <w:sz w:val="28"/>
          <w:sz w:val="28"/>
          <w:szCs w:val="28"/>
          <w:rtl w:val="true"/>
          <w:lang w:bidi="ar-SA"/>
        </w:rPr>
        <w:t>إِنَّ اللهَ يَأْمُرُ بِالْعَدْلِ وَالإِحْسَانِ</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به منزله‌ی روح و مشخِصّ سایر مقرّرات حقوق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بر ظواهر و قوالب جمود می‌کنند و روح را از دست می‌دهند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که نمونه‌هایی از این نوع اجتهادات در تاریخ فقه ما وجود دارد؛ مانند آنچه 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راوادار به واکنشی تند نسبت به برخی نظرات نموده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الغريب ما صدر من بعض متفقّهة العصر، بل سمعته من بعض مشايخنا المعاصرين من أنّه يجب على </w:t>
      </w:r>
    </w:p>
    <w:p>
      <w:pPr>
        <w:pStyle w:val="BookText"/>
        <w:rPr/>
      </w:pPr>
      <w:r>
        <w:rPr>
          <w:rFonts w:ascii="Amiri" w:hAnsi="Amiri" w:eastAsia="Amiri" w:cs="Amiri"/>
          <w:color w:val="111111"/>
          <w:sz w:val="28"/>
          <w:sz w:val="28"/>
          <w:szCs w:val="28"/>
          <w:rtl w:val="true"/>
          <w:lang w:bidi="ar-SA"/>
        </w:rPr>
        <w:t>المحبوس الصلاة على الكيفيّ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التي كان عليها أوّل الدخول إلى المكان المحبوس فيه، إن قائماً فقائم، و إن جالساً فجالس، بل لا يجوز له الانتقال إلى حالة أخرى في غير الصلاة أيضاً؛ لما فيه من الحركة التي هي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 مال الغير بغير إذنه، و لم يتفطّن أنّ البقاء على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الأوّل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على ترجيحه على ذلك التصرّف، كما أنّه لم يتفطّن أنّه عامل هذا المظلوم المحبوس قهراً بأشدّ ما عامله الظالم، بل حبسه حبساً ما حبسه أحد لأحدٍ؛</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غرایب نظری است که از برخی شبه فقیهان شنیدم، گرچه این قول به برخی از بزرگانِ هم عصر ما نیز نسبت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در يك مكان غصبى حبس كنند، بايد نماز را با همان حالت اوّليه كه با آن حبس شده،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ايستاده بود، ايستاده؛ و اگر نشسته بوده، نشسته؛ حتى در غير نماز هم جايز نيست از حالت اوّليه خارج شود و حركتى‌انجام دهد؛ زيرا اين حركت، تصرف در مال غير، محسوب مى‌شود و تصرف در مال غير 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نیست که باقی ماندن در همان حالت نخست نیز نوعی تصرف است که دلیلی بر </w:t>
      </w:r>
    </w:p>
    <w:p>
      <w:pPr>
        <w:pStyle w:val="BookText"/>
        <w:rPr/>
      </w:pPr>
      <w:r>
        <w:rPr>
          <w:rFonts w:ascii="IRNazanin" w:hAnsi="IRNazanin" w:eastAsia="IRNazanin"/>
          <w:color w:val="111111"/>
          <w:sz w:val="28"/>
          <w:sz w:val="28"/>
          <w:szCs w:val="28"/>
          <w:rtl w:val="true"/>
          <w:lang w:bidi="fa-IR"/>
        </w:rPr>
        <w:t>ترجیح آن بر تصرفات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اینکه متوجه نیست که با این نظر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محبوس مظلوم آورده و ظلمی به او کرده که به مراتب از ظلم ظالم حبس کننده، بیشتر است و او را در زندانی افکنده که هیچ کس دیگری را در چنین زندانی نیافکنده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روشن است مستندِ اين نظريه، عموم حرمت غصب مى‌باشد؛ اما نتیجه‌ی چنین اجتهادی که فارق از نگاه جامع به دین و غایت آن و اصول کلی و عقلانی حاکم بر آن صادر گردیده، ظلمی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غاصبی که فرد را در خانه حبس نموده، بالاتر است؛ چرا که این فقیه با اجتهاد ناصواب خود، متوجه نیست او را در زندانی حبس نموده که هیچ کس دیگری را به چنین زندانی نیافکنده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برداشت‌های ناصوابی در میان سایر فِرَق اسلامی که از سرچشمه‌ی معارف ناب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گرفته‌اند، بسیار مشاهده می‌کنیم که امامان شیعه خطرات عظیم و تأثیرات سوء آن را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معتبر از ابو‌ولّاد آمده است، که شرح اجمالی داستان به این قرار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حيوانى را براى مدت كوتاهى برای رفتن به کوفه كرايه كرده است، حادثه‌اى پيش می‌آید و مسافرتش طول می‌كشد و بر خلاف قرار از کوفه به نیل و از نیل به </w:t>
      </w:r>
    </w:p>
    <w:p>
      <w:pPr>
        <w:pStyle w:val="BookText"/>
        <w:rPr/>
      </w:pPr>
      <w:r>
        <w:rPr>
          <w:rFonts w:ascii="IRNazanin" w:hAnsi="IRNazanin" w:eastAsia="IRNazanin"/>
          <w:color w:val="111111"/>
          <w:sz w:val="28"/>
          <w:sz w:val="28"/>
          <w:szCs w:val="28"/>
          <w:rtl w:val="true"/>
          <w:lang w:bidi="fa-IR"/>
        </w:rPr>
        <w:t>بغداد و از بغداد به کوفه باز می‌گردد، که در مجموع پانزده روز حیوان را در اختیار دارد؛ می‌خواهد صاحب حيوان را به پانزده درهم راضى كند، ولى راضى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پیشنهاد صاحب حیوان، جهت استفتا نزد ابوحنيفه می‌روند تا او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حيوان هيچ حقى بر تو ندارد؛ زيرا تو با تخلّف از قرارداد اجاره، ضامن حيوان شده‌اى و هر كس ضامن شود، نبايد كرايه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ابوحنيفه بيرون آمديم؛ درحالى كه صاحب حيوان مى‌گفت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دلم به حال او سوخت، او را با دادن مقدارى مال راضى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به حج آمدم؛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قصه را باز گفتم،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هَذَا الْقَضَاءِ وَ شِبْهِهِ تَحْبِسُ السَّمَاءُ مَاءَهَا وَ تَمْنَعُ الْأَرْضُ بَرَكَتَهَا،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تَرَى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لَهُ عَلَيْكَ مِثْلَ كِرَاءِ بَغْلٍ ذَاهِباً مِنَ الْكُوفَةِ إِلَى النِّيلِ وَ مِثْلَ كِرَاءِ بَغْلٍ رَاكِباً مِنَ النِّيلِ إِلَى بَغْدَادَ وَ مِثْلَ كِرَاءِ بَغْلٍ مِنْ بَغْدَادَ إِلَى الْكُوفَةِ تُوَفِّيهِ إِيَّاهُ؛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اين گونه قضاوت‌ها است كه آسمان باران و زمين بركاتش را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اجرت معمول بازار برای حیوانی که از کوفه تا نیل و از نیل تا بغداد و از بغداد تا کوفه رفته را، به صاحب حيوان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اين قضاوت ابوحنيفه، به استناد بر‌داشتی سطحی و نادرست از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منافع در مقابل ضمان است و هركس ضامن باشد، منافع 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گذشت، یکی از دلایل این شیوه غلطِ استنباط، غفلت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اسلامي در كليّت خود اهداف و مقاصدي را دنبال مي‌كند كه سایر فروعات در راستاي محقّق ساختن آن تدوین و تشريع گرديده؛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استاد بزرگوار 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مقياس‌هاي اسلام است كه بايد ديد چه چيز بر او منطبق مي‌شود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سلسله علل احكام است نه در سلسله معلولات، نه اين است كه آنچه دين گفت عدل است، بلكه آنچه عدل است، دين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اصل عدل و تأثیرش کم و بیش در افکار، مانع شد که فلسفه اجتماعی اسلام رشد کند و برمبنای عقلی و علمی قرار بگیرد و راهنمای فقه </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به وجود آمد غیرمتناسب با سایر اصول اسلام و بدون اصول و مبانی و بدون فلسفه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حرّیت و آزادی فکر باقی بود و موضوع تفوّق اصحاب سنّت بر اهل عدل پیش نمی‌آمد و بر شیعه هم مقیت اخبارگری نرسیده بود، ما حالا فلسفه اجتماعی مدوّنی نمی‌داشتیم و فقه ما بر اصل بنا شده بود و دچار تضادها و بن بست‌های کنونی نبودیم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اینجاست که یک فقیه می‌تواند با توجه به اصل جهان شمول و فرا زمانی؛ نظیر عدالت به عنوان اصل قرآنی که باید محور در حوزه‌ی تشریع و قانون‌گذاری و داوری در بررسی صدور روایات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اصلی که از اولین شعارهای جذّاب و فطری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حقوق اجتماعی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كَأَسْنَانِ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سَوَاءٌ؛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مردم مانند دندانه‌های شانه برابرند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استنباط فقهی متفاوتی از دلایل و مدارک در حوزه‌ی حقوق برسد و فتوایی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برابری جان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گرایشات اعتقادی و تنوعجنسیّتی آنها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که موافق و مطابق با مذاق و نگرش کلی و به هم پیوسته‌ی دین، به انسان </w:t>
      </w:r>
    </w:p>
    <w:p>
      <w:pPr>
        <w:pStyle w:val="BookText"/>
        <w:rPr/>
      </w:pPr>
      <w:r>
        <w:rPr>
          <w:rFonts w:ascii="IRNazanin" w:hAnsi="IRNazanin" w:eastAsia="IRNazanin"/>
          <w:color w:val="111111"/>
          <w:sz w:val="28"/>
          <w:sz w:val="28"/>
          <w:szCs w:val="28"/>
          <w:rtl w:val="true"/>
          <w:lang w:bidi="fa-IR"/>
        </w:rPr>
        <w:t xml:space="preserve">است؛ چرا که چنین فقیه جامع نگر ناگزیر است در مقام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قصاص و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برابریِ جان و جان‌بهای همه‌ی انسان‌ها با یکدیگر قرار دهد که بر اساس متد روشن فقهی، در صورت فقدان و یا تردید در دلیل، باید به آن مراجعه نمود و برای خروج از این اصل به دنبال دلیل مستحکم و قابل اعتماد؛ نظیر آیات بگردد، تا بتواند خرد ظلم ستیز انسان را مجاب نماید و زمانی که چنین دلایلی را نیافت، عقلاً و شرعاً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بهانه همراهی با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صدور نظریه‌ای خلافِ یافته‌ها و حُجج شرعی خود،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و باور علمی و التزام عملی به این دیدگاه در اندیشه و آثار آیت‌الله العظمی صانعی آشکار است، و ما در این قسمت به گوشه‌ای از آن،که در سیر صدور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خون وخون‌بهای زن ومرد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اعتبار روايات بر اساس ضوابطى است؛ از جمله آنكه اگر حديثى با قرآن يا اصول و قواعد مسلّم و يا با عقل فطرى و بديهى مخالف بود ما بايد علمش را بهاهلش برگردانيم</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زنش را بكشد و اولياى دمِ زن بخواهند مرد </w:t>
      </w:r>
    </w:p>
    <w:p>
      <w:pPr>
        <w:pStyle w:val="BookText"/>
        <w:rPr/>
      </w:pPr>
      <w:r>
        <w:rPr>
          <w:rFonts w:ascii="IRNazanin" w:hAnsi="IRNazanin" w:eastAsia="IRNazanin"/>
          <w:color w:val="111111"/>
          <w:sz w:val="28"/>
          <w:sz w:val="28"/>
          <w:szCs w:val="28"/>
          <w:rtl w:val="true"/>
          <w:lang w:bidi="fa-IR"/>
        </w:rPr>
        <w:t>را بكشند بايد نصف ديه مرد را بدهند؛ امّا اگر زنى مردى را كشت، زن را قصاص مى‌كنيم و چيزى هم به او نمى‌دهيم، از مصاديق ظلم باشد و ظلم از ساحت مقدّس ربوبى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روايات با آن دسته از آياتى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اسلام عدل است و در قوانين اسلام ظلم وجود ندارد،</w:t>
      </w:r>
      <w:r>
        <w:rPr>
          <w:rStyle w:val="FootnoteAnchor"/>
          <w:rtl w:val="true"/>
        </w:rPr>
        <w:footnoteReference w:id="17"/>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روايات هر چقدر هم زياد باشد نمى‌تواند كارگشا باشد و طرح آن هم هيچ بُعدى ندارد، به ويژه اينكه نمونه‌هايى از روايات متعدّد؛ امّا غير قابل اخذ در موضوعات ديگر هم وجود دارد؛ مثلاً در باب وجود تحريف در قرآن</w:t>
      </w:r>
      <w:r>
        <w:rPr>
          <w:rStyle w:val="FootnoteAnchor"/>
          <w:rtl w:val="true"/>
        </w:rPr>
        <w:footnoteReference w:id="18"/>
      </w:r>
      <w:r>
        <w:rPr>
          <w:rFonts w:ascii="Amiri" w:hAnsi="Amiri" w:eastAsia="Amiri" w:cs="Amiri"/>
          <w:color w:val="111111"/>
          <w:sz w:val="28"/>
          <w:sz w:val="28"/>
          <w:szCs w:val="28"/>
          <w:rtl w:val="true"/>
          <w:lang w:bidi="ar-SA"/>
        </w:rPr>
        <w:t>بيش از ده‌ها روايت وارد شده، و يا روايات زيادى در مورد سهوالنبى</w:t>
      </w:r>
      <w:r>
        <w:rPr>
          <w:rStyle w:val="FootnoteAnchor"/>
          <w:rtl w:val="true"/>
        </w:rPr>
        <w:footnoteReference w:id="19"/>
      </w:r>
      <w:r>
        <w:rPr>
          <w:rFonts w:ascii="IRNazanin" w:hAnsi="IRNazanin" w:eastAsia="IRNazanin"/>
          <w:color w:val="111111"/>
          <w:sz w:val="28"/>
          <w:sz w:val="28"/>
          <w:szCs w:val="28"/>
          <w:rtl w:val="true"/>
          <w:lang w:bidi="fa-IR"/>
        </w:rPr>
        <w:t>وارد شده است، در عين حال تمام فقهاى ما به استثناى يكى دو نفر از بزرگان، اين روايات را خلاف عقل و قرآن دانسته و آنها را رد كرده‌اند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ضابطه اين است كه رواياتِ مخالف قرآن معتبر نيست و ما نیز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تنصيف ديه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اسلام عادلانه است، مخالف می‌دانیم؛ توده‌ی مردم و </w:t>
      </w:r>
      <w:bookmarkStart w:id="29" w:name="pg9404_76422"/>
    </w:p>
    <w:p>
      <w:pPr>
        <w:pStyle w:val="BookText"/>
        <w:rPr/>
      </w:pPr>
      <w:bookmarkEnd w:id="29"/>
      <w:r>
        <w:rPr>
          <w:rFonts w:ascii="Amiri" w:hAnsi="Amiri" w:eastAsia="Amiri" w:cs="Amiri"/>
          <w:color w:val="111111"/>
          <w:sz w:val="28"/>
          <w:sz w:val="28"/>
          <w:szCs w:val="28"/>
          <w:rtl w:val="true"/>
          <w:lang w:bidi="ar-SA"/>
        </w:rPr>
        <w:t>عرف هم اين را ظلم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اينجا بحث ديگرى مطرح مى‌شود و آن اين است كه در رابطه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اسلام سراغ داريم، يا عقل را كه در اسلام حاكم مى‌دانيم، آيا بايد اوّل احكام اسلام را ببينيم و بعد به سراغ عقل بياييم و هر چه احكام اسلام است بپذيريم، يا در مقام فهميدن، اول حكم عقل را در نظر بگيريم و هر چه از احكام اسلام را كه مطابق آن بود قبول كنيم و مخالف آن را كنار بگذاريم؟ به نظر مى‌رسد مفاد آموزه‌هاى مكتب عدليه اين است كه بايد اسلام را با عدل سنجيد، نه آنكه اسلام را بر عدل ديكته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زير بناى فهم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تعبّد مربوط به بعد از اثبات و مربوط به مقام ثبوت و جعل است، نه مربوط به مقام اثبات و فهم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بحث تعبد مطرح نيست، بلكه زبان قوم و فهم عرف معتبر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رَّسُولٍ إِلَّا بِلِسَانِ قَوْمِهِ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Heading3"/>
        <w:numPr>
          <w:ilvl w:val="2"/>
          <w:numId w:val="1"/>
        </w:numPr>
        <w:rPr/>
      </w:pPr>
      <w:bookmarkStart w:id="30" w:name="__RefHeading___Toc5620144_2870459653"/>
      <w:bookmarkStart w:id="31" w:name="_Toc11"/>
      <w:bookmarkEnd w:id="30"/>
      <w:r>
        <w:rPr>
          <w:rtl w:val="true"/>
        </w:rPr>
        <w:t>ب</w:t>
      </w:r>
      <w:r>
        <w:rPr>
          <w:rtl w:val="true"/>
        </w:rPr>
        <w:t xml:space="preserve">) </w:t>
      </w:r>
      <w:r>
        <w:rPr>
          <w:rtl w:val="true"/>
        </w:rPr>
        <w:t>التزام به جایگاه عقل در استنباط</w:t>
      </w:r>
      <w:bookmarkEnd w:id="31"/>
    </w:p>
    <w:p>
      <w:pPr>
        <w:pStyle w:val="Heading4"/>
        <w:numPr>
          <w:ilvl w:val="3"/>
          <w:numId w:val="1"/>
        </w:numPr>
        <w:rPr/>
      </w:pPr>
      <w:bookmarkStart w:id="32" w:name="__RefHeading___Toc5620146_287045965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آیت‌الله العظمی صانعی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یکی از زیربناهای ارزنده اسلام در کنار کتاب و سنّت،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پیشرفت </w:t>
      </w:r>
      <w:bookmarkStart w:id="34" w:name="pg9404_76423"/>
    </w:p>
    <w:p>
      <w:pPr>
        <w:pStyle w:val="BookText"/>
        <w:rPr/>
      </w:pPr>
      <w:bookmarkEnd w:id="34"/>
      <w:r>
        <w:rPr>
          <w:rFonts w:ascii="IRNazanin" w:hAnsi="IRNazanin" w:eastAsia="IRNazanin"/>
          <w:color w:val="111111"/>
          <w:sz w:val="28"/>
          <w:sz w:val="28"/>
          <w:szCs w:val="28"/>
          <w:rtl w:val="true"/>
          <w:lang w:bidi="fa-IR"/>
        </w:rPr>
        <w:t>اسلام بدون توجه به عقل، قابل قبول نیست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رعایت جایگاه عقل به همان معنا که در سخن نخست گذشت مستلزم پذیرش مطالبی است که در ادامه به آن اشاره خواهیم نمود</w:t>
      </w:r>
      <w:r>
        <w:rPr>
          <w:rFonts w:eastAsia="IRNazanin" w:cs="IRNazanin"/>
          <w:color w:val="111111"/>
          <w:sz w:val="28"/>
          <w:szCs w:val="28"/>
          <w:rtl w:val="true"/>
          <w:lang w:bidi="fa-IR"/>
        </w:rPr>
        <w:t>.</w:t>
      </w:r>
    </w:p>
    <w:p>
      <w:pPr>
        <w:pStyle w:val="Heading4"/>
        <w:numPr>
          <w:ilvl w:val="3"/>
          <w:numId w:val="1"/>
        </w:numPr>
        <w:rPr/>
      </w:pPr>
      <w:bookmarkStart w:id="35" w:name="__RefHeading___Toc5620148_2870459653"/>
      <w:bookmarkStart w:id="36" w:name="_Toc13"/>
      <w:bookmarkEnd w:id="35"/>
      <w:r>
        <w:rPr/>
        <w:t>1</w:t>
      </w:r>
      <w:r>
        <w:rPr>
          <w:rtl w:val="true"/>
        </w:rPr>
        <w:t xml:space="preserve">. </w:t>
      </w:r>
      <w:r>
        <w:rPr>
          <w:rtl w:val="true"/>
        </w:rPr>
        <w:t>پذیرش انفتاح باب اجتهاد</w:t>
      </w:r>
      <w:bookmarkEnd w:id="36"/>
    </w:p>
    <w:p>
      <w:pPr>
        <w:pStyle w:val="BookText"/>
        <w:rPr/>
      </w:pPr>
      <w:r>
        <w:rPr>
          <w:rFonts w:ascii="IRNazanin" w:hAnsi="IRNazanin" w:eastAsia="IRNazanin"/>
          <w:color w:val="111111"/>
          <w:sz w:val="28"/>
          <w:sz w:val="28"/>
          <w:szCs w:val="28"/>
          <w:rtl w:val="true"/>
          <w:lang w:bidi="fa-IR"/>
        </w:rPr>
        <w:t>آیت‌الله العظمی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شیعه، باب اجتهاد همیشه باز است و به دلیل همین پویایی، به عنوان یک فرهنگ غنی اسلامی تلقّی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جمله باورهای خردمندانه‌ای که در صدور نظریات جدید دارای نقشی بنیادین است، پذیرش انفتاح باب اجتهاد به معنای واقعی است؛ به این معنا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احترام به متقدّمین و سلف صالح که حرکت فقه را در مدار صحیح اجتهاد پایه‌گذاری نموده‌اند و تغذیه فکری و فقهی آیندگان بر سفره تحقیقات آنان است، از امتیازات مکتب اخلاقی اسلام است؛ اما این بدان معنا نیست که در بستر اجتهاد وبهره‌گیری از منابع بر اساس متد و روش اجتهادی صحیح و روشن مسحور عظمت گذشتگان گردیده، دست از جدّ و جهد و اجتهاد بکشیم و با تقلید از آرای </w:t>
      </w:r>
    </w:p>
    <w:p>
      <w:pPr>
        <w:pStyle w:val="BookText"/>
        <w:rPr/>
      </w:pPr>
      <w:r>
        <w:rPr>
          <w:rFonts w:ascii="IRNazanin" w:hAnsi="IRNazanin" w:eastAsia="IRNazanin"/>
          <w:color w:val="111111"/>
          <w:sz w:val="28"/>
          <w:sz w:val="28"/>
          <w:szCs w:val="28"/>
          <w:rtl w:val="true"/>
          <w:lang w:bidi="fa-IR"/>
        </w:rPr>
        <w:t>فقهی بزرگان، باب اجتهاد و فهم از نصوص و منابع را برخود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برداشت روشن از روایت معروف از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حَامِلِ فِقْهٍ غَيْرُ فَقِيهٍ، وَ رُبَّ حَامِلِ فِقْهٍ إِلَى مَنْ هُوَ أَفْقَهُ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 بسا حامل فقه 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حامل فقه به سوی کسی که از وی فقیه‌تر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عملی به فقه و فقاهت به معنای حقیقی کلمه همان فهم عمیق و خردمندانه از دین است که معنای روشن و صحیح تفقّه می‌باشد، دستور قرآن کریم و سفارش مکرّر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خویش برای همیشه است، تا جایی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لوددتُ أنّ أصحابي ضُربت رؤوسه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بالسياط حتّى يتفقّهوا؛</w:t>
      </w:r>
      <w:r>
        <w:rPr>
          <w:rStyle w:val="FootnoteAnchor"/>
          <w:rtl w:val="true"/>
        </w:rPr>
        <w:footnoteReference w:id="24"/>
      </w:r>
      <w:r>
        <w:rPr>
          <w:rFonts w:ascii="IRNazanin" w:hAnsi="IRNazanin" w:eastAsia="IRNazanin"/>
          <w:color w:val="111111"/>
          <w:sz w:val="28"/>
          <w:sz w:val="28"/>
          <w:szCs w:val="28"/>
          <w:rtl w:val="true"/>
          <w:lang w:bidi="fa-IR"/>
        </w:rPr>
        <w:t>دوست می‌داشتم اصحابم تازیانه بر سرشان می‌خورد تا در دین فقیه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این فرامین که خواستار نگاه ژرف درحوزه‌ی احکام و دستورات فقهی و حقوقی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را برای پویایی فقه در گذر زمان و تلاش و دقت نظر محققانه‌ی متأخّران و افزودن تحقیق بر تحقیقات گذشتگان گشوده است؛ دلایلی که به باور فقیه بزرگی </w:t>
      </w:r>
    </w:p>
    <w:p>
      <w:pPr>
        <w:pStyle w:val="BookText"/>
        <w:rPr/>
      </w:pPr>
      <w:r>
        <w:rPr>
          <w:rFonts w:ascii="IRNazanin" w:hAnsi="IRNazanin" w:eastAsia="IRNazanin"/>
          <w:color w:val="111111"/>
          <w:sz w:val="28"/>
          <w:sz w:val="28"/>
          <w:szCs w:val="28"/>
          <w:rtl w:val="true"/>
          <w:lang w:bidi="fa-IR"/>
        </w:rPr>
        <w:t>چون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اذعان به برتری آرای متأخّران بر متقدّمان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یکفیهم في الفضل أنّهم علموا ما عند المتقدّمین و زادوا علیهم بما عندهم، وأعلم الناس من یجمع علمه وعلم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حکي عنه في أحکام صلاة الجمعة من البحار،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فرق بین عمل الشهید الثاني و من تأخّرعنه، و عمل الشیخ و من تأخّرعنه إلی زمان الشهید الثاني، حیث یعتبر أقوال أولئک ولایعتبر أقوال هولاء؟ مع أنّه لاریب أنّ هولاء أدقّ فهماً وأذکی ذهناً وأکثر تتبّعاً منهم، و نری أفکارهم أقرب إلی الصواب في أکثر الأبواب؛</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برتری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آنچه که پیشینیان داشتند را فرا گرفتند و 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مردم آن کس است که علم خویش را به دانش دیگران بیافزاید، و چه خوب گفت مجلسی بنابر آنچه که در احکام نماز جمعه در بحار از ایشان نقل گردیده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است میان شهید ثانی و متأخّران از او، و عمل شیخ و متأخّران از او تا زمان شهیدثانی که نظریّات آنها معتبر است؛ اما نظریّات </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حال آنکه شکی نیست که ایشان فهم‌شان دقیق‌تر و ذهنشان تیزتر و 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بّع‌شان بیشتر است و می‌بینیم که افکارشان در بیشتر ابواب نیز به درستی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فقیه نو‌اندیش با باور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پیشینیان همواره فهم ناب و دقیق‌تری نیست و گاه تحوّل و تطوّر زمان و تحقیق در آثار و آرای پیشینیان کمک می‌کند که فهم دقیق‌تر و عمیق‌تری از منابع داشته باشیم، گام در مسیر اجتهاد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از جمله لوازم پذیرش باز بودن باب اجتهاد و تحقیق که می‌توان از آن به عنوان یکی از آثار و برکات انفتاح باب اجتهاد نیز تعبیر کرد، بهره‌برداری از نتایج تلاش محققان و پژوهشگران عرصه اجتهاد است که در فرایند استنباط خویش از چهارچوب موازین و متدهای روشن اجتهادی مورد پذیرش حوزه های علمی و تحقیقی خارج نشده‌اند، که از آن در قانون اساسی جمهوری اسلامی به عنوان موازین اسلامی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صانعی در این خصوص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موازين اسلام غير از نظر يك نفر يا دو نفر است، بلكه موازين اسلام يعنى اين‌كه يك روشو يك متد از متدهايى كه بزرگان دينى دارند </w:t>
      </w:r>
      <w:bookmarkStart w:id="37" w:name="pg9404_76427"/>
    </w:p>
    <w:p>
      <w:pPr>
        <w:pStyle w:val="BookText"/>
        <w:rPr/>
      </w:pPr>
      <w:bookmarkEnd w:id="37"/>
      <w:r>
        <w:rPr>
          <w:rFonts w:ascii="IRNazanin" w:hAnsi="IRNazanin" w:eastAsia="IRNazanin"/>
          <w:color w:val="111111"/>
          <w:sz w:val="28"/>
          <w:sz w:val="28"/>
          <w:szCs w:val="28"/>
          <w:rtl w:val="true"/>
          <w:lang w:bidi="fa-IR"/>
        </w:rPr>
        <w:t>با هم هماهنگ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تنها در این صورت است که جامعه می تواند از نتایج تلاش و تحقیقات محققان خویش در علوم اسلامی بهره‌مند گردد و راه رشد و بالندگی را طی نماید و محصور کردن آن در یک یا دو نظر علاوه بر ایجاد بن‌بست‌های فراوان در عمل بر فقه، محروم کردن جامعه اسلامی از ثمره شیرین تحقیقات فقهی و در حقیقت به معنی انسداد باب اجتهاد خواهد بود</w:t>
      </w:r>
      <w:r>
        <w:rPr>
          <w:rFonts w:eastAsia="IRNazanin" w:cs="IRNazanin"/>
          <w:color w:val="111111"/>
          <w:sz w:val="28"/>
          <w:szCs w:val="28"/>
          <w:rtl w:val="true"/>
          <w:lang w:bidi="fa-IR"/>
        </w:rPr>
        <w:t>.</w:t>
      </w:r>
    </w:p>
    <w:p>
      <w:pPr>
        <w:pStyle w:val="Heading4"/>
        <w:numPr>
          <w:ilvl w:val="3"/>
          <w:numId w:val="1"/>
        </w:numPr>
        <w:rPr/>
      </w:pPr>
      <w:bookmarkStart w:id="38" w:name="__RefHeading___Toc5620150_2870459653"/>
      <w:bookmarkStart w:id="39" w:name="_Toc14"/>
      <w:bookmarkEnd w:id="38"/>
      <w:r>
        <w:rPr/>
        <w:t>2</w:t>
      </w:r>
      <w:r>
        <w:rPr>
          <w:rtl w:val="true"/>
        </w:rPr>
        <w:t xml:space="preserve">. </w:t>
      </w:r>
      <w:r>
        <w:rPr>
          <w:rtl w:val="true"/>
        </w:rPr>
        <w:t>درک تأثیر تحوّلات و اقتضائات زمان در فقه</w:t>
      </w:r>
      <w:bookmarkEnd w:id="39"/>
    </w:p>
    <w:p>
      <w:pPr>
        <w:pStyle w:val="BookText"/>
        <w:rPr/>
      </w:pPr>
      <w:r>
        <w:rPr>
          <w:rFonts w:ascii="IRNazanin" w:hAnsi="IRNazanin" w:eastAsia="IRNazanin"/>
          <w:color w:val="111111"/>
          <w:sz w:val="28"/>
          <w:sz w:val="28"/>
          <w:szCs w:val="28"/>
          <w:rtl w:val="true"/>
          <w:lang w:bidi="fa-IR"/>
        </w:rPr>
        <w:t>از اعتقاداتی که مرهون جریان عقل در فرآیند استنباط است پذیرش تأثیر تحوّلات زمان در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تحوّلاتی که التزام به آن در سراسر فقه را باید به معنای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عدم توجه و پشت کردن به آن نیز، بی‌تردید به معنای انزوای دین و خروج آن از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تحقق این مهم جز به پذیرش عملی این مطلب در چرخه استنباط در سراسر فقه امکان پذیر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تحوّلات اجتماعی بشر در نحوه‌ی اداره‌ی جوامع بشری و رجوع به آرای مردم در شکلاداره حکومت از این جمله می‌باشد که فقیه زمان شناس </w:t>
      </w:r>
    </w:p>
    <w:p>
      <w:pPr>
        <w:pStyle w:val="BookText"/>
        <w:rPr/>
      </w:pPr>
      <w:r>
        <w:rPr>
          <w:rFonts w:ascii="IRNazanin" w:hAnsi="IRNazanin" w:eastAsia="IRNazanin"/>
          <w:color w:val="111111"/>
          <w:sz w:val="28"/>
          <w:sz w:val="28"/>
          <w:szCs w:val="28"/>
          <w:rtl w:val="true"/>
          <w:lang w:bidi="fa-IR"/>
        </w:rPr>
        <w:t>و آشنای به تحوّلات اجتماعی، که معتقد به لزوم حضور دین در صحنه اجتماع است، نمی‌تواند بی‌تفاوت از کنار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آيت الله صانعى با باور به مبناى مردمى حكومت در عصر غيبت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ائمه اين شايستگى را دارند كه تمام مسایل را حل كنند؛ چون از هر خطايى مبرّا هستند؛ اما در عصر غيبت، همه‌ی كسانى كه حكومت را قبول دارند؛ چه به ولايت فقيه معتقد باشند و چه نباشند، اين معنا را پذيرفته‌اند كه حكومت بايد به وسيله مردم به وجود آيد و اداره شود؛ زيرا خداوند متعال انسان را آزاد، صاحب اختيار و مسلّط بر ذات خويش آفريده و هيچ كس نمى‌تواند اين آزادى را محدود كرده و بى‌اجازه‌ی آنان، در مقدّراتشان دخالت و تصرّف كند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اين فقيه شيعه بارها تصريح كرده است که مشروعيّت حكومت در اسلام با جمهور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پيشينى اين سخن به مرحوم آخوند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ملاك حكومت را در عصر غيبت، بيعت جمهور مردم مى‌دانست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رهبر و به دست گرفتن قدرت، منوطبه رأى اكثريت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نتيجتاً، مشروعيّت </w:t>
      </w:r>
    </w:p>
    <w:p>
      <w:pPr>
        <w:pStyle w:val="BookText"/>
        <w:rPr/>
      </w:pPr>
      <w:r>
        <w:rPr>
          <w:rFonts w:ascii="IRNazanin" w:hAnsi="IRNazanin" w:eastAsia="IRNazanin"/>
          <w:color w:val="111111"/>
          <w:sz w:val="28"/>
          <w:sz w:val="28"/>
          <w:szCs w:val="28"/>
          <w:rtl w:val="true"/>
          <w:lang w:bidi="fa-IR"/>
        </w:rPr>
        <w:t>حكومت در زمان غيبت و قدرت اجرايى‌اش، منوط به رأى اكثريت است و اگر رأى اكثريت مردم نباشد، حكومت كردن خلاف شرع است؛ چون رضايت مردم را به دنبال ندارد و چنين حكومتى از نظر اسلام، محكوم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را باید در چهارچوب فهم خردمندانه از دین معنا کرد؛ فهمی که با ورود خود به بخش‌های مختلف فقه می‌تواند به حرکت همپای فقه و زمان، سرعت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بخش روابط بین‌الملل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مسلمانان با غیرمسلمانان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این نوشته است، توجه به این اصل، به معنای ضرورت توجّه به دگرگونی‌های نوین جهانی و پیوندهای جدید بین‌المللی، علاوه بر اعتقاد به وجود نظامی است که در کانون این تحوّلات قرار داشته و مدعی راهبری فرهنگی جامعه بشریّت است؛ نظامی که بسته به ضرورت حفظ و تداوم بقای خویش به عنوان شریک در پیمان‌های بین‌المللی سیاسی و تجاری، اتحادهای منطقه‌ای است و هم بنا به وظیفه‌ی دینی خود، بناست سکّان هدایت فرهنگی بشر را به دست بگیرد؛ تکلیفی که به یقین و بر اساس مستندات فراوان قرآنی و اعتقاد به خاتمیّت رسول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ذات اسلام و تار و پود تعالیم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فاصله </w:t>
      </w:r>
    </w:p>
    <w:p>
      <w:pPr>
        <w:pStyle w:val="BookText"/>
        <w:rPr/>
      </w:pPr>
      <w:r>
        <w:rPr>
          <w:rFonts w:ascii="IRNazanin" w:hAnsi="IRNazanin" w:eastAsia="IRNazanin"/>
          <w:color w:val="111111"/>
          <w:sz w:val="28"/>
          <w:sz w:val="28"/>
          <w:szCs w:val="28"/>
          <w:rtl w:val="true"/>
          <w:lang w:bidi="fa-IR"/>
        </w:rPr>
        <w:t xml:space="preserve">گرفتن از این نگاه به معنای محدود کردن دین در عصر نزول و تشریع و جغرافیای کوچک آن است و به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معروف، در اعتراض به حکم 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گونه که جناب‌عالی از اخبار و روایات برداشت دارید، تمدن جدید به کلی باید از بین برود و مردم کوخ‌نشین بوده و یا برای همیشه در صحراها زندگی نمایند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ناگزیر از بازنگری در آن دسته از مقرّراتی فقهی خواهیم بود که با روح شریعت و زبان قرآن و سیره‌ی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مقرّراتی که پیش از آنکه اسلام را به عنوان عضو فعال صحنه‌ی فرهنگ جهانی تبدیل نماید، او را به گوشه‌ی انزوا می‌کشاند؛ چرا که با تغییر نظام‌ها و مرزبندی‌های جدید در جغرافیای سیاسیِ متفاوت از تقسیم‌بندی گذشته به دارالاسلام و دارالکفر و بروز و ظهور پدیده‌های جدید در مناسبات سیاسی و اقتصادی، بخشی از قوانین گذشته کارایی لازم را ندارد و برخی از باورهای غلط که ریشه در اجتهادات متکی بر دلایل غیر مستحکم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نیازمند به اصلاح بر اساس فرهنگ فرا زمانی قرآن کریم و فهم خردمندانه‌تر از نصوص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نیازمندی به کاوش نو و اجتهاد‌ی پویاتر در آن، بیش از پیش </w:t>
      </w:r>
    </w:p>
    <w:p>
      <w:pPr>
        <w:pStyle w:val="BookText"/>
        <w:rPr/>
      </w:pPr>
      <w:r>
        <w:rPr>
          <w:rFonts w:ascii="IRNazanin" w:hAnsi="IRNazanin" w:eastAsia="IRNazanin"/>
          <w:color w:val="111111"/>
          <w:sz w:val="28"/>
          <w:sz w:val="28"/>
          <w:szCs w:val="28"/>
          <w:rtl w:val="true"/>
          <w:lang w:bidi="fa-IR"/>
        </w:rPr>
        <w:t>احساس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تا دیروز تضعیف یک کشور از منظر اقتصاد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به شخص و یا کشوری بود، امروز در نظام بین‌الملل برای فشار به یک کشور و تضعیف بنیه‌ی اقتصادی و کاهش توان و برهم زدن ثبات اجتماعی یک جامعه و ایجاد بحران‌های فروانی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اشتغال و رکود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به مراتب مخرّب‌تر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سئوال اینجاست که آیا امروز می‌توان از تجارت با کشور‌های غیر‌مسلمان که بخش زیادی از بازار مصرف را در اختیار دارند به بهانه‌ی جلوگیری از سلطه‌ی کافر و یا تضعیف جبهه‌ی حق منع نمود؟ آن هم با همان درک گذ‌شته که نفروختن را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نپذیرفتن سلطه می‌دید؟ آیا جمود بر برخی عبارات و ظواهر، بدون توجه به روح کلی و حاکم بر روابط بین‌الملل و پذیرش تحوّلات و سود و زیان و منافع اسلام و مسلمین که می‌تواند به معنی کاستن از نقش کشور اسلامی و انزوای در این حوزه باشد، جایز است؟ به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فقیه و اسلام شناس بزرگ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حوزه‌ی مناسبات بین‌الملل اسلامی که با مصالح سیاسی و کلی جامعه‌ی اسلامی در ارتباط است، حوزه‌ی عقل و تدبیر و خردورزی است؛ یعنی منطقه‌ای که عقلِ مصلحت‌اندیش </w:t>
      </w:r>
    </w:p>
    <w:p>
      <w:pPr>
        <w:pStyle w:val="BookText"/>
        <w:rPr/>
      </w:pPr>
      <w:r>
        <w:rPr>
          <w:rFonts w:ascii="IRNazanin" w:hAnsi="IRNazanin" w:eastAsia="IRNazanin"/>
          <w:color w:val="111111"/>
          <w:sz w:val="28"/>
          <w:sz w:val="28"/>
          <w:szCs w:val="28"/>
          <w:rtl w:val="true"/>
          <w:lang w:bidi="fa-IR"/>
        </w:rPr>
        <w:t xml:space="preserve">باید با ترازوی منافع و مضارّ عمل و مصالح و مفاسد امّت اسلامی و مسلمانان به قضاوت بنشیند، کاری که ایشان خود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سلاح با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انجام داد و نصوص موجود را که دیگران در کوچه‌های تاریک ظواهر آن، به مشکل خورده و در پی قواعد تعارض و تراجیح به دنبال دروازه خروج می‌گردند، چراغی روشن برای ارشاد به حکم عقل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الإنصاف أنّه لا يستفاد من الروايات شيء وراء حكم العقل؛</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انصاف آن است که از این روایات چیزی بیش از آنچه که عقل بدان حکم می‌کند،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پذیرش حکم عقل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هذا الأمر؛ أي بيع السلاح من أعداء الدين، من الأمور السياسيّة التابعة لمصالح اليوم، فربّما 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 مصالح المسلمين بيع السلاح، بل إعطاءه مجّاناً لطائفة من الكفّار؛</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امر؛ یعنی فروش سلاح به دشمنان دین از امور سیاسی و تابع مصالح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مصلحت مسلمین اقتضا نماید که سلاح را به </w:t>
      </w:r>
    </w:p>
    <w:p>
      <w:pPr>
        <w:pStyle w:val="BookText"/>
        <w:rPr/>
      </w:pPr>
      <w:r>
        <w:rPr>
          <w:rFonts w:ascii="IRNazanin" w:hAnsi="IRNazanin" w:eastAsia="IRNazanin"/>
          <w:color w:val="111111"/>
          <w:sz w:val="28"/>
          <w:sz w:val="28"/>
          <w:szCs w:val="28"/>
          <w:rtl w:val="true"/>
          <w:lang w:bidi="fa-IR"/>
        </w:rPr>
        <w:t>صورت مجانی به گروهی از کفار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نگاه خردمندانه و فقیهانه است که شرایط زمان و مکان در استنباط و دریافت و برداشت صحیح از ظواهر صورت می‌پذیرد، که نمونه‌ای از آن بی‌توجهی به شرایط اجتماعی اسلام و تأثیر آن در پوشش و ظاهر مسلمان و سبک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دستوری اجتماعی به مردان امر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پيرى را در چهره‌ی خود تغيير دهيد و خود را شبيه يهود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جامعه و جمعیت اسلام توسعه پيدا كرد،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از سوی برخی مورد سئوال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بیان اعتراضی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محاسن شریف خویش را خضاب مى‌کردند، شما به چه دلیل این سنّت را ترك كرده و این دستور جاودانه را رها نموده‌ايد؟</w:t>
      </w:r>
    </w:p>
    <w:p>
      <w:pPr>
        <w:pStyle w:val="BookText"/>
        <w:rPr/>
      </w:pPr>
      <w:r>
        <w:rPr>
          <w:rFonts w:ascii="Amiri" w:hAnsi="Amiri" w:eastAsia="Amiri" w:cs="Amiri"/>
          <w:color w:val="111111"/>
          <w:sz w:val="28"/>
          <w:sz w:val="28"/>
          <w:szCs w:val="28"/>
          <w:rtl w:val="true"/>
          <w:lang w:bidi="ar-SA"/>
        </w:rPr>
        <w:t xml:space="preserve">أَنَّهُ سُئِلَ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غَيِّرُوا الشَّيْبَ وَ لَا تَشَبَّهُوا بِالْيَهُودِ؛</w:t>
      </w:r>
    </w:p>
    <w:p>
      <w:pPr>
        <w:pStyle w:val="BookText"/>
        <w:rPr/>
      </w:pPr>
      <w:r>
        <w:rPr>
          <w:rFonts w:ascii="IRNazanin" w:hAnsi="IRNazanin" w:eastAsia="IRNazanin"/>
          <w:color w:val="111111"/>
          <w:sz w:val="28"/>
          <w:sz w:val="28"/>
          <w:szCs w:val="28"/>
          <w:rtl w:val="true"/>
          <w:lang w:bidi="fa-IR"/>
        </w:rPr>
        <w:t xml:space="preserve">از ایشان سئوال شد در مورد این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موهای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دهید و خود را شبیه یهود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تأثیر دگرگونی زمان وشرایط در احکام اسلامی، در پاسخ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الدِّينُ قُلٌّ، وَ أَمَّا الْآنَ </w:t>
      </w:r>
    </w:p>
    <w:p>
      <w:pPr>
        <w:pStyle w:val="BookText"/>
        <w:rPr/>
      </w:pPr>
      <w:r>
        <w:rPr>
          <w:rFonts w:ascii="Amiri" w:hAnsi="Amiri" w:eastAsia="Amiri" w:cs="Amiri"/>
          <w:color w:val="111111"/>
          <w:sz w:val="28"/>
          <w:sz w:val="28"/>
          <w:szCs w:val="28"/>
          <w:rtl w:val="true"/>
          <w:lang w:bidi="ar-SA"/>
        </w:rPr>
        <w:t>وَ قَدِ اتَّسَعَ نِطَاقُهُ وَ ضَرَبَ بِجِرَانِهِ، فَامْرُؤٌ وَ مَا اخْتَارَ؛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امر به خضاب كردند دين در اقليت بود؛ اما امروز اسلام توسعه يافته است و مرزهاى آن به اقصى نقاط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هر شخصى مخيّر است كه خضاب بگذارد و يا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که از این سئوال و پاسخ هویداست در این دستور اجتماعی پیش از آنکه ذات عمل مورد توجه قرار گیرد، تأثیر آن در تشکّل مسلمانان به عنوان یک فرهنگ نوظهور که در مواجهه‌ی با غیر مسلمانان بیش از هر چیز به دنبال اثبات موجودیّت فرهنگی و اجتماعی خویش و تمایز آن از فرهنگ‌های دیگر است، مد‌ّ نظر قرار گرفته است، که نمونه‌های فراوان آن را در آداب ظاهری و شکل لباس و ریش و پوشش احرام در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توجه به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آرای فقهی فقیهان زمان شناسی چون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حکم به تحریم انداختن تحت الحنک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دنباله‌ی عمامه که از یک سوی به زیر حنک گذرانند و از دیگر سوی به دوش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می‌نماید با آنکه در گذشته سنّت بوده است تنهابه این دلیل که با تحوّلات زمان و روی گردانی مردم از </w:t>
      </w:r>
      <w:bookmarkStart w:id="40" w:name="pg9404_76435"/>
    </w:p>
    <w:p>
      <w:pPr>
        <w:pStyle w:val="BookText"/>
        <w:rPr/>
      </w:pPr>
      <w:bookmarkEnd w:id="40"/>
      <w:r>
        <w:rPr>
          <w:rFonts w:ascii="IRNazanin" w:hAnsi="IRNazanin" w:eastAsia="IRNazanin"/>
          <w:color w:val="111111"/>
          <w:sz w:val="28"/>
          <w:sz w:val="28"/>
          <w:szCs w:val="28"/>
          <w:rtl w:val="true"/>
          <w:lang w:bidi="fa-IR"/>
        </w:rPr>
        <w:t>آن، تبدیل به لباس شهرت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التحنك سنّة مطلقاً إلّا أنّه قد ترك اليوم، بحيث صار من لباس الشهرة المنهيّ عنه؛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حرکتی که امتداد آن، در صدور فتوای مشهور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تحریم بازی با شطرنج در صورت خروج از آلت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تحریم 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آیت‌الله العظمی صانعی مشاهده می‌گردد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41" w:name="__RefHeading___Toc5620152_2870459653"/>
      <w:bookmarkStart w:id="42" w:name="_Toc15"/>
      <w:bookmarkEnd w:id="41"/>
      <w:r>
        <w:rPr/>
        <w:t>3</w:t>
      </w:r>
      <w:r>
        <w:rPr>
          <w:rtl w:val="true"/>
        </w:rPr>
        <w:t xml:space="preserve">. </w:t>
      </w:r>
      <w:r>
        <w:rPr>
          <w:rtl w:val="true"/>
        </w:rPr>
        <w:t>تأثیر شرایط اجتماعی در احکام اجتماعی</w:t>
      </w:r>
      <w:bookmarkEnd w:id="42"/>
    </w:p>
    <w:p>
      <w:pPr>
        <w:pStyle w:val="BookText"/>
        <w:rPr/>
      </w:pPr>
      <w:r>
        <w:rPr>
          <w:rFonts w:ascii="IRNazanin" w:hAnsi="IRNazanin" w:eastAsia="IRNazanin"/>
          <w:color w:val="111111"/>
          <w:sz w:val="28"/>
          <w:sz w:val="28"/>
          <w:szCs w:val="28"/>
          <w:rtl w:val="true"/>
          <w:lang w:bidi="fa-IR"/>
        </w:rPr>
        <w:t xml:space="preserve">بی‌شک در اسلام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ازدواج و مراودات مالی؛ نظیر توارث، خرید و فروش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دارد که متأثّر از شرایط اجتماعی حاکم بر جامعه؛ نظیر جنگ و صلح، نوع عهد و قرارداد و پیوند اجتماعی میان مسلمانان و غیر‌مسلمانان، احکام آن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این شرایط و حساسیت‌های اجتماعی در احکام اجتماعی تا آنجا است که اگر در زمان صلح، شخص با گفتن شهادتین واجد تمام میزان و ملاک بر خورداری از مزایای مالی و اجتماعی می‌گردید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شَهَادَةُ أَنْ لَا إِلَهَ إِلَّا اللهُ وَ التَّصْدِيقُ بِرَسُولِ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حُقِنَتِ الدِّمَاءُ وَ عَلَيْهِ جَرَتِ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وَ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َوَارِيثُ؛</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اسلام شهادت به وحدانیّت خداوند و تصدیق به نبوّت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حفظ و بر آن ازدواج‌ها و ارث بردن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دگرگونی شرایط و گذر به شرایط جنگ و دشمنی، دیگر نمی‌تواند به عنوان تنها شرط برای ارتباطات وسیع و مطلق اسلامی و مبادلات مالی، ملاک عمل قرار گیرد و در اینجاست که روابط مالی و اجتماعی به حوزه‌ی درونی مذهب محدود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الْعَلَاءُ بْنُ رَزِينٍ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جُمْهُورِ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أَهْلُ هُدْنَةٍ تُرَدُّ ضَالَّتُهُمْ وَ تُؤَدَّى أَمَانَتُهُمْ وَ تُحْقَنُ دِمَاؤُهُمْ وَ تَجُوزُ مُنَاكَحَتُهُمْ وَ مُوَارَثَتُهُمْ فِي هَذَا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 بن رزین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سنّت می‌پرسد، امام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شرایط ترک مخاصمه قرار دارید که گم‌گشته‌ی آنان را باز می‌گردانید و خونشان محفوظ است و ازدواج با ایشان جایز و موارثت برقرار است در این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حضرت شرایط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شرایطترک مخاصمه است سبب جریان نکاح و مواریث می‌داند، حاکی از آن است که با تغییر این شرایط، احکام نیز متغیّر خواهند بود و این خود باب وسیعی در فهم نصوص دینی در امور اجتماعی اسلام؛ مانند نکاح، 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نمود، مسأله‌ای که نظیر آن را در تأثیر شرایط جنگ و صلح در مبادلات 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زین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کالایی کاملاً معمولی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می‌بینیم؛ آنجا که حضرت در پاسخ پرسشی در این خصوص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أَنْتُمُ الْيَوْمَ بِمَنْزِلَةِ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هُدْنَةٍ، فَإِذَا كَانَتِ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ُبَايَنَةُ حَرُمَ عَلَيْكم أَنْ تَحْمِلُوا إِلَيْهِمُ السُّرُوجَ وَ السِّلَاحَ؛</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نگرانی در کار نیست، شما امروز مانند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شما در ترک مخاصمه‌اید؛ اما اگر فاصله 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شما که به سوی آنان زین و سلاح ببرید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آگاه به شرایط و تأثیر زمان در احکام، به ویژه ابعاد سیاسی و اجتماعی آن نیز با همین اندیشه در باب تجارت سلاح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که دولتِ مخالفینِ مسلمان، به قصد قتل و </w:t>
      </w:r>
    </w:p>
    <w:p>
      <w:pPr>
        <w:pStyle w:val="BookText"/>
        <w:rPr/>
      </w:pPr>
      <w:r>
        <w:rPr>
          <w:rFonts w:ascii="IRNazanin" w:hAnsi="IRNazanin" w:eastAsia="IRNazanin"/>
          <w:color w:val="111111"/>
          <w:sz w:val="28"/>
          <w:sz w:val="28"/>
          <w:szCs w:val="28"/>
          <w:rtl w:val="true"/>
          <w:lang w:bidi="fa-IR"/>
        </w:rPr>
        <w:t xml:space="preserve">اسارت و انهدام مذهب شیعه به آن یورش برده، به هروسیله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وسیله‌ی تجهیز مجّانی مشرکین به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مخالف و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نمود؛</w:t>
      </w:r>
    </w:p>
    <w:p>
      <w:pPr>
        <w:pStyle w:val="BookText"/>
        <w:rPr/>
      </w:pPr>
      <w:r>
        <w:rPr>
          <w:rFonts w:ascii="Amiri" w:hAnsi="Amiri" w:eastAsia="Amiri" w:cs="Amiri"/>
          <w:color w:val="111111"/>
          <w:sz w:val="28"/>
          <w:sz w:val="28"/>
          <w:szCs w:val="28"/>
          <w:rtl w:val="true"/>
          <w:lang w:bidi="ar-SA"/>
        </w:rPr>
        <w:t>بل لو كان المهاجم على دولة الشيعة دولة المخالفين مريدين قتلهم و أسرهم و هدم مذهبهم، يجب عليهم دفعهم و لو بوسيلة تلك الطائفة المأمونة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این شرایط که کیان تشیّع توسط گروه‌های تکفیری به خطر افتاده، عالم فقیه در استمداد از غیر مسلمانان، خود را در کمند قواعدی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 کافر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نمی‌کند و مصالح اسلامی را حاکم بر آن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ممکن است حتی با عنوان ثانوی، مصلحت مؤمنین قبول حاکم غیر‌مسلمان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رشتی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 لكن المنفيّ هو السبيل بجعل الله الأولّي كسبيل المولى على العبيد، فلا ينافي ما كان منه لمصلحة المؤمن بالجعل الثانوي، سلّمنا، لكن أدلّة الحرج حاكمة على جميع أدلّة الأحكام الّتي منها عدم سبيل الكافر على المؤمن؛</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پذیرفتیم؛ اما آن تسلّطی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نفی شده است با جعل اوّلی از سوی خداوند است؛ مانند تسلّط مولا بر بنده‌اش، پس منافاتی </w:t>
      </w:r>
    </w:p>
    <w:p>
      <w:pPr>
        <w:pStyle w:val="BookText"/>
        <w:rPr/>
      </w:pPr>
      <w:r>
        <w:rPr>
          <w:rFonts w:ascii="IRNazanin" w:hAnsi="IRNazanin" w:eastAsia="IRNazanin"/>
          <w:color w:val="111111"/>
          <w:sz w:val="28"/>
          <w:sz w:val="28"/>
          <w:szCs w:val="28"/>
          <w:rtl w:val="true"/>
          <w:lang w:bidi="fa-IR"/>
        </w:rPr>
        <w:t>ندارد با آنچه را که برای رعایت مصلحت مؤمن با جعل ثانوی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فرض عدم قبول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بر تمام دلایل، از جمله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قضاوت را در فقه سیاسی به دست حاکم اندیشه بسپاریم، بی‌تردید عقل در میزان دشمنی و خطر میان دشمنان جامعه اسلامی تفاوت قایل است، به خصوص آنچه را که نص قرآن کریم به عنوان چراغ راهنما و مرشد آگاه، از آن خبر داده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یهود و مشرکین با نصاری در ارتباط قلبی با مسلمانان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 رُهْبَانًا وَأَنَّهُمْ لاَ يَسْتَكْبِرُونَ</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هر آينه دشمن‌ترين مردم نسبت به مسلمانان، يهود و مشركان را خواهى يافت، و با محبت‌تر از همه كس به اهل ايمان آنان را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نصارى نسبت به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است كه برخى از آنها دانشمند و پارسا هستند و تكبر و گردن‌كشى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pStyle w:val="BookText"/>
        <w:rPr/>
      </w:pPr>
      <w:r>
        <w:rPr>
          <w:rFonts w:ascii="Amiri" w:hAnsi="Amiri" w:eastAsia="Amiri" w:cs="Amiri"/>
          <w:color w:val="111111"/>
          <w:sz w:val="28"/>
          <w:sz w:val="28"/>
          <w:szCs w:val="28"/>
          <w:rtl w:val="true"/>
          <w:lang w:bidi="ar-SA"/>
        </w:rPr>
        <w:t>حكم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تأثیر و تأثّر میان حکم به جواز پیوند زناشویی و شرایط حاکم بر اجتماع؛ مانند نوع ارتباط میان مسلمان با غیر‌مسلمان را در نصوص مربوط به احکامازدواج با غیر مسلمانان نیز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قمى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اهل كتاب تنها ازدواج با آن زنانى حلال است كه به حكومت اسلام جزيه بپردازند؛ و اما غير آنان نه، ازدواج با زنان‌شان حلال نيست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بدیهی است علت تفصیل در حکم جواز و عدم آن اين است كه وقتى اهل كتاب از قوانین سرپیچی نموده و قرارداد را زیر پا گذارند و جزيه نپردازد، قهراً از کسوت انسان صلح طلب خارج گردیده و در جبهه‌ی دشمن؛ یعنی محارب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انسان عاقل یار خلوت خویش را از سپاه دشمن اختیار نخواهد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حدیثی دیگرکه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که درآن میزان درک و فهم زن و قدرت تشخیص و میزان قصور و تقصیر او در عقیده‌اش، در جواز و عدم جواز ازدواج با او مؤثر </w:t>
      </w:r>
      <w:bookmarkStart w:id="43" w:name="pg9404_76441"/>
    </w:p>
    <w:p>
      <w:pPr>
        <w:pStyle w:val="BookText"/>
        <w:rPr/>
      </w:pPr>
      <w:bookmarkEnd w:id="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زنان اهل كتاب تنها با آن زنى ازدواج حلال است كه ساده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فكرى 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قدرت تشخيص دين صحيح از دين باطلرا نداشته باشد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بنای فتوای آیت‌الله العظمی صانعی به جواز ازدواج با غیر مسلمانی که در ردیف دشمنانِ عالم و آگاه و جاحد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بر این مبنا استوار است</w:t>
      </w:r>
      <w:r>
        <w:rPr>
          <w:rFonts w:eastAsia="IRNazanin" w:cs="IRNazanin"/>
          <w:color w:val="111111"/>
          <w:sz w:val="28"/>
          <w:szCs w:val="28"/>
          <w:rtl w:val="true"/>
          <w:lang w:bidi="fa-IR"/>
        </w:rPr>
        <w:t>.</w:t>
      </w:r>
    </w:p>
    <w:p>
      <w:pPr>
        <w:pStyle w:val="Heading4"/>
        <w:numPr>
          <w:ilvl w:val="3"/>
          <w:numId w:val="1"/>
        </w:numPr>
        <w:rPr/>
      </w:pPr>
      <w:bookmarkStart w:id="44" w:name="__RefHeading___Toc5620154_2870459653"/>
      <w:bookmarkStart w:id="45" w:name="_Toc16"/>
      <w:bookmarkEnd w:id="44"/>
      <w:r>
        <w:rPr/>
        <w:t>4</w:t>
      </w:r>
      <w:r>
        <w:rPr>
          <w:rtl w:val="true"/>
        </w:rPr>
        <w:t xml:space="preserve">. </w:t>
      </w:r>
      <w:r>
        <w:rPr>
          <w:rtl w:val="true"/>
        </w:rPr>
        <w:t>بازشناسي امور تأسيسي از امور امضايي</w:t>
      </w:r>
      <w:bookmarkEnd w:id="45"/>
    </w:p>
    <w:p>
      <w:pPr>
        <w:pStyle w:val="BookText"/>
        <w:rPr/>
      </w:pPr>
      <w:r>
        <w:rPr>
          <w:rFonts w:ascii="IRNazanin" w:hAnsi="IRNazanin" w:eastAsia="IRNazanin"/>
          <w:color w:val="111111"/>
          <w:sz w:val="28"/>
          <w:sz w:val="28"/>
          <w:szCs w:val="28"/>
          <w:rtl w:val="true"/>
          <w:lang w:bidi="fa-IR"/>
        </w:rPr>
        <w:t xml:space="preserve">از جمله اموری که پایه‌ی تغییر رویکرد فقهی و صدور آرایی متفاوت، نه درحوزه‌ی احکام بین المللی اسلام، بلکه در سراسر فقه است، بازشناسی امور امضایی از امور تأسیسی است؛ چه اینکه غالب امور امضایی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امور تأسیسی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مسایلی است که حوزه کنکاش خرد و مصلحت سنجی‌های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معاملات یکی از این ابواب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تجارت هیچ یک از فقها، اسلام را برای فروشنده و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نکرده‌اند و این خود گواه روشنی است بر این‌که در فقه معاملات، که ممکن است یک طرف آن، غیر هم‌کیش </w:t>
      </w:r>
    </w:p>
    <w:p>
      <w:pPr>
        <w:pStyle w:val="BookText"/>
        <w:rPr/>
      </w:pPr>
      <w:r>
        <w:rPr>
          <w:rFonts w:ascii="IRNazanin" w:hAnsi="IRNazanin" w:eastAsia="IRNazanin"/>
          <w:color w:val="111111"/>
          <w:sz w:val="28"/>
          <w:sz w:val="28"/>
          <w:szCs w:val="28"/>
          <w:rtl w:val="true"/>
          <w:lang w:bidi="fa-IR"/>
        </w:rPr>
        <w:t>باشد، نمی‌توان از قواعد و مقرّرات و ملاک‌های تعبدیِ محض سخن گفت که برای طرف دیگر هیچ معنا و مفهومی ندارد و دلیلی نیز بر پایبندی به آن، سوای قواعد رایج معاملات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 دربخش‌های امضایی که از آن به معاملات تعبیر می‌شود و با زندگانی بشر سر و کار دارد و پیش از اسلام نیز وجود داشته و فلسفه‌ی آن سود و زیان و تأمین ما یحتاج انسان است در جغرافیایی وسیع‌تر از اسلام، بلکه به پهنای حوزه انسان است، بر عملِ عرف عقلا مهر تأیید زده است؛ چرا که نظم و قواعد این حوزه، بیشتر عقلايى است و به همین خاطر هم مورد تأیید شارع مقدّس قرار گرفته است و در نتیجه غالب ملاكات آن در نزد عقلا روشن و واضح است و بدیهی است که در این گونه امور، بستن راه عقل و خرد بشر توسط تعبدات، غیر قابل فهم و ناممکن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در موارد عبادى، وجود يك ملاك تعبدى كه عقلا قدرت درك آن را ندارند، بسيار محتمل است؛ امّا در موارد غير‌عبادى، وجود يك ملاكى كه عقلا صلاحیّت درك آن را نداشته باشند و شارع با لحاظ آن، حكمى را ذكر كرده باشد، بسيار بعيد است و در چنين مواردى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صورت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شارع، اِعمال تعبد خويش را به وسيله قرينه‌اى روشن و واضح بيان كند تا اين‌كه بر ملاك </w:t>
      </w:r>
      <w:bookmarkStart w:id="46" w:name="pg9404_76443"/>
    </w:p>
    <w:p>
      <w:pPr>
        <w:pStyle w:val="BookText"/>
        <w:rPr/>
      </w:pPr>
      <w:bookmarkEnd w:id="46"/>
      <w:r>
        <w:rPr>
          <w:rFonts w:ascii="IRNazanin" w:hAnsi="IRNazanin" w:eastAsia="IRNazanin"/>
          <w:color w:val="111111"/>
          <w:sz w:val="28"/>
          <w:sz w:val="28"/>
          <w:szCs w:val="28"/>
          <w:rtl w:val="true"/>
          <w:lang w:bidi="fa-IR"/>
        </w:rPr>
        <w:t>ارتكازى عقلايى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آیت‌الله العظمی صانعی از استاد خویش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با دهل سنج این مخالفت را بیان کند؛ نظیر آنچه در مخالفت با قیاس انجام داده است</w:t>
      </w:r>
      <w:r>
        <w:rPr>
          <w:rFonts w:eastAsia="IRNazanin" w:cs="IRNazanin"/>
          <w:color w:val="111111"/>
          <w:sz w:val="28"/>
          <w:szCs w:val="28"/>
          <w:rtl w:val="true"/>
          <w:lang w:bidi="fa-IR"/>
        </w:rPr>
        <w:t>.</w:t>
      </w:r>
    </w:p>
    <w:p>
      <w:pPr>
        <w:pStyle w:val="Heading4"/>
        <w:numPr>
          <w:ilvl w:val="3"/>
          <w:numId w:val="1"/>
        </w:numPr>
        <w:rPr/>
      </w:pPr>
      <w:bookmarkStart w:id="47" w:name="__RefHeading___Toc5620156_2870459653"/>
      <w:bookmarkStart w:id="48" w:name="_Toc17"/>
      <w:bookmarkEnd w:id="47"/>
      <w:r>
        <w:rPr/>
        <w:t>5</w:t>
      </w:r>
      <w:r>
        <w:rPr>
          <w:rtl w:val="true"/>
        </w:rPr>
        <w:t xml:space="preserve">. </w:t>
      </w:r>
      <w:r>
        <w:rPr>
          <w:rtl w:val="true"/>
        </w:rPr>
        <w:t>توجه به مقام اجرا و عمل، در استنباط</w:t>
      </w:r>
      <w:bookmarkEnd w:id="48"/>
    </w:p>
    <w:p>
      <w:pPr>
        <w:pStyle w:val="Heading5"/>
        <w:numPr>
          <w:ilvl w:val="4"/>
          <w:numId w:val="1"/>
        </w:numPr>
        <w:rPr/>
      </w:pPr>
      <w:bookmarkStart w:id="49" w:name="__RefHeading___Toc5620158_2870459653"/>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شکّی نیست که صدور فتوا نیز مانند تصویب قوانین عرفی، نیازمند توجه به واقعیت موجود و توان اجرایی شدن آن در سطح اجتماع و شرایط متفاوت جغرافیایی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آیت‌الله صانعی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اسلام قابل انطباق در همه‌ی زمان‌هاست؛ البته به شرط بهره‌بردن از علم و دانش در تطبيق قالب‌ها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این رو ضروری است استنباط فقیه با توجه به امور ذیل صورت پذیرد</w:t>
      </w:r>
      <w:r>
        <w:rPr>
          <w:rFonts w:eastAsia="IRNazanin" w:cs="IRNazanin"/>
          <w:color w:val="111111"/>
          <w:sz w:val="28"/>
          <w:szCs w:val="28"/>
          <w:rtl w:val="true"/>
          <w:lang w:bidi="fa-IR"/>
        </w:rPr>
        <w:t>:</w:t>
      </w:r>
    </w:p>
    <w:p>
      <w:pPr>
        <w:pStyle w:val="Heading5"/>
        <w:numPr>
          <w:ilvl w:val="4"/>
          <w:numId w:val="1"/>
        </w:numPr>
        <w:rPr/>
      </w:pPr>
      <w:bookmarkStart w:id="51" w:name="__RefHeading___Toc5620160_2870459653"/>
      <w:bookmarkStart w:id="52" w:name="_Toc19"/>
      <w:bookmarkEnd w:id="51"/>
      <w:r>
        <w:rPr>
          <w:rtl w:val="true"/>
        </w:rPr>
        <w:t>یکم</w:t>
      </w:r>
      <w:r>
        <w:rPr>
          <w:rtl w:val="true"/>
        </w:rPr>
        <w:t xml:space="preserve">) </w:t>
      </w:r>
      <w:r>
        <w:rPr>
          <w:rtl w:val="true"/>
        </w:rPr>
        <w:t>عملی بودن فتوا</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این فقیه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مقام جعل احكام انشا می‌گردد، باید به گونه‌ای باشد که بتواند در شرایط زمانی و مکانی مختلف به مقام اجرا و عمل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بسیار مهمی که توجه به آن، گاه در اصل فهم و استنباط و در مرحله بعد در اداره‌ی </w:t>
      </w:r>
    </w:p>
    <w:p>
      <w:pPr>
        <w:pStyle w:val="BookText"/>
        <w:rPr/>
      </w:pPr>
      <w:r>
        <w:rPr>
          <w:rFonts w:ascii="IRNazanin" w:hAnsi="IRNazanin" w:eastAsia="IRNazanin"/>
          <w:color w:val="111111"/>
          <w:sz w:val="28"/>
          <w:sz w:val="28"/>
          <w:szCs w:val="28"/>
          <w:rtl w:val="true"/>
          <w:lang w:bidi="fa-IR"/>
        </w:rPr>
        <w:t>اجتماع، تأثير ويژه‌اي خواهد نمود؛ چرا که تبدیل فقه به قانون قابل اجرا، خود فرایندی پیچیده و در برخی موارد نیازمند همراهی فقه با دانش‌های دیگر روز؛ نظیر جامعه شناسی و روانشناسی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آیت‌الله العظمی صانعی در چگونگیو راهکار تنظیم و تدوین و پیاده‌سازی اصول اساسی و مستنبط و مستخرج از قرآن، آن را بر عهده‌ی خرد جمعی بشر می‌داند و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طرفدار امنيت و عدالت و برابرى انسان‌هاست و با ظلم و نا امنى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پيدايش اين امور در شرايط فعلى و درآينده نياز به حكومت و قدرت قانونى و اجرا دارد؛ پس اسلام حكومت دارد و در هر حكومتى طبعاً نياز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اسلام قانون دارد، مجلس قانون‌گذارى، آن قوانين را شكل بندى مى‌كند و به صورت قانون بيرون مى‌آورد؛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موجب مجازات است، يا عدم پرداخت مزد كارگران موجب مجازات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مواردى كه اسلام قانون بالخصوص ندارد؛ همانند اداره امور مردم، تشكيل وزارتخانه‌ها، اختيارات وزرا، بودجه و اعتبارات، درآمدها و هزينه‌ها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مردم و زندگى مردم است، اسلام </w:t>
      </w:r>
    </w:p>
    <w:p>
      <w:pPr>
        <w:pStyle w:val="BookText"/>
        <w:rPr/>
      </w:pPr>
      <w:r>
        <w:rPr>
          <w:rFonts w:ascii="IRNazanin" w:hAnsi="IRNazanin" w:eastAsia="IRNazanin"/>
          <w:color w:val="111111"/>
          <w:sz w:val="28"/>
          <w:sz w:val="28"/>
          <w:szCs w:val="28"/>
          <w:rtl w:val="true"/>
          <w:lang w:bidi="fa-IR"/>
        </w:rPr>
        <w:t>معتقد است كه بهترين راه تصويب قوانين مربوط به آنها اين است كه خود مردم قانون را تصويب كنند؛ يعنى نمايندگان منتخب مردم در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قانون را نمايندگان مردم تصويب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آنچه كه در قرآنآمده، شكل بندى قوانين آن با مجلس است و اين معنا يعنى حق قانون‌گذارى و امور مردم با خود مردم، این عين دموكراسى است كه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با دموكراسى ناسازگارى ندارند، بلكه از هم جدا نيز نيستند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فقیهی که در استنباط به این نکات توجه دارد، میدان عمل به فقه را فراخ نموده است و در مقابل، خروج از این نگاه به معنای به بن‌بست رساندن دین در اداره‌ی یک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جهان شمولی احکام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فقهی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 و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حوزه‌ی زندگی فردی جاری؛ اما در رعایت مصالح جامعه نادرست می‌داند و با یک روایت ضعیف و یا برداشت کوتاه نظرانه، مال و جان غیر‌مسلمان و تمکین در برابر نظم و انضباط و قوانین انتظامی کشور غیر اسلامی را پذیرش ولایت طاغوت و سبیل کافر می‌داند، زمانی که آن را در برابر این دیدگاه فقهی قرار می‌دهیم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قوانین و تعهد در برابر </w:t>
      </w:r>
    </w:p>
    <w:p>
      <w:pPr>
        <w:pStyle w:val="BookText"/>
        <w:rPr/>
      </w:pPr>
      <w:r>
        <w:rPr>
          <w:rFonts w:ascii="IRNazanin" w:hAnsi="IRNazanin" w:eastAsia="IRNazanin"/>
          <w:color w:val="111111"/>
          <w:sz w:val="28"/>
          <w:sz w:val="28"/>
          <w:szCs w:val="28"/>
          <w:rtl w:val="true"/>
          <w:lang w:bidi="fa-IR"/>
        </w:rPr>
        <w:t>نظم و انضباط ولو در دولت غیر‌اسلامی واجب است،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فقه اسلامی با دیدگاه اجرایی آن را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که در اندیشه فقهی آیت‌الله العظمی صانعی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صدور این پاسخ در مواجهه بااستفتائی از محضر ایشان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تمام مقرّرات آن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ضدیّت آشکار با اصول و ضروریّات اسلام نباشد، عمل نمود و آن مقرّرات به حکم حفظ نظام و نظم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شرعی و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الرعایه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نتیجتاً مقرّرات همان مملکت نسبت به ضمان و ضمانت، لازم الرعایه بوده و هست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چنین نگاهی است که فقه اسلامی را در دورترین نقاط کره خاکی از محل صدور آن در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قرن‌ها گذر تاریخ و در شرایط حاکمیّت غیر‌مسلمان نیز، قابل التزام در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دوری از آن، به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جدید به کلی باید از بین برود و مردم کوخ نشین بوده و یا برای همیشه در صحراها زندگی نمایند</w:t>
      </w:r>
      <w:r>
        <w:rPr>
          <w:rFonts w:eastAsia="IRNazanin" w:cs="IRNazanin"/>
          <w:color w:val="111111"/>
          <w:sz w:val="28"/>
          <w:szCs w:val="28"/>
          <w:rtl w:val="true"/>
          <w:lang w:bidi="fa-IR"/>
        </w:rPr>
        <w:t>».</w:t>
      </w:r>
      <w:r>
        <w:rPr>
          <w:rStyle w:val="FootnoteAnchor"/>
          <w:rtl w:val="true"/>
        </w:rPr>
        <w:footnoteReference w:id="46"/>
      </w:r>
      <w:bookmarkStart w:id="53" w:name="pg9404_76447"/>
    </w:p>
    <w:p>
      <w:pPr>
        <w:pStyle w:val="Heading5"/>
        <w:numPr>
          <w:ilvl w:val="4"/>
          <w:numId w:val="1"/>
        </w:numPr>
        <w:rPr/>
      </w:pPr>
      <w:bookmarkStart w:id="54" w:name="__RefHeading___Toc5620162_2870459653"/>
      <w:bookmarkStart w:id="55" w:name="_Toc20"/>
      <w:bookmarkEnd w:id="53"/>
      <w:bookmarkEnd w:id="54"/>
      <w:r>
        <w:rPr>
          <w:rtl w:val="true"/>
        </w:rPr>
        <w:t>دوم</w:t>
      </w:r>
      <w:r>
        <w:rPr>
          <w:rtl w:val="true"/>
        </w:rPr>
        <w:t xml:space="preserve">) </w:t>
      </w:r>
      <w:r>
        <w:rPr>
          <w:rtl w:val="true"/>
        </w:rPr>
        <w:t>پرهیز از احتیاطات فردی</w:t>
      </w:r>
      <w:bookmarkEnd w:id="55"/>
    </w:p>
    <w:p>
      <w:pPr>
        <w:pStyle w:val="BookText"/>
        <w:rPr/>
      </w:pPr>
      <w:r>
        <w:rPr>
          <w:rFonts w:ascii="IRNazanin" w:hAnsi="IRNazanin" w:eastAsia="IRNazanin"/>
          <w:color w:val="111111"/>
          <w:sz w:val="28"/>
          <w:sz w:val="28"/>
          <w:szCs w:val="28"/>
          <w:rtl w:val="true"/>
          <w:lang w:bidi="fa-IR"/>
        </w:rPr>
        <w:t>روشن است که نباید تمام همّت فقیه مصروف حلّ مشکلات فرد باشد و در این میان، جنبه‌ی اجتماعی احکام مورد بی‌مهری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تردید در صحّت برخینظرات، که با غفلت از مصالح جامعه‌ی مبتنی بر احتیاطات فردی صادر شده است، به آن توجه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صورتى كه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براى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چنين احتياطى مى‌تواند واجب باشد،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براى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بنياد نظام زندگى آن؛ زيرا نمى‌توان اساس زندگى و روابط اجتماعى، اقتصادى، تجارى و سياسى را بر احتياط استوار كرد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بی‌تردید، همان‌گونه که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مجتهدی احتیاط را حرام نمی‌داند و برتری و خوشایندی آن را انکار نمی‌کند، بلکه افزون بر این، زندگی مجتهدین بر احتیاط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اصولی‌ها این است که چرا شما اخباریان خلاف احتیاط رفتار می‌کنید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در پاسخ پرسش الهی که با کدام دلیل و </w:t>
      </w:r>
    </w:p>
    <w:p>
      <w:pPr>
        <w:pStyle w:val="BookText"/>
        <w:rPr/>
      </w:pPr>
      <w:r>
        <w:rPr>
          <w:rFonts w:ascii="IRNazanin" w:hAnsi="IRNazanin" w:eastAsia="IRNazanin"/>
          <w:color w:val="111111"/>
          <w:sz w:val="28"/>
          <w:sz w:val="28"/>
          <w:szCs w:val="28"/>
          <w:rtl w:val="true"/>
          <w:lang w:bidi="fa-IR"/>
        </w:rPr>
        <w:t>مدرک، فتوا به واجب بودن احتیاط داده‌اید، چه خواهید گفت؟ برابر کدام مدرک با فتوای به واجب بودن احتیاط، بندگان خدا را در زحمت و دشواری انداخته‌اید و بر خلاف مذاق شریعتکه بر آسانی استوار است، مردم را به دشواری و زحمت 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خداوند بر اساس آسانی، گذشت، فراخی و رحمت استوار شده است با کدام برهان برابر کدام دلیل، خود و مردم را از این سماحت و سهولت و رأفت اسلامی محروم و در فشار و تنگنا و زحمت گرفتار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و اندیشه شما اخباری‌ها مبنی بر فتوا دادن به وجوب احتیاط، در حالی که دلیل و برهان معلوم و معتبری ندارید، ضدّ احتیاط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گذاشتن احتیاطات مشقّت بار و پوشاندن لباس زیبا و فراخ سهولت در احکام و قوانین اسلامی، به ویژه در بخش آداب و احکام بین‌الملل که در مقابل چشم‌های تیز بین جستجوگران و مشتاقان اسلام‌شناسی است، نه تنها وظیفه فقیه، بلکه تک تک مسلمانان است؛ زیرا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معاذ را برای معرفی اسلام به سرزمین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غیر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نمود، او را موظّف نمود که آسان بگیر و سخت </w:t>
      </w:r>
      <w:bookmarkStart w:id="56" w:name="pg9404_76449"/>
    </w:p>
    <w:p>
      <w:pPr>
        <w:pStyle w:val="BookText"/>
        <w:rPr/>
      </w:pPr>
      <w:bookmarkEnd w:id="56"/>
      <w:r>
        <w:rPr>
          <w:rFonts w:ascii="IRNazanin" w:hAnsi="IRNazanin" w:eastAsia="IRNazanin"/>
          <w:color w:val="111111"/>
          <w:sz w:val="28"/>
          <w:sz w:val="28"/>
          <w:szCs w:val="28"/>
          <w:rtl w:val="true"/>
          <w:lang w:bidi="fa-IR"/>
        </w:rPr>
        <w:t>نگیر و بشارت بده و نفرت ایجاد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يسّر و لا تعسّر، و بشّر و لا تنفّر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این رو، حضرت آیت‌الله العظمی صانعی وجه‌ی همّت خویش را بر این قرار داد که با بازنگری مجدّد در منابع اصیل اسلامی، بر اساس روش و متد متداول فقهی حوزه‌های علمی شیعه، اسلام سهل و آسان و قابل عمل را به همگان معرفی نماید و در هر کجا که حکمی از احکام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راهکار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نظیر احتیاط سخت و مشقّت‌بار، صادر گردیده باشد، سهولت را یکی از مرجّحات برگزیدن نظریه خود معرفی نماید و فقهی را ارایه کند که عمل به آن باعث مشقّت و سختی مسلمان نگردد و امکان معرفی آن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قانون‌گذاران اين اصل مهم را در وضع قوانين مورد نظر داشته باشند كه مبناى اسلام بر سهولت است، نه بر سخت‌گيرى و خشونت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57" w:name="__RefHeading___Toc5620164_2870459653"/>
      <w:bookmarkStart w:id="58" w:name="_Toc21"/>
      <w:bookmarkEnd w:id="57"/>
      <w:r>
        <w:rPr>
          <w:rtl w:val="true"/>
        </w:rPr>
        <w:t>ج</w:t>
      </w:r>
      <w:r>
        <w:rPr>
          <w:rtl w:val="true"/>
        </w:rPr>
        <w:t xml:space="preserve">) </w:t>
      </w:r>
      <w:r>
        <w:rPr>
          <w:rtl w:val="true"/>
        </w:rPr>
        <w:t>نگرش به غیر مسلمان بر اساس فرهنگ قرآن</w:t>
      </w:r>
      <w:bookmarkEnd w:id="58"/>
    </w:p>
    <w:p>
      <w:pPr>
        <w:pStyle w:val="Heading4"/>
        <w:numPr>
          <w:ilvl w:val="3"/>
          <w:numId w:val="1"/>
        </w:numPr>
        <w:rPr/>
      </w:pPr>
      <w:bookmarkStart w:id="59" w:name="__RefHeading___Toc5620166_2870459653"/>
      <w:bookmarkStart w:id="60" w:name="_Toc22"/>
      <w:bookmarkEnd w:id="59"/>
      <w:r>
        <w:rPr>
          <w:rtl w:val="true"/>
        </w:rPr>
        <w:t>اشاره</w:t>
      </w:r>
      <w:bookmarkEnd w:id="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مبانی اندیشه‌ی فقهی آیت‌الله صانعی، انسان با عنوان انسان، فارق از هر نژاد و هر دین و با هرجنسیّت، </w:t>
      </w:r>
    </w:p>
    <w:p>
      <w:pPr>
        <w:pStyle w:val="BookText"/>
        <w:rPr/>
      </w:pPr>
      <w:r>
        <w:rPr>
          <w:rFonts w:ascii="IRNazanin" w:hAnsi="IRNazanin" w:eastAsia="IRNazanin"/>
          <w:color w:val="111111"/>
          <w:sz w:val="28"/>
          <w:sz w:val="28"/>
          <w:szCs w:val="28"/>
          <w:rtl w:val="true"/>
          <w:lang w:bidi="fa-IR"/>
        </w:rPr>
        <w:t>مفتخر به تاج کرامت و دارای حقوقی است که از آن به عنوان حقوق بشر،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 حقوق انسانيّت در اسلام بر كرامت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انسان را بزرگوار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حقوق بر كرامت انسان استوار است و نژاد، مذهب، مليّت، جغرافيا، هيچ‌كدام در حقوق بشر اسلامى دخيل نيست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منظر ایشان آنچه که باعث گردیده فردی به دلیل عقیده از حقّی محروم گردد، رفتاری عالمانه وعامدانه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در کتاب‌های فقهی، گاه از اطلاق قرآنی آن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یعنی منکر و جاحد اصول اعتقادات با فرضِ علم به آنها، از مسلم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از غیر‌مسلمان، بدون انکار هم ارث نمی‌برد؛ چون همان طور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ارث نبردن کافر عقوبتی است بر کفرش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غیر‌مسلم؛ یعنی توده‌ی غیر‌مسلمان قاصر و غافل، به خاطر غفلتشان نمی‌توان بر آنها تکلیف کرد و مؤاخذه‌شان نمود </w:t>
      </w:r>
      <w:r>
        <w:rPr>
          <w:rFonts w:eastAsia="IRNazanin" w:cs="IRNazanin"/>
          <w:color w:val="111111"/>
          <w:sz w:val="28"/>
          <w:szCs w:val="28"/>
          <w:rtl w:val="true"/>
          <w:lang w:bidi="fa-IR"/>
        </w:rPr>
        <w:t>... .</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افراد بی‌گناه و بی‌جرمی که تنها در عقیده با </w:t>
      </w:r>
    </w:p>
    <w:p>
      <w:pPr>
        <w:pStyle w:val="BookText"/>
        <w:rPr/>
      </w:pPr>
      <w:r>
        <w:rPr>
          <w:rFonts w:ascii="IRNazanin" w:hAnsi="IRNazanin" w:eastAsia="IRNazanin"/>
          <w:color w:val="111111"/>
          <w:sz w:val="28"/>
          <w:sz w:val="28"/>
          <w:szCs w:val="28"/>
          <w:rtl w:val="true"/>
          <w:lang w:bidi="fa-IR"/>
        </w:rPr>
        <w:t>مسلمانان متفاوت هستند، مشمول تمام مقرّراتی خواهند بود که براساس کرامت انسانی و مکارم اخلاق وضعگردیده است؛ مانند حرمت جان و مال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عقیده ی آیت‌الله صانعی، غیبت ایشان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رأی مشهور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و یقین، دستور رحمت، محبت و لطف به هم‌نوعان، با جواز غیبت و عیب‌گویی که نوعی ظلم است، سازگار نبوده و برای آن دسته روایات که موهم این حکم است، باید محملی دیگر بیان کرد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اصلی‌ترین ارکان اندیشه‌ی فقهی و حقوقی، توجه به نگرش اسلام به انسان غیر‌مسلمان در حوزه‌ی تدوین نظام حقوق اجتماعی است، مسأله‌ای که همواره در کشاکش جنگ‌ها و گرد و غبار دشمنی‌ها اجازه نیافت چهره خود را به جامعه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در زمان آغازین شکل‌گیری اجتماع اسلامی به دلیل انواع مخالفت و دشمنی از سوی کسانی که اسلام را مانعی بزرگ بر سر راه امیال و منافع خود می‌دیدند و از سرلجاجت عالمانه و عامدانه به تقابل با فرهنگ نوظهور اسلام می‌پرداختند، دو جبهه شکل یافت که همواره آرایشی جنگی میان این دو جبهه </w:t>
      </w:r>
    </w:p>
    <w:p>
      <w:pPr>
        <w:pStyle w:val="BookText"/>
        <w:rPr/>
      </w:pPr>
      <w:r>
        <w:rPr>
          <w:rFonts w:ascii="IRNazanin" w:hAnsi="IRNazanin" w:eastAsia="IRNazanin"/>
          <w:color w:val="111111"/>
          <w:sz w:val="28"/>
          <w:sz w:val="28"/>
          <w:szCs w:val="28"/>
          <w:rtl w:val="true"/>
          <w:lang w:bidi="fa-IR"/>
        </w:rPr>
        <w:t xml:space="preserve">وجود داشت؛ یک جبهه با آرایش تدافعی در سرزمین نه چندان پهناور مسلمانان که در حوزه جغرافیایی آنمقرّرات اسلامی حکم فرما بود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می‌گردید و جبهه دیگر با رویکرد تهاجمی در سرزمینی که مقرّرات آن را دشمنان جنگ طلب فرهنگ نوپای اسلامی تدوین می‌نمودند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اما آیا امروز در نگاه بین‌المللی و تقابل میان اسلام و غیر آن، که بخش عمده‌ای خواستار زندگی مسالمت‌آمیز به دور از جنجال هستند، می‌توان آرایش جنگی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نظم جدید به صورت دربست پذیرفت و احکامی را که بر فرض ثبوت در آن حوزه و در تقابل میان دو جبهه تدوین گردیده را به همیشه و همه جا سریان داد؟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روشن است این که اسلام به عنوان مکتبی صلح طلب که همواره صلح را بهترین گزینه‌ی روی میز خود می‌داند، در کتاب آسمانی خود با بیانی کوتاه و پر‌معنا يك قانون كلى و عمومى و همگانى را بيان مي‌كند كه در همه جا اصل نخستين، صلح، صفا و دوستى و سازش است، </w:t>
      </w:r>
      <w:r>
        <w:rPr>
          <w:rFonts w:ascii="Amiri" w:hAnsi="Amiri" w:eastAsia="Amiri" w:cs="Amiri"/>
          <w:color w:val="111111"/>
          <w:sz w:val="28"/>
          <w:sz w:val="28"/>
          <w:szCs w:val="28"/>
          <w:rtl w:val="true"/>
          <w:lang w:bidi="ar-SA"/>
        </w:rPr>
        <w:t>وَ الصُّلْحُ خَيْرٌ</w:t>
      </w:r>
      <w:r>
        <w:rPr>
          <w:rStyle w:val="FootnoteAnchor"/>
          <w:rtl w:val="true"/>
        </w:rPr>
        <w:footnoteReference w:id="54"/>
      </w:r>
      <w:r>
        <w:rPr>
          <w:rFonts w:ascii="IRNazanin" w:hAnsi="IRNazanin" w:eastAsia="IRNazanin"/>
          <w:color w:val="111111"/>
          <w:sz w:val="28"/>
          <w:sz w:val="28"/>
          <w:szCs w:val="28"/>
          <w:rtl w:val="true"/>
          <w:lang w:bidi="fa-IR"/>
        </w:rPr>
        <w:t>و نزاع، كشمكش و جدايى، بر خلاف طبع سليم انسان و زندگى آرام بخش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جز در موارد ضرورت و استثنايى نبايد به آن متوسّل شد، بر خلاف آنچه بعضى </w:t>
      </w:r>
    </w:p>
    <w:p>
      <w:pPr>
        <w:pStyle w:val="BookText"/>
        <w:rPr/>
      </w:pPr>
      <w:r>
        <w:rPr>
          <w:rFonts w:ascii="IRNazanin" w:hAnsi="IRNazanin" w:eastAsia="IRNazanin"/>
          <w:color w:val="111111"/>
          <w:sz w:val="28"/>
          <w:sz w:val="28"/>
          <w:szCs w:val="28"/>
          <w:rtl w:val="true"/>
          <w:lang w:bidi="fa-IR"/>
        </w:rPr>
        <w:t xml:space="preserve">از مادي‌ها مي‌پندارند كه اصل نخستين در زندگى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ساير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 و كشمكش است وتكامل از اين راه صورت مي‌گيرد و همين طرز تفكّر شايد سرچشمه بسيارى از جنگ‌ها و خون‌ريزي‌هاى قرون اخير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اسلام اوج توجه خود به کرامت انسانی را در برخورد با کسانی نشان داده است که در این جنگ به عنوان اسیر در اختیار مسلمانان قرار گرفته‌اند که دنیای امروز به تازگی در قالب حقوق بشر دوستانه، به آن توجه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شيعه و فقه اسلامى يك متهم حكم يك اسير را دارد؛ يعنى بايد بهترين روش زندگى و بهترين مهربانى‌ها در مورد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شرايط رفاهى بايد براى متهم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اسلامى، حقوق افراد آنقدر در زمان بازداشت محترم است كه هيچ مقامى حق ندارد بدون رضايت فرد مذكور، حتى ناخن‌هاى او را كوتاه نمايد، چه رسد به اينكه شكنجه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ضد بشرى و انسانى از نظر فقه شيعه، حرام، گناه و سبب مجازات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در ارتباطات انسانی فارق از نوع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نگرش به طرف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مهم است؛ </w:t>
      </w:r>
    </w:p>
    <w:p>
      <w:pPr>
        <w:pStyle w:val="BookText"/>
        <w:rPr/>
      </w:pPr>
      <w:r>
        <w:rPr>
          <w:rFonts w:ascii="IRNazanin" w:hAnsi="IRNazanin" w:eastAsia="IRNazanin"/>
          <w:color w:val="111111"/>
          <w:sz w:val="28"/>
          <w:sz w:val="28"/>
          <w:szCs w:val="28"/>
          <w:rtl w:val="true"/>
          <w:lang w:bidi="fa-IR"/>
        </w:rPr>
        <w:t xml:space="preserve">به این معنا که در اوّلین قدم و آغازین اقدام برای یک ارتباط مؤثر، بسیار مهم است که به شخصی که در برابرشما ایستاده چه نگاهی دارید؛ چرا که ارتباط میان فردی که خود را در موضعی برتر از دیگری می‌بیند و رابطه‌ی او از نوع رابطه‌ی عالی با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درخواست در قالب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نوع نگاه و تلقّی خود برتر بینانه که به صورت طبیعی رفتار انسان را تحت تأثیر قرار می‌دهد، اگر بر باور یک مسلمان در مواجهه با غیر‌مسلمان حاکم شود صدمات جبران ناپذیری به رابطه‌ی صلح‌آمیز او با دیگران وارد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اقتصاد چنین روحیه‌ای آفت بزرگی برای تجارت او خواهد بود، مگر آنکه همواره تلاش کند که این باور در رفتارش ظهور و بروز پیدا نکند، آن وقت است که اگر بخواهد در قالب یک تاجر موفّق مسلمان با دیگران به تجارت بپردازد، همواره نگران نادیده گرفتن دیانت و شریعت خود در راه کسب خویش و به قول برخی اسیر شدن در دام روحیه‌ی کاسب مآبانه و منافقانه است که دل و زبانش از دو چیز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تا قبل از هرگونه تعامل، به اصلاح دیدگاه و نوع تلقّی از یک فرد غیر‌مسلمان بر اساس فرهنگ صحیح و ناب اسلامی بپردازیم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آنان‌که در میان آیاتی نظیر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أَكْرَمَكُمْ عِندَ اللهِ أَتْقَاكُمْ</w:t>
      </w:r>
      <w:r>
        <w:rPr>
          <w:rStyle w:val="FootnoteAnchor"/>
          <w:rtl w:val="true"/>
        </w:rPr>
        <w:footnoteReference w:id="56"/>
      </w:r>
      <w:r>
        <w:rPr>
          <w:rFonts w:ascii="IRNazanin" w:hAnsi="IRNazanin" w:eastAsia="IRNazanin"/>
          <w:color w:val="111111"/>
          <w:sz w:val="28"/>
          <w:sz w:val="28"/>
          <w:szCs w:val="28"/>
          <w:rtl w:val="true"/>
          <w:lang w:bidi="fa-IR"/>
        </w:rPr>
        <w:t>و روایاتی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یعلوو لا یعلی علیه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 دنبال برتری اجتماعی و کسب امتیازات و بهره‌های حقوقی ویژه برای مسلمان بر دیگر افراد بشرند و کرامت انسان بما هُو انسان را نادیده انگاشته‌اند، مسأله‌ای را در تدوین نظام حقوقی اسلام به مسلخ برده‌اند که در تعلیم انبیا الهی ملاک و معیار اصلی برای توجه به خلق خدا‌ست و سبب تلاش مضاعف در جهت هدایت و نجات انسان از سقوط به درکات حیوانیّت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آنکه همین تعادل در توجه و عدم تبعیض میان افراد نوع بشر، از جاذبه‌های اصلی دعوت پیامبران برای توده‌ی پیروان محروم است که خسته از رنج‌ها و تبعیض‌ها به پناه عدالت اجتماعی آنان می‌شتافتند، حال چگونه ممکن است همین مکتب، منادی ویژه‌خواری دینی و منادی تبعیض حقوق بشر با رنگ و لعاب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حوزه‌ی ارتباطات انسانی محل تلفیق فقه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خشکی و دافعه فقه و حقوق باید با حلاوت و لیّن اخلاق همراه گردد و این از اصول غیر قابل تغییر اسلام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منطق محکم صلح طلب و خردمندامه قرآنی که در آن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می‌کند که لباس اخلاق را </w:t>
      </w:r>
    </w:p>
    <w:p>
      <w:pPr>
        <w:pStyle w:val="BookText"/>
        <w:rPr/>
      </w:pPr>
      <w:r>
        <w:rPr>
          <w:rFonts w:ascii="IRNazanin" w:hAnsi="IRNazanin" w:eastAsia="IRNazanin"/>
          <w:color w:val="111111"/>
          <w:sz w:val="28"/>
          <w:sz w:val="28"/>
          <w:szCs w:val="28"/>
          <w:rtl w:val="true"/>
          <w:lang w:bidi="fa-IR"/>
        </w:rPr>
        <w:t xml:space="preserve">بر تن کلام و رفتار خویش بپوشان و در گفتاربا فرعون، سخن نرم بر زبان جاری نما؛ </w:t>
      </w:r>
      <w:r>
        <w:rPr>
          <w:rFonts w:ascii="Amiri" w:hAnsi="Amiri" w:eastAsia="Amiri" w:cs="Amiri"/>
          <w:color w:val="111111"/>
          <w:sz w:val="28"/>
          <w:sz w:val="28"/>
          <w:szCs w:val="28"/>
          <w:rtl w:val="true"/>
          <w:lang w:bidi="ar-SA"/>
        </w:rPr>
        <w:t>قُولَا لَهُ قَوْلًا لَّيِّنًا</w:t>
      </w:r>
      <w:r>
        <w:rPr>
          <w:rStyle w:val="FootnoteAnchor"/>
          <w:rtl w:val="true"/>
        </w:rPr>
        <w:footnoteReference w:id="58"/>
      </w:r>
      <w:r>
        <w:rPr>
          <w:rFonts w:ascii="IRNazanin" w:hAnsi="IRNazanin" w:eastAsia="IRNazanin"/>
          <w:color w:val="111111"/>
          <w:sz w:val="28"/>
          <w:sz w:val="28"/>
          <w:szCs w:val="28"/>
          <w:rtl w:val="true"/>
          <w:lang w:bidi="fa-IR"/>
        </w:rPr>
        <w:t xml:space="preserve">را می‌توان با یک برداشت از یک آیه متشابه نسخ نمود و با غرور و تبخّتر غیر‌اخلاقی که مخالف با بسیاری از آموزه‌های روشن و روش و منش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برای ترویج مکارم اخلاق است، حکم به ذلیل و خوار نمودن غیر مسلمانان و تفوّق اجتماعی مسلمان بر دیگران نمود، به ویژه در برخورد با کسانی که شمشیر دشمنی عالمانه به کمر نبسته‌اند و خواهان زندگی به دور از جنگ و خون‌ریزی و همراه با احترام و صلح و رعایت حقوق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سخن ما در باب حقوق طبیعی، به ویژه بخش اجتماعی آن است که پایه‌ی آن پیش از هر چیز، بر نوع نگرش به دیگران استوار است؛ مانند برخورد با غیر‌مسلمانی که در جوّی مسالمت آمیز و در کمال صلح و رعایت حقوق و احترام به عنوان هم نوع، همسایه، هم‌شهری، هم وطن و یا همکار به آن می‌نگریم، نه در باب احکام و وظایف شرعی و حقوق برادران دینی که بی شک در آن بخش، وظایف ویژه و تکالیف خاصی و حقوق مضاعفی مقرّر گردیده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پیشگاه خالق و خدای متعال بی‌تردید آن کس کریم و عزیز‌تر است که تقوای الهی را بیش از </w:t>
      </w:r>
    </w:p>
    <w:p>
      <w:pPr>
        <w:pStyle w:val="BookText"/>
        <w:rPr/>
      </w:pPr>
      <w:r>
        <w:rPr>
          <w:rFonts w:ascii="IRNazanin" w:hAnsi="IRNazanin" w:eastAsia="IRNazanin"/>
          <w:color w:val="111111"/>
          <w:sz w:val="28"/>
          <w:sz w:val="28"/>
          <w:szCs w:val="28"/>
          <w:rtl w:val="true"/>
          <w:lang w:bidi="fa-IR"/>
        </w:rPr>
        <w:t xml:space="preserve">دیگران رعایت نماید و سر به فرمان او باشد که بر اساسهمین تقوا حق هیچ جنبنده‌ای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موری ضعیف که دانه‌ای به دهان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امتیاز نمی‌تواند به بهره‌های بیشتر اجتماعی و اسباب تفاخر و تکبر و خود شیفتگی که سَمّ مهلک اخلاق اجتماعی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نگرشی که بیان جاودان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مهر تأیید برآن زد،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دلت را نسبت به شهروندان حکومتت مالا‌مال از رحمت و عطوفت نما و مبادا مانند درندگان به فکر دریدن ایشان باشی، چرا که ایشان از دو گروه خارج نیستند یا در دین با تو برادرند و یا در خلقت با تو برابر</w:t>
      </w:r>
      <w:r>
        <w:rPr>
          <w:rFonts w:eastAsia="IRNazanin" w:cs="IRNazanin"/>
          <w:color w:val="111111"/>
          <w:sz w:val="28"/>
          <w:szCs w:val="28"/>
          <w:rtl w:val="true"/>
          <w:lang w:bidi="fa-IR"/>
        </w:rPr>
        <w:t>.</w:t>
      </w:r>
      <w:r>
        <w:rPr>
          <w:rStyle w:val="FootnoteAnchor"/>
          <w:rtl w:val="true"/>
        </w:rPr>
        <w:footnoteReference w:id="5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این نوع رابطه در آنجایی که هر فرد مسلمان وظیفه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سفارش أکید اولیای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اندیشه‌ی ناب اسلامی باشد و در کسوت مبلّغ و مروّج یک اندیشه الهی به نام اسلام نیز ظاهر شود، نمی‌تواند کار‌گشا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حوزه‌ی تعامل و ارتباط هم‌زیستی و همسایگی، نیازمند رعایت حقوق و حسن خلق و جلب اعتماد و رضایت است و با استعلا و نگاه عالی به دانی و خود برتر بینی و دستور و فرمان میانه‌ای ندارد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خاطر پیش از تعامل با غیر مسلمانان ناگزیر از آنیم که تکلیف خویش را با جایگاه انسانی کسانی که باورهای دینی آنها با اعتقادات ما متفاوت است، روشن نماییم و از این دو دیدگاه فاصله بگیریم که یکی با افراطی تبعیض آمیز و غرور و استکباری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هیچ وجه نمی‌توان آن را از تعلیمات پیامبر رحمت و اخلاق، که شیفتگان خُلق و منش و رفتار او بیش از طالبان سخن او بودند، استشمام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غیر‌مسلمانان را حیوانانی زبون، بلکه از حیوان پست‌تر می‌شمارد که باید به بردگی گرفته شوند و برای ادامه حیات خویش یا به اجبار و اکرا‌ه تن به اعتقاد ظاهری دهند و یا ذلیلانه جان خویش را با دادن مال، حفظ نمایند و یا دیدگاه دیگری که از سوی دیگر بام به زیر افتاده است و با تفریط ناشی از کاستی در شخصیت انسانی و کرامت خدادادی خویش، مسلمان و مسلمانی را مساوی با خاری و زبونی می‌شمارد و رشته‌ی علقه و تمایلات خویش را به سوی کافران ستمکار و دشمنان دین، افکنده است؛ چرا که در این بین، دیدگاه سومی نیز وجود دارد که با مجموع اصول و قواعد شرعی و مذاق و روح شریعت و اصول انسانی و نگاه قرآنی سازگارتر است که هم بر کرامت انسان و هم اصالت نیکی در رفتار و قسط و عدل حکم نموده و در برابر آنان که خویش را زبون در برابر قدرت و مکنت کفار باخته‌اند، بر نفی سبیل کافران از جانب </w:t>
      </w:r>
    </w:p>
    <w:p>
      <w:pPr>
        <w:pStyle w:val="BookText"/>
        <w:rPr/>
      </w:pPr>
      <w:r>
        <w:rPr>
          <w:rFonts w:ascii="IRNazanin" w:hAnsi="IRNazanin" w:eastAsia="IRNazanin"/>
          <w:color w:val="111111"/>
          <w:sz w:val="28"/>
          <w:sz w:val="28"/>
          <w:szCs w:val="28"/>
          <w:rtl w:val="true"/>
          <w:lang w:bidi="fa-IR"/>
        </w:rPr>
        <w:t>خداوند تأکید می‌ورزد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يَجْعَلَ اللهِ لِلْكافِرينَ عَلَى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ُؤْمِنينَ سَبيلاً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جای بسی تعجب است که بر اساس دیدگاه ناتمام و ناقص، نخست ما با دشمنی رو به رو هستیم که از سر ناچاری و بد حادثه مجبور به تعامل با او شده‌ایم و‌گرنه مسلمان برتر از کافر است و غیر‌مسلمان حیوانی خطرناک است که در اندام انسان ظاهر گردیده است که ما در شریعت خویش مأمور به جنگ با او و خوار شمردنش هستیم؛ اجازه‌ای که شریعت اسلامی به ما در برابر حیوانات خطرناک پیش از آنکه به ما آزاری برسانند، نداده است را با تمسّک نادرست نگاه و ناصواب به آیات قرآن کریم به عنوان وظیفه‌ی شرعی قلمداد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فقیه بزرگی چون علامه حلی در کتاب‌های فقهی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إذلال الكافر أمر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ذلیل ساختن کافران امری مطلوب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آیا اطلاقات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 فقهی آن چه میزان تطابق دارد؟ آیا می‌توان بر اساس برخی از متون و برداشت‌ها که در آن تمام غیر‌مسلمانان اهل کتاب در یک طرف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به آیات قرآن کریم می‌نگریم، می‌بینیم که در آن تعبیر محترمانه‌ای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أَهْلَ الْكِتَابِ</w:t>
      </w:r>
      <w:r>
        <w:rPr>
          <w:rFonts w:ascii="IRNazanin" w:hAnsi="IRNazanin" w:eastAsia="IRNazanin"/>
          <w:color w:val="111111"/>
          <w:sz w:val="28"/>
          <w:sz w:val="28"/>
          <w:szCs w:val="28"/>
          <w:rtl w:val="true"/>
          <w:lang w:bidi="fa-IR"/>
        </w:rPr>
        <w:t xml:space="preserve">؛ ای اهل کتاب را در خطابات خویش برای مسیحیان و یهودیان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و در مقابل آن خطاب، </w:t>
      </w:r>
      <w:r>
        <w:rPr>
          <w:rFonts w:ascii="Amiri" w:hAnsi="Amiri" w:eastAsia="Amiri" w:cs="Amiri"/>
          <w:color w:val="111111"/>
          <w:sz w:val="28"/>
          <w:sz w:val="28"/>
          <w:szCs w:val="28"/>
          <w:rtl w:val="true"/>
          <w:lang w:bidi="ar-SA"/>
        </w:rPr>
        <w:t>يَا أَيُّهَا الْكَافِرُونَ</w:t>
      </w:r>
      <w:r>
        <w:rPr>
          <w:rFonts w:ascii="IRNazanin" w:hAnsi="IRNazanin" w:eastAsia="IRNazanin"/>
          <w:color w:val="111111"/>
          <w:sz w:val="28"/>
          <w:sz w:val="28"/>
          <w:szCs w:val="28"/>
          <w:rtl w:val="true"/>
          <w:lang w:bidi="fa-IR"/>
        </w:rPr>
        <w:t xml:space="preserve"> را برای کسانی که در مقابل آن حضرت به دشمنی و جنگ برخواسته‌اند،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را نیز به دو گروه کافر و مؤمن تقسیم نموده است؛ مانند این‌که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نماز جمعه خود از خداوند می‌خواهد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عذّب کفرة أهل الکتاب، الذین یصدّون عن سبیلک ویجهدون آیاتک ویکذبون رسلک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این صورت آیا نباید اصطلاحات و تعابیر موجود در کتاب‌های فقهی خویش را بر اساس تعابیر قرآنی که در زبان شارحان و مفسّران ژرف‌نگر قرآن؛ نظیر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اصلاح نماییم؟</w:t>
      </w:r>
    </w:p>
    <w:p>
      <w:pPr>
        <w:pStyle w:val="BookText"/>
        <w:rPr/>
      </w:pPr>
      <w:r>
        <w:rPr>
          <w:rFonts w:ascii="IRNazanin" w:hAnsi="IRNazanin" w:eastAsia="IRNazanin"/>
          <w:color w:val="111111"/>
          <w:sz w:val="28"/>
          <w:sz w:val="28"/>
          <w:szCs w:val="28"/>
          <w:rtl w:val="true"/>
          <w:lang w:bidi="fa-IR"/>
        </w:rPr>
        <w:t>به ویژه آنکه در این آیات و روایات هر جا سخن از کفر به کار آمده، در کنار آن عذاب و توبیخ و سرزنش وجود دارد، که بی‌شک علت آن تقارن عنوان کفر با عناوینی چون ستم و عداوت، فتنه‌گری و تجاوزگری، پیمان شکنی و آزار مظلومان، بازداشتن از را‌ه خدا و مانند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است که با کمک راهنمایی قرآن </w:t>
      </w:r>
    </w:p>
    <w:p>
      <w:pPr>
        <w:pStyle w:val="BookText"/>
        <w:rPr/>
      </w:pPr>
      <w:r>
        <w:rPr>
          <w:rFonts w:ascii="IRNazanin" w:hAnsi="IRNazanin" w:eastAsia="IRNazanin"/>
          <w:color w:val="111111"/>
          <w:sz w:val="28"/>
          <w:sz w:val="28"/>
          <w:szCs w:val="28"/>
          <w:rtl w:val="true"/>
          <w:lang w:bidi="fa-IR"/>
        </w:rPr>
        <w:t>کریم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كُنَّا مُعَذِّبِينَ حَتَّى نَبْعَثَ رَسُولاً</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تا رسولی نفرستیم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را تمام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 کننده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با انضمام یک برهان عقلی ساده می‌توان چنین نتیجه گرفت و در ابواب مختلف فقه به لوازم آن پایند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تقارن کفر و عذاب، کافر به فرد عامد و قاصد که عالمانه انکار می‌کند، اطلاق می‌گردد آن‌گاه چگونه می‌توان فرد قاصر و جاهل و غافل را با انسان عالم و عامد در یک ترازو قرار داد و اکثریتی را که بی‌هیچ کینه‌ای و تنها به دلیل رشد در محیط نا‌آگاهی بر عقاید خویش پایند است و بدون هیچ دشمنی و آزاری، نه در جنگ و ستیز است و نه اشغالگر سرزمین مسلمانان؛ </w:t>
      </w:r>
      <w:r>
        <w:rPr>
          <w:rFonts w:ascii="Amiri" w:hAnsi="Amiri" w:eastAsia="Amiri" w:cs="Amiri"/>
          <w:color w:val="111111"/>
          <w:sz w:val="28"/>
          <w:sz w:val="28"/>
          <w:szCs w:val="28"/>
          <w:rtl w:val="true"/>
          <w:lang w:bidi="ar-SA"/>
        </w:rPr>
        <w:t>الَّذينَ لَمْ يُقاتِلُوكُمْ فِي الدِّينِ وَ لَمْ يُخْرِجُوكُمْ مِنْ دِيارِكُم</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بلکه با مسلمانان با دید‌ی کاملاً انسانی می‌نگرد و حقوق آنان را رعایت می‌کند، با اقلیتی که با انواع خدعه و نیرنگ و روش‌های گوناگون به دشمنی و قتل و غارت مسلمانان دست یازیذه، با یک چوب راند؟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مکاسب با برداشت از عقل و اصول عدالت محورِ تشیّع، میان آنان تفکیک قایل شده و معتقد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 إنّ الكفّار كجهّال المسلمين؛ منهم قاصر و هم الغالب، و منهم 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التكاليف أصولاً و فروعاً مشتركة بين جميع المكلّفين؛ عالمهم و جاهلهم، قاصرهم و 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الكفّار معاقبون على الأصول و الفروع، لكن مع قيام الحجّة عليهم لا مطلقاً، فكما أنّ كون المسلمين معاقبين على الفروع، ليس معناه أنّهم معاقبون عليها؛ سواء كانوا قاصرين أم 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كذلك الكفّار طابق النعل بالنعل؛ بحكم العقل و أصول العدليّة؛</w:t>
      </w:r>
      <w:r>
        <w:rPr>
          <w:rStyle w:val="FootnoteAnchor"/>
          <w:rtl w:val="true"/>
        </w:rPr>
        <w:footnoteReference w:id="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کفار مانند جاهلان مسلمان قاصرند که غالب این‌گونه‌اند و تکالیف در اصول و فروع، مشترک میان همه است و آنان نیز در اصول و فروع بر ترک تکلبف عقاب خواهند شد، آن هم نه به صورت مطلق، بلکه در صورتی که حجّت و بیان بر آنان تمام شود و همان‌سان که عقاب مسلمانان بر فروع معنایش این نیست که قاصر و مقصّر در یک ردیف عقاب شوند، همچنین کفّار، میان کسی که کوتاهی کرده و مقصّر است با کسی که قصوری از او سرزده و مقصّر نیست، تفاوت است؛ زیرا عقل و اصول مذهبِ عدل تشیّع بر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برخورد با غیر‌مسلمان، به ویژه صاحبان کتاب آسمانی و شریعت در سلب حقوق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برای کفرآنان باشد، همانند محروم نمودن قاتل از ارث مقتول، چنان‌که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إِنَّمَا حَرَّمَ عَلَى الْكُفَّارِ الْمِيرَاثَ عُقُوبَةً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بِكُفْرِهِمْ، كَمَا حَرَّمَ عَلَى الْقَاتِلِ عُقُوبَةً لِقَتْلِهِ؛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همانا خداوند ارث‌بری را بر کافران حرام نموده تا کیفری باشد بر کفر آنان؛ همان‌گونه که قاتل را برای کیفر قتلش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نمی‌توان در این حکم نیز میان افراد مستحق مجازات و عقاب و افراد معاف از سرزنش به دلیل غفلت و قصور، تفاوت قایل 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منطق روشن و برهانی اسلام بر اندیشه‌های افراطی و تفریطی دیگر حاکم گردد، به طور مسلّم در باب برداشت از ظواهر قرآنی نیز کارگر خواهد شد؛ مانند توجیه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برخی آن را به معنای اذلال، تحقیر، توهین و تمسخر غیر مسلمانان اهل کتابی که به حکومت اسلامی جزیه می‌پردازند، معنا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در صدر آيه‌ی مورد بحث از اوصاف سه‌گانه اهل كتاب به عنوان حكمت و مجوّزقتال با ايشان ذكر شده، و از اين‌كه بايد با كمال ذلّت جزيه بپردازند، چنين بر مى‌آيد كه منظور از ذلت ايشان خضوعشان در برابر سنّت اسلامى و تسليم‌شان در برابر حكومت عادله جامعه است و مقصود اين است كه مانند ساير جوامع نمى‌توانند در برابر جامعه اسلامى صف‌آرايى و عرض اندام كنند و آزادانه در انتشار عقايد خرافى و هوا و هوس خود به فعاليت بپردازند و عقايد و اعمال فاسد و مفسد جامعه بشرى خود را رواج دهند، بلكه بايد با تقديم دو دستى جزيه، در برابر قانون خاضع و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شريفه ظهور دارد 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مذكور است، نه اين‌كه مسلمين و يا زمامداران اسلام به آنان توهين و بى‌احترامى نموده و يا آنها را مسخره كنند؛ زيرا اين معنا با سكينت و وقار اسلامى سازگار نيست، هر چند بعضى از مفسّرين، آيه را بدان معنا كرده‌اند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منطق قرآن و سیره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مذاق دینِ با اعتدال، در برخورد میان مسلمان 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غیر‌مسلمان از لحاظ انسانی مساوات برقرار کرده و هر‌گونه استکبار از جانبمسلمان بر غیر‌مسلمان و هر‌گونه سبیل و راه نفوذ و آزار از جانب غیر مسلمان و کافر بر مسلمان را مسدود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منطق اسلام به احکام بنگریم، به نظر می‌رسد ناگزیریم بخشی از اجتهادات فقهی مبتنی بر گرایش‌های دیگر را که در کتب فقهی به آن اشاره گردیده مورد بازنگری مجدّد قرار دهیم که به عنوان نمونه تنها در صغریات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مسایل فراوانی نیازمند کنکاش جدّی خواهیم بود؛ زیرا در جایی که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نگاه برخی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به دورنمای کلی و ساختار‌سازی فکری جامعه اسلامی است و به منزله سیاست برای تحرّک و پویایی جامعه اسلامی است، در ابواب مختلف فقه به قاعده‌ای استنباطی تبدیل شده و در کتب فقیهان در بخش‌های مختلف از آن بهره گرفته شده است؛ مانند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قرآن به کافر، فروش برده‌ی مسلمان به کافر، فروش سلاح به کفّار، اخذ شفعه میان کافر و مسلمان، توارث میان مسلمان و کافر، ازدواج با کافران، بحث اجیر شدن مسلمان برای کافر، ولایت کافر بر مسلمان، حضانت و سرپرستی کافر بر کودک مسلمان، وکالت کافر از مسلمان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نگاه نو با استمداد از اجتهاد بر اساس موازین ومتدهای متداول فقهی می‌تواند تحوّلی شگرف در بخش فقه بین‌الملل و سیاسی اسلام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باعث صدور فتوا از سوی آیت‌الله العظمی صانعی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برابری مسلمان و غیر‌مسلمان قاصر و غیر مقصّر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و دلایل نابرابر دانستن خون و خون‌بها و عدم جواز توارث و تناکح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 و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کافر دانسته است که در استعمالات قرآنی آن، به فردی اطلاق می‌شودکه عالماً و عامداً به جهد و انکار حقیقت و ستیز با اسلام می‌پردازد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جهت آشنایی هرچه بیشتر خوانندگان نمونه‌ای از روش استنباطی حضرت آیت‌الله صانعی را در ذیل مشاهده می‌نماییم که بر اساس متد رایج فقهی در حوزه‌های علمی شیعه، با تکیه بر قرآن کریم که سند بالادستی و به منزله‌ی قانون اساسی اسلام است، برابرى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جنس و با 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مقابله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گونه‌ای توجیه می‌نماید که سایر دلایل؛ اعم از برخی روایات و اجماعات ادعایی به دلیل قرار گرفتن در برابر قرآن کریم و اصول عقلی مستند به آن و روح کلی حاکم بر آن، از گردونه اعتبار و استناد خارج می‌گردند؛ شیوه‌ای که وجه امتیاز آرای ایشان از سایر </w:t>
      </w:r>
      <w:bookmarkStart w:id="61" w:name="pg9404_76467"/>
    </w:p>
    <w:p>
      <w:pPr>
        <w:pStyle w:val="BookText"/>
        <w:rPr/>
      </w:pPr>
      <w:bookmarkEnd w:id="61"/>
      <w:r>
        <w:rPr>
          <w:rFonts w:ascii="IRNazanin" w:hAnsi="IRNazanin" w:eastAsia="IRNazanin"/>
          <w:color w:val="111111"/>
          <w:sz w:val="28"/>
          <w:sz w:val="28"/>
          <w:szCs w:val="28"/>
          <w:rtl w:val="true"/>
          <w:lang w:bidi="fa-IR"/>
        </w:rPr>
        <w:t xml:space="preserve">نو‌اندیشان و متفکرانی نظیر استاد علامه شهید مطهریاست؛ چرا که در آن بر حفظ موازین فقهی و اسلامی رایج و به تعبیر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جواهری اهتمام گردیده است</w:t>
      </w:r>
      <w:r>
        <w:rPr>
          <w:rFonts w:eastAsia="IRNazanin" w:cs="IRNazanin"/>
          <w:color w:val="111111"/>
          <w:sz w:val="28"/>
          <w:szCs w:val="28"/>
          <w:rtl w:val="true"/>
          <w:lang w:bidi="fa-IR"/>
        </w:rPr>
        <w:t>:</w:t>
      </w:r>
    </w:p>
    <w:p>
      <w:pPr>
        <w:pStyle w:val="Heading4"/>
        <w:numPr>
          <w:ilvl w:val="3"/>
          <w:numId w:val="1"/>
        </w:numPr>
        <w:rPr/>
      </w:pPr>
      <w:bookmarkStart w:id="62" w:name="__RefHeading___Toc5620168_2870459653"/>
      <w:bookmarkStart w:id="63" w:name="_Toc23"/>
      <w:bookmarkEnd w:id="62"/>
      <w:r>
        <w:rPr/>
        <w:t>1</w:t>
      </w:r>
      <w:r>
        <w:rPr>
          <w:rtl w:val="true"/>
        </w:rPr>
        <w:t xml:space="preserve">. </w:t>
      </w:r>
      <w:r>
        <w:rPr>
          <w:rtl w:val="true"/>
        </w:rPr>
        <w:t>برابری مسلمان و غیر مسلمان در خون و خون‌بها</w:t>
      </w:r>
      <w:bookmarkEnd w:id="63"/>
    </w:p>
    <w:p>
      <w:pPr>
        <w:pStyle w:val="Heading5"/>
        <w:numPr>
          <w:ilvl w:val="4"/>
          <w:numId w:val="1"/>
        </w:numPr>
        <w:rPr/>
      </w:pPr>
      <w:bookmarkStart w:id="64" w:name="__RefHeading___Toc5620170_2870459653"/>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در بحث قصاصِ ميان مسلمان و غير مسلمان، بايد به دو موضوع توجه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غير مسلمان توسط مسلمان؛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مسلمان توسط غير مسلمان؛</w:t>
      </w:r>
    </w:p>
    <w:p>
      <w:pPr>
        <w:pStyle w:val="Heading5"/>
        <w:numPr>
          <w:ilvl w:val="4"/>
          <w:numId w:val="1"/>
        </w:numPr>
        <w:rPr/>
      </w:pPr>
      <w:bookmarkStart w:id="66" w:name="__RefHeading___Toc5620172_2870459653"/>
      <w:bookmarkStart w:id="67" w:name="_Toc25"/>
      <w:bookmarkEnd w:id="66"/>
      <w:r>
        <w:rPr>
          <w:rtl w:val="true"/>
        </w:rPr>
        <w:t>الف</w:t>
      </w:r>
      <w:r>
        <w:rPr>
          <w:rtl w:val="true"/>
        </w:rPr>
        <w:t xml:space="preserve">) </w:t>
      </w:r>
      <w:r>
        <w:rPr>
          <w:rtl w:val="true"/>
        </w:rPr>
        <w:t>كشتن غيرمسلمان توسط مسلمان</w:t>
      </w:r>
      <w:bookmarkEnd w:id="67"/>
    </w:p>
    <w:p>
      <w:pPr>
        <w:pStyle w:val="BookText"/>
        <w:rPr/>
      </w:pPr>
      <w:r>
        <w:rPr>
          <w:rFonts w:ascii="IRNazanin" w:hAnsi="IRNazanin" w:eastAsia="IRNazanin"/>
          <w:color w:val="111111"/>
          <w:sz w:val="28"/>
          <w:sz w:val="28"/>
          <w:szCs w:val="28"/>
          <w:rtl w:val="true"/>
          <w:lang w:bidi="fa-IR"/>
        </w:rPr>
        <w:t>مشهور فقيهان معتقدند كه اگر مسلمان، غيرمسلمانى را به قتل رساند، قصاص نمی‌شود و تنها بايد ديه غيرمسلمان را به خانواده‌اش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مسأله خلاف قابل اعتنایی نيافتم، بلكه اجماع محصّل و منقول بر آن دلالت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تنها مخالف از فقيهان شيعى، شيخ صدوق در كتاب المقنع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مسلمانى دست كافر معاهد را قطع كند، </w:t>
      </w:r>
    </w:p>
    <w:p>
      <w:pPr>
        <w:pStyle w:val="BookText"/>
        <w:rPr/>
      </w:pPr>
      <w:r>
        <w:rPr>
          <w:rFonts w:ascii="IRNazanin" w:hAnsi="IRNazanin" w:eastAsia="IRNazanin"/>
          <w:color w:val="111111"/>
          <w:sz w:val="28"/>
          <w:sz w:val="28"/>
          <w:szCs w:val="28"/>
          <w:rtl w:val="true"/>
          <w:lang w:bidi="fa-IR"/>
        </w:rPr>
        <w:t>خانواده كافر مى‌توانند قصاص كنند و تفاضل ديه را به مسلم بپردازند و يا اينكه ديه أخذكنند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البته شيخ صدوق در كتاب من لا‌يحضره الفقيه عقيده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مسلمانى كه كافر ذمى را به قتل برساند، كشته خواهد شد، ولى اين كشتن از باب قصاص نيست، بلكه به جهت مخالفت با امام المسلمين در معاهداتى است كه به امضا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باب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كيفر آن‌كس كه با امام مخالفت ورزد و يكى از كفار را عمداً به قتل برساند، قتل است؛ نه به جهت حرمت خون كافر، بلكه به خاطر مخالفت با امام المسلمين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همچنين برخى فقيهان؛ چون ابن جنيد اسکافی و حلبى فتوا داده‌اند كه اگر مسلمانى كشتن كفار را تكرار كند، به عنوان كيفر كشته می‌شود، نه به عنوان قصاص</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اين‌رو، رأى اين دو فقيه و نيز شيخ صدوق در كتاب من لا يحضره الفقيه را نبايد به عنوان مخالف در برابر مشهور تلقّى كرد و تنها مخالف، شيخ صدوق در كتاب المقنع است</w:t>
      </w:r>
      <w:r>
        <w:rPr>
          <w:rFonts w:eastAsia="Amiri" w:cs="Amiri" w:ascii="Amiri" w:hAnsi="Amiri"/>
          <w:color w:val="111111"/>
          <w:sz w:val="28"/>
          <w:szCs w:val="28"/>
          <w:rtl w:val="true"/>
          <w:lang w:bidi="ar-SA"/>
        </w:rPr>
        <w:t xml:space="preserve">. </w:t>
      </w:r>
      <w:bookmarkStart w:id="68" w:name="pg9404_76469"/>
    </w:p>
    <w:p>
      <w:pPr>
        <w:pStyle w:val="Heading5"/>
        <w:numPr>
          <w:ilvl w:val="4"/>
          <w:numId w:val="1"/>
        </w:numPr>
        <w:rPr/>
      </w:pPr>
      <w:bookmarkStart w:id="69" w:name="__RefHeading___Toc5620174_2870459653"/>
      <w:bookmarkStart w:id="70" w:name="_Toc26"/>
      <w:bookmarkEnd w:id="68"/>
      <w:bookmarkEnd w:id="69"/>
      <w:r>
        <w:rPr>
          <w:rtl w:val="true"/>
        </w:rPr>
        <w:t>ب</w:t>
      </w:r>
      <w:r>
        <w:rPr>
          <w:rtl w:val="true"/>
        </w:rPr>
        <w:t xml:space="preserve">) </w:t>
      </w:r>
      <w:r>
        <w:rPr>
          <w:rtl w:val="true"/>
        </w:rPr>
        <w:t>كشتن مسلمان توسط غيرمسلمان</w:t>
      </w:r>
      <w:bookmarkEnd w:id="70"/>
    </w:p>
    <w:p>
      <w:pPr>
        <w:pStyle w:val="BookText"/>
        <w:rPr/>
      </w:pPr>
      <w:r>
        <w:rPr>
          <w:rFonts w:ascii="IRNazanin" w:hAnsi="IRNazanin" w:eastAsia="IRNazanin"/>
          <w:color w:val="111111"/>
          <w:sz w:val="28"/>
          <w:sz w:val="28"/>
          <w:szCs w:val="28"/>
          <w:rtl w:val="true"/>
          <w:lang w:bidi="fa-IR"/>
        </w:rPr>
        <w:t>مشهور فقيهان بر اين عقيده‌اند كه اگر كافرذمّى، مسلمانى را از روى عمد به قتل برساند، او و اموالش در اختيار خانواده‌ی مقتولِ مسلمان قرار مى‌گيرند وآنان مخيّرند وى را به قتل برسانند يا او را برده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ميان شيعيان مشهور است و سيد مرتضى، ابن ادريس، شهيد اول و علامه حلى بر آن دعوى اجماع كرده‌اند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4"/>
        <w:numPr>
          <w:ilvl w:val="3"/>
          <w:numId w:val="1"/>
        </w:numPr>
        <w:rPr/>
      </w:pPr>
      <w:bookmarkStart w:id="71" w:name="__RefHeading___Toc5620176_2870459653"/>
      <w:bookmarkStart w:id="72" w:name="_Toc27"/>
      <w:bookmarkEnd w:id="71"/>
      <w:r>
        <w:rPr/>
        <w:t>2</w:t>
      </w:r>
      <w:r>
        <w:rPr>
          <w:rtl w:val="true"/>
        </w:rPr>
        <w:t xml:space="preserve">. </w:t>
      </w:r>
      <w:r>
        <w:rPr>
          <w:rtl w:val="true"/>
        </w:rPr>
        <w:t>برابری قصاص در آیات قرآن</w:t>
      </w:r>
      <w:bookmarkEnd w:id="72"/>
    </w:p>
    <w:p>
      <w:pPr>
        <w:pStyle w:val="Heading5"/>
        <w:numPr>
          <w:ilvl w:val="4"/>
          <w:numId w:val="1"/>
        </w:numPr>
        <w:rPr/>
      </w:pPr>
      <w:bookmarkStart w:id="73" w:name="__RefHeading___Toc5620178_2870459653"/>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دو دسته از آيات قرآنى بر برابرى قصاص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آيات را ذکر نموده و سپس به شرح و تبيين و چگونگى دلالت آنها بر برابرى قصاص مى‌پردازيم</w:t>
      </w:r>
      <w:r>
        <w:rPr>
          <w:rFonts w:eastAsia="IRNazanin" w:cs="IRNazanin"/>
          <w:color w:val="111111"/>
          <w:sz w:val="28"/>
          <w:szCs w:val="28"/>
          <w:rtl w:val="true"/>
          <w:lang w:bidi="fa-IR"/>
        </w:rPr>
        <w:t>.</w:t>
      </w:r>
    </w:p>
    <w:p>
      <w:pPr>
        <w:pStyle w:val="Heading5"/>
        <w:numPr>
          <w:ilvl w:val="4"/>
          <w:numId w:val="1"/>
        </w:numPr>
        <w:rPr/>
      </w:pPr>
      <w:bookmarkStart w:id="75" w:name="__RefHeading___Toc5620180_2870459653"/>
      <w:bookmarkStart w:id="76" w:name="_Toc29"/>
      <w:bookmarkEnd w:id="75"/>
      <w:r>
        <w:rPr>
          <w:rtl w:val="true"/>
        </w:rPr>
        <w:t>الف</w:t>
      </w:r>
      <w:r>
        <w:rPr>
          <w:rtl w:val="true"/>
        </w:rPr>
        <w:t xml:space="preserve">) </w:t>
      </w:r>
      <w:r>
        <w:rPr>
          <w:rtl w:val="true"/>
        </w:rPr>
        <w:t>آيات خاص</w:t>
      </w:r>
      <w:bookmarkEnd w:id="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كُتِبَ عَلَيْكُمُ الْقِصَاصُ فِي الْقَتْلَى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وَالْعَبْدُ بِالْعَبْدِ وَالأُنثَى بِالأُنثَى فَمَنْ عُفِيَ لَهُ مِنْ أَخِيهِ شَيْءٌ فَاتِّبَاعٌ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َعْرُوفِ وَأَدَاء إِلَيْهِ بِإِحْسَانٍ ذَلِكَ تَخْفِيفٌ مِّن رَّبِّكُمْ وَرَحْمَةٌ فَمَنِ اعْتَدَى بَعْدَ ذَلِكَ</w:t>
      </w:r>
    </w:p>
    <w:p>
      <w:pPr>
        <w:pStyle w:val="BookText"/>
        <w:rPr/>
      </w:pPr>
      <w:r>
        <w:rPr>
          <w:rFonts w:ascii="Amiri" w:hAnsi="Amiri" w:eastAsia="Amiri" w:cs="Amiri"/>
          <w:color w:val="111111"/>
          <w:sz w:val="28"/>
          <w:sz w:val="28"/>
          <w:szCs w:val="28"/>
          <w:rtl w:val="true"/>
          <w:lang w:bidi="ar-SA"/>
        </w:rPr>
        <w:t>فَلَهُ عَذَابٌ أَلِيمٌ</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اى كسانى كه ايمان آورده‌ايد، درباره‌ی كشتگان،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مقرّر شده؛ آزاد،عوض آزاد و بنده، عوض بنده و زن، عوض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از جانب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ولىّ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گذشت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گذشت ولىّ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پسنديده پيروى كند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تخفيف و رحمتى از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بعد از آن از اندازه درگذرد، وى را عذابى دردناك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وَلَكُمْ فِي الْقِصَاصِ حَيَاةٌ يَاْ أُولِيْ الأَلْبَابِ لَعَلَّكُمْ تَتَّقُونَ</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و اى خردمندان، شما را در قصاص، زندگانى است، باشد كه به تقوا گراييد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قِصَاصٌ فَمَن تَصَدَّقَ بِهِ فَهُوَ كَفَّارَةٌ لَّهُ 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ascii="IRNazanin" w:hAnsi="IRNazanin" w:eastAsia="IRNazanin"/>
          <w:color w:val="111111"/>
          <w:sz w:val="28"/>
          <w:sz w:val="28"/>
          <w:szCs w:val="28"/>
          <w:rtl w:val="true"/>
          <w:lang w:bidi="fa-IR"/>
        </w:rPr>
        <w:t>؛</w:t>
      </w:r>
      <w:r>
        <w:rPr>
          <w:rStyle w:val="FootnoteAnchor"/>
          <w:rtl w:val="true"/>
        </w:rPr>
        <w:footnoteReference w:id="74"/>
      </w:r>
      <w:bookmarkStart w:id="77" w:name="pg9404_76471"/>
    </w:p>
    <w:p>
      <w:pPr>
        <w:pStyle w:val="BookText"/>
        <w:rPr/>
      </w:pPr>
      <w:bookmarkEnd w:id="77"/>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كرديم كه جان در مقابل جان، و چشم در مقابل چشم، و بينى در برابر بينى، و گوش در برابر گوش، و دندان در برابر دندان است؛ و زخم‌ها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همان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درگذرد، پس آن،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موجب آن‌چه خدا نازل كرده داورى نكرده‌اند، آنان خود ستمگران‌اند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و نفسى را كه خداوند حرام كرده است، جز به حقّ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مظلوم كشته شود، به سرپرست وى قدرتى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در قتل زياده‌روى كند؛ زيرا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شده است</w:t>
      </w:r>
      <w:r>
        <w:rPr>
          <w:rFonts w:eastAsia="IRNazanin" w:cs="IRNazanin"/>
          <w:color w:val="111111"/>
          <w:sz w:val="28"/>
          <w:szCs w:val="28"/>
          <w:rtl w:val="true"/>
          <w:lang w:bidi="fa-IR"/>
        </w:rPr>
        <w:t>.</w:t>
      </w:r>
    </w:p>
    <w:p>
      <w:pPr>
        <w:pStyle w:val="Heading5"/>
        <w:numPr>
          <w:ilvl w:val="4"/>
          <w:numId w:val="1"/>
        </w:numPr>
        <w:rPr/>
      </w:pPr>
      <w:bookmarkStart w:id="78" w:name="__RefHeading___Toc5620182_2870459653"/>
      <w:bookmarkStart w:id="79" w:name="_Toc30"/>
      <w:bookmarkEnd w:id="78"/>
      <w:r>
        <w:rPr>
          <w:rtl w:val="true"/>
        </w:rPr>
        <w:t>ب</w:t>
      </w:r>
      <w:r>
        <w:rPr>
          <w:rtl w:val="true"/>
        </w:rPr>
        <w:t xml:space="preserve">) </w:t>
      </w:r>
      <w:r>
        <w:rPr>
          <w:rtl w:val="true"/>
        </w:rPr>
        <w:t>آيات عام</w:t>
      </w:r>
      <w:bookmarkEnd w:id="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 و جزاى بدى، مانند آن،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w:t>
      </w:r>
    </w:p>
    <w:p>
      <w:pPr>
        <w:pStyle w:val="BookText"/>
        <w:rPr/>
      </w:pPr>
      <w:r>
        <w:rPr>
          <w:rFonts w:ascii="IRNazanin" w:hAnsi="IRNazanin" w:eastAsia="IRNazanin"/>
          <w:color w:val="111111"/>
          <w:sz w:val="28"/>
          <w:sz w:val="28"/>
          <w:szCs w:val="28"/>
          <w:rtl w:val="true"/>
          <w:lang w:bidi="fa-IR"/>
        </w:rPr>
        <w:t>درگذرد و نيكوكارى كند، پاداش او به عهده‌ی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ستمگران را دوست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وَلَمَنِ انتَصَرَ بَعْدَ ظُلْمِهِ فَأُوْلَئِكَ مَا عَلَيْهِم مِّن سَبِيلٍ</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 و هر كه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يارى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وانتقام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عَاقَبْتُمْ فَعَاقِبُواْ بِمِثْلِ مَا عُوقِبْتُم بِهِ وَلَئِن صَبَرْتُمْ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لِّلصَّابِرينَ</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 و اگر عقوبت كرديد، همان‌گونه كه مورد عقوبت قرار گرفته‌ايد،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رسانيد، و اگر صبر كنيد، البته آن براى شكيبايان بهتر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بِالشَّهْرِ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وَالْح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ُرُمَاتُ قِصَاصٌ فَمَنِ اعْتَدَى عَلَيْكُمْ فَاعْتَدُواْ عَلَيْهِ بِمِثْلِ مَا اعْتَدَى عَلَيْكُمْ وَاتَّقُواْ اللهَ وَاعْلَمُواْ أَنَّ اللهَ مَعَ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ُتَّقِينَ</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ماه‌هاى حرام را در مقابل ماه‌هاى حرام قرار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بر شما تعدّى كرد، همان‌گونه كه بر شما تعدّى كرده، بر او تعدّى كنيد و از خدا پروا </w:t>
      </w:r>
    </w:p>
    <w:p>
      <w:pPr>
        <w:pStyle w:val="BookText"/>
        <w:rPr/>
      </w:pPr>
      <w:r>
        <w:rPr>
          <w:rFonts w:ascii="IRNazanin" w:hAnsi="IRNazanin" w:eastAsia="IRNazanin"/>
          <w:color w:val="111111"/>
          <w:sz w:val="28"/>
          <w:sz w:val="28"/>
          <w:szCs w:val="28"/>
          <w:rtl w:val="true"/>
          <w:lang w:bidi="fa-IR"/>
        </w:rPr>
        <w:t>بداريد و بدانيد كه خدا با تقوا پيش‌گان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مدعاى ما اين است كه اين آياتْ اطلاق دارد و با صراحت، بر برابرى ميان زن و مرد، برده و آزاد، مسلمان و كافر دلالت مى‌كند؛ چنان‌كه نسبت به مليّت، رنگ و نژاد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و صراحتِ در دلالت، با مذاق شريعت و جهت‌گيرى كلى كتاب و سنّت در مساوات و برابرى انسان‌ها،تأييد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قرآن‌كريم همه‌ی آدميان را فرزندان آدم و حوا مى‌داند و در مبدأ آفرينش و استعدادهاى انسانى ميان آنان فرقى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اى مردم، از پروردگارتان كه شما را از نفس واحدى آفريد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آفريد، و از آن دو، مردان و زنان بسيارى پراكنده كرد، پروا داريد؛ و از خدايى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همديگر درخواست مى‌كنيد، پروا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مايه برترى آدميان را تقوا بر مى‌شمرد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إِنَّا خَلَقْنَاكُم مِّن ذَكَرٍ وَأُنثَى وَجَعَلْنَاكُمْ</w:t>
      </w:r>
    </w:p>
    <w:p>
      <w:pPr>
        <w:pStyle w:val="BookText"/>
        <w:rPr/>
      </w:pPr>
      <w:r>
        <w:rPr>
          <w:rFonts w:ascii="Amiri" w:hAnsi="Amiri" w:eastAsia="Amiri" w:cs="Amiri"/>
          <w:color w:val="111111"/>
          <w:sz w:val="28"/>
          <w:sz w:val="28"/>
          <w:szCs w:val="28"/>
          <w:rtl w:val="true"/>
          <w:lang w:bidi="ar-SA"/>
        </w:rPr>
        <w:t>شُعُوبًا وَقَبَائِلَ لِتَعَارَفُوا إِنَّ أَكْرَمَكُمْ عِندَ اللهِ أَتْقَاكُمْ</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اى مردم، ما شما را از مرد و زن آفريديم، و شما را ملت ملت و قبيله قبيله گردانيديم تا با يكديگر شناسايى متقابل حاصل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ارجمندترين شما نزد خدا پرهيزگارترين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مى‌توان به اين روايت‌ها اشاره كرد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ربّكم واحد، وإنّ أباكم واحد، كلّكم لآدم، وآدم من تراب، إنّ أكرمكم عندالله أتقاكم، وليس لعربيّ على عجمي فضل إلّا بالتقوى؛</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اى مردم، به راستى كه پروردگارتان يكى است، پدرتان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فرزند آدم هستيد و آدم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ارجمندترين شما نزد خداوند، پرهيزگارترين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عربى را بر غير عربْ برترى نيست، جز به پرهيزگارى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سواء كأسنان المشط؛</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مردم مانند دندانه‌هاى شانه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فالنّاس اليوم كلّهم أبيضهم و أسودهم و قرشيهم وعربيهم وعجميهم من آدم، و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من طين و إنّ أحبّ النّاس إلى الله عزّوجلّ يوم القيامة أطوعهم له وأتقاهم؛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امروز تمامى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آيين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سفيد و سياه، قرشى و عرب و عجم از آدم زادهشده‌اند و به راستى كه خداوند آدم را از خاك آفريد؛ و دوست‌داشتنى‌ترينِ مردم نزد خداوند عزّوجلّ در روز قيامت، مطيع‌ترين و پارساترين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من آدم إلى يومنا هذا مثل أسنان المشط، لافضل للعربيّ على العجميّ، ولا للأحمر على الأسود إلّا بالتقوى؛</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به راستى كه همه‌ی مردم، تا اين روزگار ما، از آدم‌اند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دندانه‌هاى شانه؛ عرب را بر غير عرب و سرخ گونه را بر سياه فضيلتى نيست، مگر در سايه پارسايى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إلى آدم شرع سواء؛</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مردمان تا آدم، همه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آنكه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آيات و روايات‌هاى ديگر تأييد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برابرى انسان‌ها در قصاص دلالت دارند، و هيچ‌گونه نابرابرى را برنمى‌تابند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استدلال، دو شبهه ممكن است مطرح گردد، كه اينك به بررسى و نقد آن دو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گفته شود آياتِ متضمّن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 و دوم از 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 انتصارهيچ‌گونه اطلاق و شمولى نسبت به برابرى قصاص در طوايف ياد شده ندارند؛ زيرا اين آيات بر اصل قصاص دلالت دارند و از آن رو كه در آن زمان، قصاص با وجود تفاوت ميان زن و مرد و برده و آزاد، صادق بود، اين آيات نيز مى‌توانند مؤيّد همان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از اين آيات نمى‌توان برابرى در قصاص را به دست آورد؛ چرا كه اين آيات بر اصل قصاص دلالت دارند، و در آن زمان، نابرابرى در قصاص مرد و زن و برده و آزاد رايج بوده و در عين حال به آن قصاص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ايراد، بايد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آيات ديگر مثل آيه </w:t>
      </w:r>
      <w:r>
        <w:rPr>
          <w:rFonts w:ascii="Amiri" w:hAnsi="Amiri" w:eastAsia="Amiri" w:cs="Amiri"/>
          <w:color w:val="111111"/>
          <w:sz w:val="28"/>
          <w:sz w:val="28"/>
          <w:szCs w:val="28"/>
          <w:rtl w:val="true"/>
          <w:lang w:bidi="ar-SA"/>
        </w:rPr>
        <w:t>وَجَزَاء سَيِّئَةٍ سَيِّئَةٌ مِّثْلُهَا</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نيز أَنَّ آلنَّفْسَ بِالنَّفْسِ</w:t>
      </w:r>
      <w:r>
        <w:rPr>
          <w:rStyle w:val="FootnoteAnchor"/>
          <w:rtl w:val="true"/>
        </w:rPr>
        <w:footnoteReference w:id="88"/>
      </w:r>
      <w:r>
        <w:rPr>
          <w:rFonts w:ascii="Amiri" w:hAnsi="Amiri" w:eastAsia="Amiri" w:cs="Amiri"/>
          <w:color w:val="111111"/>
          <w:sz w:val="28"/>
          <w:sz w:val="28"/>
          <w:szCs w:val="28"/>
          <w:rtl w:val="true"/>
          <w:lang w:bidi="ar-SA"/>
        </w:rPr>
        <w:t>بر برابرى و عدم تفاوت دلالت دارند و براى استدلال كفايت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صدق قصاص با وجود نابرابرى در ميان مردمان جاهل، مبتنى بر عقايد و باورهاى باطل آنان بوده و عرف انسانى با فطرت اصلى‌اش به برابرى و عدم تفاوت،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قصاص نزد آنان نمى‌تواند ملاك صدق آيات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حق و حقيقت مبتنى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عرف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شعور و ادراك وفرهنگ بالاى انسان‌ها مبتنى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به صورت برابر، شامل همه‌ی طوايف مى‌بيند و اين ملاك صدق آيات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آن‌جا كه احكام بر عناوين مترتب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دلالت، صدق عنوان است، گرچه برخى از مصاديق آن در دوره‌هاى پس از نزول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احكام بر مصاديق خارجى مترتب گردد، ملاك دلالت، همان مصداق‌هاى زمان جعل حكم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ايراد آن است كه آيه</w:t>
      </w:r>
    </w:p>
    <w:p>
      <w:pPr>
        <w:pStyle w:val="BookText"/>
        <w:rPr/>
      </w:pPr>
      <w:r>
        <w:rPr>
          <w:rFonts w:ascii="Amiri" w:hAnsi="Amiri" w:eastAsia="Amiri" w:cs="Amiri"/>
          <w:color w:val="111111"/>
          <w:sz w:val="28"/>
          <w:sz w:val="28"/>
          <w:szCs w:val="28"/>
          <w:rtl w:val="true"/>
          <w:lang w:bidi="ar-SA"/>
        </w:rPr>
        <w:t>كُتِبَ عَلَيْكُمُ الْقِصَاصُ فِي الْقَتْلَى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وَالْعَبْدُ بِالْعَبْدِ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اختلاف و تفاوت در اين طوايف دلالت دارد و معناى آيه چنين</w:t>
      </w:r>
    </w:p>
    <w:p>
      <w:pPr>
        <w:pStyle w:val="BookText"/>
        <w:rPr/>
      </w:pP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مرد در برابر مرد و زن در برابر زن، قصاص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آن‌رو كه صريح در نابرابرى است، مى‌تواند اطلاق و شمول ديگر آيات را نيز مقيّد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ايراد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بر مساوات و برابرى در اين سه گروه، دلالت دارد؛ يعنى اینها با هم برابرند و قصاص بايد بر قاتل اجرا شود؛ هركه باشد و نيز مقتول هر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ناظر بر اين مطلب است كه قصاص تنها بايد بر قاتل اجرا گردد و نه ديگرى؛ در مَثَل، اگر انسانِآزادى، انسانِ آزاد ديگرى را كشت، خود او بايد قصاص شود، نه برده وى؛ با اين توجيه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از مقتول برتر است و بايد برده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رتبه اجتماعى مقتول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جايش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اگر برده‌اى، برده‌اى را كشت، بايد خودِ قاتل قصاص شود و گفته نشود كه اين برده‌ی قاتل چون با گروه اجتماعى بالاترى ارتباط دارد، بايد انسانِ آزادى را از طبقه فرو دست به جاى او قصاص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اگر زنى، زنى را كشت، خودِ او بايد قصاص شود، نه مردى به جاى آن زن؛ با اين استدلال كه اين زن وابسته به طبقه اشراف است و در رتبه مقتول نيست، بلكه از او برتر است؛ پس بايد مردى را به جاى او </w:t>
      </w:r>
    </w:p>
    <w:p>
      <w:pPr>
        <w:pStyle w:val="BookText"/>
        <w:rPr/>
      </w:pPr>
      <w:r>
        <w:rPr>
          <w:rFonts w:ascii="Amiri" w:hAnsi="Amiri" w:eastAsia="Amiri" w:cs="Amiri"/>
          <w:color w:val="111111"/>
          <w:sz w:val="28"/>
          <w:sz w:val="28"/>
          <w:szCs w:val="28"/>
          <w:rtl w:val="true"/>
          <w:lang w:bidi="ar-SA"/>
        </w:rPr>
        <w:t>قصاص كرد كه در رديف و رتبه مقتول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توضيح، اين آيه نه تنها بر تفاوت و نابرابرى دلالت ندارد، بلكه بر برابرى و رفع تفاوت‌ها تأكيد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مطلب ياد شده، اين آيه را دو گونه مى‌توان تفسير كرد؛ بر پايه يك تفسير، تفاوت و نابرابرى در قصاص به اثبات مى‌رسد و بر پايه تفسير ديگر، تساوى و برابرى از آيه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كه تفسير اول با ساير آيات و مذاق شريعتْ ناسازگار است و مستلزم تقييد ديگر ادلّه مى‌شود، كه لسان و پيام آنها از تقييد ابا دارد، پس دومين تفسير، روشن‌تر استو بايد همان مبنا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تفسير دوم با شأن نزول آيه نيز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اين آيه در تفسير مجمع‌البيان اين گونه بيان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درباره‌ی دو قبيله از عرب نازل شد كه يكى را بر ديگرى برترى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زن‌هاى طايفه خود را بدون مهريه به ازدواج در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قبيله سوگند ياد كردند كه اگر برده‌اى از ما كشته شود، در برابرش، فردِ آزادى از آنان را مى‌كشيم؛ در برابر زنى از قبيله ما مردى از آنان را مى‌كشيم و در برابر مردى از قبيله ما دو مرد از آنان را مى‌كشيم، و جراحت‌هاى قبيله خود را دو برابر جراحت‌هاى آنان به </w:t>
      </w:r>
    </w:p>
    <w:p>
      <w:pPr>
        <w:pStyle w:val="BookText"/>
        <w:rPr/>
      </w:pPr>
      <w:r>
        <w:rPr>
          <w:rFonts w:ascii="Amiri" w:hAnsi="Amiri" w:eastAsia="Amiri" w:cs="Amiri"/>
          <w:color w:val="111111"/>
          <w:sz w:val="28"/>
          <w:sz w:val="28"/>
          <w:szCs w:val="28"/>
          <w:rtl w:val="true"/>
          <w:lang w:bidi="ar-SA"/>
        </w:rPr>
        <w:t>حساب مى‌آوردند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اسلام آمد و خداوند اين آيه را نازل كرد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اين مطلب در تفاسير ديگر نيز آمده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گفته شود اين آيه در تفسير دوم ظهورى ندارد، بايد گفت كه لااقل مورد احتمال است و اطلاق آيه‌هاى ديگر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اينجاست كه فقيهان عامه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برابر زن قصاص مى‌شود و لازم نيست چيزى اضافه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نظريه را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نقل كرده‌اند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عين حال، همان‌گونه كه آورديم آيت اللّه صانعى ضمن ردّ نظريه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زن و مرد، مسلمان و غير‌مسلمان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و تأكيد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عمده‌ترين دليل مشهور، اخبار مستفيضه مى‌باشد؛ ليكن تكيه بر اين روايات و استدلال به آنها با اين‌كه از نظر سندى و دلالى تمام مى‌باشد، مشكل بلكه ممنوع است؛ زيرا اين اخبار مخالف با كتاب، سنّت، عقل و قواعد و اصول مسلّم اسلام مى‌باشند؛ و عدم حجيّت چنين اخبارى از خورشيد روشن‌تر است؛ زيرا يكى از شرايط قطعى در حجيّت حديث، عدم مخالفت آن با </w:t>
      </w:r>
    </w:p>
    <w:p>
      <w:pPr>
        <w:pStyle w:val="BookText"/>
        <w:rPr/>
      </w:pPr>
      <w:r>
        <w:rPr>
          <w:rFonts w:ascii="Amiri" w:hAnsi="Amiri" w:eastAsia="Amiri" w:cs="Amiri"/>
          <w:color w:val="111111"/>
          <w:sz w:val="28"/>
          <w:sz w:val="28"/>
          <w:szCs w:val="28"/>
          <w:rtl w:val="true"/>
          <w:lang w:bidi="ar-SA"/>
        </w:rPr>
        <w:t xml:space="preserve">كتاب و سنّت است و بر اين شرط روايات زيادى دلالت دارد </w:t>
      </w:r>
      <w:r>
        <w:rPr>
          <w:rFonts w:eastAsia="Amiri" w:cs="Amiri" w:ascii="Amiri" w:hAnsi="Amiri"/>
          <w:color w:val="111111"/>
          <w:sz w:val="28"/>
          <w:szCs w:val="28"/>
          <w:rtl w:val="true"/>
          <w:lang w:bidi="ar-SA"/>
        </w:rPr>
        <w:t>... .</w:t>
      </w:r>
      <w:r>
        <w:rPr>
          <w:rStyle w:val="FootnoteAnchor"/>
          <w:rtl w:val="true"/>
        </w:rPr>
        <w:footnoteReference w:id="92"/>
      </w:r>
      <w:r>
        <w:rPr>
          <w:rFonts w:ascii="Amiri" w:hAnsi="Amiri" w:eastAsia="Amiri" w:cs="Amiri"/>
          <w:color w:val="111111"/>
          <w:sz w:val="28"/>
          <w:sz w:val="28"/>
          <w:szCs w:val="28"/>
          <w:rtl w:val="true"/>
          <w:lang w:bidi="ar-SA"/>
        </w:rPr>
        <w:t>اخبار مربوط به مشروط بودن قصاص مرد در برابر زن به ردّ فاضل ديه، با آيات بسيارى مخالفت دارد كه از آن جمله مى‌توان به آيات زير مراجعه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وَتَمَّتْ كَلِمَتُ رَبِّكَ صِدْقًا وَعَدْلاً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 الحُكْمُ إِلَّا للهِ يَقُصُّ الْحقَّ وَهُوَ خَيْرُالْفَاصِلِينَ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وَمَا رَبُّكَ بِظَلَّامٍ لِّلْعَبِيدِ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آيات و روايات، شكى نيست كه اين تفاوت از نظر منطق قرآن و سنّت از مصاديق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عرف و عقلا هم وقتى ملتفت به اين حكم مى‌شوند، شكّى در اين‌كه اين مسأله از مصاديق ظلم است نمى‌كنند و به ذهن آنها خطور مى‌كند كه خداوند متعال چگونه چنين حكمى كه سبب تفاوت و تحقير زنان است و اين‌كه ارزش آنها نصف ارزش مردان مى‌باشد را صادر نموده است، بلكه در نفس طرح اين سئوال و وجود شبهه در اين باره و اهتمام فقها به پاسخ‌گويى و توجيه آن، دليل روشنى به تسليم فقها به </w:t>
      </w:r>
    </w:p>
    <w:p>
      <w:pPr>
        <w:pStyle w:val="BookText"/>
        <w:rPr/>
      </w:pPr>
      <w:r>
        <w:rPr>
          <w:rFonts w:ascii="IRNazanin" w:hAnsi="IRNazanin" w:eastAsia="IRNazanin"/>
          <w:color w:val="111111"/>
          <w:sz w:val="28"/>
          <w:sz w:val="28"/>
          <w:szCs w:val="28"/>
          <w:rtl w:val="true"/>
          <w:lang w:bidi="fa-IR"/>
        </w:rPr>
        <w:t>وجود ظلم در اين تفاوت‌گزارى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آيات، اين گفته‌ی خداوند متعال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قِصَاصٌ</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بر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کردیم کهنفس را در مقابل نفس قصاص کنید و چشم را در مقابل چشم و بینی را به بینی و گوش را به گوش و دندان را به دندان، و هر زخمی را قصاص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مى‌شود، مخالفت اخبار مورد استناد مشهور فقها با اين آيه به گونه‌اى واضح است كه نيازى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قصاص مرد در برابر زن با ردّ نصف ديه از مصاديق نفس به نفس نيست، بلكه از مصاديق نفس به نفس، به شرط پرداخت ديه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اين مطلب دلالت مى‌كند كه خون هيچ انسانى رنگين‌تر از خون انسان ديگر نيست؛ لذا ملزم نمودن اولياى دم زن به پرداخت نصف ديه به ورثه قاتل كه مفاد اخبار و فتاوا مى‌باشد، مخالف و مغاير با اين آيه است</w:t>
      </w:r>
      <w:r>
        <w:rPr>
          <w:rFonts w:eastAsia="IRNazanin" w:cs="IRNazanin"/>
          <w:color w:val="111111"/>
          <w:sz w:val="28"/>
          <w:szCs w:val="28"/>
          <w:rtl w:val="true"/>
          <w:lang w:bidi="fa-IR"/>
        </w:rPr>
        <w:t xml:space="preserve">. </w:t>
      </w:r>
      <w:bookmarkStart w:id="80" w:name="pg9404_76483"/>
    </w:p>
    <w:p>
      <w:pPr>
        <w:pStyle w:val="BookText"/>
        <w:rPr/>
      </w:pPr>
      <w:bookmarkEnd w:id="80"/>
      <w:r>
        <w:rPr>
          <w:rFonts w:ascii="IRNazanin" w:hAnsi="IRNazanin" w:eastAsia="IRNazanin"/>
          <w:color w:val="111111"/>
          <w:sz w:val="28"/>
          <w:sz w:val="28"/>
          <w:szCs w:val="28"/>
          <w:rtl w:val="true"/>
          <w:lang w:bidi="fa-IR"/>
        </w:rPr>
        <w:t xml:space="preserve">حاصل سخن آنكه در مسأله قصاص، نه برابرى در جنسيّت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 ومرد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نه برابرى در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آيات قرآنى اقتضا دارد كه جان انسانى محترم است و هر كس عمداً اقدام به قتل ديگرى كند، خانواده مقتول مى‌توانند، قاتل را قصاص كنند، بدون آنكه لازم باشد مالى را به عنوان مابه‌التفاوت ديه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روايت‌هايى كه در اين مسأله وارد شده از آن جهت كه با قرآن مخالفت دارند،و داراى ايرادهاى فقه الحديثى‌اند، نمى‌توانند مرجع فتوا و رأى فقهى قرار گيرند</w:t>
      </w:r>
      <w:r>
        <w:rPr>
          <w:rFonts w:eastAsia="IRNazanin" w:cs="IRNazanin"/>
          <w:color w:val="111111"/>
          <w:sz w:val="28"/>
          <w:szCs w:val="28"/>
          <w:rtl w:val="true"/>
          <w:lang w:bidi="fa-IR"/>
        </w:rPr>
        <w:t>.</w:t>
      </w:r>
    </w:p>
    <w:p>
      <w:pPr>
        <w:pStyle w:val="Heading4"/>
        <w:numPr>
          <w:ilvl w:val="3"/>
          <w:numId w:val="1"/>
        </w:numPr>
        <w:rPr/>
      </w:pPr>
      <w:bookmarkStart w:id="81" w:name="__RefHeading___Toc5620184_2870459653"/>
      <w:bookmarkStart w:id="82" w:name="_Toc31"/>
      <w:bookmarkEnd w:id="81"/>
      <w:r>
        <w:rPr/>
        <w:t>3</w:t>
      </w:r>
      <w:r>
        <w:rPr>
          <w:rtl w:val="true"/>
        </w:rPr>
        <w:t xml:space="preserve">. </w:t>
      </w:r>
      <w:r>
        <w:rPr>
          <w:rtl w:val="true"/>
        </w:rPr>
        <w:t>برابرى ديه مسلمان و غير مسلمان</w:t>
      </w:r>
      <w:bookmarkEnd w:id="82"/>
    </w:p>
    <w:p>
      <w:pPr>
        <w:pStyle w:val="BookText"/>
        <w:rPr/>
      </w:pPr>
      <w:r>
        <w:rPr>
          <w:rFonts w:ascii="IRNazanin" w:hAnsi="IRNazanin" w:eastAsia="IRNazanin"/>
          <w:color w:val="111111"/>
          <w:sz w:val="28"/>
          <w:sz w:val="28"/>
          <w:szCs w:val="28"/>
          <w:rtl w:val="true"/>
          <w:lang w:bidi="fa-IR"/>
        </w:rPr>
        <w:t>مشهور فقيهان بر اين باورند كه ديه غير مسلمان كم‌تر از ديه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فقيهان شيعى اندازه آن را هشتصد درهم مى‌دانند، و برخى از فقيهان اهل سنّت، ديه آنان را نصف ديه مسلمانان، و برخى ديگر ثلث ديه مسلمانان دانسته‌اند، و برخى نيز ديه ذمّى غير مجوسى را مساوى با مسلمان دانسته، و برخى ديگر قايل به تفصيل در ديه معاهد گرديده‌اند، كه اگر قتل عمد باشد، ديه مسلمان و اگر خطا باشد، نصف ديه مسلمان</w:t>
      </w:r>
      <w:r>
        <w:rPr>
          <w:rFonts w:eastAsia="IRNazanin" w:cs="IRNazanin"/>
          <w:color w:val="111111"/>
          <w:sz w:val="28"/>
          <w:szCs w:val="28"/>
          <w:rtl w:val="true"/>
          <w:lang w:bidi="fa-IR"/>
        </w:rPr>
        <w:t>.</w:t>
      </w:r>
      <w:r>
        <w:rPr>
          <w:rStyle w:val="FootnoteAnchor"/>
          <w:rtl w:val="true"/>
        </w:rPr>
        <w:footnoteReference w:id="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مفتاح الكرامه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ديه ذمّى آزاده هشتصد درهم است و نويسندگان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الخلاف، الغنيه وكنزالعرفان دعواى اجماع كرده‌اند، و در كشف اللثام دعواى شهرت روايى و فتوايى شده است، و شهيد در روضه آن را اشهر از نظر روايت و فتوا مى‌داند، و صاحب كتاب المقتصر آن را مشهور در عمل اصحاب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نويسندگان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مختصر‌النافع، كشف الرموز،المهذّب البارع، التنقيح و ملاذالأخيار آن را مشهور گفته‌اند و در رياض المسائل آمده كه اين رأى را عموم اصحاب ما باور دارند، به جز افراد نادر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آيت اللّه صانعى با توجه به مخالفت روايات و متون منقول در باب تنصيف ديه غير مسلمان با قرآن و بحث عدالت، به برابرى ديه در اين مورد حكم داده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الغاى خصوصيّت و تنقيح مناط، همه‌ی كسانى كه مؤتمن يا معاهد با مسلمانان هستند؛ چه عهدهاى خصوصى و چه عهدهاى بين‌المللى، كه متضمّن احترام متقابل و حفظ حقوق يكديگر است و يكديگر را محترم و مؤتمن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هم نسبت به ديگران چنين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آنان برابر با ديه مسلمان مى‌باشد؛ چه اهل كتاب باشند و چه نباشند، چه </w:t>
      </w:r>
    </w:p>
    <w:p>
      <w:pPr>
        <w:pStyle w:val="BookText"/>
        <w:rPr/>
      </w:pPr>
      <w:r>
        <w:rPr>
          <w:rFonts w:ascii="IRNazanin" w:hAnsi="IRNazanin" w:eastAsia="IRNazanin"/>
          <w:color w:val="111111"/>
          <w:sz w:val="28"/>
          <w:sz w:val="28"/>
          <w:szCs w:val="28"/>
          <w:rtl w:val="true"/>
          <w:lang w:bidi="fa-IR"/>
        </w:rPr>
        <w:t>موحّد باشند و چه غير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قواعد و اصول كلي و آنچه از روايات خاصّه استفاده مى‌شود نيز، با اين رأى موافق مى‌باشد؛ زيرا همان گونه كه مالِ غير مسلمان احترام دارد و ضمانتش با مسلمان تفاوت ندارد، مى‌توان گفت حيات و جان او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همين اعتبار مى‌توان به عنوان اولويت قطعيّه عرفيّه،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ديه مسلمان و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اين وجه جمع و تقريب را با همه‌ی وضوحش نپذيرد، باز هم نمى‌توان به استناد رواياتى كه مستند فتواى مشهور است، بر طبق نظر مشهور فتوا داد،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مى‌كند بر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يهودى و زرتشتى و مسيحى 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رواياتى كه دلالت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آنان چهار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مخالفت با قرآن طرد مى‌گردد، و رواياتى كه دلالت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ذمّى، برابر ديه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موافقتش با قرآن اخذ مى‌گردد و ترجيح به موافقت كتاب در دو خبر متعارض، قبل از همه‌ی مرجّحات است و بيان مخالفت و موافقت اين روايات با قرآن، با مراجعه به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روشن 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 أَن يَقْتُلَ مُؤْمِنًا إِلَّا خَطَئًا وَمَن قَتَلَ</w:t>
      </w:r>
    </w:p>
    <w:p>
      <w:pPr>
        <w:pStyle w:val="BookText"/>
        <w:rPr/>
      </w:pPr>
      <w:r>
        <w:rPr>
          <w:rFonts w:ascii="Amiri" w:hAnsi="Amiri" w:eastAsia="Amiri" w:cs="Amiri"/>
          <w:color w:val="111111"/>
          <w:sz w:val="28"/>
          <w:sz w:val="28"/>
          <w:szCs w:val="28"/>
          <w:rtl w:val="true"/>
          <w:lang w:bidi="ar-SA"/>
        </w:rPr>
        <w:t>مُؤْمِنًا خَطَئًا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و هيچ مؤمنى را نسزد كه مؤمنى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بكشد، و هر كس مؤمنى را به اشتباه كشت،بايد بنده‌ی مؤمنى را آزاد و به خانواده او خون بها پرداخت كند، مگر اينكه آنان گذشت كنند،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گروهى است كه دشمنان شمايند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بنده‌ی مؤمنى را آزاد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گروهى است كه ميان شما و ميان آنان پيمانى است، بايد به خانواده وى خون بها پراخت نمايد و بنده‌ی مؤمنى را آزاد كند،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 بايد دو ماه پياپى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توبه‌اى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 و خدا همواره داناى سنجيده كار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مقتول در قتل خطايى اگر مؤمنى است در ميان مؤمنان، قاتل هم بايد ديه بدهد و هم بنده‌ی </w:t>
      </w:r>
    </w:p>
    <w:p>
      <w:pPr>
        <w:pStyle w:val="BookText"/>
        <w:rPr/>
      </w:pPr>
      <w:r>
        <w:rPr>
          <w:rFonts w:ascii="IRNazanin" w:hAnsi="IRNazanin" w:eastAsia="IRNazanin"/>
          <w:color w:val="111111"/>
          <w:sz w:val="28"/>
          <w:sz w:val="28"/>
          <w:szCs w:val="28"/>
          <w:rtl w:val="true"/>
          <w:lang w:bidi="fa-IR"/>
        </w:rPr>
        <w:t>مؤمنى را آزاد كند؛ و اگر مقتول مؤمنى باشد از ميان دشمنان مسلمانان كه با قتل خطايى كشته شده، قاتل تنها بايد بنده‌ی مؤمنى را آزاد كند؛ و در صورتى كه مقتول، از اهل ميثاق و عهد و پيمان و قرارداد باشد، قاتل بايد ديه بپردازد و بنده‌ی مؤمنى را 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از مفهوم </w:t>
      </w:r>
      <w:r>
        <w:rPr>
          <w:rFonts w:ascii="Amiri" w:hAnsi="Amiri" w:eastAsia="Amiri" w:cs="Amiri"/>
          <w:color w:val="111111"/>
          <w:sz w:val="28"/>
          <w:sz w:val="28"/>
          <w:szCs w:val="28"/>
          <w:rtl w:val="true"/>
          <w:lang w:bidi="ar-SA"/>
        </w:rPr>
        <w:t>وَإِن كَانَ مِن قَوْمٍ بَيْنَكُمْ وَبَيْنَهُمْ</w:t>
      </w:r>
      <w:r>
        <w:rPr>
          <w:rStyle w:val="FootnoteAnchor"/>
          <w:rtl w:val="true"/>
        </w:rPr>
        <w:footnoteReference w:id="100"/>
      </w:r>
      <w:r>
        <w:rPr>
          <w:rFonts w:ascii="IRNazanin" w:hAnsi="IRNazanin" w:eastAsia="IRNazanin"/>
          <w:color w:val="111111"/>
          <w:sz w:val="28"/>
          <w:sz w:val="28"/>
          <w:szCs w:val="28"/>
          <w:rtl w:val="true"/>
          <w:lang w:bidi="fa-IR"/>
        </w:rPr>
        <w:t xml:space="preserve">كه مفهوم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مقام بيان ضابطه و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مى‌گردد كه اگر مقتول داراى ميثاق و احترامنباشد، ديه‌اى ندارد، به علاوه كه خودِ تفصيل آيه و تقسيم نمودن مقتول خطايى به اصناف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در مقام بيان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دلالتى روشن به حكم تفصيل و اطلاق مقامى دارد كه آنانى كه نه مؤمن هستند و نه اهل ميثاق و احترام، ديه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رواياتى كه براى يهودى و مسيحى و زرتشتى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اهل ميثاق باشند و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نابرابر با مسلمان تعيين نموده، اگر نگوييم ظهور دارد در كسانى كه ميثاق و عهد و پيمان ندارند، لااقل اطلاقش شامل آنان مى‌گردد و مخالف با كتاب است، و رواياتى كه ديه اهل ذمّه را ديه مسلمان قرار داده، موافق با كتاب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دیه غیرمسلمانان را هشتصد درهم می‌دانند با دو دسته از چهار دسته روایات، تعارض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یهودی، مسیحی و زرتشتی چهار هزار درهم است و دسته دوم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آنها، دیه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هیچ کدام بر دیگری ترجیح ندارد، قاعده بر تخییر است، و در صورت تخییر، می‌توانیم آن دسته از روایاتی را که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دیه مسلمان با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اخذ نماییم </w:t>
      </w:r>
      <w:r>
        <w:rPr>
          <w:rFonts w:eastAsia="IRNazanin" w:cs="IRNazanin"/>
          <w:color w:val="111111"/>
          <w:sz w:val="28"/>
          <w:szCs w:val="28"/>
          <w:rtl w:val="true"/>
          <w:lang w:bidi="fa-IR"/>
        </w:rPr>
        <w:t>... .</w:t>
      </w:r>
      <w:r>
        <w:rPr>
          <w:rStyle w:val="FootnoteAnchor"/>
          <w:rtl w:val="true"/>
        </w:rPr>
        <w:footnoteReference w:id="101"/>
      </w:r>
      <w:bookmarkStart w:id="83" w:name="pg9404_76489"/>
    </w:p>
    <w:p>
      <w:pPr>
        <w:pStyle w:val="Heading2"/>
        <w:numPr>
          <w:ilvl w:val="1"/>
          <w:numId w:val="1"/>
        </w:numPr>
        <w:rPr/>
      </w:pPr>
      <w:bookmarkStart w:id="84" w:name="__RefHeading___Toc5620186_2870459653"/>
      <w:bookmarkStart w:id="85" w:name="_Toc32"/>
      <w:bookmarkEnd w:id="83"/>
      <w:bookmarkEnd w:id="84"/>
      <w:r>
        <w:rPr>
          <w:rtl w:val="true"/>
        </w:rPr>
        <w:t>کتابنامه</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حکیم، ترجمه سید جلال الدین مجتبوی، حکمت، چاپ اول،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الشریف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جصّاص، أحمد بن عليّ، دارإحیاء التراث العربي،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افراد مقیم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العظمی صانعی، انتشارات فقه الثقلین،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قضائی، مطابق با فتاوای حضرت </w:t>
      </w:r>
    </w:p>
    <w:p>
      <w:pPr>
        <w:pStyle w:val="BookText"/>
        <w:rPr/>
      </w:pPr>
      <w:r>
        <w:rPr>
          <w:rFonts w:ascii="IRNazanin" w:hAnsi="IRNazanin" w:eastAsia="IRNazanin"/>
          <w:color w:val="111111"/>
          <w:sz w:val="28"/>
          <w:sz w:val="28"/>
          <w:szCs w:val="28"/>
          <w:rtl w:val="true"/>
          <w:lang w:bidi="fa-IR"/>
        </w:rPr>
        <w:t xml:space="preserve">آیت‌الله العظمی حاج شیخ یوسف صانعی، انتشارات پرتو‌خورشید، چاپ چهارم،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الشیخ محمدباقر مجلسی، معروف به علامه مجلسی، انتشارات دارإحیاء التراث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العربي، چاپ سوم،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أبومحمد الحسن بن عليّ بن الحسین بن شعبة الحرّاني، مؤسسة النشر الإسلامي التابعة لجماعة المدرّسین بقم المشرّفة، چاپ دوم،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المیزان، سیدمحمد باقر موسوی همدانی،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علمی و فکری علامه طباطبائی، چاپ چهارم، بی‌جا،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مکاسب الشیخ الأنصاري، میرزا حبیب الله رشتی گیلانی نجفی، انتشارات مجمع الذخایر الإسلامیّة، 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القمي، أبي الحسن عليّ بن إبراهیم القمي، منشورات مکتبة الهدی، چاپ دوم،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شیخ الطائفة أبي جعفر محمّد بن الحسن الطوسي، انتشارات دارالتعارف، بیروت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في شرح شرائع الإسلام، محمدحسن النجفي، معروف به صاحب جواهر، إحیاء التراث العربي، چاپ هفتم،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چکیده اندیشه‌ها، آیت‌الله صانعی، انتشارات میثم تمار، چاپ ششم،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الأصولیّة، تحقیق مؤسّسه علامه وحید بهبهانی، چاپ امیر،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البیان في براهین أحکام القرآن، المحقق الأردبیلی، انتشارات مؤمنین، چاپ دوم،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لابن هشام،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محمدالحّام، دارالفکر،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 من الکافی، ثقة الإسلام أبي جعفر محمّد</w:t>
      </w:r>
    </w:p>
    <w:p>
      <w:pPr>
        <w:pStyle w:val="BookText"/>
        <w:rPr/>
      </w:pPr>
      <w:r>
        <w:rPr>
          <w:rFonts w:ascii="IRNazanin" w:hAnsi="IRNazanin" w:eastAsia="IRNazanin"/>
          <w:color w:val="111111"/>
          <w:sz w:val="28"/>
          <w:sz w:val="28"/>
          <w:szCs w:val="28"/>
          <w:rtl w:val="true"/>
          <w:lang w:bidi="fa-IR"/>
        </w:rPr>
        <w:t>بن یعقوب بن إسحاق الکلیني، انتشارات</w:t>
      </w:r>
    </w:p>
    <w:p>
      <w:pPr>
        <w:pStyle w:val="BookText"/>
        <w:rPr/>
      </w:pPr>
      <w:r>
        <w:rPr>
          <w:rFonts w:ascii="IRNazanin" w:hAnsi="IRNazanin" w:eastAsia="IRNazanin"/>
          <w:color w:val="111111"/>
          <w:sz w:val="28"/>
          <w:sz w:val="28"/>
          <w:szCs w:val="28"/>
          <w:rtl w:val="true"/>
          <w:lang w:bidi="fa-IR"/>
        </w:rPr>
        <w:t xml:space="preserve">دارالکتب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في تحریف کتاب ربّ الأرباب، محدّث نوری، حاج میرزا حسین نوری طبرسی، </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نوشته شده و بتاریخ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چاپ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علی المذاهب الأربعة، عبدالرحمن، الجزایري، دارإحیاء التراث العربي، چاپ هفتم،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برابری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مسلمان و غیرمسلمان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نظریات فقهی حضرت آیت‌الله العظمی صانعی، انتشارات فقه الثقلین، چاپ هشتم،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برابری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مسلمان و غیرمسلمان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نظریات فقهی حضرت آیت‌الله العظمی صانعی، انتشارات فقه الثقلین، چاپ هشتم،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الکافي، ثقة الإسلام أبي جعفر محمّد بن یعقوب بن إسحاق الکلیني، انتشارات دارالکتب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الإمام محمود بن الزمخشري، انتشارات دارالکتاب العربي، چاپ سوم،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کنزل العمّال، العلامه علاء الدّین عليّ المتّقي بن حسام الدّین هندي، انتشارات دارالکتب العلمیّة، </w:t>
      </w:r>
    </w:p>
    <w:p>
      <w:pPr>
        <w:pStyle w:val="BookText"/>
        <w:rPr/>
      </w:pPr>
      <w:r>
        <w:rPr>
          <w:rFonts w:ascii="IRNazanin" w:hAnsi="IRNazanin" w:eastAsia="IRNazanin"/>
          <w:color w:val="111111"/>
          <w:sz w:val="28"/>
          <w:sz w:val="28"/>
          <w:szCs w:val="28"/>
          <w:rtl w:val="true"/>
          <w:lang w:bidi="fa-IR"/>
        </w:rPr>
        <w:t xml:space="preserve">چاپ دوم،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في تفسیر القرآن، الشیخ أبي عليّ الفضل بن الحسن الطبرسي، انتشارات دارالمعرفة،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الحاج میرزا حسین النوري معروف به محدّث نوری،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محمدحسن بن شاه</w:t>
      </w:r>
    </w:p>
    <w:p>
      <w:pPr>
        <w:pStyle w:val="BookText"/>
        <w:rPr/>
      </w:pPr>
      <w:r>
        <w:rPr>
          <w:rFonts w:ascii="IRNazanin" w:hAnsi="IRNazanin" w:eastAsia="IRNazanin"/>
          <w:color w:val="111111"/>
          <w:sz w:val="28"/>
          <w:sz w:val="28"/>
          <w:szCs w:val="28"/>
          <w:rtl w:val="true"/>
          <w:lang w:bidi="fa-IR"/>
        </w:rPr>
        <w:t xml:space="preserve">مرتضی، معروف به فیض کاشانی، انتشارات کتابخانه آیت‌الله مرعشی، 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الکرامة، سیدمحمّد جواد حسین عاملی، دفتر انتشارات اسلامی وابسته به جامعه مدرسین حوزه علمیه قم، 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محمّد بن عليّ بن الحسین بن بابویه القمي، معروف به شیخ صدوق، انتشارات مؤسّسه امام هادی،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المکاسب المحرّمة، سیّد روح الله الموسوی، الإمام الخمیني، مؤسّسه تنظیم و نشر آثار امام خمینی، 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محمّد بن عليّ بن الحسین بن </w:t>
      </w:r>
    </w:p>
    <w:p>
      <w:pPr>
        <w:pStyle w:val="BookText"/>
        <w:rPr/>
      </w:pPr>
      <w:r>
        <w:rPr>
          <w:rFonts w:ascii="IRNazanin" w:hAnsi="IRNazanin" w:eastAsia="IRNazanin"/>
          <w:color w:val="111111"/>
          <w:sz w:val="28"/>
          <w:sz w:val="28"/>
          <w:szCs w:val="28"/>
          <w:rtl w:val="true"/>
          <w:lang w:bidi="fa-IR"/>
        </w:rPr>
        <w:t xml:space="preserve">بابویه القمي، معروف به شیخ صدوق، دفتر انتشارات اسلامی وابسته به جامعه مدرسین حوزه علمیه قم، چاپ دوم،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المطلب في تحقیق المذهب، حسن بن یوسف بن عليّ بن مطهّر حلّي، معروف به علامه حلّی، مجمع البحوث الإسلامیّة، چاپ اول،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محمّدبن الحسن الحرّ‌العاملي،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 استاد مطهری، انتشارات صدرا، چاپ اول،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جمعی از مؤلفان،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سلسله دروس خارج</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مکاسب محرّمه حضرت آیت‌الله العظمی صانعی مدظلّه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اندیشه‌ها،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دبير دوم سفارت كانادا و مدير و كاركنان سازمان دفاع در برابر خشونت، </w:t>
      </w:r>
      <w:r>
        <w:rPr>
          <w:rFonts w:eastAsia="IRNazanin" w:cs="IRNazanin"/>
          <w:b w:val="false"/>
          <w:bCs w:val="false"/>
          <w:i w:val="false"/>
          <w:iCs w:val="false"/>
          <w:color w:val="333333"/>
          <w:sz w:val="20"/>
          <w:szCs w:val="20"/>
        </w:rPr>
        <w:t>19/8/84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روزنامه لارپوبليكانى ايتاليا، </w:t>
      </w:r>
      <w:r>
        <w:rPr>
          <w:rFonts w:eastAsia="IRNazanin" w:cs="IRNazanin"/>
          <w:b w:val="false"/>
          <w:bCs w:val="false"/>
          <w:i w:val="false"/>
          <w:iCs w:val="false"/>
          <w:color w:val="333333"/>
          <w:sz w:val="20"/>
          <w:szCs w:val="20"/>
        </w:rPr>
        <w:t>28/11/84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عدم جواز القضاء والحکم بالرأي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الرجل یکتري الدابّ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أنّ من استأجر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زندگی،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برابری 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مرد، مسلمان و غیرمسلمان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آیه‌ی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رَبُّكَ بِظَلَّامٍ لِّلْعَبِيدِ، فصّلت،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فی تحریف کتاب ربّ الأرباب،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حاج میرزا حسین نوری طبرسی که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نوشته شده و بتاریخ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نجف اشرف چاپ گردید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اندیشه‌ها،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اندیشه‌ها،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وارطان داوديان، </w:t>
      </w:r>
      <w:r>
        <w:rPr>
          <w:rFonts w:eastAsia="IRNazanin" w:cs="IRNazanin"/>
          <w:b w:val="false"/>
          <w:bCs w:val="false"/>
          <w:i w:val="false"/>
          <w:iCs w:val="false"/>
          <w:color w:val="333333"/>
          <w:sz w:val="20"/>
          <w:szCs w:val="20"/>
        </w:rPr>
        <w:t>3/10/84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دكتر جان كيس استاد دانشگاه كمبريج انگلستان،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دكتر جان كيس استاد دانشگاه كمبريج انگلستان،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استحباب خضاب الشیب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فتاوای مورد نیاز افراد مقیم خارج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أنّ الإیمان یشرك الإسلام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بیع السلاح منهم،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على مكاسب الشيخ الأنصاري،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دبير دوم سفارت كانادا و مدير و كاركنان سازمان دفاع در برابر خشونت، </w:t>
      </w:r>
      <w:r>
        <w:rPr>
          <w:rFonts w:eastAsia="IRNazanin" w:cs="IRNazanin"/>
          <w:b w:val="false"/>
          <w:bCs w:val="false"/>
          <w:i w:val="false"/>
          <w:iCs w:val="false"/>
          <w:color w:val="333333"/>
          <w:sz w:val="20"/>
          <w:szCs w:val="20"/>
        </w:rPr>
        <w:t>19/8/84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واشينگتن پست،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قضایی،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رئيس مجلس مشورتى اندونزى، </w:t>
      </w:r>
      <w:r>
        <w:rPr>
          <w:rFonts w:eastAsia="IRNazanin" w:cs="IRNazanin"/>
          <w:b w:val="false"/>
          <w:bCs w:val="false"/>
          <w:i w:val="false"/>
          <w:iCs w:val="false"/>
          <w:color w:val="333333"/>
          <w:sz w:val="20"/>
          <w:szCs w:val="20"/>
        </w:rPr>
        <w:t>24/6/79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اساتيد اسلام شناسى دانشگاه لوند سوئد، </w:t>
      </w:r>
      <w:r>
        <w:rPr>
          <w:rFonts w:eastAsia="IRNazanin" w:cs="IRNazanin"/>
          <w:b w:val="false"/>
          <w:bCs w:val="false"/>
          <w:i w:val="false"/>
          <w:iCs w:val="false"/>
          <w:color w:val="333333"/>
          <w:sz w:val="20"/>
          <w:szCs w:val="20"/>
        </w:rPr>
        <w:t>24/12/83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قضایی،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غیبت، ویرایش آخر از سلسله دروس خارج فقه مکاسب محرّمه حضرت آیت الله العظمی صانعی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روزنامه لاپرس كانادا، </w:t>
      </w:r>
      <w:r>
        <w:rPr>
          <w:rFonts w:eastAsia="IRNazanin" w:cs="IRNazanin"/>
          <w:b w:val="false"/>
          <w:bCs w:val="false"/>
          <w:i w:val="false"/>
          <w:iCs w:val="false"/>
          <w:color w:val="333333"/>
          <w:sz w:val="20"/>
          <w:szCs w:val="20"/>
        </w:rPr>
        <w:t>28/8/82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أنّ الکافر لایرث المسلم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مالک اشتر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24882</w:t>
      </w:r>
      <w:r>
        <w:rPr>
          <w:rFonts w:ascii="IRNazanin" w:hAnsi="IRNazanin" w:eastAsia="IRNazanin"/>
          <w:b w:val="false"/>
          <w:b w:val="false"/>
          <w:bCs w:val="false"/>
          <w:i w:val="false"/>
          <w:i w:val="false"/>
          <w:iCs w:val="false"/>
          <w:color w:val="333333"/>
          <w:sz w:val="20"/>
          <w:sz w:val="20"/>
          <w:szCs w:val="20"/>
          <w:rtl w:val="true"/>
        </w:rPr>
        <w:t>؛ و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زبدة البيان،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خداوند تو تماماً راستی و عدالت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به جز از ناحیه خدا نخواهد بود، که به حق دستور می‌دهد و او بهترین حکم فرمایان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هیچ بر بندگان ستم نخواهد کرد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زندگى،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برابرى 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17162</Words>
  <Characters>67845</Characters>
  <CharactersWithSpaces>84486</CharactersWithSpaces>
  <Paragraphs>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2026-08-20T14:09:35Z</dcterms:created>
  <dc:creator>ghaemiyeh.com</dc:creator>
  <dc:description/>
  <dc:language>en-US</dc:language>
  <cp:lastModifiedBy/>
  <dcterms:modified xsi:type="dcterms:W3CDTF">2026-08-20T17:39:38Z</dcterms:modified>
  <cp:revision>1</cp:revision>
  <dc:subject/>
  <dc:title>برخی از مبانی احکام روابط مسلمانان با غیرمسلمانان</dc:title>
</cp:coreProperties>
</file>

<file path=docProps/custom.xml><?xml version="1.0" encoding="utf-8"?>
<Properties xmlns="http://schemas.openxmlformats.org/officeDocument/2006/custom-properties" xmlns:vt="http://schemas.openxmlformats.org/officeDocument/2006/docPropsVTypes"/>
</file>