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نورالصادق </w:t>
      </w:r>
      <w:r>
        <w:rPr/>
        <w:t>51</w:t>
      </w:r>
      <w:r>
        <w:rPr>
          <w:rtl w:val="true"/>
        </w:rPr>
        <w:t xml:space="preserve"> </w:t>
      </w:r>
      <w:r>
        <w:rPr>
          <w:rtl w:val="true"/>
        </w:rPr>
        <w:t xml:space="preserve">و </w:t>
      </w:r>
      <w:r>
        <w:rPr/>
        <w:t>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874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5875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158752_2870459653">
            <w:r>
              <w:rPr>
                <w:webHidden/>
                <w:rStyle w:val="IndexLink"/>
                <w:rtl w:val="true"/>
              </w:rPr>
              <w:t>پیام تسلیت آیت الله حاج شیخ علی صافی اصفهانی به مناسبت ارتحال مرجع عالیقدر شیعه حضرت آیت الله العظمی صافی گلپایگانی قُدِسَ سِرُّه</w:t>
            </w:r>
            <w:r>
              <w:rPr>
                <w:rStyle w:val="IndexLink"/>
                <w:rtl w:val="true"/>
              </w:rPr>
              <w:tab/>
            </w:r>
            <w:r>
              <w:rPr>
                <w:rStyle w:val="IndexLink"/>
              </w:rPr>
              <w:t>9</w:t>
            </w:r>
          </w:hyperlink>
        </w:p>
        <w:p>
          <w:pPr>
            <w:pStyle w:val="Contents2"/>
            <w:tabs>
              <w:tab w:val="clear" w:pos="8743"/>
              <w:tab w:val="right" w:pos="9026" w:leader="dot"/>
            </w:tabs>
            <w:rPr/>
          </w:pPr>
          <w:hyperlink w:anchor="__RefHeading___Toc4158754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158756_2870459653">
            <w:r>
              <w:rPr>
                <w:webHidden/>
                <w:rStyle w:val="IndexLink"/>
                <w:rtl w:val="true"/>
              </w:rPr>
              <w:t xml:space="preserve">راهنمای تنظیم مقالات </w:t>
            </w:r>
            <w:r>
              <w:rPr>
                <w:rStyle w:val="IndexLink"/>
                <w:rtl w:val="true"/>
              </w:rPr>
              <w:t>:</w:t>
              <w:tab/>
            </w:r>
            <w:r>
              <w:rPr>
                <w:rStyle w:val="IndexLink"/>
              </w:rPr>
              <w:t>11</w:t>
            </w:r>
          </w:hyperlink>
        </w:p>
        <w:p>
          <w:pPr>
            <w:pStyle w:val="Contents2"/>
            <w:tabs>
              <w:tab w:val="clear" w:pos="8743"/>
              <w:tab w:val="right" w:pos="9026" w:leader="dot"/>
            </w:tabs>
            <w:rPr/>
          </w:pPr>
          <w:hyperlink w:anchor="__RefHeading___Toc4158758_2870459653">
            <w:r>
              <w:rPr>
                <w:webHidden/>
                <w:rStyle w:val="IndexLink"/>
                <w:rtl w:val="true"/>
              </w:rPr>
              <w:t>یادداشت سردبیر</w:t>
            </w:r>
            <w:r>
              <w:rPr>
                <w:rStyle w:val="IndexLink"/>
                <w:rtl w:val="true"/>
              </w:rPr>
              <w:tab/>
            </w:r>
            <w:r>
              <w:rPr>
                <w:rStyle w:val="IndexLink"/>
              </w:rPr>
              <w:t>12</w:t>
            </w:r>
          </w:hyperlink>
        </w:p>
        <w:p>
          <w:pPr>
            <w:pStyle w:val="Contents2"/>
            <w:tabs>
              <w:tab w:val="clear" w:pos="8743"/>
              <w:tab w:val="right" w:pos="9026" w:leader="dot"/>
            </w:tabs>
            <w:rPr/>
          </w:pPr>
          <w:hyperlink w:anchor="__RefHeading___Toc4158760_2870459653">
            <w:r>
              <w:rPr>
                <w:webHidden/>
                <w:rStyle w:val="IndexLink"/>
                <w:rtl w:val="true"/>
              </w:rPr>
              <w:t>تباین توحید قرآنی با وحدت وجود عرفانی آيت الله العظمی صافی گلپایگانی قُدِسَ سِرُّه</w:t>
            </w:r>
            <w:r>
              <w:rPr>
                <w:rStyle w:val="IndexLink"/>
                <w:rtl w:val="true"/>
              </w:rPr>
              <w:tab/>
            </w:r>
            <w:r>
              <w:rPr>
                <w:rStyle w:val="IndexLink"/>
              </w:rPr>
              <w:t>18</w:t>
            </w:r>
          </w:hyperlink>
        </w:p>
        <w:p>
          <w:pPr>
            <w:pStyle w:val="Contents3"/>
            <w:tabs>
              <w:tab w:val="clear" w:pos="8459"/>
              <w:tab w:val="right" w:pos="9026" w:leader="dot"/>
            </w:tabs>
            <w:rPr/>
          </w:pPr>
          <w:hyperlink w:anchor="__RefHeading___Toc4158762_2870459653">
            <w:r>
              <w:rPr>
                <w:webHidden/>
                <w:rStyle w:val="IndexLink"/>
                <w:rtl w:val="true"/>
              </w:rPr>
              <w:t>چکیده</w:t>
            </w:r>
            <w:r>
              <w:rPr>
                <w:rStyle w:val="IndexLink"/>
                <w:rtl w:val="true"/>
              </w:rPr>
              <w:tab/>
            </w:r>
            <w:r>
              <w:rPr>
                <w:rStyle w:val="IndexLink"/>
              </w:rPr>
              <w:t>18</w:t>
            </w:r>
          </w:hyperlink>
        </w:p>
        <w:p>
          <w:pPr>
            <w:pStyle w:val="Contents3"/>
            <w:tabs>
              <w:tab w:val="clear" w:pos="8459"/>
              <w:tab w:val="right" w:pos="9026" w:leader="dot"/>
            </w:tabs>
            <w:rPr/>
          </w:pPr>
          <w:hyperlink w:anchor="__RefHeading___Toc4158764_2870459653">
            <w:r>
              <w:rPr>
                <w:webHidden/>
                <w:rStyle w:val="IndexLink"/>
                <w:rtl w:val="true"/>
              </w:rPr>
              <w:t>در ردّانه جسم لا کالاجسام</w:t>
            </w:r>
            <w:r>
              <w:rPr>
                <w:rStyle w:val="IndexLink"/>
                <w:rtl w:val="true"/>
              </w:rPr>
              <w:tab/>
            </w:r>
            <w:r>
              <w:rPr>
                <w:rStyle w:val="IndexLink"/>
              </w:rPr>
              <w:t>19</w:t>
            </w:r>
          </w:hyperlink>
        </w:p>
        <w:p>
          <w:pPr>
            <w:pStyle w:val="Contents2"/>
            <w:tabs>
              <w:tab w:val="clear" w:pos="8743"/>
              <w:tab w:val="right" w:pos="9026" w:leader="dot"/>
            </w:tabs>
            <w:rPr/>
          </w:pPr>
          <w:hyperlink w:anchor="__RefHeading___Toc4158766_2870459653">
            <w:r>
              <w:rPr>
                <w:webHidden/>
                <w:rStyle w:val="IndexLink"/>
                <w:rtl w:val="true"/>
              </w:rPr>
              <w:t>جبر و اختیار از دیدگاه مکتب وحی ، فلسفه و عرفان آیت الله سید جعفر سیدان</w:t>
            </w:r>
            <w:r>
              <w:rPr>
                <w:rStyle w:val="IndexLink"/>
                <w:rtl w:val="true"/>
              </w:rPr>
              <w:tab/>
            </w:r>
            <w:r>
              <w:rPr>
                <w:rStyle w:val="IndexLink"/>
              </w:rPr>
              <w:t>22</w:t>
            </w:r>
          </w:hyperlink>
        </w:p>
        <w:p>
          <w:pPr>
            <w:pStyle w:val="Contents3"/>
            <w:tabs>
              <w:tab w:val="clear" w:pos="8459"/>
              <w:tab w:val="right" w:pos="9026" w:leader="dot"/>
            </w:tabs>
            <w:rPr/>
          </w:pPr>
          <w:hyperlink w:anchor="__RefHeading___Toc4158768_2870459653">
            <w:r>
              <w:rPr>
                <w:webHidden/>
                <w:rStyle w:val="IndexLink"/>
                <w:rtl w:val="true"/>
              </w:rPr>
              <w:t>چکیده</w:t>
            </w:r>
            <w:r>
              <w:rPr>
                <w:rStyle w:val="IndexLink"/>
                <w:rtl w:val="true"/>
              </w:rPr>
              <w:tab/>
            </w:r>
            <w:r>
              <w:rPr>
                <w:rStyle w:val="IndexLink"/>
              </w:rPr>
              <w:t>22</w:t>
            </w:r>
          </w:hyperlink>
        </w:p>
        <w:p>
          <w:pPr>
            <w:pStyle w:val="Contents3"/>
            <w:tabs>
              <w:tab w:val="clear" w:pos="8459"/>
              <w:tab w:val="right" w:pos="9026" w:leader="dot"/>
            </w:tabs>
            <w:rPr/>
          </w:pPr>
          <w:hyperlink w:anchor="__RefHeading___Toc4158770_2870459653">
            <w:r>
              <w:rPr>
                <w:webHidden/>
                <w:rStyle w:val="IndexLink"/>
                <w:rtl w:val="true"/>
              </w:rPr>
              <w:t>جلسه پنجم</w:t>
            </w:r>
            <w:r>
              <w:rPr>
                <w:rStyle w:val="IndexLink"/>
                <w:rtl w:val="true"/>
              </w:rPr>
              <w:tab/>
            </w:r>
            <w:r>
              <w:rPr>
                <w:rStyle w:val="IndexLink"/>
              </w:rPr>
              <w:t>22</w:t>
            </w:r>
          </w:hyperlink>
        </w:p>
        <w:p>
          <w:pPr>
            <w:pStyle w:val="Contents3"/>
            <w:tabs>
              <w:tab w:val="clear" w:pos="8459"/>
              <w:tab w:val="right" w:pos="9026" w:leader="dot"/>
            </w:tabs>
            <w:rPr/>
          </w:pPr>
          <w:hyperlink w:anchor="__RefHeading___Toc4158772_2870459653">
            <w:r>
              <w:rPr>
                <w:webHidden/>
                <w:rStyle w:val="IndexLink"/>
                <w:rtl w:val="true"/>
              </w:rPr>
              <w:t>نگاهی به آنچه گذشت</w:t>
            </w:r>
            <w:r>
              <w:rPr>
                <w:rStyle w:val="IndexLink"/>
                <w:rtl w:val="true"/>
              </w:rPr>
              <w:tab/>
            </w:r>
            <w:r>
              <w:rPr>
                <w:rStyle w:val="IndexLink"/>
              </w:rPr>
              <w:t>23</w:t>
            </w:r>
          </w:hyperlink>
        </w:p>
        <w:p>
          <w:pPr>
            <w:pStyle w:val="Contents3"/>
            <w:tabs>
              <w:tab w:val="clear" w:pos="8459"/>
              <w:tab w:val="right" w:pos="9026" w:leader="dot"/>
            </w:tabs>
            <w:rPr/>
          </w:pPr>
          <w:hyperlink w:anchor="__RefHeading___Toc4158774_2870459653">
            <w:r>
              <w:rPr>
                <w:webHidden/>
                <w:rStyle w:val="IndexLink"/>
                <w:rtl w:val="true"/>
              </w:rPr>
              <w:t xml:space="preserve">جبر فلسفی و قاعده </w:t>
            </w:r>
            <w:r>
              <w:rPr>
                <w:rStyle w:val="IndexLink"/>
                <w:rtl w:val="true"/>
              </w:rPr>
              <w:t>«</w:t>
            </w:r>
            <w:r>
              <w:rPr>
                <w:rStyle w:val="IndexLink"/>
                <w:rtl w:val="true"/>
              </w:rPr>
              <w:t>الشيء مالم يجب لم يوجد</w:t>
            </w:r>
            <w:r>
              <w:rPr>
                <w:rStyle w:val="IndexLink"/>
                <w:rtl w:val="true"/>
              </w:rPr>
              <w:t>»</w:t>
              <w:tab/>
            </w:r>
            <w:r>
              <w:rPr>
                <w:rStyle w:val="IndexLink"/>
              </w:rPr>
              <w:t>23</w:t>
            </w:r>
          </w:hyperlink>
        </w:p>
        <w:p>
          <w:pPr>
            <w:pStyle w:val="Contents3"/>
            <w:tabs>
              <w:tab w:val="clear" w:pos="8459"/>
              <w:tab w:val="right" w:pos="9026" w:leader="dot"/>
            </w:tabs>
            <w:rPr/>
          </w:pPr>
          <w:hyperlink w:anchor="__RefHeading___Toc4158776_2870459653">
            <w:r>
              <w:rPr>
                <w:webHidden/>
                <w:rStyle w:val="IndexLink"/>
                <w:rtl w:val="true"/>
              </w:rPr>
              <w:t xml:space="preserve">قاعده </w:t>
            </w:r>
            <w:r>
              <w:rPr>
                <w:rStyle w:val="IndexLink"/>
                <w:rtl w:val="true"/>
              </w:rPr>
              <w:t xml:space="preserve">« </w:t>
            </w:r>
            <w:r>
              <w:rPr>
                <w:rStyle w:val="IndexLink"/>
                <w:rtl w:val="true"/>
              </w:rPr>
              <w:t xml:space="preserve">الشيء مالم يجب لم يوجد </w:t>
            </w:r>
            <w:r>
              <w:rPr>
                <w:rStyle w:val="IndexLink"/>
                <w:rtl w:val="true"/>
              </w:rPr>
              <w:t xml:space="preserve">» </w:t>
            </w:r>
            <w:r>
              <w:rPr>
                <w:rStyle w:val="IndexLink"/>
                <w:rtl w:val="true"/>
              </w:rPr>
              <w:t>وابن سينا</w:t>
            </w:r>
            <w:r>
              <w:rPr>
                <w:rStyle w:val="IndexLink"/>
                <w:rtl w:val="true"/>
              </w:rPr>
              <w:tab/>
            </w:r>
            <w:r>
              <w:rPr>
                <w:rStyle w:val="IndexLink"/>
              </w:rPr>
              <w:t>24</w:t>
            </w:r>
          </w:hyperlink>
        </w:p>
        <w:p>
          <w:pPr>
            <w:pStyle w:val="Contents3"/>
            <w:tabs>
              <w:tab w:val="clear" w:pos="8459"/>
              <w:tab w:val="right" w:pos="9026" w:leader="dot"/>
            </w:tabs>
            <w:rPr/>
          </w:pPr>
          <w:hyperlink w:anchor="__RefHeading___Toc4158778_2870459653">
            <w:r>
              <w:rPr>
                <w:webHidden/>
                <w:rStyle w:val="IndexLink"/>
                <w:rtl w:val="true"/>
              </w:rPr>
              <w:t xml:space="preserve">قاعده </w:t>
            </w:r>
            <w:r>
              <w:rPr>
                <w:rStyle w:val="IndexLink"/>
                <w:rtl w:val="true"/>
              </w:rPr>
              <w:t>«</w:t>
            </w:r>
            <w:r>
              <w:rPr>
                <w:rStyle w:val="IndexLink"/>
                <w:rtl w:val="true"/>
              </w:rPr>
              <w:t>الشيء مالم يجب لم يوجد</w:t>
            </w:r>
            <w:r>
              <w:rPr>
                <w:rStyle w:val="IndexLink"/>
                <w:rtl w:val="true"/>
              </w:rPr>
              <w:t xml:space="preserve">» </w:t>
            </w:r>
            <w:r>
              <w:rPr>
                <w:rStyle w:val="IndexLink"/>
                <w:rtl w:val="true"/>
              </w:rPr>
              <w:t>در اسفار</w:t>
            </w:r>
            <w:r>
              <w:rPr>
                <w:rStyle w:val="IndexLink"/>
                <w:rtl w:val="true"/>
              </w:rPr>
              <w:tab/>
            </w:r>
            <w:r>
              <w:rPr>
                <w:rStyle w:val="IndexLink"/>
              </w:rPr>
              <w:t>25</w:t>
            </w:r>
          </w:hyperlink>
        </w:p>
        <w:p>
          <w:pPr>
            <w:pStyle w:val="Contents3"/>
            <w:tabs>
              <w:tab w:val="clear" w:pos="8459"/>
              <w:tab w:val="right" w:pos="9026" w:leader="dot"/>
            </w:tabs>
            <w:rPr/>
          </w:pPr>
          <w:hyperlink w:anchor="__RefHeading___Toc4158780_2870459653">
            <w:r>
              <w:rPr>
                <w:webHidden/>
                <w:rStyle w:val="IndexLink"/>
                <w:rtl w:val="true"/>
              </w:rPr>
              <w:t xml:space="preserve">قاعده </w:t>
            </w:r>
            <w:r>
              <w:rPr>
                <w:rStyle w:val="IndexLink"/>
                <w:rtl w:val="true"/>
              </w:rPr>
              <w:t>«</w:t>
            </w:r>
            <w:r>
              <w:rPr>
                <w:rStyle w:val="IndexLink"/>
                <w:rtl w:val="true"/>
              </w:rPr>
              <w:t>الشيء مالم يجب لم يوجد</w:t>
            </w:r>
            <w:r>
              <w:rPr>
                <w:rStyle w:val="IndexLink"/>
                <w:rtl w:val="true"/>
              </w:rPr>
              <w:t xml:space="preserve">» </w:t>
            </w:r>
            <w:r>
              <w:rPr>
                <w:rStyle w:val="IndexLink"/>
                <w:rtl w:val="true"/>
              </w:rPr>
              <w:t>و جبر و اختيار</w:t>
            </w:r>
            <w:r>
              <w:rPr>
                <w:rStyle w:val="IndexLink"/>
                <w:rtl w:val="true"/>
              </w:rPr>
              <w:tab/>
            </w:r>
            <w:r>
              <w:rPr>
                <w:rStyle w:val="IndexLink"/>
              </w:rPr>
              <w:t>26</w:t>
            </w:r>
          </w:hyperlink>
        </w:p>
        <w:p>
          <w:pPr>
            <w:pStyle w:val="Contents3"/>
            <w:tabs>
              <w:tab w:val="clear" w:pos="8459"/>
              <w:tab w:val="right" w:pos="9026" w:leader="dot"/>
            </w:tabs>
            <w:rPr/>
          </w:pPr>
          <w:hyperlink w:anchor="__RefHeading___Toc4158782_2870459653">
            <w:r>
              <w:rPr>
                <w:webHidden/>
                <w:rStyle w:val="IndexLink"/>
                <w:rtl w:val="true"/>
              </w:rPr>
              <w:t xml:space="preserve">جواب ملاصدرا </w:t>
            </w:r>
            <w:r>
              <w:rPr>
                <w:rStyle w:val="IndexLink"/>
                <w:rtl w:val="true"/>
              </w:rPr>
              <w:t>(</w:t>
            </w:r>
            <w:r>
              <w:rPr>
                <w:rStyle w:val="IndexLink"/>
                <w:rtl w:val="true"/>
              </w:rPr>
              <w:t>رحمة الله علیه</w:t>
            </w:r>
            <w:r>
              <w:rPr>
                <w:rStyle w:val="IndexLink"/>
                <w:rtl w:val="true"/>
              </w:rPr>
              <w:t xml:space="preserve">) </w:t>
            </w:r>
            <w:r>
              <w:rPr>
                <w:rStyle w:val="IndexLink"/>
                <w:rtl w:val="true"/>
              </w:rPr>
              <w:t xml:space="preserve">و علامه طباطبایی </w:t>
            </w:r>
            <w:r>
              <w:rPr>
                <w:rStyle w:val="IndexLink"/>
                <w:rtl w:val="true"/>
              </w:rPr>
              <w:t>(</w:t>
            </w:r>
            <w:r>
              <w:rPr>
                <w:rStyle w:val="IndexLink"/>
                <w:rtl w:val="true"/>
              </w:rPr>
              <w:t>رحمة الله علیه</w:t>
            </w:r>
            <w:r>
              <w:rPr>
                <w:rStyle w:val="IndexLink"/>
                <w:rtl w:val="true"/>
              </w:rPr>
              <w:t xml:space="preserve">) </w:t>
            </w:r>
            <w:r>
              <w:rPr>
                <w:rStyle w:val="IndexLink"/>
                <w:rtl w:val="true"/>
              </w:rPr>
              <w:t>از اشکال جبر</w:t>
            </w:r>
            <w:r>
              <w:rPr>
                <w:rStyle w:val="IndexLink"/>
                <w:rtl w:val="true"/>
              </w:rPr>
              <w:tab/>
            </w:r>
            <w:r>
              <w:rPr>
                <w:rStyle w:val="IndexLink"/>
              </w:rPr>
              <w:t>26</w:t>
            </w:r>
          </w:hyperlink>
        </w:p>
        <w:p>
          <w:pPr>
            <w:pStyle w:val="Contents3"/>
            <w:tabs>
              <w:tab w:val="clear" w:pos="8459"/>
              <w:tab w:val="right" w:pos="9026" w:leader="dot"/>
            </w:tabs>
            <w:rPr/>
          </w:pPr>
          <w:hyperlink w:anchor="__RefHeading___Toc4158784_2870459653">
            <w:r>
              <w:rPr>
                <w:webHidden/>
                <w:rStyle w:val="IndexLink"/>
                <w:rtl w:val="true"/>
              </w:rPr>
              <w:t>مناقشه در جواب اشکال</w:t>
            </w:r>
            <w:r>
              <w:rPr>
                <w:rStyle w:val="IndexLink"/>
                <w:rtl w:val="true"/>
              </w:rPr>
              <w:tab/>
            </w:r>
            <w:r>
              <w:rPr>
                <w:rStyle w:val="IndexLink"/>
              </w:rPr>
              <w:t>27</w:t>
            </w:r>
          </w:hyperlink>
        </w:p>
        <w:p>
          <w:pPr>
            <w:pStyle w:val="Contents3"/>
            <w:tabs>
              <w:tab w:val="clear" w:pos="8459"/>
              <w:tab w:val="right" w:pos="9026" w:leader="dot"/>
            </w:tabs>
            <w:rPr/>
          </w:pPr>
          <w:hyperlink w:anchor="__RefHeading___Toc4158786_2870459653">
            <w:r>
              <w:rPr>
                <w:webHidden/>
                <w:rStyle w:val="IndexLink"/>
                <w:rtl w:val="true"/>
              </w:rPr>
              <w:t>اشاره به جبر عرفانی</w:t>
            </w:r>
            <w:r>
              <w:rPr>
                <w:rStyle w:val="IndexLink"/>
                <w:rtl w:val="true"/>
              </w:rPr>
              <w:tab/>
            </w:r>
            <w:r>
              <w:rPr>
                <w:rStyle w:val="IndexLink"/>
              </w:rPr>
              <w:t>28</w:t>
            </w:r>
          </w:hyperlink>
        </w:p>
        <w:p>
          <w:pPr>
            <w:pStyle w:val="Contents3"/>
            <w:tabs>
              <w:tab w:val="clear" w:pos="8459"/>
              <w:tab w:val="right" w:pos="9026" w:leader="dot"/>
            </w:tabs>
            <w:rPr/>
          </w:pPr>
          <w:hyperlink w:anchor="__RefHeading___Toc4158788_2870459653">
            <w:r>
              <w:rPr>
                <w:webHidden/>
                <w:rStyle w:val="IndexLink"/>
                <w:rtl w:val="true"/>
              </w:rPr>
              <w:t xml:space="preserve">جبر عرفانی و علّامه جعفری </w:t>
            </w:r>
            <w:r>
              <w:rPr>
                <w:rStyle w:val="IndexLink"/>
                <w:rtl w:val="true"/>
              </w:rPr>
              <w:t>(</w:t>
            </w:r>
            <w:r>
              <w:rPr>
                <w:rStyle w:val="IndexLink"/>
                <w:rtl w:val="true"/>
              </w:rPr>
              <w:t>رحمة الله علیه</w:t>
            </w:r>
            <w:r>
              <w:rPr>
                <w:rStyle w:val="IndexLink"/>
                <w:rtl w:val="true"/>
              </w:rPr>
              <w:t>)</w:t>
              <w:tab/>
            </w:r>
            <w:r>
              <w:rPr>
                <w:rStyle w:val="IndexLink"/>
              </w:rPr>
              <w:t>28</w:t>
            </w:r>
          </w:hyperlink>
        </w:p>
        <w:p>
          <w:pPr>
            <w:pStyle w:val="Contents3"/>
            <w:tabs>
              <w:tab w:val="clear" w:pos="8459"/>
              <w:tab w:val="right" w:pos="9026" w:leader="dot"/>
            </w:tabs>
            <w:rPr/>
          </w:pPr>
          <w:hyperlink w:anchor="__RefHeading___Toc4158790_2870459653">
            <w:r>
              <w:rPr>
                <w:webHidden/>
                <w:rStyle w:val="IndexLink"/>
                <w:rtl w:val="true"/>
              </w:rPr>
              <w:t>فهرست مباحث گذشته</w:t>
            </w:r>
            <w:r>
              <w:rPr>
                <w:rStyle w:val="IndexLink"/>
                <w:rtl w:val="true"/>
              </w:rPr>
              <w:tab/>
            </w:r>
            <w:r>
              <w:rPr>
                <w:rStyle w:val="IndexLink"/>
              </w:rPr>
              <w:t>29</w:t>
            </w:r>
          </w:hyperlink>
        </w:p>
        <w:p>
          <w:pPr>
            <w:pStyle w:val="Contents3"/>
            <w:tabs>
              <w:tab w:val="clear" w:pos="8459"/>
              <w:tab w:val="right" w:pos="9026" w:leader="dot"/>
            </w:tabs>
            <w:rPr/>
          </w:pPr>
          <w:hyperlink w:anchor="__RefHeading___Toc4158792_2870459653">
            <w:r>
              <w:rPr>
                <w:webHidden/>
                <w:rStyle w:val="IndexLink"/>
                <w:rtl w:val="true"/>
              </w:rPr>
              <w:t>پرسش و پاسخ</w:t>
            </w:r>
            <w:r>
              <w:rPr>
                <w:rStyle w:val="IndexLink"/>
                <w:rtl w:val="true"/>
              </w:rPr>
              <w:tab/>
            </w:r>
            <w:r>
              <w:rPr>
                <w:rStyle w:val="IndexLink"/>
              </w:rPr>
              <w:t>30</w:t>
            </w:r>
          </w:hyperlink>
        </w:p>
        <w:p>
          <w:pPr>
            <w:pStyle w:val="Contents2"/>
            <w:tabs>
              <w:tab w:val="clear" w:pos="8743"/>
              <w:tab w:val="right" w:pos="9026" w:leader="dot"/>
            </w:tabs>
            <w:rPr/>
          </w:pPr>
          <w:hyperlink w:anchor="__RefHeading___Toc4158794_2870459653">
            <w:r>
              <w:rPr>
                <w:webHidden/>
                <w:rStyle w:val="IndexLink"/>
                <w:rtl w:val="true"/>
              </w:rPr>
              <w:t>نظریه دین شناسی یا رؤیای روشنفکرانه دكتر سيد يحيى يثربی</w:t>
            </w:r>
            <w:r>
              <w:rPr>
                <w:rStyle w:val="IndexLink"/>
                <w:rtl w:val="true"/>
              </w:rPr>
              <w:tab/>
            </w:r>
            <w:r>
              <w:rPr>
                <w:rStyle w:val="IndexLink"/>
              </w:rPr>
              <w:t>36</w:t>
            </w:r>
          </w:hyperlink>
        </w:p>
        <w:p>
          <w:pPr>
            <w:pStyle w:val="Contents3"/>
            <w:tabs>
              <w:tab w:val="clear" w:pos="8459"/>
              <w:tab w:val="right" w:pos="9026" w:leader="dot"/>
            </w:tabs>
            <w:rPr/>
          </w:pPr>
          <w:hyperlink w:anchor="__RefHeading___Toc4158796_2870459653">
            <w:r>
              <w:rPr>
                <w:webHidden/>
                <w:rStyle w:val="IndexLink"/>
                <w:rtl w:val="true"/>
              </w:rPr>
              <w:t>چکیده</w:t>
            </w:r>
            <w:r>
              <w:rPr>
                <w:rStyle w:val="IndexLink"/>
                <w:rtl w:val="true"/>
              </w:rPr>
              <w:tab/>
            </w:r>
            <w:r>
              <w:rPr>
                <w:rStyle w:val="IndexLink"/>
              </w:rPr>
              <w:t>36</w:t>
            </w:r>
          </w:hyperlink>
        </w:p>
        <w:p>
          <w:pPr>
            <w:pStyle w:val="Contents2"/>
            <w:tabs>
              <w:tab w:val="clear" w:pos="8743"/>
              <w:tab w:val="right" w:pos="9026" w:leader="dot"/>
            </w:tabs>
            <w:rPr/>
          </w:pPr>
          <w:hyperlink w:anchor="__RefHeading___Toc4158798_2870459653">
            <w:r>
              <w:rPr>
                <w:webHidden/>
                <w:rStyle w:val="IndexLink"/>
                <w:rtl w:val="true"/>
              </w:rPr>
              <w:t xml:space="preserve">نقد تحریفات علمای عامه در تاریخ اسلام </w:t>
            </w:r>
            <w:r>
              <w:rPr>
                <w:rStyle w:val="IndexLink"/>
                <w:rtl w:val="true"/>
              </w:rPr>
              <w:t xml:space="preserve">( </w:t>
            </w:r>
            <w:r>
              <w:rPr>
                <w:rStyle w:val="IndexLink"/>
                <w:rtl w:val="true"/>
              </w:rPr>
              <w:t xml:space="preserve">پاسخ به یک شبهه </w:t>
            </w:r>
            <w:r>
              <w:rPr>
                <w:rStyle w:val="IndexLink"/>
                <w:rtl w:val="true"/>
              </w:rPr>
              <w:t xml:space="preserve">) </w:t>
            </w:r>
            <w:r>
              <w:rPr>
                <w:rStyle w:val="IndexLink"/>
                <w:rtl w:val="true"/>
              </w:rPr>
              <w:t>آیت الله سید علی میلانی</w:t>
            </w:r>
            <w:r>
              <w:rPr>
                <w:rStyle w:val="IndexLink"/>
                <w:rtl w:val="true"/>
              </w:rPr>
              <w:tab/>
            </w:r>
            <w:r>
              <w:rPr>
                <w:rStyle w:val="IndexLink"/>
              </w:rPr>
              <w:t>50</w:t>
            </w:r>
          </w:hyperlink>
        </w:p>
        <w:p>
          <w:pPr>
            <w:pStyle w:val="Contents3"/>
            <w:tabs>
              <w:tab w:val="clear" w:pos="8459"/>
              <w:tab w:val="right" w:pos="9026" w:leader="dot"/>
            </w:tabs>
            <w:rPr/>
          </w:pPr>
          <w:hyperlink w:anchor="__RefHeading___Toc4158800_2870459653">
            <w:r>
              <w:rPr>
                <w:webHidden/>
                <w:rStyle w:val="IndexLink"/>
                <w:rtl w:val="true"/>
              </w:rPr>
              <w:t xml:space="preserve">چکیده </w:t>
            </w:r>
            <w:r>
              <w:rPr>
                <w:rStyle w:val="IndexLink"/>
                <w:rtl w:val="true"/>
              </w:rPr>
              <w:t>:</w:t>
              <w:tab/>
            </w:r>
            <w:r>
              <w:rPr>
                <w:rStyle w:val="IndexLink"/>
              </w:rPr>
              <w:t>50</w:t>
            </w:r>
          </w:hyperlink>
        </w:p>
        <w:p>
          <w:pPr>
            <w:pStyle w:val="Contents2"/>
            <w:tabs>
              <w:tab w:val="clear" w:pos="8743"/>
              <w:tab w:val="right" w:pos="9026" w:leader="dot"/>
            </w:tabs>
            <w:rPr/>
          </w:pPr>
          <w:hyperlink w:anchor="__RefHeading___Toc4158802_2870459653">
            <w:r>
              <w:rPr>
                <w:webHidden/>
                <w:rStyle w:val="IndexLink"/>
                <w:rtl w:val="true"/>
              </w:rPr>
              <w:t xml:space="preserve">بررسی نقدهای علامۀ طباطبایی بر علامه مجلسی </w:t>
            </w:r>
            <w:r>
              <w:rPr>
                <w:rStyle w:val="IndexLink"/>
                <w:rtl w:val="true"/>
              </w:rPr>
              <w:t>(</w:t>
            </w:r>
            <w:r>
              <w:rPr>
                <w:rStyle w:val="IndexLink"/>
                <w:rtl w:val="true"/>
              </w:rPr>
              <w:t>مبحث سوم</w:t>
            </w:r>
            <w:r>
              <w:rPr>
                <w:rStyle w:val="IndexLink"/>
                <w:rtl w:val="true"/>
              </w:rPr>
              <w:t xml:space="preserve">) </w:t>
            </w:r>
            <w:r>
              <w:rPr>
                <w:rStyle w:val="IndexLink"/>
                <w:rtl w:val="true"/>
              </w:rPr>
              <w:t>آیت الله حاج شیخ مرتضی رضوی</w:t>
            </w:r>
            <w:r>
              <w:rPr>
                <w:rStyle w:val="IndexLink"/>
                <w:rtl w:val="true"/>
              </w:rPr>
              <w:tab/>
            </w:r>
            <w:r>
              <w:rPr>
                <w:rStyle w:val="IndexLink"/>
              </w:rPr>
              <w:t>56</w:t>
            </w:r>
          </w:hyperlink>
        </w:p>
        <w:p>
          <w:pPr>
            <w:pStyle w:val="Contents3"/>
            <w:tabs>
              <w:tab w:val="clear" w:pos="8459"/>
              <w:tab w:val="right" w:pos="9026" w:leader="dot"/>
            </w:tabs>
            <w:rPr/>
          </w:pPr>
          <w:hyperlink w:anchor="__RefHeading___Toc4158804_2870459653">
            <w:r>
              <w:rPr>
                <w:webHidden/>
                <w:rStyle w:val="IndexLink"/>
                <w:rtl w:val="true"/>
              </w:rPr>
              <w:t xml:space="preserve">چکیده </w:t>
            </w:r>
            <w:r>
              <w:rPr>
                <w:rStyle w:val="IndexLink"/>
                <w:rtl w:val="true"/>
              </w:rPr>
              <w:t>:</w:t>
              <w:tab/>
            </w:r>
            <w:r>
              <w:rPr>
                <w:rStyle w:val="IndexLink"/>
              </w:rPr>
              <w:t>56</w:t>
            </w:r>
          </w:hyperlink>
        </w:p>
        <w:p>
          <w:pPr>
            <w:pStyle w:val="Contents3"/>
            <w:tabs>
              <w:tab w:val="clear" w:pos="8459"/>
              <w:tab w:val="right" w:pos="9026" w:leader="dot"/>
            </w:tabs>
            <w:rPr/>
          </w:pPr>
          <w:hyperlink w:anchor="__RefHeading___Toc4158806_2870459653">
            <w:r>
              <w:rPr>
                <w:webHidden/>
                <w:rStyle w:val="IndexLink"/>
                <w:rtl w:val="true"/>
              </w:rPr>
              <w:t>باز بحث در مجردات</w:t>
            </w:r>
            <w:r>
              <w:rPr>
                <w:rStyle w:val="IndexLink"/>
                <w:rtl w:val="true"/>
              </w:rPr>
              <w:tab/>
            </w:r>
            <w:r>
              <w:rPr>
                <w:rStyle w:val="IndexLink"/>
              </w:rPr>
              <w:t>56</w:t>
            </w:r>
          </w:hyperlink>
        </w:p>
        <w:p>
          <w:pPr>
            <w:pStyle w:val="Contents3"/>
            <w:tabs>
              <w:tab w:val="clear" w:pos="8459"/>
              <w:tab w:val="right" w:pos="9026" w:leader="dot"/>
            </w:tabs>
            <w:rPr/>
          </w:pPr>
          <w:hyperlink w:anchor="__RefHeading___Toc4158808_2870459653">
            <w:r>
              <w:rPr>
                <w:webHidden/>
                <w:rStyle w:val="IndexLink"/>
                <w:rtl w:val="true"/>
              </w:rPr>
              <w:t xml:space="preserve">متن کلام علامه طباطبائی </w:t>
            </w:r>
            <w:r>
              <w:rPr>
                <w:rStyle w:val="IndexLink"/>
                <w:rtl w:val="true"/>
              </w:rPr>
              <w:t>(</w:t>
            </w:r>
            <w:r>
              <w:rPr>
                <w:rStyle w:val="IndexLink"/>
                <w:rtl w:val="true"/>
              </w:rPr>
              <w:t xml:space="preserve">رحمة الله علیه </w:t>
            </w:r>
            <w:r>
              <w:rPr>
                <w:rStyle w:val="IndexLink"/>
                <w:rtl w:val="true"/>
              </w:rPr>
              <w:t>)</w:t>
              <w:tab/>
            </w:r>
            <w:r>
              <w:rPr>
                <w:rStyle w:val="IndexLink"/>
              </w:rPr>
              <w:t>57</w:t>
            </w:r>
          </w:hyperlink>
        </w:p>
        <w:p>
          <w:pPr>
            <w:pStyle w:val="Contents3"/>
            <w:tabs>
              <w:tab w:val="clear" w:pos="8459"/>
              <w:tab w:val="right" w:pos="9026" w:leader="dot"/>
            </w:tabs>
            <w:rPr/>
          </w:pPr>
          <w:hyperlink w:anchor="__RefHeading___Toc4158810_2870459653">
            <w:r>
              <w:rPr>
                <w:webHidden/>
                <w:rStyle w:val="IndexLink"/>
                <w:rtl w:val="true"/>
              </w:rPr>
              <w:t xml:space="preserve">توضیح </w:t>
            </w:r>
            <w:r>
              <w:rPr>
                <w:rStyle w:val="IndexLink"/>
                <w:rtl w:val="true"/>
              </w:rPr>
              <w:t>:</w:t>
              <w:tab/>
            </w:r>
            <w:r>
              <w:rPr>
                <w:rStyle w:val="IndexLink"/>
              </w:rPr>
              <w:t>64</w:t>
            </w:r>
          </w:hyperlink>
        </w:p>
        <w:p>
          <w:pPr>
            <w:pStyle w:val="Contents2"/>
            <w:tabs>
              <w:tab w:val="clear" w:pos="8743"/>
              <w:tab w:val="right" w:pos="9026" w:leader="dot"/>
            </w:tabs>
            <w:rPr/>
          </w:pPr>
          <w:hyperlink w:anchor="__RefHeading___Toc4158812_2870459653">
            <w:r>
              <w:rPr>
                <w:webHidden/>
                <w:rStyle w:val="IndexLink"/>
                <w:rtl w:val="true"/>
              </w:rPr>
              <w:t xml:space="preserve">شرح كشف المراد در شرح تجرید الاعتقاد </w:t>
            </w:r>
            <w:r>
              <w:rPr>
                <w:rStyle w:val="IndexLink"/>
                <w:rtl w:val="true"/>
              </w:rPr>
              <w:t>(</w:t>
            </w:r>
            <w:r>
              <w:rPr>
                <w:rStyle w:val="IndexLink"/>
                <w:rtl w:val="true"/>
              </w:rPr>
              <w:t>بخش چهارم</w:t>
            </w:r>
            <w:r>
              <w:rPr>
                <w:rStyle w:val="IndexLink"/>
                <w:rtl w:val="true"/>
              </w:rPr>
              <w:t>)</w:t>
              <w:tab/>
            </w:r>
            <w:r>
              <w:rPr>
                <w:rStyle w:val="IndexLink"/>
              </w:rPr>
              <w:t>70</w:t>
            </w:r>
          </w:hyperlink>
        </w:p>
        <w:p>
          <w:pPr>
            <w:pStyle w:val="Contents3"/>
            <w:tabs>
              <w:tab w:val="clear" w:pos="8459"/>
              <w:tab w:val="right" w:pos="9026" w:leader="dot"/>
            </w:tabs>
            <w:rPr/>
          </w:pPr>
          <w:hyperlink w:anchor="__RefHeading___Toc4158814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4158816_2870459653">
            <w:r>
              <w:rPr>
                <w:webHidden/>
                <w:rStyle w:val="IndexLink"/>
                <w:rtl w:val="true"/>
              </w:rPr>
              <w:t xml:space="preserve">چکیده </w:t>
            </w:r>
            <w:r>
              <w:rPr>
                <w:rStyle w:val="IndexLink"/>
                <w:rtl w:val="true"/>
              </w:rPr>
              <w:t>:</w:t>
              <w:tab/>
            </w:r>
            <w:r>
              <w:rPr>
                <w:rStyle w:val="IndexLink"/>
              </w:rPr>
              <w:t>70</w:t>
            </w:r>
          </w:hyperlink>
        </w:p>
        <w:p>
          <w:pPr>
            <w:pStyle w:val="Contents3"/>
            <w:tabs>
              <w:tab w:val="clear" w:pos="8459"/>
              <w:tab w:val="right" w:pos="9026" w:leader="dot"/>
            </w:tabs>
            <w:rPr/>
          </w:pPr>
          <w:hyperlink w:anchor="__RefHeading___Toc4158818_2870459653">
            <w:r>
              <w:rPr>
                <w:webHidden/>
                <w:rStyle w:val="IndexLink"/>
                <w:rtl w:val="true"/>
              </w:rPr>
              <w:t xml:space="preserve">تنبیه اول </w:t>
            </w:r>
            <w:r>
              <w:rPr>
                <w:rStyle w:val="IndexLink"/>
                <w:rtl w:val="true"/>
              </w:rPr>
              <w:t xml:space="preserve">: </w:t>
            </w:r>
            <w:r>
              <w:rPr>
                <w:rStyle w:val="IndexLink"/>
                <w:rtl w:val="true"/>
              </w:rPr>
              <w:t>معنای حرکت و سکون و زمان</w:t>
            </w:r>
            <w:r>
              <w:rPr>
                <w:rStyle w:val="IndexLink"/>
                <w:rtl w:val="true"/>
              </w:rPr>
              <w:tab/>
            </w:r>
            <w:r>
              <w:rPr>
                <w:rStyle w:val="IndexLink"/>
              </w:rPr>
              <w:t>71</w:t>
            </w:r>
          </w:hyperlink>
        </w:p>
        <w:p>
          <w:pPr>
            <w:pStyle w:val="Contents4"/>
            <w:tabs>
              <w:tab w:val="clear" w:pos="8176"/>
              <w:tab w:val="right" w:pos="9026" w:leader="dot"/>
            </w:tabs>
            <w:rPr/>
          </w:pPr>
          <w:hyperlink w:anchor="__RefHeading___Toc4158820_287045965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158822_2870459653">
            <w:r>
              <w:rPr>
                <w:webHidden/>
                <w:rStyle w:val="IndexLink"/>
                <w:rtl w:val="true"/>
              </w:rPr>
              <w:t xml:space="preserve">سؤال </w:t>
            </w:r>
            <w:r>
              <w:rPr>
                <w:rStyle w:val="IndexLink"/>
                <w:rtl w:val="true"/>
              </w:rPr>
              <w:t xml:space="preserve">: </w:t>
            </w:r>
            <w:r>
              <w:rPr>
                <w:rStyle w:val="IndexLink"/>
                <w:rtl w:val="true"/>
              </w:rPr>
              <w:t xml:space="preserve">آیا می شود چیزی را در </w:t>
            </w:r>
            <w:r>
              <w:rPr>
                <w:rStyle w:val="IndexLink"/>
                <w:rtl w:val="true"/>
              </w:rPr>
              <w:t>«</w:t>
            </w:r>
            <w:r>
              <w:rPr>
                <w:rStyle w:val="IndexLink"/>
                <w:rtl w:val="true"/>
              </w:rPr>
              <w:t>لا زمان</w:t>
            </w:r>
            <w:r>
              <w:rPr>
                <w:rStyle w:val="IndexLink"/>
                <w:rtl w:val="true"/>
              </w:rPr>
              <w:t xml:space="preserve">» </w:t>
            </w:r>
            <w:r>
              <w:rPr>
                <w:rStyle w:val="IndexLink"/>
                <w:rtl w:val="true"/>
              </w:rPr>
              <w:t>خلق کرد ؟</w:t>
            </w:r>
            <w:r>
              <w:rPr>
                <w:rStyle w:val="IndexLink"/>
                <w:rtl w:val="true"/>
              </w:rPr>
              <w:tab/>
            </w:r>
            <w:r>
              <w:rPr>
                <w:rStyle w:val="IndexLink"/>
              </w:rPr>
              <w:t>74</w:t>
            </w:r>
          </w:hyperlink>
        </w:p>
        <w:p>
          <w:pPr>
            <w:pStyle w:val="Contents3"/>
            <w:tabs>
              <w:tab w:val="clear" w:pos="8459"/>
              <w:tab w:val="right" w:pos="9026" w:leader="dot"/>
            </w:tabs>
            <w:rPr/>
          </w:pPr>
          <w:hyperlink w:anchor="__RefHeading___Toc4158824_2870459653">
            <w:r>
              <w:rPr>
                <w:webHidden/>
                <w:rStyle w:val="IndexLink"/>
                <w:rtl w:val="true"/>
              </w:rPr>
              <w:t xml:space="preserve">تنبیه دوّم </w:t>
            </w:r>
            <w:r>
              <w:rPr>
                <w:rStyle w:val="IndexLink"/>
                <w:rtl w:val="true"/>
              </w:rPr>
              <w:t xml:space="preserve">: </w:t>
            </w:r>
            <w:r>
              <w:rPr>
                <w:rStyle w:val="IndexLink"/>
                <w:rtl w:val="true"/>
              </w:rPr>
              <w:t>مشترک لفظی یا معنوی</w:t>
            </w:r>
            <w:r>
              <w:rPr>
                <w:rStyle w:val="IndexLink"/>
                <w:rtl w:val="true"/>
              </w:rPr>
              <w:tab/>
            </w:r>
            <w:r>
              <w:rPr>
                <w:rStyle w:val="IndexLink"/>
              </w:rPr>
              <w:t>76</w:t>
            </w:r>
          </w:hyperlink>
        </w:p>
        <w:p>
          <w:pPr>
            <w:pStyle w:val="Contents2"/>
            <w:tabs>
              <w:tab w:val="clear" w:pos="8743"/>
              <w:tab w:val="right" w:pos="9026" w:leader="dot"/>
            </w:tabs>
            <w:rPr/>
          </w:pPr>
          <w:hyperlink w:anchor="__RefHeading___Toc4158826_2870459653">
            <w:r>
              <w:rPr>
                <w:webHidden/>
                <w:rStyle w:val="IndexLink"/>
                <w:rtl w:val="true"/>
              </w:rPr>
              <w:t>بررسی نقش عباسیان</w:t>
            </w:r>
            <w:r>
              <w:rPr>
                <w:rStyle w:val="IndexLink"/>
                <w:rtl w:val="true"/>
              </w:rPr>
              <w:tab/>
            </w:r>
            <w:r>
              <w:rPr>
                <w:rStyle w:val="IndexLink"/>
              </w:rPr>
              <w:t>88</w:t>
            </w:r>
          </w:hyperlink>
        </w:p>
        <w:p>
          <w:pPr>
            <w:pStyle w:val="Contents3"/>
            <w:tabs>
              <w:tab w:val="clear" w:pos="8459"/>
              <w:tab w:val="right" w:pos="9026" w:leader="dot"/>
            </w:tabs>
            <w:rPr/>
          </w:pPr>
          <w:hyperlink w:anchor="__RefHeading___Toc4158828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158830_2870459653">
            <w:r>
              <w:rPr>
                <w:webHidden/>
                <w:rStyle w:val="IndexLink"/>
                <w:rtl w:val="true"/>
              </w:rPr>
              <w:t xml:space="preserve">چکیده </w:t>
            </w:r>
            <w:r>
              <w:rPr>
                <w:rStyle w:val="IndexLink"/>
                <w:rtl w:val="true"/>
              </w:rPr>
              <w:t>:</w:t>
              <w:tab/>
            </w:r>
            <w:r>
              <w:rPr>
                <w:rStyle w:val="IndexLink"/>
              </w:rPr>
              <w:t>88</w:t>
            </w:r>
          </w:hyperlink>
        </w:p>
        <w:p>
          <w:pPr>
            <w:pStyle w:val="Contents3"/>
            <w:tabs>
              <w:tab w:val="clear" w:pos="8459"/>
              <w:tab w:val="right" w:pos="9026" w:leader="dot"/>
            </w:tabs>
            <w:rPr/>
          </w:pPr>
          <w:hyperlink w:anchor="__RefHeading___Toc4158832_2870459653">
            <w:r>
              <w:rPr>
                <w:webHidden/>
                <w:rStyle w:val="IndexLink"/>
                <w:rtl w:val="true"/>
              </w:rPr>
              <w:t>مقدمه و طرح مسأله</w:t>
            </w:r>
            <w:r>
              <w:rPr>
                <w:rStyle w:val="IndexLink"/>
                <w:rtl w:val="true"/>
              </w:rPr>
              <w:tab/>
            </w:r>
            <w:r>
              <w:rPr>
                <w:rStyle w:val="IndexLink"/>
              </w:rPr>
              <w:t>88</w:t>
            </w:r>
          </w:hyperlink>
        </w:p>
        <w:p>
          <w:pPr>
            <w:pStyle w:val="Contents3"/>
            <w:tabs>
              <w:tab w:val="clear" w:pos="8459"/>
              <w:tab w:val="right" w:pos="9026" w:leader="dot"/>
            </w:tabs>
            <w:rPr/>
          </w:pPr>
          <w:hyperlink w:anchor="__RefHeading___Toc4158834_2870459653">
            <w:r>
              <w:rPr>
                <w:webHidden/>
                <w:rStyle w:val="IndexLink"/>
                <w:rtl w:val="true"/>
              </w:rPr>
              <w:t>نقش عباسیان و اهمیت دوران و عملکردشان</w:t>
            </w:r>
            <w:r>
              <w:rPr>
                <w:rStyle w:val="IndexLink"/>
                <w:rtl w:val="true"/>
              </w:rPr>
              <w:tab/>
            </w:r>
            <w:r>
              <w:rPr>
                <w:rStyle w:val="IndexLink"/>
              </w:rPr>
              <w:t>89</w:t>
            </w:r>
          </w:hyperlink>
        </w:p>
        <w:p>
          <w:pPr>
            <w:pStyle w:val="Contents3"/>
            <w:tabs>
              <w:tab w:val="clear" w:pos="8459"/>
              <w:tab w:val="right" w:pos="9026" w:leader="dot"/>
            </w:tabs>
            <w:rPr/>
          </w:pPr>
          <w:hyperlink w:anchor="__RefHeading___Toc4158836_2870459653">
            <w:r>
              <w:rPr>
                <w:webHidden/>
                <w:rStyle w:val="IndexLink"/>
                <w:rtl w:val="true"/>
              </w:rPr>
              <w:t>آثار چرخش مذهبی و اعتقادی عباسیان</w:t>
            </w:r>
            <w:r>
              <w:rPr>
                <w:rStyle w:val="IndexLink"/>
                <w:rtl w:val="true"/>
              </w:rPr>
              <w:tab/>
            </w:r>
            <w:r>
              <w:rPr>
                <w:rStyle w:val="IndexLink"/>
              </w:rPr>
              <w:t>92</w:t>
            </w:r>
          </w:hyperlink>
        </w:p>
        <w:p>
          <w:pPr>
            <w:pStyle w:val="Contents3"/>
            <w:tabs>
              <w:tab w:val="clear" w:pos="8459"/>
              <w:tab w:val="right" w:pos="9026" w:leader="dot"/>
            </w:tabs>
            <w:rPr/>
          </w:pPr>
          <w:hyperlink w:anchor="__RefHeading___Toc4158838_2870459653">
            <w:r>
              <w:rPr>
                <w:webHidden/>
                <w:rStyle w:val="IndexLink"/>
                <w:rtl w:val="true"/>
              </w:rPr>
              <w:t>دیدار منصور با ابوحنیفه و تکریم همزمان مرجئه و معتزله و اهل حدیث</w:t>
            </w:r>
            <w:r>
              <w:rPr>
                <w:rStyle w:val="IndexLink"/>
                <w:rtl w:val="true"/>
              </w:rPr>
              <w:tab/>
            </w:r>
            <w:r>
              <w:rPr>
                <w:rStyle w:val="IndexLink"/>
              </w:rPr>
              <w:t>96</w:t>
            </w:r>
          </w:hyperlink>
        </w:p>
        <w:p>
          <w:pPr>
            <w:pStyle w:val="Contents3"/>
            <w:tabs>
              <w:tab w:val="clear" w:pos="8459"/>
              <w:tab w:val="right" w:pos="9026" w:leader="dot"/>
            </w:tabs>
            <w:rPr/>
          </w:pPr>
          <w:hyperlink w:anchor="__RefHeading___Toc4158840_2870459653">
            <w:r>
              <w:rPr>
                <w:webHidden/>
                <w:rStyle w:val="IndexLink"/>
                <w:rtl w:val="true"/>
              </w:rPr>
              <w:t>غاوون و ثمود پرده برداری از باطن انحراف</w:t>
            </w:r>
            <w:r>
              <w:rPr>
                <w:rStyle w:val="IndexLink"/>
                <w:rtl w:val="true"/>
              </w:rPr>
              <w:tab/>
            </w:r>
            <w:r>
              <w:rPr>
                <w:rStyle w:val="IndexLink"/>
              </w:rPr>
              <w:t>99</w:t>
            </w:r>
          </w:hyperlink>
        </w:p>
        <w:p>
          <w:pPr>
            <w:pStyle w:val="Contents3"/>
            <w:tabs>
              <w:tab w:val="clear" w:pos="8459"/>
              <w:tab w:val="right" w:pos="9026" w:leader="dot"/>
            </w:tabs>
            <w:rPr/>
          </w:pPr>
          <w:hyperlink w:anchor="__RefHeading___Toc4158842_2870459653">
            <w:r>
              <w:rPr>
                <w:webHidden/>
                <w:rStyle w:val="IndexLink"/>
                <w:rtl w:val="true"/>
              </w:rPr>
              <w:t>تأسیس بغداد زمینه سازی نهضت ترجمه</w:t>
            </w:r>
            <w:r>
              <w:rPr>
                <w:rStyle w:val="IndexLink"/>
                <w:rtl w:val="true"/>
              </w:rPr>
              <w:tab/>
            </w:r>
            <w:r>
              <w:rPr>
                <w:rStyle w:val="IndexLink"/>
              </w:rPr>
              <w:t>101</w:t>
            </w:r>
          </w:hyperlink>
        </w:p>
        <w:p>
          <w:pPr>
            <w:pStyle w:val="Contents2"/>
            <w:tabs>
              <w:tab w:val="clear" w:pos="8743"/>
              <w:tab w:val="right" w:pos="9026" w:leader="dot"/>
            </w:tabs>
            <w:rPr/>
          </w:pPr>
          <w:hyperlink w:anchor="__RefHeading___Toc4158844_2870459653">
            <w:r>
              <w:rPr>
                <w:webHidden/>
                <w:rStyle w:val="IndexLink"/>
                <w:rtl w:val="true"/>
              </w:rPr>
              <w:t>جمع بندی</w:t>
            </w:r>
            <w:r>
              <w:rPr>
                <w:rStyle w:val="IndexLink"/>
                <w:rtl w:val="true"/>
              </w:rPr>
              <w:tab/>
            </w:r>
            <w:r>
              <w:rPr>
                <w:rStyle w:val="IndexLink"/>
              </w:rPr>
              <w:t>105</w:t>
            </w:r>
          </w:hyperlink>
        </w:p>
        <w:p>
          <w:pPr>
            <w:pStyle w:val="Contents2"/>
            <w:tabs>
              <w:tab w:val="clear" w:pos="8743"/>
              <w:tab w:val="right" w:pos="9026" w:leader="dot"/>
            </w:tabs>
            <w:rPr/>
          </w:pPr>
          <w:hyperlink w:anchor="__RefHeading___Toc4158846_2870459653">
            <w:r>
              <w:rPr>
                <w:webHidden/>
                <w:rStyle w:val="IndexLink"/>
                <w:rtl w:val="true"/>
              </w:rPr>
              <w:t>فهرست منابع</w:t>
            </w:r>
            <w:r>
              <w:rPr>
                <w:rStyle w:val="IndexLink"/>
                <w:rtl w:val="true"/>
              </w:rPr>
              <w:tab/>
            </w:r>
            <w:r>
              <w:rPr>
                <w:rStyle w:val="IndexLink"/>
              </w:rPr>
              <w:t>106</w:t>
            </w:r>
          </w:hyperlink>
        </w:p>
        <w:p>
          <w:pPr>
            <w:pStyle w:val="Contents2"/>
            <w:tabs>
              <w:tab w:val="clear" w:pos="8743"/>
              <w:tab w:val="right" w:pos="9026" w:leader="dot"/>
            </w:tabs>
            <w:rPr/>
          </w:pPr>
          <w:hyperlink w:anchor="__RefHeading___Toc4158848_2870459653">
            <w:r>
              <w:rPr>
                <w:webHidden/>
                <w:rStyle w:val="IndexLink"/>
                <w:rtl w:val="true"/>
              </w:rPr>
              <w:t>آیت الله بروجردی و تعطیلی درس اسفار گزارش ها و تحریف ها</w:t>
            </w:r>
            <w:r>
              <w:rPr>
                <w:rStyle w:val="IndexLink"/>
                <w:rtl w:val="true"/>
              </w:rPr>
              <w:tab/>
            </w:r>
            <w:r>
              <w:rPr>
                <w:rStyle w:val="IndexLink"/>
              </w:rPr>
              <w:t>109</w:t>
            </w:r>
          </w:hyperlink>
        </w:p>
        <w:p>
          <w:pPr>
            <w:pStyle w:val="Contents3"/>
            <w:tabs>
              <w:tab w:val="clear" w:pos="8459"/>
              <w:tab w:val="right" w:pos="9026" w:leader="dot"/>
            </w:tabs>
            <w:rPr/>
          </w:pPr>
          <w:hyperlink w:anchor="__RefHeading___Toc4158850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4158852_2870459653">
            <w:r>
              <w:rPr>
                <w:webHidden/>
                <w:rStyle w:val="IndexLink"/>
                <w:rtl w:val="true"/>
              </w:rPr>
              <w:t xml:space="preserve">چکیده </w:t>
            </w:r>
            <w:r>
              <w:rPr>
                <w:rStyle w:val="IndexLink"/>
                <w:rtl w:val="true"/>
              </w:rPr>
              <w:t>:</w:t>
              <w:tab/>
            </w:r>
            <w:r>
              <w:rPr>
                <w:rStyle w:val="IndexLink"/>
              </w:rPr>
              <w:t>109</w:t>
            </w:r>
          </w:hyperlink>
        </w:p>
        <w:p>
          <w:pPr>
            <w:pStyle w:val="Contents3"/>
            <w:tabs>
              <w:tab w:val="clear" w:pos="8459"/>
              <w:tab w:val="right" w:pos="9026" w:leader="dot"/>
            </w:tabs>
            <w:rPr/>
          </w:pPr>
          <w:hyperlink w:anchor="__RefHeading___Toc4158854_2870459653">
            <w:r>
              <w:rPr>
                <w:webHidden/>
                <w:rStyle w:val="IndexLink"/>
                <w:rtl w:val="true"/>
              </w:rPr>
              <w:t>مقدمه</w:t>
            </w:r>
            <w:r>
              <w:rPr>
                <w:rStyle w:val="IndexLink"/>
                <w:rtl w:val="true"/>
              </w:rPr>
              <w:tab/>
            </w:r>
            <w:r>
              <w:rPr>
                <w:rStyle w:val="IndexLink"/>
              </w:rPr>
              <w:t>109</w:t>
            </w:r>
          </w:hyperlink>
        </w:p>
        <w:p>
          <w:pPr>
            <w:pStyle w:val="Contents4"/>
            <w:tabs>
              <w:tab w:val="clear" w:pos="8176"/>
              <w:tab w:val="right" w:pos="9026" w:leader="dot"/>
            </w:tabs>
            <w:rPr/>
          </w:pPr>
          <w:hyperlink w:anchor="__RefHeading___Toc4158856_2870459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158858_2870459653">
            <w:r>
              <w:rPr>
                <w:webHidden/>
                <w:rStyle w:val="IndexLink"/>
              </w:rPr>
              <w:t>1</w:t>
            </w:r>
            <w:r>
              <w:rPr>
                <w:rStyle w:val="IndexLink"/>
                <w:rtl w:val="true"/>
              </w:rPr>
              <w:t xml:space="preserve">- </w:t>
            </w:r>
            <w:r>
              <w:rPr>
                <w:rStyle w:val="IndexLink"/>
                <w:rtl w:val="true"/>
              </w:rPr>
              <w:t>شادروان استاد سید جلال الدین آشتیانی</w:t>
            </w:r>
            <w:r>
              <w:rPr>
                <w:rStyle w:val="IndexLink"/>
                <w:rtl w:val="true"/>
              </w:rPr>
              <w:tab/>
            </w:r>
            <w:r>
              <w:rPr>
                <w:rStyle w:val="IndexLink"/>
              </w:rPr>
              <w:t>112</w:t>
            </w:r>
          </w:hyperlink>
        </w:p>
        <w:p>
          <w:pPr>
            <w:pStyle w:val="Contents4"/>
            <w:tabs>
              <w:tab w:val="clear" w:pos="8176"/>
              <w:tab w:val="right" w:pos="9026" w:leader="dot"/>
            </w:tabs>
            <w:rPr/>
          </w:pPr>
          <w:hyperlink w:anchor="__RefHeading___Toc4158860_2870459653">
            <w:r>
              <w:rPr>
                <w:webHidden/>
                <w:rStyle w:val="IndexLink"/>
              </w:rPr>
              <w:t>2</w:t>
            </w:r>
            <w:r>
              <w:rPr>
                <w:rStyle w:val="IndexLink"/>
                <w:rtl w:val="true"/>
              </w:rPr>
              <w:t xml:space="preserve">- </w:t>
            </w:r>
            <w:r>
              <w:rPr>
                <w:rStyle w:val="IndexLink"/>
                <w:rtl w:val="true"/>
              </w:rPr>
              <w:t>سید محمد حسین لاله زاری طهرانی</w:t>
            </w:r>
            <w:r>
              <w:rPr>
                <w:rStyle w:val="IndexLink"/>
                <w:rtl w:val="true"/>
              </w:rPr>
              <w:tab/>
            </w:r>
            <w:r>
              <w:rPr>
                <w:rStyle w:val="IndexLink"/>
              </w:rPr>
              <w:t>112</w:t>
            </w:r>
          </w:hyperlink>
        </w:p>
        <w:p>
          <w:pPr>
            <w:pStyle w:val="Contents3"/>
            <w:tabs>
              <w:tab w:val="clear" w:pos="8459"/>
              <w:tab w:val="right" w:pos="9026" w:leader="dot"/>
            </w:tabs>
            <w:rPr/>
          </w:pPr>
          <w:hyperlink w:anchor="__RefHeading___Toc4158862_2870459653">
            <w:r>
              <w:rPr>
                <w:webHidden/>
                <w:rStyle w:val="IndexLink"/>
                <w:rtl w:val="true"/>
              </w:rPr>
              <w:t>گفتار اول ؛ چهار نکته مقدماتی</w:t>
            </w:r>
            <w:r>
              <w:rPr>
                <w:rStyle w:val="IndexLink"/>
                <w:rtl w:val="true"/>
              </w:rPr>
              <w:tab/>
            </w:r>
            <w:r>
              <w:rPr>
                <w:rStyle w:val="IndexLink"/>
              </w:rPr>
              <w:t>113</w:t>
            </w:r>
          </w:hyperlink>
        </w:p>
        <w:p>
          <w:pPr>
            <w:pStyle w:val="Contents4"/>
            <w:tabs>
              <w:tab w:val="clear" w:pos="8176"/>
              <w:tab w:val="right" w:pos="9026" w:leader="dot"/>
            </w:tabs>
            <w:rPr/>
          </w:pPr>
          <w:hyperlink w:anchor="__RefHeading___Toc4158864_2870459653">
            <w:r>
              <w:rPr>
                <w:webHidden/>
                <w:rStyle w:val="IndexLink"/>
              </w:rPr>
              <w:t>1</w:t>
            </w:r>
            <w:r>
              <w:rPr>
                <w:rStyle w:val="IndexLink"/>
                <w:rtl w:val="true"/>
              </w:rPr>
              <w:t xml:space="preserve">- </w:t>
            </w:r>
            <w:r>
              <w:rPr>
                <w:rStyle w:val="IndexLink"/>
                <w:rtl w:val="true"/>
              </w:rPr>
              <w:t>آیت الله بروجردی و تسلط بر فلسفه</w:t>
            </w:r>
            <w:r>
              <w:rPr>
                <w:rStyle w:val="IndexLink"/>
                <w:rtl w:val="true"/>
              </w:rPr>
              <w:tab/>
            </w:r>
            <w:r>
              <w:rPr>
                <w:rStyle w:val="IndexLink"/>
              </w:rPr>
              <w:t>113</w:t>
            </w:r>
          </w:hyperlink>
        </w:p>
        <w:p>
          <w:pPr>
            <w:pStyle w:val="Contents4"/>
            <w:tabs>
              <w:tab w:val="clear" w:pos="8176"/>
              <w:tab w:val="right" w:pos="9026" w:leader="dot"/>
            </w:tabs>
            <w:rPr/>
          </w:pPr>
          <w:hyperlink w:anchor="__RefHeading___Toc4158866_2870459653">
            <w:r>
              <w:rPr>
                <w:webHidden/>
                <w:rStyle w:val="IndexLink"/>
              </w:rPr>
              <w:t>2</w:t>
            </w:r>
            <w:r>
              <w:rPr>
                <w:rStyle w:val="IndexLink"/>
                <w:rtl w:val="true"/>
              </w:rPr>
              <w:t xml:space="preserve"> - </w:t>
            </w:r>
            <w:r>
              <w:rPr>
                <w:rStyle w:val="IndexLink"/>
                <w:rtl w:val="true"/>
              </w:rPr>
              <w:t>ارادت اهل عرفان و فلسفه به آیت الله بروجردی</w:t>
            </w:r>
            <w:r>
              <w:rPr>
                <w:rStyle w:val="IndexLink"/>
                <w:rtl w:val="true"/>
              </w:rPr>
              <w:tab/>
            </w:r>
            <w:r>
              <w:rPr>
                <w:rStyle w:val="IndexLink"/>
              </w:rPr>
              <w:t>114</w:t>
            </w:r>
          </w:hyperlink>
        </w:p>
        <w:p>
          <w:pPr>
            <w:pStyle w:val="Contents4"/>
            <w:tabs>
              <w:tab w:val="clear" w:pos="8176"/>
              <w:tab w:val="right" w:pos="9026" w:leader="dot"/>
            </w:tabs>
            <w:rPr/>
          </w:pPr>
          <w:hyperlink w:anchor="__RefHeading___Toc4158868_2870459653">
            <w:r>
              <w:rPr>
                <w:webHidden/>
                <w:rStyle w:val="IndexLink"/>
              </w:rPr>
              <w:t>3</w:t>
            </w:r>
            <w:r>
              <w:rPr>
                <w:rStyle w:val="IndexLink"/>
                <w:rtl w:val="true"/>
              </w:rPr>
              <w:t xml:space="preserve"> - </w:t>
            </w:r>
            <w:r>
              <w:rPr>
                <w:rStyle w:val="IndexLink"/>
                <w:rtl w:val="true"/>
              </w:rPr>
              <w:t>آیت الله بروجردی و مخالفت با فلسفه</w:t>
            </w:r>
            <w:r>
              <w:rPr>
                <w:rStyle w:val="IndexLink"/>
                <w:rtl w:val="true"/>
              </w:rPr>
              <w:tab/>
            </w:r>
            <w:r>
              <w:rPr>
                <w:rStyle w:val="IndexLink"/>
              </w:rPr>
              <w:t>116</w:t>
            </w:r>
          </w:hyperlink>
        </w:p>
        <w:p>
          <w:pPr>
            <w:pStyle w:val="Contents4"/>
            <w:tabs>
              <w:tab w:val="clear" w:pos="8176"/>
              <w:tab w:val="right" w:pos="9026" w:leader="dot"/>
            </w:tabs>
            <w:rPr/>
          </w:pPr>
          <w:hyperlink w:anchor="__RefHeading___Toc4158870_2870459653">
            <w:r>
              <w:rPr>
                <w:webHidden/>
                <w:rStyle w:val="IndexLink"/>
              </w:rPr>
              <w:t>4</w:t>
            </w:r>
            <w:r>
              <w:rPr>
                <w:rStyle w:val="IndexLink"/>
                <w:rtl w:val="true"/>
              </w:rPr>
              <w:t xml:space="preserve">- </w:t>
            </w:r>
            <w:r>
              <w:rPr>
                <w:rStyle w:val="IndexLink"/>
                <w:rtl w:val="true"/>
              </w:rPr>
              <w:t>نقد یک برداشت اشتباه</w:t>
            </w:r>
            <w:r>
              <w:rPr>
                <w:rStyle w:val="IndexLink"/>
                <w:rtl w:val="true"/>
              </w:rPr>
              <w:tab/>
            </w:r>
            <w:r>
              <w:rPr>
                <w:rStyle w:val="IndexLink"/>
              </w:rPr>
              <w:t>119</w:t>
            </w:r>
          </w:hyperlink>
        </w:p>
        <w:p>
          <w:pPr>
            <w:pStyle w:val="Contents3"/>
            <w:tabs>
              <w:tab w:val="clear" w:pos="8459"/>
              <w:tab w:val="right" w:pos="9026" w:leader="dot"/>
            </w:tabs>
            <w:rPr/>
          </w:pPr>
          <w:hyperlink w:anchor="__RefHeading___Toc4158872_2870459653">
            <w:r>
              <w:rPr>
                <w:webHidden/>
                <w:rStyle w:val="IndexLink"/>
                <w:rtl w:val="true"/>
              </w:rPr>
              <w:t>گفتار دوم ؛ گزارش های تعطیلی درس اسفار</w:t>
            </w:r>
            <w:r>
              <w:rPr>
                <w:rStyle w:val="IndexLink"/>
                <w:rtl w:val="true"/>
              </w:rPr>
              <w:tab/>
            </w:r>
            <w:r>
              <w:rPr>
                <w:rStyle w:val="IndexLink"/>
              </w:rPr>
              <w:t>122</w:t>
            </w:r>
          </w:hyperlink>
        </w:p>
        <w:p>
          <w:pPr>
            <w:pStyle w:val="Contents3"/>
            <w:tabs>
              <w:tab w:val="clear" w:pos="8459"/>
              <w:tab w:val="right" w:pos="9026" w:leader="dot"/>
            </w:tabs>
            <w:rPr/>
          </w:pPr>
          <w:hyperlink w:anchor="__RefHeading___Toc4158874_2870459653">
            <w:r>
              <w:rPr>
                <w:webHidden/>
                <w:rStyle w:val="IndexLink"/>
                <w:rtl w:val="true"/>
              </w:rPr>
              <w:t>بخش اول ؛ گزارش های تعطیلی درس اسفار توسط آیت الله بروجردی</w:t>
            </w:r>
            <w:r>
              <w:rPr>
                <w:rStyle w:val="IndexLink"/>
                <w:rtl w:val="true"/>
              </w:rPr>
              <w:tab/>
            </w:r>
            <w:r>
              <w:rPr>
                <w:rStyle w:val="IndexLink"/>
              </w:rPr>
              <w:t>122</w:t>
            </w:r>
          </w:hyperlink>
        </w:p>
        <w:p>
          <w:pPr>
            <w:pStyle w:val="Contents4"/>
            <w:tabs>
              <w:tab w:val="clear" w:pos="8176"/>
              <w:tab w:val="right" w:pos="9026" w:leader="dot"/>
            </w:tabs>
            <w:rPr/>
          </w:pPr>
          <w:hyperlink w:anchor="__RefHeading___Toc4158876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158878_2870459653">
            <w:r>
              <w:rPr>
                <w:webHidden/>
                <w:rStyle w:val="IndexLink"/>
              </w:rPr>
              <w:t>1</w:t>
            </w:r>
            <w:r>
              <w:rPr>
                <w:rStyle w:val="IndexLink"/>
                <w:rtl w:val="true"/>
              </w:rPr>
              <w:t>-</w:t>
            </w:r>
            <w:r>
              <w:rPr>
                <w:rStyle w:val="IndexLink"/>
                <w:rtl w:val="true"/>
              </w:rPr>
              <w:t>پروفسور غلامحسین ابراهیمی دینانی</w:t>
            </w:r>
            <w:r>
              <w:rPr>
                <w:rStyle w:val="IndexLink"/>
                <w:rtl w:val="true"/>
              </w:rPr>
              <w:tab/>
            </w:r>
            <w:r>
              <w:rPr>
                <w:rStyle w:val="IndexLink"/>
              </w:rPr>
              <w:t>122</w:t>
            </w:r>
          </w:hyperlink>
        </w:p>
        <w:p>
          <w:pPr>
            <w:pStyle w:val="Contents4"/>
            <w:tabs>
              <w:tab w:val="clear" w:pos="8176"/>
              <w:tab w:val="right" w:pos="9026" w:leader="dot"/>
            </w:tabs>
            <w:rPr/>
          </w:pPr>
          <w:hyperlink w:anchor="__RefHeading___Toc4158880_2870459653">
            <w:r>
              <w:rPr>
                <w:webHidden/>
                <w:rStyle w:val="IndexLink"/>
              </w:rPr>
              <w:t>2</w:t>
            </w:r>
            <w:r>
              <w:rPr>
                <w:rStyle w:val="IndexLink"/>
                <w:rtl w:val="true"/>
              </w:rPr>
              <w:t>-</w:t>
            </w:r>
            <w:r>
              <w:rPr>
                <w:rStyle w:val="IndexLink"/>
                <w:rtl w:val="true"/>
              </w:rPr>
              <w:t>آیت الله امینی</w:t>
            </w:r>
            <w:r>
              <w:rPr>
                <w:rStyle w:val="IndexLink"/>
                <w:rtl w:val="true"/>
              </w:rPr>
              <w:tab/>
            </w:r>
            <w:r>
              <w:rPr>
                <w:rStyle w:val="IndexLink"/>
              </w:rPr>
              <w:t>124</w:t>
            </w:r>
          </w:hyperlink>
        </w:p>
        <w:p>
          <w:pPr>
            <w:pStyle w:val="Contents5"/>
            <w:tabs>
              <w:tab w:val="clear" w:pos="7892"/>
              <w:tab w:val="right" w:pos="9026" w:leader="dot"/>
            </w:tabs>
            <w:rPr/>
          </w:pPr>
          <w:hyperlink w:anchor="__RefHeading___Toc4158882_287045965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4158884_2870459653">
            <w:r>
              <w:rPr>
                <w:webHidden/>
                <w:rStyle w:val="IndexLink"/>
              </w:rPr>
              <w:t>1-2</w:t>
            </w:r>
            <w:r>
              <w:rPr>
                <w:rStyle w:val="IndexLink"/>
                <w:rtl w:val="true"/>
              </w:rPr>
              <w:t>-</w:t>
            </w:r>
            <w:r>
              <w:rPr>
                <w:rStyle w:val="IndexLink"/>
                <w:rtl w:val="true"/>
              </w:rPr>
              <w:t>گزارش اول</w:t>
            </w:r>
            <w:r>
              <w:rPr>
                <w:rStyle w:val="IndexLink"/>
                <w:rtl w:val="true"/>
              </w:rPr>
              <w:tab/>
            </w:r>
            <w:r>
              <w:rPr>
                <w:rStyle w:val="IndexLink"/>
              </w:rPr>
              <w:t>125</w:t>
            </w:r>
          </w:hyperlink>
        </w:p>
        <w:p>
          <w:pPr>
            <w:pStyle w:val="Contents5"/>
            <w:tabs>
              <w:tab w:val="clear" w:pos="7892"/>
              <w:tab w:val="right" w:pos="9026" w:leader="dot"/>
            </w:tabs>
            <w:rPr/>
          </w:pPr>
          <w:hyperlink w:anchor="__RefHeading___Toc4158886_2870459653">
            <w:r>
              <w:rPr>
                <w:webHidden/>
                <w:rStyle w:val="IndexLink"/>
              </w:rPr>
              <w:t>2-2</w:t>
            </w:r>
            <w:r>
              <w:rPr>
                <w:rStyle w:val="IndexLink"/>
                <w:rtl w:val="true"/>
              </w:rPr>
              <w:t xml:space="preserve">- </w:t>
            </w:r>
            <w:r>
              <w:rPr>
                <w:rStyle w:val="IndexLink"/>
                <w:rtl w:val="true"/>
              </w:rPr>
              <w:t>گزارش دوم</w:t>
            </w:r>
            <w:r>
              <w:rPr>
                <w:rStyle w:val="IndexLink"/>
                <w:rtl w:val="true"/>
              </w:rPr>
              <w:tab/>
            </w:r>
            <w:r>
              <w:rPr>
                <w:rStyle w:val="IndexLink"/>
              </w:rPr>
              <w:t>126</w:t>
            </w:r>
          </w:hyperlink>
        </w:p>
        <w:p>
          <w:pPr>
            <w:pStyle w:val="Contents4"/>
            <w:tabs>
              <w:tab w:val="clear" w:pos="8176"/>
              <w:tab w:val="right" w:pos="9026" w:leader="dot"/>
            </w:tabs>
            <w:rPr/>
          </w:pPr>
          <w:hyperlink w:anchor="__RefHeading___Toc4158888_2870459653">
            <w:r>
              <w:rPr>
                <w:webHidden/>
                <w:rStyle w:val="IndexLink"/>
              </w:rPr>
              <w:t>3</w:t>
            </w:r>
            <w:r>
              <w:rPr>
                <w:rStyle w:val="IndexLink"/>
                <w:rtl w:val="true"/>
              </w:rPr>
              <w:t xml:space="preserve">- </w:t>
            </w:r>
            <w:r>
              <w:rPr>
                <w:rStyle w:val="IndexLink"/>
                <w:rtl w:val="true"/>
              </w:rPr>
              <w:t>دکتر احمد بهشتی</w:t>
            </w:r>
            <w:r>
              <w:rPr>
                <w:rStyle w:val="IndexLink"/>
                <w:rtl w:val="true"/>
              </w:rPr>
              <w:tab/>
            </w:r>
            <w:r>
              <w:rPr>
                <w:rStyle w:val="IndexLink"/>
              </w:rPr>
              <w:t>126</w:t>
            </w:r>
          </w:hyperlink>
        </w:p>
        <w:p>
          <w:pPr>
            <w:pStyle w:val="Contents4"/>
            <w:tabs>
              <w:tab w:val="clear" w:pos="8176"/>
              <w:tab w:val="right" w:pos="9026" w:leader="dot"/>
            </w:tabs>
            <w:rPr/>
          </w:pPr>
          <w:hyperlink w:anchor="__RefHeading___Toc4158890_2870459653">
            <w:r>
              <w:rPr>
                <w:webHidden/>
                <w:rStyle w:val="IndexLink"/>
              </w:rPr>
              <w:t>4</w:t>
            </w:r>
            <w:r>
              <w:rPr>
                <w:rStyle w:val="IndexLink"/>
                <w:rtl w:val="true"/>
              </w:rPr>
              <w:t>-</w:t>
            </w:r>
            <w:r>
              <w:rPr>
                <w:rStyle w:val="IndexLink"/>
                <w:rtl w:val="true"/>
              </w:rPr>
              <w:t>آیت الله جوادی آملی</w:t>
            </w:r>
            <w:r>
              <w:rPr>
                <w:rStyle w:val="IndexLink"/>
                <w:rtl w:val="true"/>
              </w:rPr>
              <w:tab/>
            </w:r>
            <w:r>
              <w:rPr>
                <w:rStyle w:val="IndexLink"/>
              </w:rPr>
              <w:t>128</w:t>
            </w:r>
          </w:hyperlink>
        </w:p>
        <w:p>
          <w:pPr>
            <w:pStyle w:val="Contents4"/>
            <w:tabs>
              <w:tab w:val="clear" w:pos="8176"/>
              <w:tab w:val="right" w:pos="9026" w:leader="dot"/>
            </w:tabs>
            <w:rPr/>
          </w:pPr>
          <w:hyperlink w:anchor="__RefHeading___Toc4158892_2870459653">
            <w:r>
              <w:rPr>
                <w:webHidden/>
                <w:rStyle w:val="IndexLink"/>
              </w:rPr>
              <w:t>5</w:t>
            </w:r>
            <w:r>
              <w:rPr>
                <w:rStyle w:val="IndexLink"/>
                <w:rtl w:val="true"/>
              </w:rPr>
              <w:t xml:space="preserve"> -</w:t>
            </w:r>
            <w:r>
              <w:rPr>
                <w:rStyle w:val="IndexLink"/>
                <w:rtl w:val="true"/>
              </w:rPr>
              <w:t>استاد علی حجتی کرمانی</w:t>
            </w:r>
            <w:r>
              <w:rPr>
                <w:rStyle w:val="IndexLink"/>
                <w:rtl w:val="true"/>
              </w:rPr>
              <w:tab/>
            </w:r>
            <w:r>
              <w:rPr>
                <w:rStyle w:val="IndexLink"/>
              </w:rPr>
              <w:t>128</w:t>
            </w:r>
          </w:hyperlink>
        </w:p>
        <w:p>
          <w:pPr>
            <w:pStyle w:val="Contents4"/>
            <w:tabs>
              <w:tab w:val="clear" w:pos="8176"/>
              <w:tab w:val="right" w:pos="9026" w:leader="dot"/>
            </w:tabs>
            <w:rPr/>
          </w:pPr>
          <w:hyperlink w:anchor="__RefHeading___Toc4158894_2870459653">
            <w:r>
              <w:rPr>
                <w:webHidden/>
                <w:rStyle w:val="IndexLink"/>
              </w:rPr>
              <w:t>6</w:t>
            </w:r>
            <w:r>
              <w:rPr>
                <w:rStyle w:val="IndexLink"/>
                <w:rtl w:val="true"/>
              </w:rPr>
              <w:t>-</w:t>
            </w:r>
            <w:r>
              <w:rPr>
                <w:rStyle w:val="IndexLink"/>
                <w:rtl w:val="true"/>
              </w:rPr>
              <w:t>آیت الله حسین حقانی زنجانی</w:t>
            </w:r>
            <w:r>
              <w:rPr>
                <w:rStyle w:val="IndexLink"/>
                <w:rtl w:val="true"/>
              </w:rPr>
              <w:tab/>
            </w:r>
            <w:r>
              <w:rPr>
                <w:rStyle w:val="IndexLink"/>
              </w:rPr>
              <w:t>129</w:t>
            </w:r>
          </w:hyperlink>
        </w:p>
        <w:p>
          <w:pPr>
            <w:pStyle w:val="Contents4"/>
            <w:tabs>
              <w:tab w:val="clear" w:pos="8176"/>
              <w:tab w:val="right" w:pos="9026" w:leader="dot"/>
            </w:tabs>
            <w:rPr/>
          </w:pPr>
          <w:hyperlink w:anchor="__RefHeading___Toc4158896_2870459653">
            <w:r>
              <w:rPr>
                <w:webHidden/>
                <w:rStyle w:val="IndexLink"/>
              </w:rPr>
              <w:t>7</w:t>
            </w:r>
            <w:r>
              <w:rPr>
                <w:rStyle w:val="IndexLink"/>
                <w:rtl w:val="true"/>
              </w:rPr>
              <w:t>-</w:t>
            </w:r>
            <w:r>
              <w:rPr>
                <w:rStyle w:val="IndexLink"/>
                <w:rtl w:val="true"/>
              </w:rPr>
              <w:t>آیت الله خامنه ای</w:t>
            </w:r>
            <w:r>
              <w:rPr>
                <w:rStyle w:val="IndexLink"/>
                <w:rtl w:val="true"/>
              </w:rPr>
              <w:tab/>
            </w:r>
            <w:r>
              <w:rPr>
                <w:rStyle w:val="IndexLink"/>
              </w:rPr>
              <w:t>130</w:t>
            </w:r>
          </w:hyperlink>
        </w:p>
        <w:p>
          <w:pPr>
            <w:pStyle w:val="Contents4"/>
            <w:tabs>
              <w:tab w:val="clear" w:pos="8176"/>
              <w:tab w:val="right" w:pos="9026" w:leader="dot"/>
            </w:tabs>
            <w:rPr/>
          </w:pPr>
          <w:hyperlink w:anchor="__RefHeading___Toc4158898_2870459653">
            <w:r>
              <w:rPr>
                <w:webHidden/>
                <w:rStyle w:val="IndexLink"/>
              </w:rPr>
              <w:t>8</w:t>
            </w:r>
            <w:r>
              <w:rPr>
                <w:rStyle w:val="IndexLink"/>
                <w:rtl w:val="true"/>
              </w:rPr>
              <w:t>-</w:t>
            </w:r>
            <w:r>
              <w:rPr>
                <w:rStyle w:val="IndexLink"/>
                <w:rtl w:val="true"/>
              </w:rPr>
              <w:t>آیت الله سید هادی خسروشاهی</w:t>
            </w:r>
            <w:r>
              <w:rPr>
                <w:rStyle w:val="IndexLink"/>
                <w:rtl w:val="true"/>
              </w:rPr>
              <w:tab/>
            </w:r>
            <w:r>
              <w:rPr>
                <w:rStyle w:val="IndexLink"/>
              </w:rPr>
              <w:t>130</w:t>
            </w:r>
          </w:hyperlink>
        </w:p>
        <w:p>
          <w:pPr>
            <w:pStyle w:val="Contents4"/>
            <w:tabs>
              <w:tab w:val="clear" w:pos="8176"/>
              <w:tab w:val="right" w:pos="9026" w:leader="dot"/>
            </w:tabs>
            <w:rPr/>
          </w:pPr>
          <w:hyperlink w:anchor="__RefHeading___Toc4158900_2870459653">
            <w:r>
              <w:rPr>
                <w:webHidden/>
                <w:rStyle w:val="IndexLink"/>
              </w:rPr>
              <w:t>9</w:t>
            </w:r>
            <w:r>
              <w:rPr>
                <w:rStyle w:val="IndexLink"/>
                <w:rtl w:val="true"/>
              </w:rPr>
              <w:t>-</w:t>
            </w:r>
            <w:r>
              <w:rPr>
                <w:rStyle w:val="IndexLink"/>
                <w:rtl w:val="true"/>
              </w:rPr>
              <w:t>آیت الله خوشوقت</w:t>
            </w:r>
            <w:r>
              <w:rPr>
                <w:rStyle w:val="IndexLink"/>
                <w:rtl w:val="true"/>
              </w:rPr>
              <w:tab/>
            </w:r>
            <w:r>
              <w:rPr>
                <w:rStyle w:val="IndexLink"/>
              </w:rPr>
              <w:t>130</w:t>
            </w:r>
          </w:hyperlink>
        </w:p>
        <w:p>
          <w:pPr>
            <w:pStyle w:val="Contents4"/>
            <w:tabs>
              <w:tab w:val="clear" w:pos="8176"/>
              <w:tab w:val="right" w:pos="9026" w:leader="dot"/>
            </w:tabs>
            <w:rPr/>
          </w:pPr>
          <w:hyperlink w:anchor="__RefHeading___Toc4158902_2870459653">
            <w:r>
              <w:rPr>
                <w:webHidden/>
                <w:rStyle w:val="IndexLink"/>
              </w:rPr>
              <w:t>10</w:t>
            </w:r>
            <w:r>
              <w:rPr>
                <w:rStyle w:val="IndexLink"/>
                <w:rtl w:val="true"/>
              </w:rPr>
              <w:t>-</w:t>
            </w:r>
            <w:r>
              <w:rPr>
                <w:rStyle w:val="IndexLink"/>
                <w:rtl w:val="true"/>
              </w:rPr>
              <w:t>استاد محقق ، علی دوانی</w:t>
            </w:r>
            <w:r>
              <w:rPr>
                <w:rStyle w:val="IndexLink"/>
                <w:rtl w:val="true"/>
              </w:rPr>
              <w:tab/>
            </w:r>
            <w:r>
              <w:rPr>
                <w:rStyle w:val="IndexLink"/>
              </w:rPr>
              <w:t>131</w:t>
            </w:r>
          </w:hyperlink>
        </w:p>
        <w:p>
          <w:pPr>
            <w:pStyle w:val="Contents4"/>
            <w:tabs>
              <w:tab w:val="clear" w:pos="8176"/>
              <w:tab w:val="right" w:pos="9026" w:leader="dot"/>
            </w:tabs>
            <w:rPr/>
          </w:pPr>
          <w:hyperlink w:anchor="__RefHeading___Toc4158904_2870459653">
            <w:r>
              <w:rPr>
                <w:webHidden/>
                <w:rStyle w:val="IndexLink"/>
              </w:rPr>
              <w:t>11</w:t>
            </w:r>
            <w:r>
              <w:rPr>
                <w:rStyle w:val="IndexLink"/>
                <w:rtl w:val="true"/>
              </w:rPr>
              <w:t>-</w:t>
            </w:r>
            <w:r>
              <w:rPr>
                <w:rStyle w:val="IndexLink"/>
                <w:rtl w:val="true"/>
              </w:rPr>
              <w:t>آیت الله شبیری زنجانی</w:t>
            </w:r>
            <w:r>
              <w:rPr>
                <w:rStyle w:val="IndexLink"/>
                <w:rtl w:val="true"/>
              </w:rPr>
              <w:tab/>
            </w:r>
            <w:r>
              <w:rPr>
                <w:rStyle w:val="IndexLink"/>
              </w:rPr>
              <w:t>136</w:t>
            </w:r>
          </w:hyperlink>
        </w:p>
        <w:p>
          <w:pPr>
            <w:pStyle w:val="Contents4"/>
            <w:tabs>
              <w:tab w:val="clear" w:pos="8176"/>
              <w:tab w:val="right" w:pos="9026" w:leader="dot"/>
            </w:tabs>
            <w:rPr/>
          </w:pPr>
          <w:hyperlink w:anchor="__RefHeading___Toc4158906_2870459653">
            <w:r>
              <w:rPr>
                <w:webHidden/>
                <w:rStyle w:val="IndexLink"/>
              </w:rPr>
              <w:t>12</w:t>
            </w:r>
            <w:r>
              <w:rPr>
                <w:rStyle w:val="IndexLink"/>
                <w:rtl w:val="true"/>
              </w:rPr>
              <w:t>-</w:t>
            </w:r>
            <w:r>
              <w:rPr>
                <w:rStyle w:val="IndexLink"/>
                <w:rtl w:val="true"/>
              </w:rPr>
              <w:t>صالحی نجف آبادی</w:t>
            </w:r>
            <w:r>
              <w:rPr>
                <w:rStyle w:val="IndexLink"/>
                <w:rtl w:val="true"/>
              </w:rPr>
              <w:tab/>
            </w:r>
            <w:r>
              <w:rPr>
                <w:rStyle w:val="IndexLink"/>
              </w:rPr>
              <w:t>136</w:t>
            </w:r>
          </w:hyperlink>
        </w:p>
        <w:p>
          <w:pPr>
            <w:pStyle w:val="Contents4"/>
            <w:tabs>
              <w:tab w:val="clear" w:pos="8176"/>
              <w:tab w:val="right" w:pos="9026" w:leader="dot"/>
            </w:tabs>
            <w:rPr/>
          </w:pPr>
          <w:hyperlink w:anchor="__RefHeading___Toc4158908_2870459653">
            <w:r>
              <w:rPr>
                <w:webHidden/>
                <w:rStyle w:val="IndexLink"/>
              </w:rPr>
              <w:t>13</w:t>
            </w:r>
            <w:r>
              <w:rPr>
                <w:rStyle w:val="IndexLink"/>
                <w:rtl w:val="true"/>
              </w:rPr>
              <w:t>-</w:t>
            </w:r>
            <w:r>
              <w:rPr>
                <w:rStyle w:val="IndexLink"/>
                <w:rtl w:val="true"/>
              </w:rPr>
              <w:t>آیت الله علی عراقچی</w:t>
            </w:r>
            <w:r>
              <w:rPr>
                <w:rStyle w:val="IndexLink"/>
                <w:rtl w:val="true"/>
              </w:rPr>
              <w:tab/>
            </w:r>
            <w:r>
              <w:rPr>
                <w:rStyle w:val="IndexLink"/>
              </w:rPr>
              <w:t>137</w:t>
            </w:r>
          </w:hyperlink>
        </w:p>
        <w:p>
          <w:pPr>
            <w:pStyle w:val="Contents4"/>
            <w:tabs>
              <w:tab w:val="clear" w:pos="8176"/>
              <w:tab w:val="right" w:pos="9026" w:leader="dot"/>
            </w:tabs>
            <w:rPr/>
          </w:pPr>
          <w:hyperlink w:anchor="__RefHeading___Toc4158910_2870459653">
            <w:r>
              <w:rPr>
                <w:webHidden/>
                <w:rStyle w:val="IndexLink"/>
              </w:rPr>
              <w:t>14</w:t>
            </w:r>
            <w:r>
              <w:rPr>
                <w:rStyle w:val="IndexLink"/>
                <w:rtl w:val="true"/>
              </w:rPr>
              <w:t>-</w:t>
            </w:r>
            <w:r>
              <w:rPr>
                <w:rStyle w:val="IndexLink"/>
                <w:rtl w:val="true"/>
              </w:rPr>
              <w:t>آیت الله گرامی</w:t>
            </w:r>
            <w:r>
              <w:rPr>
                <w:rStyle w:val="IndexLink"/>
                <w:rtl w:val="true"/>
              </w:rPr>
              <w:tab/>
            </w:r>
            <w:r>
              <w:rPr>
                <w:rStyle w:val="IndexLink"/>
              </w:rPr>
              <w:t>138</w:t>
            </w:r>
          </w:hyperlink>
        </w:p>
        <w:p>
          <w:pPr>
            <w:pStyle w:val="Contents4"/>
            <w:tabs>
              <w:tab w:val="clear" w:pos="8176"/>
              <w:tab w:val="right" w:pos="9026" w:leader="dot"/>
            </w:tabs>
            <w:rPr/>
          </w:pPr>
          <w:hyperlink w:anchor="__RefHeading___Toc4158912_2870459653">
            <w:r>
              <w:rPr>
                <w:webHidden/>
                <w:rStyle w:val="IndexLink"/>
              </w:rPr>
              <w:t>15</w:t>
            </w:r>
            <w:r>
              <w:rPr>
                <w:rStyle w:val="IndexLink"/>
                <w:rtl w:val="true"/>
              </w:rPr>
              <w:t>-</w:t>
            </w:r>
            <w:r>
              <w:rPr>
                <w:rStyle w:val="IndexLink"/>
                <w:rtl w:val="true"/>
              </w:rPr>
              <w:t>آیت الله علی اصغر مروارید</w:t>
            </w:r>
            <w:r>
              <w:rPr>
                <w:rStyle w:val="IndexLink"/>
                <w:rtl w:val="true"/>
              </w:rPr>
              <w:tab/>
            </w:r>
            <w:r>
              <w:rPr>
                <w:rStyle w:val="IndexLink"/>
              </w:rPr>
              <w:t>139</w:t>
            </w:r>
          </w:hyperlink>
        </w:p>
        <w:p>
          <w:pPr>
            <w:pStyle w:val="Contents4"/>
            <w:tabs>
              <w:tab w:val="clear" w:pos="8176"/>
              <w:tab w:val="right" w:pos="9026" w:leader="dot"/>
            </w:tabs>
            <w:rPr/>
          </w:pPr>
          <w:hyperlink w:anchor="__RefHeading___Toc4158914_2870459653">
            <w:r>
              <w:rPr>
                <w:webHidden/>
                <w:rStyle w:val="IndexLink"/>
              </w:rPr>
              <w:t>16</w:t>
            </w:r>
            <w:r>
              <w:rPr>
                <w:rStyle w:val="IndexLink"/>
                <w:rtl w:val="true"/>
              </w:rPr>
              <w:t>-</w:t>
            </w:r>
            <w:r>
              <w:rPr>
                <w:rStyle w:val="IndexLink"/>
                <w:rtl w:val="true"/>
              </w:rPr>
              <w:t>آیت الله مظاهری</w:t>
            </w:r>
            <w:r>
              <w:rPr>
                <w:rStyle w:val="IndexLink"/>
                <w:rtl w:val="true"/>
              </w:rPr>
              <w:tab/>
            </w:r>
            <w:r>
              <w:rPr>
                <w:rStyle w:val="IndexLink"/>
              </w:rPr>
              <w:t>139</w:t>
            </w:r>
          </w:hyperlink>
        </w:p>
        <w:p>
          <w:pPr>
            <w:pStyle w:val="Contents4"/>
            <w:tabs>
              <w:tab w:val="clear" w:pos="8176"/>
              <w:tab w:val="right" w:pos="9026" w:leader="dot"/>
            </w:tabs>
            <w:rPr/>
          </w:pPr>
          <w:hyperlink w:anchor="__RefHeading___Toc4158916_2870459653">
            <w:r>
              <w:rPr>
                <w:webHidden/>
                <w:rStyle w:val="IndexLink"/>
              </w:rPr>
              <w:t>17</w:t>
            </w:r>
            <w:r>
              <w:rPr>
                <w:rStyle w:val="IndexLink"/>
                <w:rtl w:val="true"/>
              </w:rPr>
              <w:t>-</w:t>
            </w:r>
            <w:r>
              <w:rPr>
                <w:rStyle w:val="IndexLink"/>
                <w:rtl w:val="true"/>
              </w:rPr>
              <w:t>آیت الله منتظری</w:t>
            </w:r>
            <w:r>
              <w:rPr>
                <w:rStyle w:val="IndexLink"/>
                <w:rtl w:val="true"/>
              </w:rPr>
              <w:tab/>
            </w:r>
            <w:r>
              <w:rPr>
                <w:rStyle w:val="IndexLink"/>
              </w:rPr>
              <w:t>140</w:t>
            </w:r>
          </w:hyperlink>
        </w:p>
        <w:p>
          <w:pPr>
            <w:pStyle w:val="Contents4"/>
            <w:tabs>
              <w:tab w:val="clear" w:pos="8176"/>
              <w:tab w:val="right" w:pos="9026" w:leader="dot"/>
            </w:tabs>
            <w:rPr/>
          </w:pPr>
          <w:hyperlink w:anchor="__RefHeading___Toc4158918_2870459653">
            <w:r>
              <w:rPr>
                <w:webHidden/>
                <w:rStyle w:val="IndexLink"/>
              </w:rPr>
              <w:t>18</w:t>
            </w:r>
            <w:r>
              <w:rPr>
                <w:rStyle w:val="IndexLink"/>
                <w:rtl w:val="true"/>
              </w:rPr>
              <w:t>-</w:t>
            </w:r>
            <w:r>
              <w:rPr>
                <w:rStyle w:val="IndexLink"/>
                <w:rtl w:val="true"/>
              </w:rPr>
              <w:t>آیت الله سید حسین موسوی کرمانی</w:t>
            </w:r>
            <w:r>
              <w:rPr>
                <w:rStyle w:val="IndexLink"/>
                <w:rtl w:val="true"/>
              </w:rPr>
              <w:tab/>
            </w:r>
            <w:r>
              <w:rPr>
                <w:rStyle w:val="IndexLink"/>
              </w:rPr>
              <w:t>141</w:t>
            </w:r>
          </w:hyperlink>
        </w:p>
        <w:p>
          <w:pPr>
            <w:pStyle w:val="Contents5"/>
            <w:tabs>
              <w:tab w:val="clear" w:pos="7892"/>
              <w:tab w:val="right" w:pos="9026" w:leader="dot"/>
            </w:tabs>
            <w:rPr/>
          </w:pPr>
          <w:hyperlink w:anchor="__RefHeading___Toc4158920_287045965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4158922_2870459653">
            <w:r>
              <w:rPr>
                <w:webHidden/>
                <w:rStyle w:val="IndexLink"/>
                <w:rtl w:val="true"/>
              </w:rPr>
              <w:t>بررسی و تحلیل گزارش های فوق</w:t>
            </w:r>
            <w:r>
              <w:rPr>
                <w:rStyle w:val="IndexLink"/>
                <w:rtl w:val="true"/>
              </w:rPr>
              <w:tab/>
            </w:r>
            <w:r>
              <w:rPr>
                <w:rStyle w:val="IndexLink"/>
              </w:rPr>
              <w:t>142</w:t>
            </w:r>
          </w:hyperlink>
        </w:p>
        <w:p>
          <w:pPr>
            <w:pStyle w:val="Contents6"/>
            <w:tabs>
              <w:tab w:val="clear" w:pos="7609"/>
              <w:tab w:val="right" w:pos="9026" w:leader="dot"/>
            </w:tabs>
            <w:rPr/>
          </w:pPr>
          <w:hyperlink w:anchor="__RefHeading___Toc4158924_2870459653">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4158926_2870459653">
            <w:r>
              <w:rPr>
                <w:webHidden/>
                <w:rStyle w:val="IndexLink"/>
                <w:rtl w:val="true"/>
              </w:rPr>
              <w:t xml:space="preserve">نکته اول </w:t>
            </w:r>
            <w:r>
              <w:rPr>
                <w:rStyle w:val="IndexLink"/>
                <w:rtl w:val="true"/>
              </w:rPr>
              <w:t>:</w:t>
              <w:tab/>
            </w:r>
            <w:r>
              <w:rPr>
                <w:rStyle w:val="IndexLink"/>
              </w:rPr>
              <w:t>142</w:t>
            </w:r>
          </w:hyperlink>
        </w:p>
        <w:p>
          <w:pPr>
            <w:pStyle w:val="Contents6"/>
            <w:tabs>
              <w:tab w:val="clear" w:pos="7609"/>
              <w:tab w:val="right" w:pos="9026" w:leader="dot"/>
            </w:tabs>
            <w:rPr/>
          </w:pPr>
          <w:hyperlink w:anchor="__RefHeading___Toc4158928_2870459653">
            <w:r>
              <w:rPr>
                <w:webHidden/>
                <w:rStyle w:val="IndexLink"/>
                <w:rtl w:val="true"/>
              </w:rPr>
              <w:t xml:space="preserve">نکته دوم </w:t>
            </w:r>
            <w:r>
              <w:rPr>
                <w:rStyle w:val="IndexLink"/>
                <w:rtl w:val="true"/>
              </w:rPr>
              <w:t>:</w:t>
              <w:tab/>
            </w:r>
            <w:r>
              <w:rPr>
                <w:rStyle w:val="IndexLink"/>
              </w:rPr>
              <w:t>143</w:t>
            </w:r>
          </w:hyperlink>
        </w:p>
        <w:p>
          <w:pPr>
            <w:pStyle w:val="Contents6"/>
            <w:tabs>
              <w:tab w:val="clear" w:pos="7609"/>
              <w:tab w:val="right" w:pos="9026" w:leader="dot"/>
            </w:tabs>
            <w:rPr/>
          </w:pPr>
          <w:hyperlink w:anchor="__RefHeading___Toc4158930_2870459653">
            <w:r>
              <w:rPr>
                <w:webHidden/>
                <w:rStyle w:val="IndexLink"/>
                <w:rtl w:val="true"/>
              </w:rPr>
              <w:t xml:space="preserve">نکته سوم </w:t>
            </w:r>
            <w:r>
              <w:rPr>
                <w:rStyle w:val="IndexLink"/>
                <w:rtl w:val="true"/>
              </w:rPr>
              <w:t>:</w:t>
              <w:tab/>
            </w:r>
            <w:r>
              <w:rPr>
                <w:rStyle w:val="IndexLink"/>
              </w:rPr>
              <w:t>145</w:t>
            </w:r>
          </w:hyperlink>
        </w:p>
        <w:p>
          <w:pPr>
            <w:pStyle w:val="Contents6"/>
            <w:tabs>
              <w:tab w:val="clear" w:pos="7609"/>
              <w:tab w:val="right" w:pos="9026" w:leader="dot"/>
            </w:tabs>
            <w:rPr/>
          </w:pPr>
          <w:hyperlink w:anchor="__RefHeading___Toc4158932_2870459653">
            <w:r>
              <w:rPr>
                <w:webHidden/>
                <w:rStyle w:val="IndexLink"/>
                <w:rtl w:val="true"/>
              </w:rPr>
              <w:t xml:space="preserve">نکته چهارم </w:t>
            </w:r>
            <w:r>
              <w:rPr>
                <w:rStyle w:val="IndexLink"/>
                <w:rtl w:val="true"/>
              </w:rPr>
              <w:t>:</w:t>
              <w:tab/>
            </w:r>
            <w:r>
              <w:rPr>
                <w:rStyle w:val="IndexLink"/>
              </w:rPr>
              <w:t>147</w:t>
            </w:r>
          </w:hyperlink>
        </w:p>
        <w:p>
          <w:pPr>
            <w:pStyle w:val="Contents6"/>
            <w:tabs>
              <w:tab w:val="clear" w:pos="7609"/>
              <w:tab w:val="right" w:pos="9026" w:leader="dot"/>
            </w:tabs>
            <w:rPr/>
          </w:pPr>
          <w:hyperlink w:anchor="__RefHeading___Toc4158934_2870459653">
            <w:r>
              <w:rPr>
                <w:webHidden/>
                <w:rStyle w:val="IndexLink"/>
                <w:rtl w:val="true"/>
              </w:rPr>
              <w:t xml:space="preserve">نکته پنجم </w:t>
            </w:r>
            <w:r>
              <w:rPr>
                <w:rStyle w:val="IndexLink"/>
                <w:rtl w:val="true"/>
              </w:rPr>
              <w:t>:</w:t>
              <w:tab/>
            </w:r>
            <w:r>
              <w:rPr>
                <w:rStyle w:val="IndexLink"/>
              </w:rPr>
              <w:t>148</w:t>
            </w:r>
          </w:hyperlink>
        </w:p>
        <w:p>
          <w:pPr>
            <w:pStyle w:val="Contents3"/>
            <w:tabs>
              <w:tab w:val="clear" w:pos="8459"/>
              <w:tab w:val="right" w:pos="9026" w:leader="dot"/>
            </w:tabs>
            <w:rPr/>
          </w:pPr>
          <w:hyperlink w:anchor="__RefHeading___Toc4158936_2870459653">
            <w:r>
              <w:rPr>
                <w:webHidden/>
                <w:rStyle w:val="IndexLink"/>
                <w:rtl w:val="true"/>
              </w:rPr>
              <w:t>بخش دوم ؛ آشتیانی و لاله زاری و گزارش هایی متفاوت</w:t>
            </w:r>
            <w:r>
              <w:rPr>
                <w:rStyle w:val="IndexLink"/>
                <w:rtl w:val="true"/>
              </w:rPr>
              <w:tab/>
            </w:r>
            <w:r>
              <w:rPr>
                <w:rStyle w:val="IndexLink"/>
              </w:rPr>
              <w:t>149</w:t>
            </w:r>
          </w:hyperlink>
        </w:p>
        <w:p>
          <w:pPr>
            <w:pStyle w:val="Contents4"/>
            <w:tabs>
              <w:tab w:val="clear" w:pos="8176"/>
              <w:tab w:val="right" w:pos="9026" w:leader="dot"/>
            </w:tabs>
            <w:rPr/>
          </w:pPr>
          <w:hyperlink w:anchor="__RefHeading___Toc4158938_2870459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158940_2870459653">
            <w:r>
              <w:rPr>
                <w:webHidden/>
                <w:rStyle w:val="IndexLink"/>
              </w:rPr>
              <w:t>1</w:t>
            </w:r>
            <w:r>
              <w:rPr>
                <w:rStyle w:val="IndexLink"/>
                <w:rtl w:val="true"/>
              </w:rPr>
              <w:t>-</w:t>
            </w:r>
            <w:r>
              <w:rPr>
                <w:rStyle w:val="IndexLink"/>
                <w:rtl w:val="true"/>
              </w:rPr>
              <w:t>استاد سید جلال الدین آشتیانی</w:t>
            </w:r>
            <w:r>
              <w:rPr>
                <w:rStyle w:val="IndexLink"/>
                <w:rtl w:val="true"/>
              </w:rPr>
              <w:tab/>
            </w:r>
            <w:r>
              <w:rPr>
                <w:rStyle w:val="IndexLink"/>
              </w:rPr>
              <w:t>149</w:t>
            </w:r>
          </w:hyperlink>
        </w:p>
        <w:p>
          <w:pPr>
            <w:pStyle w:val="Contents5"/>
            <w:tabs>
              <w:tab w:val="clear" w:pos="7892"/>
              <w:tab w:val="right" w:pos="9026" w:leader="dot"/>
            </w:tabs>
            <w:rPr/>
          </w:pPr>
          <w:hyperlink w:anchor="__RefHeading___Toc4158942_287045965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4158944_2870459653">
            <w:r>
              <w:rPr>
                <w:webHidden/>
                <w:rStyle w:val="IndexLink"/>
                <w:rtl w:val="true"/>
              </w:rPr>
              <w:t xml:space="preserve">نکته اول </w:t>
            </w:r>
            <w:r>
              <w:rPr>
                <w:rStyle w:val="IndexLink"/>
                <w:rtl w:val="true"/>
              </w:rPr>
              <w:t>:</w:t>
              <w:tab/>
            </w:r>
            <w:r>
              <w:rPr>
                <w:rStyle w:val="IndexLink"/>
              </w:rPr>
              <w:t>151</w:t>
            </w:r>
          </w:hyperlink>
        </w:p>
        <w:p>
          <w:pPr>
            <w:pStyle w:val="Contents5"/>
            <w:tabs>
              <w:tab w:val="clear" w:pos="7892"/>
              <w:tab w:val="right" w:pos="9026" w:leader="dot"/>
            </w:tabs>
            <w:rPr/>
          </w:pPr>
          <w:hyperlink w:anchor="__RefHeading___Toc4158946_2870459653">
            <w:r>
              <w:rPr>
                <w:webHidden/>
                <w:rStyle w:val="IndexLink"/>
                <w:rtl w:val="true"/>
              </w:rPr>
              <w:t xml:space="preserve">نکته دوم </w:t>
            </w:r>
            <w:r>
              <w:rPr>
                <w:rStyle w:val="IndexLink"/>
                <w:rtl w:val="true"/>
              </w:rPr>
              <w:t>:</w:t>
              <w:tab/>
            </w:r>
            <w:r>
              <w:rPr>
                <w:rStyle w:val="IndexLink"/>
              </w:rPr>
              <w:t>151</w:t>
            </w:r>
          </w:hyperlink>
        </w:p>
        <w:p>
          <w:pPr>
            <w:pStyle w:val="Contents5"/>
            <w:tabs>
              <w:tab w:val="clear" w:pos="7892"/>
              <w:tab w:val="right" w:pos="9026" w:leader="dot"/>
            </w:tabs>
            <w:rPr/>
          </w:pPr>
          <w:hyperlink w:anchor="__RefHeading___Toc4158948_2870459653">
            <w:r>
              <w:rPr>
                <w:webHidden/>
                <w:rStyle w:val="IndexLink"/>
                <w:rtl w:val="true"/>
              </w:rPr>
              <w:t xml:space="preserve">نکته سوم </w:t>
            </w:r>
            <w:r>
              <w:rPr>
                <w:rStyle w:val="IndexLink"/>
                <w:rtl w:val="true"/>
              </w:rPr>
              <w:t>:</w:t>
              <w:tab/>
            </w:r>
            <w:r>
              <w:rPr>
                <w:rStyle w:val="IndexLink"/>
              </w:rPr>
              <w:t>152</w:t>
            </w:r>
          </w:hyperlink>
        </w:p>
        <w:p>
          <w:pPr>
            <w:pStyle w:val="Contents5"/>
            <w:tabs>
              <w:tab w:val="clear" w:pos="7892"/>
              <w:tab w:val="right" w:pos="9026" w:leader="dot"/>
            </w:tabs>
            <w:rPr/>
          </w:pPr>
          <w:hyperlink w:anchor="__RefHeading___Toc4158950_2870459653">
            <w:r>
              <w:rPr>
                <w:webHidden/>
                <w:rStyle w:val="IndexLink"/>
                <w:rtl w:val="true"/>
              </w:rPr>
              <w:t xml:space="preserve">نکته چهارم </w:t>
            </w:r>
            <w:r>
              <w:rPr>
                <w:rStyle w:val="IndexLink"/>
                <w:rtl w:val="true"/>
              </w:rPr>
              <w:t>:</w:t>
              <w:tab/>
            </w:r>
            <w:r>
              <w:rPr>
                <w:rStyle w:val="IndexLink"/>
              </w:rPr>
              <w:t>152</w:t>
            </w:r>
          </w:hyperlink>
        </w:p>
        <w:p>
          <w:pPr>
            <w:pStyle w:val="Contents4"/>
            <w:tabs>
              <w:tab w:val="clear" w:pos="8176"/>
              <w:tab w:val="right" w:pos="9026" w:leader="dot"/>
            </w:tabs>
            <w:rPr/>
          </w:pPr>
          <w:hyperlink w:anchor="__RefHeading___Toc4158952_2870459653">
            <w:r>
              <w:rPr>
                <w:webHidden/>
                <w:rStyle w:val="IndexLink"/>
              </w:rPr>
              <w:t>2</w:t>
            </w:r>
            <w:r>
              <w:rPr>
                <w:rStyle w:val="IndexLink"/>
                <w:rtl w:val="true"/>
              </w:rPr>
              <w:t>-</w:t>
            </w:r>
            <w:r>
              <w:rPr>
                <w:rStyle w:val="IndexLink"/>
                <w:rtl w:val="true"/>
              </w:rPr>
              <w:t>سید محمد حسین طهرانی و وابستگان</w:t>
            </w:r>
            <w:r>
              <w:rPr>
                <w:rStyle w:val="IndexLink"/>
                <w:rtl w:val="true"/>
              </w:rPr>
              <w:tab/>
            </w:r>
            <w:r>
              <w:rPr>
                <w:rStyle w:val="IndexLink"/>
              </w:rPr>
              <w:t>153</w:t>
            </w:r>
          </w:hyperlink>
        </w:p>
        <w:p>
          <w:pPr>
            <w:pStyle w:val="Contents5"/>
            <w:tabs>
              <w:tab w:val="clear" w:pos="7892"/>
              <w:tab w:val="right" w:pos="9026" w:leader="dot"/>
            </w:tabs>
            <w:rPr/>
          </w:pPr>
          <w:hyperlink w:anchor="__RefHeading___Toc4158954_287045965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4158956_2870459653">
            <w:r>
              <w:rPr>
                <w:webHidden/>
                <w:rStyle w:val="IndexLink"/>
                <w:rtl w:val="true"/>
              </w:rPr>
              <w:t>بررسی</w:t>
            </w:r>
            <w:r>
              <w:rPr>
                <w:rStyle w:val="IndexLink"/>
                <w:rtl w:val="true"/>
              </w:rPr>
              <w:tab/>
            </w:r>
            <w:r>
              <w:rPr>
                <w:rStyle w:val="IndexLink"/>
              </w:rPr>
              <w:t>155</w:t>
            </w:r>
          </w:hyperlink>
        </w:p>
        <w:p>
          <w:pPr>
            <w:pStyle w:val="Contents5"/>
            <w:tabs>
              <w:tab w:val="clear" w:pos="7892"/>
              <w:tab w:val="right" w:pos="9026" w:leader="dot"/>
            </w:tabs>
            <w:rPr/>
          </w:pPr>
          <w:hyperlink w:anchor="__RefHeading___Toc4158958_2870459653">
            <w:r>
              <w:rPr>
                <w:webHidden/>
                <w:rStyle w:val="IndexLink"/>
                <w:rtl w:val="true"/>
              </w:rPr>
              <w:t xml:space="preserve">بررسی </w:t>
            </w:r>
            <w:r>
              <w:rPr>
                <w:rStyle w:val="IndexLink"/>
                <w:rtl w:val="true"/>
              </w:rPr>
              <w:t>:</w:t>
              <w:tab/>
            </w:r>
            <w:r>
              <w:rPr>
                <w:rStyle w:val="IndexLink"/>
              </w:rPr>
              <w:t>157</w:t>
            </w:r>
          </w:hyperlink>
        </w:p>
        <w:p>
          <w:pPr>
            <w:pStyle w:val="Contents5"/>
            <w:tabs>
              <w:tab w:val="clear" w:pos="7892"/>
              <w:tab w:val="right" w:pos="9026" w:leader="dot"/>
            </w:tabs>
            <w:rPr/>
          </w:pPr>
          <w:hyperlink w:anchor="__RefHeading___Toc4158960_2870459653">
            <w:r>
              <w:rPr>
                <w:webHidden/>
                <w:rStyle w:val="IndexLink"/>
                <w:rtl w:val="true"/>
              </w:rPr>
              <w:t>فرجامین سخن</w:t>
            </w:r>
            <w:r>
              <w:rPr>
                <w:rStyle w:val="IndexLink"/>
                <w:rtl w:val="true"/>
              </w:rPr>
              <w:tab/>
            </w:r>
            <w:r>
              <w:rPr>
                <w:rStyle w:val="IndexLink"/>
              </w:rPr>
              <w:t>159</w:t>
            </w:r>
          </w:hyperlink>
        </w:p>
        <w:p>
          <w:pPr>
            <w:pStyle w:val="Contents6"/>
            <w:tabs>
              <w:tab w:val="clear" w:pos="7609"/>
              <w:tab w:val="right" w:pos="9026" w:leader="dot"/>
            </w:tabs>
            <w:rPr/>
          </w:pPr>
          <w:hyperlink w:anchor="__RefHeading___Toc4158962_2870459653">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4158964_2870459653">
            <w:r>
              <w:rPr>
                <w:webHidden/>
                <w:rStyle w:val="IndexLink"/>
                <w:rtl w:val="true"/>
              </w:rPr>
              <w:t xml:space="preserve">نمونه اول </w:t>
            </w:r>
            <w:r>
              <w:rPr>
                <w:rStyle w:val="IndexLink"/>
                <w:rtl w:val="true"/>
              </w:rPr>
              <w:t xml:space="preserve">: </w:t>
            </w:r>
            <w:r>
              <w:rPr>
                <w:rStyle w:val="IndexLink"/>
                <w:rtl w:val="true"/>
              </w:rPr>
              <w:t xml:space="preserve">پروفسور دینانی گفته است </w:t>
            </w:r>
            <w:r>
              <w:rPr>
                <w:rStyle w:val="IndexLink"/>
                <w:rtl w:val="true"/>
              </w:rPr>
              <w:t>:</w:t>
              <w:tab/>
            </w:r>
            <w:r>
              <w:rPr>
                <w:rStyle w:val="IndexLink"/>
              </w:rPr>
              <w:t>161</w:t>
            </w:r>
          </w:hyperlink>
        </w:p>
        <w:p>
          <w:pPr>
            <w:pStyle w:val="Contents6"/>
            <w:tabs>
              <w:tab w:val="clear" w:pos="7609"/>
              <w:tab w:val="right" w:pos="9026" w:leader="dot"/>
            </w:tabs>
            <w:rPr/>
          </w:pPr>
          <w:hyperlink w:anchor="__RefHeading___Toc4158966_2870459653">
            <w:r>
              <w:rPr>
                <w:webHidden/>
                <w:rStyle w:val="IndexLink"/>
                <w:rtl w:val="true"/>
              </w:rPr>
              <w:t xml:space="preserve">نمونه دوم </w:t>
            </w:r>
            <w:r>
              <w:rPr>
                <w:rStyle w:val="IndexLink"/>
                <w:rtl w:val="true"/>
              </w:rPr>
              <w:t xml:space="preserve">: </w:t>
            </w:r>
            <w:r>
              <w:rPr>
                <w:rStyle w:val="IndexLink"/>
                <w:rtl w:val="true"/>
              </w:rPr>
              <w:t>آقای محمد حسین لاله زاری طهرانی ، شخصیتی است که در آغاز جوانی مدعی اجتهاد بوده</w:t>
            </w:r>
            <w:r>
              <w:rPr>
                <w:rStyle w:val="IndexLink"/>
                <w:rtl w:val="true"/>
              </w:rPr>
              <w:tab/>
            </w:r>
            <w:r>
              <w:rPr>
                <w:rStyle w:val="IndexLink"/>
              </w:rPr>
              <w:t>162</w:t>
            </w:r>
          </w:hyperlink>
        </w:p>
        <w:p>
          <w:pPr>
            <w:pStyle w:val="Contents6"/>
            <w:tabs>
              <w:tab w:val="clear" w:pos="7609"/>
              <w:tab w:val="right" w:pos="9026" w:leader="dot"/>
            </w:tabs>
            <w:rPr/>
          </w:pPr>
          <w:hyperlink w:anchor="__RefHeading___Toc4158968_2870459653">
            <w:r>
              <w:rPr>
                <w:webHidden/>
                <w:rStyle w:val="IndexLink"/>
                <w:rtl w:val="true"/>
              </w:rPr>
              <w:t>اشاره</w:t>
            </w:r>
            <w:r>
              <w:rPr>
                <w:rStyle w:val="IndexLink"/>
                <w:rtl w:val="true"/>
              </w:rPr>
              <w:tab/>
            </w:r>
            <w:r>
              <w:rPr>
                <w:rStyle w:val="IndexLink"/>
              </w:rPr>
              <w:t>162</w:t>
            </w:r>
          </w:hyperlink>
        </w:p>
        <w:p>
          <w:pPr>
            <w:pStyle w:val="Contents2"/>
            <w:tabs>
              <w:tab w:val="clear" w:pos="8743"/>
              <w:tab w:val="right" w:pos="9026" w:leader="dot"/>
            </w:tabs>
            <w:rPr/>
          </w:pPr>
          <w:hyperlink w:anchor="__RefHeading___Toc4158970_2870459653">
            <w:r>
              <w:rPr>
                <w:webHidden/>
                <w:rStyle w:val="IndexLink"/>
                <w:rtl w:val="true"/>
              </w:rPr>
              <w:t>فهرست منابع</w:t>
            </w:r>
            <w:r>
              <w:rPr>
                <w:rStyle w:val="IndexLink"/>
                <w:rtl w:val="true"/>
              </w:rPr>
              <w:tab/>
            </w:r>
            <w:r>
              <w:rPr>
                <w:rStyle w:val="IndexLink"/>
              </w:rPr>
              <w:t>165</w:t>
            </w:r>
          </w:hyperlink>
        </w:p>
        <w:p>
          <w:pPr>
            <w:pStyle w:val="Contents3"/>
            <w:tabs>
              <w:tab w:val="clear" w:pos="8459"/>
              <w:tab w:val="right" w:pos="9026" w:leader="dot"/>
            </w:tabs>
            <w:rPr/>
          </w:pPr>
          <w:hyperlink w:anchor="__RefHeading___Toc4158972_2870459653">
            <w:r>
              <w:rPr>
                <w:webHidden/>
                <w:rStyle w:val="IndexLink"/>
                <w:rtl w:val="true"/>
              </w:rPr>
              <w:t>الف</w:t>
            </w:r>
            <w:r>
              <w:rPr>
                <w:rStyle w:val="IndexLink"/>
                <w:rtl w:val="true"/>
              </w:rPr>
              <w:t>)</w:t>
            </w:r>
            <w:r>
              <w:rPr>
                <w:rStyle w:val="IndexLink"/>
                <w:rtl w:val="true"/>
              </w:rPr>
              <w:t xml:space="preserve">کتاب ها </w:t>
            </w:r>
            <w:r>
              <w:rPr>
                <w:rStyle w:val="IndexLink"/>
                <w:rtl w:val="true"/>
              </w:rPr>
              <w:t>:</w:t>
              <w:tab/>
            </w:r>
            <w:r>
              <w:rPr>
                <w:rStyle w:val="IndexLink"/>
              </w:rPr>
              <w:t>165</w:t>
            </w:r>
          </w:hyperlink>
        </w:p>
        <w:p>
          <w:pPr>
            <w:pStyle w:val="Contents3"/>
            <w:tabs>
              <w:tab w:val="clear" w:pos="8459"/>
              <w:tab w:val="right" w:pos="9026" w:leader="dot"/>
            </w:tabs>
            <w:rPr/>
          </w:pPr>
          <w:hyperlink w:anchor="__RefHeading___Toc4158974_2870459653">
            <w:r>
              <w:rPr>
                <w:webHidden/>
                <w:rStyle w:val="IndexLink"/>
                <w:rtl w:val="true"/>
              </w:rPr>
              <w:t>ب</w:t>
            </w:r>
            <w:r>
              <w:rPr>
                <w:rStyle w:val="IndexLink"/>
                <w:rtl w:val="true"/>
              </w:rPr>
              <w:t>)</w:t>
            </w:r>
            <w:r>
              <w:rPr>
                <w:rStyle w:val="IndexLink"/>
                <w:rtl w:val="true"/>
              </w:rPr>
              <w:t xml:space="preserve">مقالات </w:t>
            </w:r>
            <w:r>
              <w:rPr>
                <w:rStyle w:val="IndexLink"/>
                <w:rtl w:val="true"/>
              </w:rPr>
              <w:t>:</w:t>
              <w:tab/>
            </w:r>
            <w:r>
              <w:rPr>
                <w:rStyle w:val="IndexLink"/>
              </w:rPr>
              <w:t>167</w:t>
            </w:r>
          </w:hyperlink>
        </w:p>
        <w:p>
          <w:pPr>
            <w:pStyle w:val="Contents3"/>
            <w:tabs>
              <w:tab w:val="clear" w:pos="8459"/>
              <w:tab w:val="right" w:pos="9026" w:leader="dot"/>
            </w:tabs>
            <w:rPr/>
          </w:pPr>
          <w:hyperlink w:anchor="__RefHeading___Toc4158976_2870459653">
            <w:r>
              <w:rPr>
                <w:webHidden/>
                <w:rStyle w:val="IndexLink"/>
                <w:rtl w:val="true"/>
              </w:rPr>
              <w:t>ج</w:t>
            </w:r>
            <w:r>
              <w:rPr>
                <w:rStyle w:val="IndexLink"/>
                <w:rtl w:val="true"/>
              </w:rPr>
              <w:t>)</w:t>
            </w:r>
            <w:r>
              <w:rPr>
                <w:rStyle w:val="IndexLink"/>
                <w:rtl w:val="true"/>
              </w:rPr>
              <w:t>مصاحبه ها</w:t>
            </w:r>
            <w:r>
              <w:rPr>
                <w:rStyle w:val="IndexLink"/>
                <w:rtl w:val="true"/>
              </w:rPr>
              <w:tab/>
            </w:r>
            <w:r>
              <w:rPr>
                <w:rStyle w:val="IndexLink"/>
              </w:rPr>
              <w:t>167</w:t>
            </w:r>
          </w:hyperlink>
        </w:p>
        <w:p>
          <w:pPr>
            <w:pStyle w:val="Contents3"/>
            <w:tabs>
              <w:tab w:val="clear" w:pos="8459"/>
              <w:tab w:val="right" w:pos="9026" w:leader="dot"/>
            </w:tabs>
            <w:rPr/>
          </w:pPr>
          <w:hyperlink w:anchor="__RefHeading___Toc4158978_2870459653">
            <w:r>
              <w:rPr>
                <w:webHidden/>
                <w:rStyle w:val="IndexLink"/>
                <w:rtl w:val="true"/>
              </w:rPr>
              <w:t>د</w:t>
            </w:r>
            <w:r>
              <w:rPr>
                <w:rStyle w:val="IndexLink"/>
                <w:rtl w:val="true"/>
              </w:rPr>
              <w:t>)</w:t>
            </w:r>
            <w:r>
              <w:rPr>
                <w:rStyle w:val="IndexLink"/>
                <w:rtl w:val="true"/>
              </w:rPr>
              <w:t xml:space="preserve">سخنرانی ها </w:t>
            </w:r>
            <w:r>
              <w:rPr>
                <w:rStyle w:val="IndexLink"/>
                <w:rtl w:val="true"/>
              </w:rPr>
              <w:t>:</w:t>
              <w:tab/>
            </w:r>
            <w:r>
              <w:rPr>
                <w:rStyle w:val="IndexLink"/>
              </w:rPr>
              <w:t>168</w:t>
            </w:r>
          </w:hyperlink>
        </w:p>
        <w:p>
          <w:pPr>
            <w:pStyle w:val="Contents3"/>
            <w:tabs>
              <w:tab w:val="clear" w:pos="8459"/>
              <w:tab w:val="right" w:pos="9026" w:leader="dot"/>
            </w:tabs>
            <w:rPr/>
          </w:pPr>
          <w:hyperlink w:anchor="__RefHeading___Toc4158980_2870459653">
            <w:r>
              <w:rPr>
                <w:webHidden/>
                <w:rStyle w:val="IndexLink"/>
                <w:rtl w:val="true"/>
              </w:rPr>
              <w:t>ه</w:t>
            </w:r>
            <w:r>
              <w:rPr>
                <w:rStyle w:val="IndexLink"/>
                <w:rtl w:val="true"/>
              </w:rPr>
              <w:t>)</w:t>
            </w:r>
            <w:r>
              <w:rPr>
                <w:rStyle w:val="IndexLink"/>
                <w:rtl w:val="true"/>
              </w:rPr>
              <w:t xml:space="preserve">پایگاه های اینترنتی </w:t>
            </w:r>
            <w:r>
              <w:rPr>
                <w:rStyle w:val="IndexLink"/>
                <w:rtl w:val="true"/>
              </w:rPr>
              <w:t>:</w:t>
              <w:tab/>
            </w:r>
            <w:r>
              <w:rPr>
                <w:rStyle w:val="IndexLink"/>
              </w:rPr>
              <w:t>168</w:t>
            </w:r>
          </w:hyperlink>
        </w:p>
        <w:p>
          <w:pPr>
            <w:pStyle w:val="Contents2"/>
            <w:tabs>
              <w:tab w:val="clear" w:pos="8743"/>
              <w:tab w:val="right" w:pos="9026" w:leader="dot"/>
            </w:tabs>
            <w:rPr/>
          </w:pPr>
          <w:hyperlink w:anchor="__RefHeading___Toc4158982_2870459653">
            <w:r>
              <w:rPr>
                <w:webHidden/>
                <w:rStyle w:val="IndexLink"/>
                <w:rtl w:val="true"/>
              </w:rPr>
              <w:t xml:space="preserve">نقد یک پندار </w:t>
            </w:r>
            <w:r>
              <w:rPr>
                <w:rStyle w:val="IndexLink"/>
                <w:rtl w:val="true"/>
              </w:rPr>
              <w:t>:</w:t>
              <w:tab/>
            </w:r>
            <w:r>
              <w:rPr>
                <w:rStyle w:val="IndexLink"/>
              </w:rPr>
              <w:t>169</w:t>
            </w:r>
          </w:hyperlink>
        </w:p>
        <w:p>
          <w:pPr>
            <w:pStyle w:val="Contents3"/>
            <w:tabs>
              <w:tab w:val="clear" w:pos="8459"/>
              <w:tab w:val="right" w:pos="9026" w:leader="dot"/>
            </w:tabs>
            <w:rPr/>
          </w:pPr>
          <w:hyperlink w:anchor="__RefHeading___Toc4158984_2870459653">
            <w:r>
              <w:rPr>
                <w:webHidden/>
                <w:rStyle w:val="IndexLink"/>
                <w:rtl w:val="true"/>
              </w:rPr>
              <w:t>[</w:t>
            </w:r>
            <w:r>
              <w:rPr>
                <w:rStyle w:val="IndexLink"/>
                <w:rtl w:val="true"/>
              </w:rPr>
              <w:t>پاسخ گو بودن فلسفه صدرایی به شبهات مادیین</w:t>
            </w:r>
            <w:r>
              <w:rPr>
                <w:rStyle w:val="IndexLink"/>
                <w:rtl w:val="true"/>
              </w:rPr>
              <w:t>]</w:t>
              <w:tab/>
            </w:r>
            <w:r>
              <w:rPr>
                <w:rStyle w:val="IndexLink"/>
              </w:rPr>
              <w:t>169</w:t>
            </w:r>
          </w:hyperlink>
        </w:p>
        <w:p>
          <w:pPr>
            <w:pStyle w:val="Contents3"/>
            <w:tabs>
              <w:tab w:val="clear" w:pos="8459"/>
              <w:tab w:val="right" w:pos="9026" w:leader="dot"/>
            </w:tabs>
            <w:rPr/>
          </w:pPr>
          <w:hyperlink w:anchor="__RefHeading___Toc4158986_2870459653">
            <w:r>
              <w:rPr>
                <w:webHidden/>
                <w:rStyle w:val="IndexLink"/>
                <w:rtl w:val="true"/>
              </w:rPr>
              <w:t>نقد بداية الحكمة</w:t>
            </w:r>
            <w:r>
              <w:rPr>
                <w:rStyle w:val="IndexLink"/>
                <w:rtl w:val="true"/>
              </w:rPr>
              <w:tab/>
            </w:r>
            <w:r>
              <w:rPr>
                <w:rStyle w:val="IndexLink"/>
              </w:rPr>
              <w:t>173</w:t>
            </w:r>
          </w:hyperlink>
        </w:p>
        <w:p>
          <w:pPr>
            <w:pStyle w:val="Contents3"/>
            <w:tabs>
              <w:tab w:val="clear" w:pos="8459"/>
              <w:tab w:val="right" w:pos="9026" w:leader="dot"/>
            </w:tabs>
            <w:rPr/>
          </w:pPr>
          <w:hyperlink w:anchor="__RefHeading___Toc4158988_2870459653">
            <w:r>
              <w:rPr>
                <w:webHidden/>
                <w:rStyle w:val="IndexLink"/>
                <w:rtl w:val="true"/>
              </w:rPr>
              <w:t>«</w:t>
            </w:r>
            <w:r>
              <w:rPr>
                <w:rStyle w:val="IndexLink"/>
                <w:rtl w:val="true"/>
              </w:rPr>
              <w:t>تقریرات درس استاد سید قاسم علی احمدی</w:t>
            </w:r>
            <w:r>
              <w:rPr>
                <w:rStyle w:val="IndexLink"/>
                <w:rtl w:val="true"/>
              </w:rPr>
              <w:t>» (</w:t>
            </w:r>
            <w:r>
              <w:rPr>
                <w:rStyle w:val="IndexLink"/>
                <w:rtl w:val="true"/>
              </w:rPr>
              <w:t>جلسه پنجم</w:t>
            </w:r>
            <w:r>
              <w:rPr>
                <w:rStyle w:val="IndexLink"/>
                <w:rtl w:val="true"/>
              </w:rPr>
              <w:t>)</w:t>
              <w:tab/>
            </w:r>
            <w:r>
              <w:rPr>
                <w:rStyle w:val="IndexLink"/>
              </w:rPr>
              <w:t>173</w:t>
            </w:r>
          </w:hyperlink>
        </w:p>
        <w:p>
          <w:pPr>
            <w:pStyle w:val="Contents2"/>
            <w:tabs>
              <w:tab w:val="clear" w:pos="8743"/>
              <w:tab w:val="right" w:pos="9026" w:leader="dot"/>
            </w:tabs>
            <w:rPr/>
          </w:pPr>
          <w:hyperlink w:anchor="__RefHeading___Toc4158990_2870459653">
            <w:r>
              <w:rPr>
                <w:webHidden/>
                <w:rStyle w:val="IndexLink"/>
                <w:rtl w:val="true"/>
              </w:rPr>
              <w:t xml:space="preserve">تنظیم و تدوین </w:t>
            </w:r>
            <w:r>
              <w:rPr>
                <w:rStyle w:val="IndexLink"/>
                <w:rtl w:val="true"/>
              </w:rPr>
              <w:t xml:space="preserve">: </w:t>
            </w:r>
            <w:r>
              <w:rPr>
                <w:rStyle w:val="IndexLink"/>
                <w:rtl w:val="true"/>
              </w:rPr>
              <w:t>حجت الاسلام جواد عبدی</w:t>
            </w:r>
            <w:r>
              <w:rPr>
                <w:rStyle w:val="IndexLink"/>
                <w:rtl w:val="true"/>
              </w:rPr>
              <w:tab/>
            </w:r>
            <w:r>
              <w:rPr>
                <w:rStyle w:val="IndexLink"/>
              </w:rPr>
              <w:t>173</w:t>
            </w:r>
          </w:hyperlink>
        </w:p>
        <w:p>
          <w:pPr>
            <w:pStyle w:val="Contents3"/>
            <w:tabs>
              <w:tab w:val="clear" w:pos="8459"/>
              <w:tab w:val="right" w:pos="9026" w:leader="dot"/>
            </w:tabs>
            <w:rPr/>
          </w:pPr>
          <w:hyperlink w:anchor="__RefHeading___Toc4158992_2870459653">
            <w:r>
              <w:rPr>
                <w:webHidden/>
                <w:rStyle w:val="IndexLink"/>
                <w:rtl w:val="true"/>
              </w:rPr>
              <w:t xml:space="preserve">چکیده </w:t>
            </w:r>
            <w:r>
              <w:rPr>
                <w:rStyle w:val="IndexLink"/>
                <w:rtl w:val="true"/>
              </w:rPr>
              <w:t>:</w:t>
              <w:tab/>
            </w:r>
            <w:r>
              <w:rPr>
                <w:rStyle w:val="IndexLink"/>
              </w:rPr>
              <w:t>173</w:t>
            </w:r>
          </w:hyperlink>
        </w:p>
        <w:p>
          <w:pPr>
            <w:pStyle w:val="Contents3"/>
            <w:tabs>
              <w:tab w:val="clear" w:pos="8459"/>
              <w:tab w:val="right" w:pos="9026" w:leader="dot"/>
            </w:tabs>
            <w:rPr/>
          </w:pPr>
          <w:hyperlink w:anchor="__RefHeading___Toc4158994_2870459653">
            <w:r>
              <w:rPr>
                <w:webHidden/>
                <w:rStyle w:val="IndexLink"/>
                <w:rtl w:val="true"/>
              </w:rPr>
              <w:t xml:space="preserve">هستی و چیستی </w:t>
            </w:r>
            <w:r>
              <w:rPr>
                <w:rStyle w:val="IndexLink"/>
                <w:rtl w:val="true"/>
              </w:rPr>
              <w:t>:</w:t>
              <w:tab/>
            </w:r>
            <w:r>
              <w:rPr>
                <w:rStyle w:val="IndexLink"/>
              </w:rPr>
              <w:t>174</w:t>
            </w:r>
          </w:hyperlink>
        </w:p>
        <w:p>
          <w:pPr>
            <w:pStyle w:val="Contents3"/>
            <w:tabs>
              <w:tab w:val="clear" w:pos="8459"/>
              <w:tab w:val="right" w:pos="9026" w:leader="dot"/>
            </w:tabs>
            <w:rPr/>
          </w:pPr>
          <w:hyperlink w:anchor="__RefHeading___Toc4158996_2870459653">
            <w:r>
              <w:rPr>
                <w:webHidden/>
                <w:rStyle w:val="IndexLink"/>
                <w:rtl w:val="true"/>
              </w:rPr>
              <w:t>اشیاء خارجی مصداق چه مفهومی هستند ؟</w:t>
            </w:r>
            <w:r>
              <w:rPr>
                <w:rStyle w:val="IndexLink"/>
                <w:rtl w:val="true"/>
              </w:rPr>
              <w:tab/>
            </w:r>
            <w:r>
              <w:rPr>
                <w:rStyle w:val="IndexLink"/>
              </w:rPr>
              <w:t>174</w:t>
            </w:r>
          </w:hyperlink>
        </w:p>
        <w:p>
          <w:pPr>
            <w:pStyle w:val="Contents3"/>
            <w:tabs>
              <w:tab w:val="clear" w:pos="8459"/>
              <w:tab w:val="right" w:pos="9026" w:leader="dot"/>
            </w:tabs>
            <w:rPr/>
          </w:pPr>
          <w:hyperlink w:anchor="__RefHeading___Toc4158998_2870459653">
            <w:r>
              <w:rPr>
                <w:webHidden/>
                <w:rStyle w:val="IndexLink"/>
                <w:rtl w:val="true"/>
              </w:rPr>
              <w:t xml:space="preserve">اصالت نه با ماهیت است نه با وجود </w:t>
            </w:r>
            <w:r>
              <w:rPr>
                <w:rStyle w:val="IndexLink"/>
                <w:rtl w:val="true"/>
              </w:rPr>
              <w:t>:</w:t>
              <w:tab/>
            </w:r>
            <w:r>
              <w:rPr>
                <w:rStyle w:val="IndexLink"/>
              </w:rPr>
              <w:t>175</w:t>
            </w:r>
          </w:hyperlink>
        </w:p>
        <w:p>
          <w:pPr>
            <w:pStyle w:val="Contents3"/>
            <w:tabs>
              <w:tab w:val="clear" w:pos="8459"/>
              <w:tab w:val="right" w:pos="9026" w:leader="dot"/>
            </w:tabs>
            <w:rPr/>
          </w:pPr>
          <w:hyperlink w:anchor="__RefHeading___Toc4159000_2870459653">
            <w:r>
              <w:rPr>
                <w:webHidden/>
                <w:rStyle w:val="IndexLink"/>
                <w:rtl w:val="true"/>
              </w:rPr>
              <w:t xml:space="preserve">سخن مؤلف تحت عنوان اصیل بودن وجود و اعتباری بودن ماهیت </w:t>
            </w:r>
            <w:r>
              <w:rPr>
                <w:rStyle w:val="IndexLink"/>
                <w:rtl w:val="true"/>
              </w:rPr>
              <w:t>:</w:t>
              <w:tab/>
            </w:r>
            <w:r>
              <w:rPr>
                <w:rStyle w:val="IndexLink"/>
              </w:rPr>
              <w:t>177</w:t>
            </w:r>
          </w:hyperlink>
        </w:p>
        <w:p>
          <w:pPr>
            <w:pStyle w:val="Contents3"/>
            <w:tabs>
              <w:tab w:val="clear" w:pos="8459"/>
              <w:tab w:val="right" w:pos="9026" w:leader="dot"/>
            </w:tabs>
            <w:rPr/>
          </w:pPr>
          <w:hyperlink w:anchor="__RefHeading___Toc4159002_2870459653">
            <w:r>
              <w:rPr>
                <w:webHidden/>
                <w:rStyle w:val="IndexLink"/>
                <w:rtl w:val="true"/>
              </w:rPr>
              <w:t xml:space="preserve">مهمترین دلیل مؤلف براصالة الوجود </w:t>
            </w:r>
            <w:r>
              <w:rPr>
                <w:rStyle w:val="IndexLink"/>
                <w:rtl w:val="true"/>
              </w:rPr>
              <w:t>:</w:t>
              <w:tab/>
            </w:r>
            <w:r>
              <w:rPr>
                <w:rStyle w:val="IndexLink"/>
              </w:rPr>
              <w:t>178</w:t>
            </w:r>
          </w:hyperlink>
        </w:p>
        <w:p>
          <w:pPr>
            <w:pStyle w:val="Contents3"/>
            <w:tabs>
              <w:tab w:val="clear" w:pos="8459"/>
              <w:tab w:val="right" w:pos="9026" w:leader="dot"/>
            </w:tabs>
            <w:rPr/>
          </w:pPr>
          <w:hyperlink w:anchor="__RefHeading___Toc4159004_2870459653">
            <w:r>
              <w:rPr>
                <w:webHidden/>
                <w:rStyle w:val="IndexLink"/>
                <w:rtl w:val="true"/>
              </w:rPr>
              <w:t xml:space="preserve">تقریر اولین برهان مولف براثبات اصالت وجود </w:t>
            </w:r>
            <w:r>
              <w:rPr>
                <w:rStyle w:val="IndexLink"/>
                <w:rtl w:val="true"/>
              </w:rPr>
              <w:t>:</w:t>
              <w:tab/>
            </w:r>
            <w:r>
              <w:rPr>
                <w:rStyle w:val="IndexLink"/>
              </w:rPr>
              <w:t>179</w:t>
            </w:r>
          </w:hyperlink>
        </w:p>
        <w:p>
          <w:pPr>
            <w:pStyle w:val="Contents3"/>
            <w:tabs>
              <w:tab w:val="clear" w:pos="8459"/>
              <w:tab w:val="right" w:pos="9026" w:leader="dot"/>
            </w:tabs>
            <w:rPr/>
          </w:pPr>
          <w:hyperlink w:anchor="__RefHeading___Toc4159006_2870459653">
            <w:r>
              <w:rPr>
                <w:webHidden/>
                <w:rStyle w:val="IndexLink"/>
                <w:rtl w:val="true"/>
              </w:rPr>
              <w:t>نقد و رد دلیل</w:t>
            </w:r>
            <w:r>
              <w:rPr>
                <w:rStyle w:val="IndexLink"/>
                <w:rtl w:val="true"/>
              </w:rPr>
              <w:tab/>
            </w:r>
            <w:r>
              <w:rPr>
                <w:rStyle w:val="IndexLink"/>
              </w:rPr>
              <w:t>179</w:t>
            </w:r>
          </w:hyperlink>
        </w:p>
        <w:p>
          <w:pPr>
            <w:pStyle w:val="Contents4"/>
            <w:tabs>
              <w:tab w:val="clear" w:pos="8176"/>
              <w:tab w:val="right" w:pos="9026" w:leader="dot"/>
            </w:tabs>
            <w:rPr/>
          </w:pPr>
          <w:hyperlink w:anchor="__RefHeading___Toc4159008_2870459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159010_2870459653">
            <w:r>
              <w:rPr>
                <w:webHidden/>
                <w:rStyle w:val="IndexLink"/>
                <w:rtl w:val="true"/>
              </w:rPr>
              <w:t xml:space="preserve">اشکال اول </w:t>
            </w:r>
            <w:r>
              <w:rPr>
                <w:rStyle w:val="IndexLink"/>
                <w:rtl w:val="true"/>
              </w:rPr>
              <w:t>:</w:t>
              <w:tab/>
            </w:r>
            <w:r>
              <w:rPr>
                <w:rStyle w:val="IndexLink"/>
              </w:rPr>
              <w:t>180</w:t>
            </w:r>
          </w:hyperlink>
        </w:p>
        <w:p>
          <w:pPr>
            <w:pStyle w:val="Contents5"/>
            <w:tabs>
              <w:tab w:val="clear" w:pos="7892"/>
              <w:tab w:val="right" w:pos="9026" w:leader="dot"/>
            </w:tabs>
            <w:rPr/>
          </w:pPr>
          <w:hyperlink w:anchor="__RefHeading___Toc4159012_2870459653">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4159014_2870459653">
            <w:r>
              <w:rPr>
                <w:webHidden/>
                <w:rStyle w:val="IndexLink"/>
                <w:rtl w:val="true"/>
              </w:rPr>
              <w:t xml:space="preserve">طرح اشکال بر دلیل اول و پاسخ آن توسط مؤلف </w:t>
            </w:r>
            <w:r>
              <w:rPr>
                <w:rStyle w:val="IndexLink"/>
                <w:rtl w:val="true"/>
              </w:rPr>
              <w:t>:</w:t>
              <w:tab/>
            </w:r>
            <w:r>
              <w:rPr>
                <w:rStyle w:val="IndexLink"/>
              </w:rPr>
              <w:t>180</w:t>
            </w:r>
          </w:hyperlink>
        </w:p>
        <w:p>
          <w:pPr>
            <w:pStyle w:val="Contents5"/>
            <w:tabs>
              <w:tab w:val="clear" w:pos="7892"/>
              <w:tab w:val="right" w:pos="9026" w:leader="dot"/>
            </w:tabs>
            <w:rPr/>
          </w:pPr>
          <w:hyperlink w:anchor="__RefHeading___Toc4159016_2870459653">
            <w:r>
              <w:rPr>
                <w:webHidden/>
                <w:rStyle w:val="IndexLink"/>
                <w:rtl w:val="true"/>
              </w:rPr>
              <w:t xml:space="preserve">اشکال بر پاسخ مؤلف </w:t>
            </w:r>
            <w:r>
              <w:rPr>
                <w:rStyle w:val="IndexLink"/>
                <w:rtl w:val="true"/>
              </w:rPr>
              <w:t>:</w:t>
              <w:tab/>
            </w:r>
            <w:r>
              <w:rPr>
                <w:rStyle w:val="IndexLink"/>
              </w:rPr>
              <w:t>181</w:t>
            </w:r>
          </w:hyperlink>
        </w:p>
        <w:p>
          <w:pPr>
            <w:pStyle w:val="Contents5"/>
            <w:tabs>
              <w:tab w:val="clear" w:pos="7892"/>
              <w:tab w:val="right" w:pos="9026" w:leader="dot"/>
            </w:tabs>
            <w:rPr/>
          </w:pPr>
          <w:hyperlink w:anchor="__RefHeading___Toc4159018_2870459653">
            <w:r>
              <w:rPr>
                <w:webHidden/>
                <w:rStyle w:val="IndexLink"/>
                <w:rtl w:val="true"/>
              </w:rPr>
              <w:t xml:space="preserve">خلاصه کلام اینکه </w:t>
            </w:r>
            <w:r>
              <w:rPr>
                <w:rStyle w:val="IndexLink"/>
                <w:rtl w:val="true"/>
              </w:rPr>
              <w:t>:</w:t>
              <w:tab/>
            </w:r>
            <w:r>
              <w:rPr>
                <w:rStyle w:val="IndexLink"/>
              </w:rPr>
              <w:t>181</w:t>
            </w:r>
          </w:hyperlink>
        </w:p>
        <w:p>
          <w:pPr>
            <w:pStyle w:val="Contents5"/>
            <w:tabs>
              <w:tab w:val="clear" w:pos="7892"/>
              <w:tab w:val="right" w:pos="9026" w:leader="dot"/>
            </w:tabs>
            <w:rPr/>
          </w:pPr>
          <w:hyperlink w:anchor="__RefHeading___Toc4159020_2870459653">
            <w:r>
              <w:rPr>
                <w:webHidden/>
                <w:rStyle w:val="IndexLink"/>
                <w:rtl w:val="true"/>
              </w:rPr>
              <w:t xml:space="preserve">نکته ای بسیار مهم </w:t>
            </w:r>
            <w:r>
              <w:rPr>
                <w:rStyle w:val="IndexLink"/>
                <w:rtl w:val="true"/>
              </w:rPr>
              <w:t>:</w:t>
              <w:tab/>
            </w:r>
            <w:r>
              <w:rPr>
                <w:rStyle w:val="IndexLink"/>
              </w:rPr>
              <w:t>182</w:t>
            </w:r>
          </w:hyperlink>
        </w:p>
        <w:p>
          <w:pPr>
            <w:pStyle w:val="Contents4"/>
            <w:tabs>
              <w:tab w:val="clear" w:pos="8176"/>
              <w:tab w:val="right" w:pos="9026" w:leader="dot"/>
            </w:tabs>
            <w:rPr/>
          </w:pPr>
          <w:hyperlink w:anchor="__RefHeading___Toc4159022_2870459653">
            <w:r>
              <w:rPr>
                <w:webHidden/>
                <w:rStyle w:val="IndexLink"/>
                <w:rtl w:val="true"/>
              </w:rPr>
              <w:t xml:space="preserve">اشکال دوم </w:t>
            </w:r>
            <w:r>
              <w:rPr>
                <w:rStyle w:val="IndexLink"/>
                <w:rtl w:val="true"/>
              </w:rPr>
              <w:t>:</w:t>
              <w:tab/>
            </w:r>
            <w:r>
              <w:rPr>
                <w:rStyle w:val="IndexLink"/>
              </w:rPr>
              <w:t>182</w:t>
            </w:r>
          </w:hyperlink>
        </w:p>
        <w:p>
          <w:pPr>
            <w:pStyle w:val="Contents4"/>
            <w:tabs>
              <w:tab w:val="clear" w:pos="8176"/>
              <w:tab w:val="right" w:pos="9026" w:leader="dot"/>
            </w:tabs>
            <w:rPr/>
          </w:pPr>
          <w:hyperlink w:anchor="__RefHeading___Toc4159024_2870459653">
            <w:r>
              <w:rPr>
                <w:webHidden/>
                <w:rStyle w:val="IndexLink"/>
                <w:rtl w:val="true"/>
              </w:rPr>
              <w:t xml:space="preserve">اشکال سوم </w:t>
            </w:r>
            <w:r>
              <w:rPr>
                <w:rStyle w:val="IndexLink"/>
                <w:rtl w:val="true"/>
              </w:rPr>
              <w:t>:</w:t>
              <w:tab/>
            </w:r>
            <w:r>
              <w:rPr>
                <w:rStyle w:val="IndexLink"/>
              </w:rPr>
              <w:t>183</w:t>
            </w:r>
          </w:hyperlink>
        </w:p>
        <w:p>
          <w:pPr>
            <w:pStyle w:val="Contents3"/>
            <w:tabs>
              <w:tab w:val="clear" w:pos="8459"/>
              <w:tab w:val="right" w:pos="9026" w:leader="dot"/>
            </w:tabs>
            <w:rPr/>
          </w:pPr>
          <w:hyperlink w:anchor="__RefHeading___Toc4159026_2870459653">
            <w:r>
              <w:rPr>
                <w:webHidden/>
                <w:rStyle w:val="IndexLink"/>
                <w:rtl w:val="true"/>
              </w:rPr>
              <w:t xml:space="preserve">پی آوردی مهم </w:t>
            </w:r>
            <w:r>
              <w:rPr>
                <w:rStyle w:val="IndexLink"/>
                <w:rtl w:val="true"/>
              </w:rPr>
              <w:t>:</w:t>
              <w:tab/>
            </w:r>
            <w:r>
              <w:rPr>
                <w:rStyle w:val="IndexLink"/>
              </w:rPr>
              <w:t>183</w:t>
            </w:r>
          </w:hyperlink>
        </w:p>
        <w:p>
          <w:pPr>
            <w:pStyle w:val="Contents2"/>
            <w:tabs>
              <w:tab w:val="clear" w:pos="8743"/>
              <w:tab w:val="right" w:pos="9026" w:leader="dot"/>
            </w:tabs>
            <w:rPr/>
          </w:pPr>
          <w:hyperlink w:anchor="__RefHeading___Toc4159028_2870459653">
            <w:r>
              <w:rPr>
                <w:webHidden/>
                <w:rStyle w:val="IndexLink"/>
                <w:rtl w:val="true"/>
              </w:rPr>
              <w:t>تجلیل حضرت آیت الله العظمی صافی گلپایگانی از علامه آیت الله سید جعفر سیدان</w:t>
            </w:r>
            <w:r>
              <w:rPr>
                <w:rStyle w:val="IndexLink"/>
                <w:rtl w:val="true"/>
              </w:rPr>
              <w:tab/>
            </w:r>
            <w:r>
              <w:rPr>
                <w:rStyle w:val="IndexLink"/>
              </w:rPr>
              <w:t>187</w:t>
            </w:r>
          </w:hyperlink>
        </w:p>
        <w:p>
          <w:pPr>
            <w:pStyle w:val="Contents2"/>
            <w:tabs>
              <w:tab w:val="clear" w:pos="8743"/>
              <w:tab w:val="right" w:pos="9026" w:leader="dot"/>
            </w:tabs>
            <w:rPr/>
          </w:pPr>
          <w:hyperlink w:anchor="__RefHeading___Toc4159030_2870459653">
            <w:r>
              <w:rPr>
                <w:webHidden/>
                <w:rStyle w:val="IndexLink"/>
                <w:rtl w:val="true"/>
              </w:rPr>
              <w:t>معرفی کتاب</w:t>
            </w:r>
            <w:r>
              <w:rPr>
                <w:rStyle w:val="IndexLink"/>
                <w:rtl w:val="true"/>
              </w:rPr>
              <w:tab/>
            </w:r>
            <w:r>
              <w:rPr>
                <w:rStyle w:val="IndexLink"/>
              </w:rPr>
              <w:t>190</w:t>
            </w:r>
          </w:hyperlink>
        </w:p>
        <w:p>
          <w:pPr>
            <w:pStyle w:val="Contents2"/>
            <w:tabs>
              <w:tab w:val="clear" w:pos="8743"/>
              <w:tab w:val="right" w:pos="9026" w:leader="dot"/>
            </w:tabs>
            <w:rPr/>
          </w:pPr>
          <w:hyperlink w:anchor="__RefHeading___Toc4159032_2870459653">
            <w:r>
              <w:rPr>
                <w:webHidden/>
                <w:rStyle w:val="IndexLink"/>
                <w:rtl w:val="true"/>
              </w:rPr>
              <w:t>نامۀ حضرت آیت الله حاج شیخ حسن پاکدل</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21_92046"/>
      <w:bookmarkStart w:id="1" w:name="pg9221_92046"/>
      <w:bookmarkEnd w:id="1"/>
    </w:p>
    <w:p>
      <w:pPr>
        <w:pStyle w:val="Heading2"/>
        <w:numPr>
          <w:ilvl w:val="1"/>
          <w:numId w:val="1"/>
        </w:numPr>
        <w:rPr/>
      </w:pPr>
      <w:bookmarkStart w:id="2" w:name="pg9221_92046"/>
      <w:bookmarkStart w:id="3" w:name="__RefHeading___Toc4158748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نور الصّادق عَلیهِ السَّلام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فصلنامه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چهاردهم و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مدیر مسئول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صافی اصفهانی</w:t>
      </w:r>
    </w:p>
    <w:p>
      <w:pPr>
        <w:pStyle w:val="BookText"/>
        <w:rPr/>
      </w:pP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فلاحی</w:t>
      </w:r>
    </w:p>
    <w:p>
      <w:pPr>
        <w:pStyle w:val="BookText"/>
        <w:rPr/>
      </w:pPr>
      <w:r>
        <w:rPr>
          <w:rFonts w:ascii="IRNazanin" w:hAnsi="IRNazanin" w:eastAsia="IRNazanin"/>
          <w:color w:val="111111"/>
          <w:sz w:val="28"/>
          <w:sz w:val="28"/>
          <w:szCs w:val="28"/>
          <w:rtl w:val="true"/>
          <w:lang w:bidi="fa-IR"/>
        </w:rPr>
        <w:t xml:space="preserve">صفحه آرایی و امور 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روزبهانی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فلاحی</w:t>
      </w:r>
    </w:p>
    <w:p>
      <w:pPr>
        <w:pStyle w:val="BookText"/>
        <w:rPr/>
      </w:pP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اصفهانی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8750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االلهِ الرَّحمنِ الرَّحيم</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 عَلى آبائهِ في هذهِ السّاعةِ ، و في كُلِّ ساعَة وَ ليّا و حافظاً وقائداً وَ ناصِراً وَ دَليلاً وَ عَيناً حَتّى تُسْكِنَهُ اَرضَكَ طَوعاً وتُمَتِّعَهُ فيها طَويلاً</w:t>
      </w:r>
    </w:p>
    <w:p>
      <w:pPr>
        <w:pStyle w:val="BookText"/>
        <w:rPr/>
      </w:pP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اللَّهُ لَا يُصَابُ بِالْعُقُولِ النَّاقِصَةِ وَالْآرَاءِ الْبَاطِلَةِ وَالمَقابِيسِ الفَاسِدَةِ وَلَا يُصَابُ إِلَّا بِالتَّسْلِيمِ فَمَنْ سَلَّمَ لَنَا سَلِمَ وَمَن اهْتَدَى بِنَا هُدِيَ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عقل های ناقص و آراء و قیاس های بشری باطل و بی اساس ، به دین خدای تعالی رسیده نمی شود ؛ بلکه تنها با تسلیم در برابر وحی و اهل بیت عَلَیهِم السَّلام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تسلیم ما شود ، از انحراف در دین سالم می ماند و هر كس به ما اقتدا کند ، هدایت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مسأله است و مسألۀ بسیار مهمی است ، یعنی جامعۀ روشن فکر اسلامی دچار همان بلایی شد ، به همان دامی افتاد که گذشتگان ما یعنی متفکران اسلامی در قرن های قبل به آن دام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آلودگی ذهنی به نهاد های فکری غیر اسلامی نهایت آن که یک روز آن نهادها ، فلسفه یونان بود ، تفکرات کلامی و اشعری و معتزلی بود ، یک روز هم تفکر الحادی فلان</w:t>
      </w:r>
    </w:p>
    <w:p>
      <w:pPr>
        <w:pStyle w:val="BookText"/>
        <w:rPr/>
      </w:pPr>
      <w:r>
        <w:rPr>
          <w:rFonts w:ascii="IRNazanin" w:hAnsi="IRNazanin" w:eastAsia="IRNazanin"/>
          <w:color w:val="111111"/>
          <w:sz w:val="28"/>
          <w:sz w:val="28"/>
          <w:szCs w:val="28"/>
          <w:rtl w:val="true"/>
          <w:lang w:bidi="fa-IR"/>
        </w:rPr>
        <w:t xml:space="preserve">ایدوئولوژی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های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نور الصّادق عَلیهِ السَّلام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فصلنامه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چهاردهم و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مدیر مسئول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صافی اصفهانی</w:t>
      </w:r>
    </w:p>
    <w:p>
      <w:pPr>
        <w:pStyle w:val="BookText"/>
        <w:rPr/>
      </w:pP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فلاحی</w:t>
      </w:r>
    </w:p>
    <w:p>
      <w:pPr>
        <w:pStyle w:val="BookText"/>
        <w:rPr/>
      </w:pPr>
      <w:r>
        <w:rPr>
          <w:rFonts w:ascii="IRNazanin" w:hAnsi="IRNazanin" w:eastAsia="IRNazanin"/>
          <w:color w:val="111111"/>
          <w:sz w:val="28"/>
          <w:sz w:val="28"/>
          <w:szCs w:val="28"/>
          <w:rtl w:val="true"/>
          <w:lang w:bidi="fa-IR"/>
        </w:rPr>
        <w:t xml:space="preserve">صفحه آرایی و امور 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روزبهانی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فلاحی</w:t>
      </w:r>
    </w:p>
    <w:p>
      <w:pPr>
        <w:pStyle w:val="BookText"/>
        <w:rPr/>
      </w:pP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اصفهانی</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www.nooralsadegh.ir</w:t>
      </w:r>
    </w:p>
    <w:p>
      <w:pPr>
        <w:pStyle w:val="BookText"/>
        <w:rPr/>
      </w:pPr>
      <w:r>
        <w:rPr>
          <w:rFonts w:ascii="IRNazanin" w:hAnsi="IRNazanin" w:eastAsia="IRNazanin"/>
          <w:color w:val="111111"/>
          <w:sz w:val="28"/>
          <w:sz w:val="28"/>
          <w:szCs w:val="28"/>
          <w:rtl w:val="true"/>
          <w:lang w:bidi="fa-IR"/>
        </w:rPr>
        <w:t xml:space="preserve">پست الکترونیک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daralsadegh@gmail.com</w:t>
      </w:r>
    </w:p>
    <w:p>
      <w:pPr>
        <w:pStyle w:val="BookText"/>
        <w:rPr/>
      </w:pPr>
      <w:r>
        <w:rPr>
          <w:rFonts w:ascii="IRNazanin" w:hAnsi="IRNazanin" w:eastAsia="IRNazanin"/>
          <w:color w:val="111111"/>
          <w:sz w:val="28"/>
          <w:sz w:val="28"/>
          <w:szCs w:val="28"/>
          <w:rtl w:val="true"/>
          <w:lang w:bidi="fa-IR"/>
        </w:rPr>
        <w:t xml:space="preserve">کانال تلگرام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nooralsadegh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پیامک </w:t>
      </w:r>
      <w:r>
        <w:rPr>
          <w:rFonts w:eastAsia="IRNazanin" w:cs="IRNazanin"/>
          <w:color w:val="111111"/>
          <w:sz w:val="28"/>
          <w:szCs w:val="28"/>
          <w:rtl w:val="true"/>
          <w:lang w:bidi="fa-IR"/>
        </w:rPr>
        <w:t xml:space="preserve">: </w:t>
      </w:r>
      <w:r>
        <w:rPr>
          <w:rFonts w:eastAsia="IRNazanin" w:cs="IRNazanin"/>
          <w:color w:val="111111"/>
          <w:sz w:val="28"/>
          <w:szCs w:val="28"/>
          <w:lang w:bidi="fa-IR"/>
        </w:rPr>
        <w:t>30008443000844</w:t>
      </w:r>
    </w:p>
    <w:p>
      <w:pPr>
        <w:pStyle w:val="BookText"/>
        <w:rPr/>
      </w:pPr>
      <w:r>
        <w:rPr>
          <w:rFonts w:ascii="Amiri" w:hAnsi="Amiri" w:eastAsia="Amiri" w:cs="Amiri"/>
          <w:color w:val="111111"/>
          <w:sz w:val="28"/>
          <w:sz w:val="28"/>
          <w:szCs w:val="28"/>
          <w:rtl w:val="true"/>
          <w:lang w:bidi="ar-SA"/>
        </w:rPr>
        <w:t xml:space="preserve">دفتر مرکزی فصلنامۀ نورالصادق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 ، خیابان صغیر اصفهانی ، کوچه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دارالصادق اصفهان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32317981</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32317983</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 xml:space="preserve">هیئت تحریریه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فلاحی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پژوهشگر حوزه و دانشگاه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لاهیجی</w:t>
      </w:r>
    </w:p>
    <w:p>
      <w:pPr>
        <w:pStyle w:val="BookText"/>
        <w:rPr/>
      </w:pPr>
      <w:r>
        <w:rPr>
          <w:rFonts w:ascii="IRNazanin" w:hAnsi="IRNazanin" w:eastAsia="IRNazanin"/>
          <w:color w:val="111111"/>
          <w:sz w:val="28"/>
          <w:sz w:val="28"/>
          <w:szCs w:val="28"/>
          <w:rtl w:val="true"/>
          <w:lang w:bidi="fa-IR"/>
        </w:rPr>
        <w:t>دکتر محمدحسین موسوی</w:t>
      </w:r>
    </w:p>
    <w:p>
      <w:pPr>
        <w:pStyle w:val="BookText"/>
        <w:rPr/>
      </w:pPr>
      <w:r>
        <w:rPr>
          <w:rFonts w:ascii="IRNazanin" w:hAnsi="IRNazanin" w:eastAsia="IRNazanin"/>
          <w:color w:val="111111"/>
          <w:sz w:val="28"/>
          <w:sz w:val="28"/>
          <w:szCs w:val="28"/>
          <w:rtl w:val="true"/>
          <w:lang w:bidi="fa-IR"/>
        </w:rPr>
        <w:t>دکتر سید علی آیت اللهی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مائده خیوه </w:t>
      </w:r>
      <w:bookmarkStart w:id="7" w:name="pg9221_92048"/>
    </w:p>
    <w:p>
      <w:pPr>
        <w:pStyle w:val="Heading2"/>
        <w:numPr>
          <w:ilvl w:val="1"/>
          <w:numId w:val="1"/>
        </w:numPr>
        <w:rPr/>
      </w:pPr>
      <w:bookmarkStart w:id="8" w:name="__RefHeading___Toc4158752_2870459653"/>
      <w:bookmarkStart w:id="9" w:name="_Toc3"/>
      <w:bookmarkEnd w:id="7"/>
      <w:bookmarkEnd w:id="8"/>
      <w:r>
        <w:rPr>
          <w:rtl w:val="true"/>
        </w:rPr>
        <w:t>پیام تسلیت آیت الله حاج شیخ علی صافی اصفهانی به مناسبت ارتحال مرجع عالیقدر شیعه حضرت آیت الله العظمی صافی گلپایگانی قُدِسَ سِرُّه</w:t>
      </w:r>
      <w:bookmarkEnd w:id="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لِلّه وَ إِنّا اِلَیهِ راجِعون</w:t>
      </w:r>
    </w:p>
    <w:p>
      <w:pPr>
        <w:pStyle w:val="BookText"/>
        <w:rPr/>
      </w:pPr>
      <w:r>
        <w:rPr>
          <w:rFonts w:ascii="IRNazanin" w:hAnsi="IRNazanin" w:eastAsia="IRNazanin"/>
          <w:color w:val="111111"/>
          <w:sz w:val="28"/>
          <w:sz w:val="28"/>
          <w:szCs w:val="28"/>
          <w:rtl w:val="true"/>
          <w:lang w:bidi="fa-IR"/>
        </w:rPr>
        <w:t xml:space="preserve">خبر ارتحال مرجع عالیقدر شیعه شیخ الفقهاء حضرت آیت الله العظمی حاج شیخ لطف الله صافی گلپایگانی قُدِسَ سِرُّه الشريف که از ارکان و اساطین بزرگ حوزۀ علمیۀ قم و مدافع با اخلاص حریم امامت و فاطمیه و مهدویت بودند موجب تأثر و تألم فراوان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بزرگ و جامع معقول و منقول ، مجموعه ای از کمالات علمی و اخلاقی منحصر به فردی بود که با فقدانش کمر حوزۀ علمیه قم شکست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اثُلِمَ فِي الْإِسْلَامِ ثُلْمَةُ لَا يَسُدُّهَا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شاگردان ممتاز ، تألیفات گرانسنگ در فقه و اصول و كلام و حديث ، بيان شيرين و جذاب مقرون به دقتهای علمی و اخلاقی ، مبارزات این بزرگ مرد با نفوذ فرهنگی بیگانگان و فرقه های منحرف حکایت از عمق اخلاص و دانش عمیق ایشان داشت که قرن ها باید بگذرد تا حوزه های علمیه بتواند چنین گوهرهایی را تربیت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وَالسَّلَامُ عَلَيْهِ يَوْمَ وُلِدَ وَيَوْمَ مات وَيَوْمَ يُبْعَثُ حَيًّا</w:t>
      </w:r>
    </w:p>
    <w:p>
      <w:pPr>
        <w:pStyle w:val="BookText"/>
        <w:rPr/>
      </w:pPr>
      <w:r>
        <w:rPr>
          <w:rFonts w:ascii="IRNazanin" w:hAnsi="IRNazanin" w:eastAsia="IRNazanin"/>
          <w:color w:val="111111"/>
          <w:sz w:val="28"/>
          <w:sz w:val="28"/>
          <w:szCs w:val="28"/>
          <w:rtl w:val="true"/>
          <w:lang w:bidi="fa-IR"/>
        </w:rPr>
        <w:t xml:space="preserve">ما این مصیبت بزرگ را به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های علمیۀ شیعه و به بیت معزز آن فقیه عالیقدر بخصوص به فرزند برومند ایشان حضرت آیت الله حاج شیخ حسن صافی تسلیت عرض نموده علو درجات آن مرجع عظیم الشأن را از خداوند متعال مسئلت دارم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صدر بازار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عرضة </w:t>
      </w:r>
      <w:bookmarkStart w:id="10" w:name="pg9221_92049"/>
    </w:p>
    <w:p>
      <w:pPr>
        <w:pStyle w:val="Heading2"/>
        <w:numPr>
          <w:ilvl w:val="1"/>
          <w:numId w:val="1"/>
        </w:numPr>
        <w:rPr/>
      </w:pPr>
      <w:bookmarkStart w:id="11" w:name="__RefHeading___Toc4158754_2870459653"/>
      <w:bookmarkStart w:id="12" w:name="_Toc4"/>
      <w:bookmarkEnd w:id="10"/>
      <w:bookmarkEnd w:id="11"/>
      <w:r>
        <w:rPr>
          <w:rtl w:val="true"/>
        </w:rPr>
        <w:t>فهرست مطالب</w:t>
      </w:r>
      <w:bookmarkEnd w:id="1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سردبیر</w:t>
      </w:r>
    </w:p>
    <w:p>
      <w:pPr>
        <w:pStyle w:val="BookText"/>
        <w:rPr/>
      </w:pPr>
      <w:r>
        <w:rPr>
          <w:rFonts w:ascii="IRNazanin" w:hAnsi="IRNazanin" w:eastAsia="IRNazanin"/>
          <w:color w:val="111111"/>
          <w:sz w:val="28"/>
          <w:sz w:val="28"/>
          <w:szCs w:val="28"/>
          <w:rtl w:val="true"/>
          <w:lang w:bidi="fa-IR"/>
        </w:rPr>
        <w:t xml:space="preserve">تباین توحید قرآنی با وحدت وجود عرفانی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صافی گلپایگانی قُدِسَ سِرُّه جبر و اختیار از دیدگاه مکتب وحی ،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 xml:space="preserve">نظریه دین شناسی یا رؤیای روشنفکرانه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یحیی یثربی</w:t>
      </w:r>
    </w:p>
    <w:p>
      <w:pPr>
        <w:pStyle w:val="BookText"/>
        <w:rPr/>
      </w:pPr>
      <w:r>
        <w:rPr>
          <w:rFonts w:ascii="IRNazanin" w:hAnsi="IRNazanin" w:eastAsia="IRNazanin"/>
          <w:color w:val="111111"/>
          <w:sz w:val="28"/>
          <w:sz w:val="28"/>
          <w:szCs w:val="28"/>
          <w:rtl w:val="true"/>
          <w:lang w:bidi="fa-IR"/>
        </w:rPr>
        <w:t xml:space="preserve">نقد تحریفات علمای عامه در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یک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میلانی بررسی نقد های علامۀ طباطبایی بر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مرتضی رضوی شرح كشف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 المسلمین استاد سید قاسم علی احمدی بررسی نقش عباسیان در نهادینه سازی انحراف فرهنگی در جهان اسلام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علی آیت اللهی آیت الله بروجردی و تعطیلی درس اسفار ، گزارش ها و تحریف ها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سلمان پور نقد بداية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استاد سید قاسم علی احمدی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تنظیم و تدوین حجت الاسلام جواد عبدی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نامه آیت الله العظمی صافی گلپایگانی به آیت الله سید جعفر سیدان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lang w:bidi="fa-IR"/>
        </w:rPr>
        <w:t>181</w:t>
      </w:r>
    </w:p>
    <w:p>
      <w:pPr>
        <w:pStyle w:val="Heading2"/>
        <w:numPr>
          <w:ilvl w:val="1"/>
          <w:numId w:val="1"/>
        </w:numPr>
        <w:rPr/>
      </w:pPr>
      <w:bookmarkStart w:id="13" w:name="__RefHeading___Toc4158756_2870459653"/>
      <w:bookmarkStart w:id="14" w:name="_Toc5"/>
      <w:bookmarkEnd w:id="13"/>
      <w:r>
        <w:rPr>
          <w:rtl w:val="true"/>
        </w:rPr>
        <w:t xml:space="preserve">راهنمای تنظیم مقالات </w:t>
      </w:r>
      <w:r>
        <w:rPr>
          <w:rtl w:val="true"/>
        </w:rPr>
        <w:t>:</w:t>
      </w:r>
      <w:bookmarkEnd w:id="14"/>
    </w:p>
    <w:p>
      <w:pPr>
        <w:pStyle w:val="BookText"/>
        <w:rPr/>
      </w:pPr>
      <w:r>
        <w:rPr>
          <w:rFonts w:ascii="IRNazanin" w:hAnsi="IRNazanin" w:eastAsia="IRNazanin"/>
          <w:color w:val="111111"/>
          <w:sz w:val="28"/>
          <w:sz w:val="28"/>
          <w:szCs w:val="28"/>
          <w:rtl w:val="true"/>
          <w:lang w:bidi="fa-IR"/>
        </w:rPr>
        <w:t xml:space="preserve">مقالاتی برای چاپ در نشریه پذیرفته خواهند 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چاپ نشده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به سایر نشریات یا مجموعه ها ارسال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تحقیقی و مستند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موضوع و اهداف نشریه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مؤلفان محترم تقاضا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را بر یک روی صفحات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خط خوانا ، نوشته در صورت امکان ، تایپ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حاوی فایل مقاله نیز ارسال شود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با مقاله ،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واژگان کلیدی و معادل انگلیسی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ده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ترجمه شده همراه با متن اصلی ارسال شود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کامل خود ، شامل نام و نام خانوادگی ، سابقه علمی ، درجه علمی ، تخصص ، سِمت کنونی ، دانشکده ، دانشگاه ، شهر ، کتاب ها و مقالات منتشر شده با مشخصات کتاب شناختی ، نشانی پستی و الکترونیکی و شماره تماس</w:t>
      </w:r>
    </w:p>
    <w:p>
      <w:pPr>
        <w:pStyle w:val="BookText"/>
        <w:rPr/>
      </w:pPr>
      <w:r>
        <w:rPr>
          <w:rFonts w:ascii="IRNazanin" w:hAnsi="IRNazanin" w:eastAsia="IRNazanin"/>
          <w:color w:val="111111"/>
          <w:sz w:val="28"/>
          <w:sz w:val="28"/>
          <w:szCs w:val="28"/>
          <w:rtl w:val="true"/>
          <w:lang w:bidi="fa-IR"/>
        </w:rPr>
        <w:t>در برگه ای جداگانه ذکر شود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 به منابع ، در داخل متن بدین ترتیب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نویسنده ، نام اثر ، جلد و صفحه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 واژه های لاتین نیز در متن و داخل پرانتز آورده شود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منابع ، در آخر مقاله بر حسب حروف الفبایی نام خانوادگی نویسنده ، به شکل ذیل تنظیم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 نام ، عنوان کتاب ، شماره جلد ، مترجم ، محل نشر ، ناشر ، نوبت چاپ ، تاریخ نشر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 نام ، عنوان مقاله ، نام نشریه یا مجموعه ، شماره نشریه یا مجموعه ، تاریخ نشر ؛ لازم به ذکر است که در صورت تکرار منابع ، به نام خانوادگی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جلد و صفحه اکتفا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شود مقالات مندرج در نورالصادق صرفا مبین آراء نویسندگان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استفاده از مطالب مقالات این مجله باید با اجازۀ نویسندگان آن یا هیئت تحریریه نورالصادق باشد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نورالصادق در ویرایش و انتخاب مطالب آزاد است </w:t>
      </w:r>
      <w:r>
        <w:rPr>
          <w:rFonts w:eastAsia="IRNazanin" w:cs="IRNazanin"/>
          <w:color w:val="111111"/>
          <w:sz w:val="28"/>
          <w:szCs w:val="28"/>
          <w:rtl w:val="true"/>
          <w:lang w:bidi="fa-IR"/>
        </w:rPr>
        <w:t xml:space="preserve">. </w:t>
      </w:r>
      <w:bookmarkStart w:id="15" w:name="pg9221_92050"/>
    </w:p>
    <w:p>
      <w:pPr>
        <w:pStyle w:val="Heading2"/>
        <w:numPr>
          <w:ilvl w:val="1"/>
          <w:numId w:val="1"/>
        </w:numPr>
        <w:rPr/>
      </w:pPr>
      <w:bookmarkStart w:id="16" w:name="__RefHeading___Toc4158758_2870459653"/>
      <w:bookmarkStart w:id="17" w:name="_Toc6"/>
      <w:bookmarkEnd w:id="15"/>
      <w:bookmarkEnd w:id="16"/>
      <w:r>
        <w:rPr>
          <w:rtl w:val="true"/>
        </w:rPr>
        <w:t>یادداشت سردبیر</w:t>
      </w:r>
      <w:bookmarkEnd w:id="17"/>
    </w:p>
    <w:p>
      <w:pPr>
        <w:pStyle w:val="BookText"/>
        <w:rPr/>
      </w:pPr>
      <w:r>
        <w:rPr>
          <w:rFonts w:ascii="IRNazanin" w:hAnsi="IRNazanin" w:eastAsia="IRNazanin"/>
          <w:color w:val="111111"/>
          <w:sz w:val="28"/>
          <w:sz w:val="28"/>
          <w:szCs w:val="28"/>
          <w:rtl w:val="true"/>
          <w:lang w:bidi="fa-IR"/>
        </w:rPr>
        <w:t xml:space="preserve">مهم ترین وظیفه مؤمنین خصوصاً علما و طبقه خادمان شریعت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ترویج و تبشیر و معرفی و تبلیغ معارف حضرتش می باشد ، البته وظایف کلی تری نیز هست که مرجع آن تودۀ مردم و مؤمنین و مؤمنات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وظایف عبارتند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مواسات و برادری در دوران غیبت و یاری شیعیان یکدیگر را در دوران غیبت در ابعاد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وظیفه خاص علما ، معالم الطريق بودن و ترویج معارف ثقلین و مبارزه با بدعت ها و احیای امر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روش ها و غنی ترین محتواست ، رسالتی که هر روز ابعاد تازه و جدیدی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که کفیلان ایتام آل محمدند باید به ساماندهی وضع اعتقادی اخلاقی جامعه بپردازند و مقام تبلیغ را جانی تازه بخشند و مردمان را به سوی حقیقت تابناک وجود گرامی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در این مقال چگونگی این امر است یعنی این طبقۀ راهنما و راهبر چگونه می تواند به پاسداشت این مهم قیام نمایند ؟ این مطلب یادآوری هایی را می طلبد ؛ طلاب و فضلای حوزه و بزرگان روحانی باید اساس هدف خود را در تعلیم و تعلم ، در منابر و تریبون ها و مجامع دانشگاهی و حوزوی خدمت به اهل بیت و پاسبانی از معارف ثقلین و ترویج و تبلیغ مقام اعلی و والا و یگانۀ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او بدانند و این واقعیت را از روز اول ورود در سلک طلبگی و کسوت روحانیت مادام مدنظر داشته باشند و با خود و با وجدان خود تکرار نمایند تا دمی از آن غافل نباشند ، آنها بایست وظیفه خود را در قبال ولی نعمت خویش امام عصر عجل الله تعالی فرجه الشریف فراموش ننمایند و تمام پویه ها و تکاپوها را در دوران تحصیل و تدریس و دوران تبلیغ که تمامی ندارد در این راستا سامان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 اساسی این است که آیا ترتیباتی که در حوزه های علمیه و نهادهای مرتبط هست در دو بعد علمی و عملی این طبقۀ معزز و مسؤول را و این خادمان شریعت را در این مسیر هدایت می نماید و مستقر می دارد؟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ترتیباتی که در برنامۀ درسی طلاب هست غفلت از این مهم را بیانگر است و بعلاوه سلوک عملی که خود ذى المقدمۀ سلوک علمی است نیز معیوب و فاقد سمت و سوی </w:t>
      </w:r>
    </w:p>
    <w:p>
      <w:pPr>
        <w:pStyle w:val="BookText"/>
        <w:rPr/>
      </w:pPr>
      <w:r>
        <w:rPr>
          <w:rFonts w:ascii="IRNazanin" w:hAnsi="IRNazanin" w:eastAsia="IRNazanin"/>
          <w:color w:val="111111"/>
          <w:sz w:val="28"/>
          <w:sz w:val="28"/>
          <w:szCs w:val="28"/>
          <w:rtl w:val="true"/>
          <w:lang w:bidi="fa-IR"/>
        </w:rPr>
        <w:t xml:space="preserve">لازم در جهت این هدف بزرگ یعنی پاسبانی شریعت و مرزبانی عقاید و انجام وظیفه در قبال روح دین و شریعت یعنی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برنامه های درسی در جهت نجات مردم در بعد اعتقادات و اخلاقیات باشد باید سیر تعلیم و تعلم در راستای آشنایی تودۀ مردم با معارف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ناظر بر این معنا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جامعه از جاهلیت و بدویت و مرگ جاهلی همین</w:t>
      </w:r>
    </w:p>
    <w:p>
      <w:pPr>
        <w:pStyle w:val="BookText"/>
        <w:rPr/>
      </w:pPr>
      <w:r>
        <w:rPr>
          <w:rFonts w:ascii="IRNazanin" w:hAnsi="IRNazanin" w:eastAsia="IRNazanin"/>
          <w:color w:val="111111"/>
          <w:sz w:val="28"/>
          <w:sz w:val="28"/>
          <w:szCs w:val="28"/>
          <w:rtl w:val="true"/>
          <w:lang w:bidi="fa-IR"/>
        </w:rPr>
        <w:t xml:space="preserve">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کمتر به چشم می آید یا اصلاً دیده نمی شود همین توجه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این واجب ، اولاً دقت در گزینش طلاب است ، برگزیدن طلاب با استعداد ، دغدغه مند و عاشق پاسداری از معارف قرآن و اهل بیت عَلَیهِمَ السَّلام و ثانیاً تدوین برنامۀ درسی منسجم و هدفمند در این راستا با تکیه بر ترویج عقاید صحیح حقه با محوریت امامت و مبانی امامت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که مطمح نظر علما بوده و گزینش طلاب و چگونگی آن باید محور توجه سیاستگذاران حوزه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فلسفۀ طلبگی را که خدمت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ثقلین است را دمی از یاد نبرند ، اصلاً طلبه باید با این دغدغه وارد حوزه شود ، با آن رشد کند ، و با آن فارغ التحصیل شود و البته در امر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هیچگاه فراغت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دغدغه زندگی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سخن از اصل اصیل امامت شد و مرکز ثقل تعلیم و تعلم در حوزه عقاید را امامت بیان کردیم بخاطر اهمیت آن است و اینکه باب ورود به عقاید صحیح امامت است و میزان برای تصحیح عقاید غلط یا التقاطی هم امامت و تشریح مبانی آن و تبیین تعالیم آن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دوم یعنی اصلاح مواردی که خود پیشینۀ تأسف باری دارد و آثار عقایدی نفیس و ارزشمند شوربختانه در میان حوزویان و هم دانشگاهیان مهجور و مظلوم و مغفول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امر رسالت شناسی و رسالت گذاری را عقیم 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علم وظیفۀ خود را در این باب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کتب مهم در حوزۀ عقاید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 ضروری ترین کار در اصلاح مواد درسی است ، این مهم گامی است اساسی در جهت تحکیم بنیادهای نظری امامت در ساختمان فکری و اعتقادی طلاب </w:t>
      </w:r>
    </w:p>
    <w:p>
      <w:pPr>
        <w:pStyle w:val="BookText"/>
        <w:rPr/>
      </w:pPr>
      <w:r>
        <w:rPr>
          <w:rFonts w:ascii="IRNazanin" w:hAnsi="IRNazanin" w:eastAsia="IRNazanin"/>
          <w:color w:val="111111"/>
          <w:sz w:val="28"/>
          <w:sz w:val="28"/>
          <w:szCs w:val="28"/>
          <w:rtl w:val="true"/>
          <w:lang w:bidi="fa-IR"/>
        </w:rPr>
        <w:t xml:space="preserve">و دانشجویان که باید از اولین روز ورود به حوزه و شروع دروس حوزوی در سطوح ابتدایی و مقدمات عملی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نکتۀ بسیار مهم ضروری است ؛ که حقیقتی که مغفول و مهجور گذاشته شد به مرور زمان در فرآیندی بدل به ضد خود می گردد به این نحو که شبهه بدل به حجّت و حجّت بدل به شبهه می گردد و اینگونه است که شبهات در حوزۀ عقاید بخصوص بحث امامت و متفرعات آن بیش از شبهات دیگر رخ می نماید و گاه تا آنجا پیش می رود که دیدگاه های نظری و شبه نظری را در قالب آثاری مکتوب و غیر مکتوب در صورت هایی شبه برهانی و خطابی به وجود می آورد که مستقیماً عقاید صحیح را نشانه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شبهات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شبه شکل نگرفته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بیانگر سیکل معیوب و روند بیمار در تدوین سیر تعلیم و تعلم و برنامه ریزی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 این شبهات در ذهن کسانی شکل گرفته و تئوریزه گردیده که پس از سال ها تحصیل منهای بینش و دانش در حوزۀ عقاید بخصوص امامت ، به ابزاری از علوم نیز مجهز شده اند و لذا دفع این مفسده دشواری بیشتری دارد چون مبلّغ و مبّشر این شبهات بعضاً خود از اهل علم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آشنایی و سپس آموزش مبانی اعتقادی صحیح ، بخصوص امامت و امام شناسی باید از ابتدا با ذهن و روح طالب علم عجین گردد والّا در سیر صعودی و سطوح بالاتر تحصیل و تحقیق فاصله با مبانی صحیح اعتقادات بیشتر و بیشتر می گردد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شبهات مهم در اذهان اهل علم ریشه گرفته و در ضمیر آنها غرص و سپس قرص می گردد و زدودن آن و الغاء آن و پس از آن القاء عقاید صحیح بسیار دشوار و بلکه ناممکن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همانگونه که در فرآیندی کاملاً قابل درک و پیش بینی حقایق بر اثر مهجور ماندن و متروک گذراندن تبدیل به ضد خود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باید برای بدیهیات اقامۀ برهان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نیز به ضد تبلیغ بدل شده و نقض غرض از فلسفه و رسالت طلبگی محقق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اختصار چهار گام اساسی باید برای سامان دادن و نظم بخشیدن به این امر مهم یعنی اصلاح وضع تدریس عقاید در حوزه ها و نیز دمیده شدن روح تعهد در برابر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سامان یافتن امر تبلیغ دین که وظیفۀ مهم و اساسی حوزه ها و رشته های الهیات دانشگاه هاست برداشته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کلی و اساسی در کتب و مواد درسی در حوزه تفسیر عقاید و معارف ، کلام و تاریخ اسلام و تعویض کتب درسی رایج و سپس جایگزین کردن آثار مهم و ممتاز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 و حیاتی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 با تکیه بر ثقل اعجاز قرآن یعنی معارف قرآن ، بجای تفسیرهای تأویلی با مایه های فلسفی عرفانی یا علمی و به دور از سنت تفسیر اثری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معارف بجای فلسفه سراسر باطل یونانی تزئین شده با آیات و احادیث با عنوان مجعول و منحول فلسفه اسلامی ، و ذکر این نکته ضروری است که معارف و عقاید چیزی ورای کلام مصطلح اسلامی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صحیح و معتبر اسلام بجای تاریخ مصطلح و رسمی که بنیان و بنیادی جز دشمنی با ثقلین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نگارش آن بر مبنای عداوت با قرآن و ائمه اظهار عَلَیهِم السَّلام و قلب حقایق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طلاب عزیز و دانشگاهیان گرانقدر اگر تاریخ صحیح اسلام را ندانند ظرافت های بینشی لازم در تحلیل مسائل در حوزه عقاید خصوصاً مباحث مربوط به امامت را واجد نخواهند شد و لذا مطالعه تاریخ صحیح و معتبر اسلام خصوصاً دهه های نخستین هجرت از واجبات و از عناصر اصلی امر هدایت و تبلیغ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کلام با ماده و هیأت اسلامی شیعی و غیر آلوده به نهادهای فکری غیر اسلامی</w:t>
      </w:r>
    </w:p>
    <w:p>
      <w:pPr>
        <w:pStyle w:val="BookText"/>
        <w:rPr/>
      </w:pPr>
      <w:r>
        <w:rPr>
          <w:rFonts w:ascii="IRNazanin" w:hAnsi="IRNazanin" w:eastAsia="IRNazanin"/>
          <w:color w:val="111111"/>
          <w:sz w:val="28"/>
          <w:sz w:val="28"/>
          <w:szCs w:val="28"/>
          <w:rtl w:val="true"/>
          <w:lang w:bidi="fa-IR"/>
        </w:rPr>
        <w:t xml:space="preserve">مثل یهودیت ، فلسفه یونان ، مسیحیت ، آیین هندو ، آئین بودا و آراء گنوسی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مناظره و احتجاج با تکیه بر روش و محتوای مناظرات ائمه هدى عَلَیهِم السَّلام و اصحاب ایشان و فقهای بزرگ شیعه که در کتب احتجاج مذکور است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اصول مُلَخَّص ، پیراسته و کاربردی ، نکته شایسته توجه در این گام نخستین اینست که اگر ظرفیت موجود با موضوعات فوق وجود دارد باید محتوای آن اصلاح شود و به حقیقت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تبیین و دفاع از معارف اهل بیت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اگر وجود ندارد باید این ظرفیت ایجاد شود و هم در فرم و هم در محتوی مطابق با رسالت یک عالم شیعی تدوین 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دیگر اینکه بعضی از رشته ها و مواد درسی باید تأسیس گردند یا ذیل همین</w:t>
      </w:r>
    </w:p>
    <w:p>
      <w:pPr>
        <w:pStyle w:val="BookText"/>
        <w:rPr/>
      </w:pPr>
      <w:r>
        <w:rPr>
          <w:rFonts w:ascii="IRNazanin" w:hAnsi="IRNazanin" w:eastAsia="IRNazanin"/>
          <w:color w:val="111111"/>
          <w:sz w:val="28"/>
          <w:sz w:val="28"/>
          <w:szCs w:val="28"/>
          <w:rtl w:val="true"/>
          <w:lang w:bidi="fa-IR"/>
        </w:rPr>
        <w:t xml:space="preserve">شش موضوع گنجانده شوند که اهمیتی بسزا دارند ، از آن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تفسیر آن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 معارف آن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بی نظیر فاطمیه و معارف آن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دعایی شیعه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مربی در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و سپس آموزش عقاید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شبهه شناسی و نحوه مواجهه و مقابله با شبهات علیه مذهب ، با متد علمی روز و سطح بندی و درجه بندی مخاطبین و تربیت مربی متخصص مناسب با هر سطح از آموزش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عقاید صحیح به طلاب و دانشگاهیان با روش و کمیت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پنجم از حجم تعالیم و آموزش ها اولاً باید شامل خود متون دینی باشد و بیست درصد مطالعه آراء و افکار نحله های الحادی و ضد دینی ، لحاظ نسبت فوق از اين حيث مطلوب است که اگر متن پیام اسلام و مذهب حقّه به دقت و با عمق بینشی و دانشی کافی تدریس و تعلیم و تبلیغ شود پرداختن به مطالعه و پژوهش در آثار مخالفان حجم کمتری را اشغال می نماید و غنای مطالب آن را کاملاً تأمین نموده و نیز مربی و مبلغ را از بیان و تکرار یاوه های مخالفین و شرح و توضیح افکار التقاطی ، صناعی ، منقطع از وحی بی نیاز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از زمان اندک استفاده بهینه نشود و عمده وقت به پرداختن به آثار نحله های انحرافی و تشریح عقاید باطله آنها بگذرد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آسیب شناسی های حوزه ترویج عقاید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طلایی برای بیان عقاید ناب اسلامی که مؤید از جانب عقل و فطرت است از دست خواهد رفت ، ضمن اینکه ممکن است ذهن و ضمیر خود طلاب و دانشگاهیان و مبلغین عزیز نیز بجای آموزه های وحیانی ، درگیر مسائل و مسأله نماهای ساخته پرداخته فیلسوفان و ملحدان گردد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اولویت ها در تبیین عقاید صحیح و پرداختن به اصل موضوع است یعنی امامت و ولایت ائمه اطهار عَلَیهِم السَّلام که معلمان حقیقی توحید و باب شناخت اصول دین اند و سپس تبیین سایر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این مقال فرصت بیشتری می طلبد ولی آنچه </w:t>
      </w:r>
    </w:p>
    <w:p>
      <w:pPr>
        <w:pStyle w:val="BookText"/>
        <w:rPr/>
      </w:pPr>
      <w:r>
        <w:rPr>
          <w:rFonts w:ascii="IRNazanin" w:hAnsi="IRNazanin" w:eastAsia="IRNazanin"/>
          <w:color w:val="111111"/>
          <w:sz w:val="28"/>
          <w:sz w:val="28"/>
          <w:szCs w:val="28"/>
          <w:rtl w:val="true"/>
          <w:lang w:bidi="fa-IR"/>
        </w:rPr>
        <w:t xml:space="preserve">حیاتی است ، آغاز هر چه سریعتر این روند تغییر و تحول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دزدان عقاید و رهزنان اعتقادات بیش از پیش جامعه را از عقاید صحیح و از روح ایمان تهی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ما قبل آخر اینکه آشنایی مردم با معارف ثقلین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های ایشان هدف مهم این تغییر و تحول است و رمز نجات جامعه از مرگ جاهلی و تحقق انتظار حقیقی وَحیّ و ساختن منتظرانی حقیقی است برای حضرتش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فلاحی </w:t>
      </w:r>
      <w:bookmarkStart w:id="18" w:name="pg9221_92056"/>
    </w:p>
    <w:p>
      <w:pPr>
        <w:pStyle w:val="Heading2"/>
        <w:numPr>
          <w:ilvl w:val="1"/>
          <w:numId w:val="1"/>
        </w:numPr>
        <w:rPr/>
      </w:pPr>
      <w:bookmarkStart w:id="19" w:name="__RefHeading___Toc4158760_2870459653"/>
      <w:bookmarkStart w:id="20" w:name="_Toc7"/>
      <w:bookmarkEnd w:id="18"/>
      <w:bookmarkEnd w:id="19"/>
      <w:r>
        <w:rPr>
          <w:rtl w:val="true"/>
        </w:rPr>
        <w:t>تباین توحید قرآنی با وحدت وجود عرفانی آيت الله العظمی صافی گلپایگانی قُدِسَ سِرُّه</w:t>
      </w:r>
      <w:bookmarkEnd w:id="20"/>
    </w:p>
    <w:p>
      <w:pPr>
        <w:pStyle w:val="Heading3"/>
        <w:numPr>
          <w:ilvl w:val="2"/>
          <w:numId w:val="1"/>
        </w:numPr>
        <w:rPr/>
      </w:pPr>
      <w:bookmarkStart w:id="21" w:name="__RefHeading___Toc4158762_2870459653"/>
      <w:bookmarkStart w:id="22" w:name="_Toc8"/>
      <w:bookmarkEnd w:id="21"/>
      <w:r>
        <w:rPr>
          <w:rtl w:val="true"/>
        </w:rPr>
        <w:t>چکیده</w:t>
      </w:r>
      <w:bookmarkEnd w:id="22"/>
    </w:p>
    <w:p>
      <w:pPr>
        <w:pStyle w:val="BookText"/>
        <w:rPr/>
      </w:pPr>
      <w:r>
        <w:rPr>
          <w:rFonts w:ascii="IRNazanin" w:hAnsi="IRNazanin" w:eastAsia="IRNazanin"/>
          <w:color w:val="111111"/>
          <w:sz w:val="28"/>
          <w:sz w:val="28"/>
          <w:szCs w:val="28"/>
          <w:rtl w:val="true"/>
          <w:lang w:bidi="fa-IR"/>
        </w:rPr>
        <w:t xml:space="preserve">توحید و اقرار به وحدانیت پروردگار متعال که مفاد عبارت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بیانگر یکتایی خالق متعال و تنزّه خداوند از مخلوقات و صفات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مکاتب غیرالهی و غیرانبیایی مثل نظریه وحدت وجود در تفسیر و تأویل این بیان کوتاه و رسا از توحید وارد متون اسلامی شد به کلی مغایر با مفاد و مدلول كلمه لا اله الا الله بود ، به این ترتیب که عبارت کفرآمیز لا موجود الا الله و مانند آن که مفاد آن نفی خالقیت پروردگار بود را جایگزین آن کردند و آثار مناسب آن را بر آن بار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جامع و حکیم متألّه حضرت آیت الله العظمی صافی گلپایگانی در عباراتی کوتاه همانگونه که در مطالب قبلی به ابطال وحدت وجود در تمامی صور و معانی آن پرداخته بودند در آنچه در پی می آید ، زوایایی دیگر از این موضوع را مورد مداقّه قرار داده اند و مغایرت و مباینت و ضدیت آن را با عقل صریح و صریح عقل و بیان وحی اثبات نموده اند و کلام بزرگانی مثل خواجه نصیر را که از تفوّه به چنین کلماتی و قول به چنین عقایدی برکنار است در رساله آغاز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آنچه شارحین صوفی مشرب این رساله به غلط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حمل بر معنای صحیح آن در تطابق با آیات و روایات و هماهنگ با مدلول مطابقی کلمه لا اله الا الله ، آنچنان که نظر خود خواجه بوده است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 وحی ، هدایت ، مکتب انبیاء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آغازین کتاب 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آغاز کاینات از او است و انجام همه با او است بلکه همه خود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مبهم بلکه نادرست است زیرا همه اویی و او همه ای با آیات قرآن و روایات در تعارض است و حتماً مراد بزرگواری مثل خواجه ، علیه الرحمة ، که آثار و تألیفات جاودان و ارزنده اش همه در راستای مکتب انبیاء و تأیید مذهب است چنین ظاهری نیست ، بلکه کلام مثل او ظاهر در این </w:t>
      </w:r>
      <w:bookmarkStart w:id="23" w:name="pg9221_92057"/>
    </w:p>
    <w:p>
      <w:pPr>
        <w:pStyle w:val="BookText"/>
        <w:rPr/>
      </w:pPr>
      <w:bookmarkEnd w:id="23"/>
      <w:r>
        <w:rPr>
          <w:rFonts w:ascii="IRNazanin" w:hAnsi="IRNazanin" w:eastAsia="IRNazanin"/>
          <w:color w:val="111111"/>
          <w:sz w:val="28"/>
          <w:sz w:val="28"/>
          <w:szCs w:val="28"/>
          <w:rtl w:val="true"/>
          <w:lang w:bidi="fa-IR"/>
        </w:rPr>
        <w:t xml:space="preserve">معنی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که حتی در اسماء الله الحسنی می گوید اگر از شرع نرسیده بود شرط ادب این بود که ما همین اسماء مأثوره را از جانب خود بر او نگوییم و او را به آن نخوانیم زیرا شاید اگر از جهاتی که ما دریافته ایم کمال حضرت باری باشد از لحاظ دیگر که بر ما مخفی مانده باشد نقص باشد ، از حدود دلالت و هدایت نصوص شرعیه فراتر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معنایی و مضمونی از </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 كُلٌّ مِنْ عِنْدِ الله</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مَا رَمَيْتَ إِذْ رَمَيْتَ وَلَكنّ الله رَمَى</w:t>
      </w:r>
      <w:r>
        <w:rPr>
          <w:rStyle w:val="FootnoteAnchor"/>
          <w:rtl w:val="true"/>
        </w:rPr>
        <w:footnoteReference w:id="4"/>
      </w:r>
      <w:r>
        <w:rPr>
          <w:rFonts w:ascii="IRNazanin" w:hAnsi="IRNazanin" w:eastAsia="IRNazanin"/>
          <w:color w:val="111111"/>
          <w:sz w:val="28"/>
          <w:sz w:val="28"/>
          <w:szCs w:val="28"/>
          <w:rtl w:val="true"/>
          <w:lang w:bidi="fa-IR"/>
        </w:rPr>
        <w:t xml:space="preserve">، و اینگونه بیانات و هدایت های معرفت آموز شرع است که ربانیت و رزاقیت و مدبریت و تصرف عام و تام او در کاینات مستمر است آنچنان که هیچ کس نباید تصور کند که قرآن و حدیث در توحید نکته ای و چیزی را که محتاج به بیان باشد ، العیاذ بالله ، کم گذاشته و بیان نکرده باشد </w:t>
      </w:r>
      <w:r>
        <w:rPr>
          <w:rFonts w:eastAsia="IRNazanin" w:cs="IRNazanin"/>
          <w:color w:val="111111"/>
          <w:sz w:val="28"/>
          <w:szCs w:val="28"/>
          <w:rtl w:val="true"/>
          <w:lang w:bidi="fa-IR"/>
        </w:rPr>
        <w:t>.</w:t>
      </w:r>
    </w:p>
    <w:p>
      <w:pPr>
        <w:pStyle w:val="Heading3"/>
        <w:numPr>
          <w:ilvl w:val="2"/>
          <w:numId w:val="1"/>
        </w:numPr>
        <w:rPr/>
      </w:pPr>
      <w:bookmarkStart w:id="24" w:name="__RefHeading___Toc4158764_2870459653"/>
      <w:bookmarkStart w:id="25" w:name="_Toc9"/>
      <w:bookmarkEnd w:id="24"/>
      <w:r>
        <w:rPr>
          <w:rtl w:val="true"/>
        </w:rPr>
        <w:t>در ردّانه جسم لا کالاجسام</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اینکه آن فیلسوف که به او اطلاق عارف </w:t>
      </w:r>
      <w:r>
        <w:rPr>
          <w:rStyle w:val="FootnoteAnchor"/>
          <w:rtl w:val="true"/>
        </w:rPr>
        <w:footnoteReference w:id="5"/>
      </w:r>
      <w:r>
        <w:rPr>
          <w:rFonts w:ascii="IRNazanin" w:hAnsi="IRNazanin" w:eastAsia="IRNazanin"/>
          <w:color w:val="111111"/>
          <w:sz w:val="28"/>
          <w:sz w:val="28"/>
          <w:szCs w:val="28"/>
          <w:rtl w:val="true"/>
          <w:lang w:bidi="fa-IR"/>
        </w:rPr>
        <w:t xml:space="preserve">اولی است قائل به تجسم هست یا نیست در دفاع از او و سخنان مخالف ظواهر شرع این گروه متوسل شده 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کننده را جاهل یا غافل از اصطلاح شمرده اید کافی در رفع ایراد نیست ، چرا ما مجاز باشیم که مقاصد و مطالبمان را با اصطلاحات کفرآمیز و برگرفته از گبران و هندویان و دیگران بیان کنیم و اصطلاحات شرع را مورد توهین قرار دهیم و دامنه این عذر را گسترش دهیم تا همه در کفرگویی مجاز شوند و لکل قوم اصطلاح بل لكل احد اصطلاح بگویند و اصلاً خود تجویز این اصطلاح سازی کفرآمیز و حکم به جواز آن خلاف ضرورت نیست ؟ و چه حکمی دارد ؟ در حالات یکی از همین عرفا نوشته اند که در گفتن کلمه توحید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می کرد و عذرش این بود که من در نفی مستغرقم و هنوز به اثبات نرسیده ام و عجیب تر که می گویند وقتی سرش را بریدند شنیدند سه مرتبه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قضاوت با شما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 این چه حرفی است که انسان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ذوابعاد ثلاثة و برای جسم اقسامی ذکر کند و یک قسم را خاص خدا بداند ؟ آیا آن گروه از اشاعره و مجسِّمه که می گویند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گوییم و آن را معنی نمی کنیم کلامشان بهتر است یا کلام این شخص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اما اینکه نوشته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که به این قائل به جسم الهی ایراد گرفته است غافل از این بوده است که این نظر مبتنی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الحقيقة كل الاشياء وليس بشيء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کلام نهاية الحكمة استشهاد کرده اید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بسیط الحقيقة براشياء حمل عرفی و شایع صناعی نیست زیرا حمل به این قسم موجب تركب ذات از حیثیت کمال و نقص اشیا می شود بلکه حمل حقیقه و رقیقه است و مفهومش این است که ذات واجد کمال هر موجودی مثل جسم به نحو اعلی و اشرف است که از آن تعبیر به جسم الهی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همه اشیاء است همه اشیاء است همه اشیاء نیست و به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به تعبیر حقیر که اهل این اصطلاحات نیستم و از آغاز با اصطلاحات قرآن و حدیث آشنایم کردند چون همه کمالات از وجود است و مقول به تشکیک است آنکه اکمل و اتمّ است یا تمام و کمال وجود است کمالات همه را دارد و نمی شود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هزار شمعی نور چراغ صد شمعی و ده شمعی را دارد و یک شمعی و آن چراغ ها هم نیست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اشکالاتی که بر این قاعده شده است و اینکه بنابر وحدت سنخی وجود خدا همه اشیا نیست چنان که نور چراغ هزار شمعی نور صد شمعی و ده شمعی نیست و بنابر مبانی دیگر که وحدت شخصی وجود بگویند این کلام از وحدت وجود </w:t>
      </w:r>
    </w:p>
    <w:p>
      <w:pPr>
        <w:pStyle w:val="BookText"/>
        <w:rPr/>
      </w:pPr>
      <w:r>
        <w:rPr>
          <w:rFonts w:ascii="IRNazanin" w:hAnsi="IRNazanin" w:eastAsia="IRNazanin"/>
          <w:color w:val="111111"/>
          <w:sz w:val="28"/>
          <w:sz w:val="28"/>
          <w:szCs w:val="28"/>
          <w:rtl w:val="true"/>
          <w:lang w:bidi="fa-IR"/>
        </w:rPr>
        <w:t xml:space="preserve">باطل سر در می آورد به هر حال این را جسم الهی یا شیء دیگر الهی نمی توان گفت معنی و مفهوم درستی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ما در اینجا در مقام رد و ایراد به این مطالب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گوییم غور در این مسائل تکلف زاید است و از کسی نخواسته اند که معرفت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بسيط الحقیقه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 کند و اگر کسی در این مباحث وارد شد و سر از شرک و کفر و خلاف واقع درآورد مسئول است و معذور نیست چون مصونیت از خطا در این مباحث تضمینی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مثل مرحوم آملی شارح منظومه سبزواری نسبت به سبزواری و مثل مرحوم محقق آشتیانی آقا میرزا احمد نسبت به ملاصدرا </w:t>
      </w:r>
      <w:r>
        <w:rPr>
          <w:rStyle w:val="FootnoteAnchor"/>
          <w:rtl w:val="true"/>
        </w:rPr>
        <w:footnoteReference w:id="7"/>
      </w:r>
      <w:r>
        <w:rPr>
          <w:rFonts w:ascii="IRNazanin" w:hAnsi="IRNazanin" w:eastAsia="IRNazanin"/>
          <w:color w:val="111111"/>
          <w:sz w:val="28"/>
          <w:sz w:val="28"/>
          <w:szCs w:val="28"/>
          <w:rtl w:val="true"/>
          <w:lang w:bidi="fa-IR"/>
        </w:rPr>
        <w:t xml:space="preserve">آن طور اظهار نظر می کنند که معروف و مشهور است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قال المحقق الآشتياني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ما ذهب إليه الإمامية من المعاد الجسماني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جماعة من أهل الحكمة المتعارفة ذهبوا لشبهة عرضت لهم 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ما تنتقل إليه الأرواح في القيامة الكبرى هي صورة مجردة تعليمية ذات امتداد نظير القوالب المثالية و الصور المراتية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ولابد من حلها ودفعها بعون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الحقائق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آية الله خوانساری در عقائد الحقة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البدن المحشور في يوم النشور البدن العنصري كما هو صريح الآيات والأخبار ، 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المحشور ليس البدن العنصري ، بل البدن المثالي المنشأ بإنشاء النفس بإذن الله تعالى ، والمختلف الاختلاف الملكات الحاصلة في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العقائد الحقة في إثبات المعاد ، السيد أحمد الخوانساري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 پناه می بریم به خداوند از عرفان و فلسفه ای که در نتیجه آن خدا را جسم بدانیم یا جسم بخوانیم </w:t>
      </w:r>
      <w:r>
        <w:rPr>
          <w:rFonts w:eastAsia="IRNazanin" w:cs="IRNazanin"/>
          <w:color w:val="111111"/>
          <w:sz w:val="28"/>
          <w:szCs w:val="28"/>
          <w:rtl w:val="true"/>
          <w:lang w:bidi="fa-IR"/>
        </w:rPr>
        <w:t xml:space="preserve">. </w:t>
      </w:r>
      <w:bookmarkStart w:id="26" w:name="pg9221_92060"/>
    </w:p>
    <w:p>
      <w:pPr>
        <w:pStyle w:val="Heading2"/>
        <w:numPr>
          <w:ilvl w:val="1"/>
          <w:numId w:val="1"/>
        </w:numPr>
        <w:rPr/>
      </w:pPr>
      <w:bookmarkStart w:id="27" w:name="__RefHeading___Toc4158766_2870459653"/>
      <w:bookmarkStart w:id="28" w:name="_Toc10"/>
      <w:bookmarkEnd w:id="26"/>
      <w:bookmarkEnd w:id="27"/>
      <w:r>
        <w:rPr>
          <w:rtl w:val="true"/>
        </w:rPr>
        <w:t>جبر و اختیار از دیدگاه مکتب وحی ، فلسفه و عرفان آیت الله سید جعفر سیدان</w:t>
      </w:r>
      <w:bookmarkEnd w:id="28"/>
    </w:p>
    <w:p>
      <w:pPr>
        <w:pStyle w:val="Heading3"/>
        <w:numPr>
          <w:ilvl w:val="2"/>
          <w:numId w:val="1"/>
        </w:numPr>
        <w:rPr/>
      </w:pPr>
      <w:bookmarkStart w:id="29" w:name="__RefHeading___Toc4158768_2870459653"/>
      <w:bookmarkStart w:id="30" w:name="_Toc11"/>
      <w:bookmarkEnd w:id="29"/>
      <w:r>
        <w:rPr>
          <w:rtl w:val="true"/>
        </w:rPr>
        <w:t>چکیده</w:t>
      </w:r>
      <w:bookmarkEnd w:id="30"/>
    </w:p>
    <w:p>
      <w:pPr>
        <w:pStyle w:val="BookText"/>
        <w:rPr/>
      </w:pPr>
      <w:r>
        <w:rPr>
          <w:rFonts w:ascii="IRNazanin" w:hAnsi="IRNazanin" w:eastAsia="IRNazanin"/>
          <w:color w:val="111111"/>
          <w:sz w:val="28"/>
          <w:sz w:val="28"/>
          <w:szCs w:val="28"/>
          <w:rtl w:val="true"/>
          <w:lang w:bidi="fa-IR"/>
        </w:rPr>
        <w:t xml:space="preserve">نگرش مکتب وحی به مسأله جبر و اختیار تفاوتی بنیادین با طرح این مسأله در فلسفه و عرفان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که خود فقیهی متکلم و عقاید شناسی برجسته است و شاید بتوان وی را از معدود عقاید شناسان آگاه به مبانی وحی دانست ، در بحث از موضوع جبر و اختیار ، حرکت عقلانی و تعقل صحیح را اساس کار دانسته و سخن نهائی در این موضوع مهم اعتقادی را که معرکه آراء متکلمین و فلاسفه است ، همان بیان دقیق و استوار وحی می داند و در سلسله دروسی که در مدرسه آیت الله العظمی گلپایگانی قم القا نموده ، به بررسی دقیق و موشکافانه این مهم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وی در استفاده از مدارک وحیانی و نصوص شرعیه همواره متکی به دو قید استحکام سند و روشنی دلالت با تحفظ بر بکارگیری مشی عقلانی و ارائه مطالب با کلامی عاری از تعقید و دشواری های زبانی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مهم نویسنده تضلع حیرت آور وی بر فلسفه ملاصدرا و عرفان نظری ابن عربی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که خود از مبدعین روش صحیح در گفتگوهای علمی است ، ابتدا به بیان فهرست وار مسائل مربوط به جبر و اختیار پرداخته و ضمن مشخص نمودن محدوده بحث ، به بیان عقاید فِرَق مهم کلامی همچون اشاعره و معتزله در این باب پرداخته ، آنگاه جبر فلسفی و جبر و اختیار در عرفان را نیز تبیین نموده و سپس به ایضاح دیدگاه مکتب اهل بیت عَلَیهِم السَّلام در این باره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رویکرد تعقل در وحی و استفاده از مستقلات عقلیه ، دیدگاه های کلامی شیعه را تحریری نو و بایسته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فلسفی ، اختیار ، اراده ، علم الهی ، دلیل عقلی ، دلیل نقلی </w:t>
      </w:r>
      <w:r>
        <w:rPr>
          <w:rFonts w:eastAsia="IRNazanin" w:cs="IRNazanin"/>
          <w:color w:val="111111"/>
          <w:sz w:val="28"/>
          <w:szCs w:val="28"/>
          <w:rtl w:val="true"/>
          <w:lang w:bidi="fa-IR"/>
        </w:rPr>
        <w:t>.</w:t>
      </w:r>
    </w:p>
    <w:p>
      <w:pPr>
        <w:pStyle w:val="Heading3"/>
        <w:numPr>
          <w:ilvl w:val="2"/>
          <w:numId w:val="1"/>
        </w:numPr>
        <w:rPr/>
      </w:pPr>
      <w:bookmarkStart w:id="31" w:name="__RefHeading___Toc4158770_2870459653"/>
      <w:bookmarkStart w:id="32" w:name="_Toc12"/>
      <w:bookmarkEnd w:id="31"/>
      <w:r>
        <w:rPr>
          <w:rtl w:val="true"/>
        </w:rPr>
        <w:t>جلسه پنجم</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خير الصّلوة والسّلام على خير خلقه حبيب إله العالم أبي القاسم محمّد و على آله آل الله و اللّعن الدائم على أعدائهم أعداء الله من الآن إلى يوم لقاء الله </w:t>
      </w:r>
      <w:bookmarkStart w:id="33" w:name="pg9221_92061"/>
    </w:p>
    <w:p>
      <w:pPr>
        <w:pStyle w:val="BookText"/>
        <w:rPr/>
      </w:pPr>
      <w:bookmarkEnd w:id="33"/>
      <w:r>
        <w:rPr>
          <w:rFonts w:ascii="Amiri" w:hAnsi="Amiri" w:eastAsia="Amiri" w:cs="Amiri"/>
          <w:color w:val="111111"/>
          <w:sz w:val="28"/>
          <w:sz w:val="28"/>
          <w:szCs w:val="28"/>
          <w:rtl w:val="true"/>
          <w:lang w:bidi="ar-SA"/>
        </w:rPr>
        <w:t>إنَّا هَدَيْنَاهُ السَّبِيلَ إِمّا شاكِراً وَ إِمّا كَفُوراً</w:t>
      </w:r>
    </w:p>
    <w:p>
      <w:pPr>
        <w:pStyle w:val="Heading3"/>
        <w:numPr>
          <w:ilvl w:val="2"/>
          <w:numId w:val="1"/>
        </w:numPr>
        <w:rPr/>
      </w:pPr>
      <w:bookmarkStart w:id="34" w:name="__RefHeading___Toc4158772_2870459653"/>
      <w:bookmarkStart w:id="35" w:name="_Toc13"/>
      <w:bookmarkEnd w:id="34"/>
      <w:r>
        <w:rPr>
          <w:rtl w:val="true"/>
        </w:rPr>
        <w:t>نگاهی به آنچه گذشت</w:t>
      </w:r>
      <w:bookmarkEnd w:id="35"/>
    </w:p>
    <w:p>
      <w:pPr>
        <w:pStyle w:val="BookText"/>
        <w:rPr/>
      </w:pPr>
      <w:r>
        <w:rPr>
          <w:rFonts w:ascii="IRNazanin" w:hAnsi="IRNazanin" w:eastAsia="IRNazanin"/>
          <w:color w:val="111111"/>
          <w:sz w:val="28"/>
          <w:sz w:val="28"/>
          <w:szCs w:val="28"/>
          <w:rtl w:val="true"/>
          <w:lang w:bidi="fa-IR"/>
        </w:rPr>
        <w:t xml:space="preserve">در مسأله جبر و تفویض فهرستی از اقوال مهم مربوط به این بحث ارائه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مشخص شدن محدوده بحث ، جبر اشعری مطرح گردید ، به نظر قائلین به تفویض نیز اجمالاً اشاره رفت نظر جمهور فلاسفه هم با تفصیل بیشتری مورد بحث قرار گرفت ، در مورد رأی عرفا و عرفان مصطلح هم بحث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پرداختن به نظر مختار در جلسات بعد ، جبر فلسفی را از جهت دیگری پی می گیریم </w:t>
      </w:r>
      <w:r>
        <w:rPr>
          <w:rFonts w:eastAsia="IRNazanin" w:cs="IRNazanin"/>
          <w:color w:val="111111"/>
          <w:sz w:val="28"/>
          <w:szCs w:val="28"/>
          <w:rtl w:val="true"/>
          <w:lang w:bidi="fa-IR"/>
        </w:rPr>
        <w:t>.</w:t>
      </w:r>
    </w:p>
    <w:p>
      <w:pPr>
        <w:pStyle w:val="Heading3"/>
        <w:numPr>
          <w:ilvl w:val="2"/>
          <w:numId w:val="1"/>
        </w:numPr>
        <w:rPr/>
      </w:pPr>
      <w:bookmarkStart w:id="36" w:name="__RefHeading___Toc4158774_2870459653"/>
      <w:bookmarkStart w:id="37" w:name="_Toc14"/>
      <w:bookmarkEnd w:id="36"/>
      <w:r>
        <w:rPr>
          <w:rtl w:val="true"/>
        </w:rPr>
        <w:t xml:space="preserve">جبر فلسفی و قاعده </w:t>
      </w:r>
      <w:r>
        <w:rPr>
          <w:rtl w:val="true"/>
        </w:rPr>
        <w:t>«</w:t>
      </w:r>
      <w:r>
        <w:rPr>
          <w:rtl w:val="true"/>
        </w:rPr>
        <w:t>الشيء مالم يجب لم يوجد</w:t>
      </w:r>
      <w:r>
        <w:rPr>
          <w:rtl w:val="true"/>
        </w:rPr>
        <w:t>»</w:t>
      </w:r>
      <w:bookmarkEnd w:id="37"/>
    </w:p>
    <w:p>
      <w:pPr>
        <w:pStyle w:val="BookText"/>
        <w:rPr/>
      </w:pPr>
      <w:r>
        <w:rPr>
          <w:rFonts w:ascii="IRNazanin" w:hAnsi="IRNazanin" w:eastAsia="IRNazanin"/>
          <w:color w:val="111111"/>
          <w:sz w:val="28"/>
          <w:sz w:val="28"/>
          <w:szCs w:val="28"/>
          <w:rtl w:val="true"/>
          <w:lang w:bidi="fa-IR"/>
        </w:rPr>
        <w:t xml:space="preserve">پیشتر گفتیم ، فلاسفه با این قول که افعال عباد مسبوق به اراده آنهاست ، خواسته اند از تالی فاسدهای قول به جبر بگریزند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جهت تکمیل بحث استدلال دیگری که شبهه جبر را تقویت می کند و نیز پاسخ مربوط به آن را بررسی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قواعد مسلم فلسفه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ممکنی که تحقق و فعلیت پیدا می کند دو وجوب دارد ، یک وجوب سابق و یک وجوب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موجودیت و فعلیت دارد ، وجودش واجب و وجوبش بالغير و وابسته به علتی است که او را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وجوب به عنوان وجوب لاحق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قبل از تحقق باید وجوبی بیابد تا تحقق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تحقق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وجوب سابق تعبیر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ممكن اقتضای وجود ندارد کما اینکه اقتضای عدم هم ندارد پس برای موجود شدن نیاز به علت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راهها و احتمالاتِ عدم تحقّق ، مسدود و منتفی نشود ذات ممکن در حال مساوی نسبت به وجود و عدم که همان حقیت امکان است باقی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 احتمالات عدم آن منتفی شود تحقق اش ضرورت می یابد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موجود قبل از تحقق ، باید وجوب سابقی داشته باشد یعنی علت موجد آن علت تامه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خود علت به وجوب رسیده و در علیّت وجوب دارد وهم معلول برای تحقق باید وجوب پیدا کند ؛ در نتیجه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يجب لم يوجد</w:t>
      </w:r>
      <w:r>
        <w:rPr>
          <w:rFonts w:eastAsia="IRNazanin" w:cs="IRNazanin"/>
          <w:color w:val="111111"/>
          <w:sz w:val="28"/>
          <w:szCs w:val="28"/>
          <w:rtl w:val="true"/>
          <w:lang w:bidi="fa-IR"/>
        </w:rPr>
        <w:t xml:space="preserve">». </w:t>
      </w:r>
      <w:bookmarkStart w:id="38" w:name="pg9221_92062"/>
    </w:p>
    <w:p>
      <w:pPr>
        <w:pStyle w:val="Heading3"/>
        <w:numPr>
          <w:ilvl w:val="2"/>
          <w:numId w:val="1"/>
        </w:numPr>
        <w:rPr/>
      </w:pPr>
      <w:bookmarkStart w:id="39" w:name="__RefHeading___Toc4158776_2870459653"/>
      <w:bookmarkStart w:id="40" w:name="_Toc15"/>
      <w:bookmarkEnd w:id="38"/>
      <w:bookmarkEnd w:id="39"/>
      <w:r>
        <w:rPr>
          <w:rtl w:val="true"/>
        </w:rPr>
        <w:t xml:space="preserve">قاعده </w:t>
      </w:r>
      <w:r>
        <w:rPr>
          <w:rtl w:val="true"/>
        </w:rPr>
        <w:t xml:space="preserve">« </w:t>
      </w:r>
      <w:r>
        <w:rPr>
          <w:rtl w:val="true"/>
        </w:rPr>
        <w:t xml:space="preserve">الشيء مالم يجب لم يوجد </w:t>
      </w:r>
      <w:r>
        <w:rPr>
          <w:rtl w:val="true"/>
        </w:rPr>
        <w:t xml:space="preserve">» </w:t>
      </w:r>
      <w:r>
        <w:rPr>
          <w:rtl w:val="true"/>
        </w:rPr>
        <w:t>وابن سينا</w:t>
      </w:r>
      <w:bookmarkEnd w:id="40"/>
    </w:p>
    <w:p>
      <w:pPr>
        <w:pStyle w:val="BookText"/>
        <w:rPr/>
      </w:pPr>
      <w:r>
        <w:rPr>
          <w:rFonts w:ascii="IRNazanin" w:hAnsi="IRNazanin" w:eastAsia="IRNazanin"/>
          <w:color w:val="111111"/>
          <w:sz w:val="28"/>
          <w:sz w:val="28"/>
          <w:szCs w:val="28"/>
          <w:rtl w:val="true"/>
          <w:lang w:bidi="fa-IR"/>
        </w:rPr>
        <w:t xml:space="preserve">ابن سينا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فى أن مالم يجب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بان أنّ كلّ واجب الوجود بغيره فهو ممكن الوجود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ينعكس فيكون كلّ ممكن الوجود بذاته فإنّه إن حصل وجوده كان واجب الوجود بغيره ، لأنّه لا يخلو إمّا أن يصحّ له وجوده بالفعل وإمّا أن لا يصحّ له وجود بالفعل ، ومحال أن لا يصحّ له وجود بالفعل ، وإلا كان ممتنع الوجود فبقى أن يصحّ له وجود بالفعل ، فحينئذٍ إمّا أن يجب وجوده وإما أن لايجب وجوده و مالم يجب وجوده فهو بعد ممكن الوجود لم يتميّز وجوده عن عدمه ، ولافرق بين هذه الحالة فيه والحالة الأولى لأنّه قد كان قبل الوجود ممكن الوجود والآن هو بحاله كما كان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پس روشن شد هر موجودی که وجوبش بالغیر است ذاتا ممکن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این آن است که هر موجودی که ذاتا ممکن الوجود است به هنگام وجود واجب الوجود بالغیر می شود ؛ زیرا یا فعلیت وجود او صحیح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فعلیت وجود آن محال است چون در آن صورت ممتنع الوجود خواهد شد پس ثابت می شود صحت فعلیّت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یا وجودش واجب می شود یا واجب نمی شود و تا مادامی که وجودش واجب نشود ممکن الوجود خواهد بود و وجودش از عدمش جدا نخواهد شد و این حالت در آن شیء با حالت اولش فرقی نخواهد داشت زیرا قبل از وجود هم ممکن الوجود بود و الآن هم به همان حالش که بود هست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ابن سینا ، بدیهی است که ممکنِ در حد ذات ممتنع الوجود نیست ، همچنین وجوب وجود هم ندارد ، پس برای تحقّق و خارج شدن از حالت تساوی نیاز به علت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ممکن هیچ وجوبی پیدا نکرده باشد ، در حالت تساوی باقی می ماند پس علت تحقق دهنده آن باید علت تامّه باشد ؛ یعنی علّتی که وجوب وجودِ </w:t>
      </w:r>
      <w:bookmarkStart w:id="41" w:name="pg9221_92063"/>
    </w:p>
    <w:p>
      <w:pPr>
        <w:pStyle w:val="BookText"/>
        <w:rPr/>
      </w:pPr>
      <w:bookmarkEnd w:id="41"/>
      <w:r>
        <w:rPr>
          <w:rFonts w:ascii="IRNazanin" w:hAnsi="IRNazanin" w:eastAsia="IRNazanin"/>
          <w:color w:val="111111"/>
          <w:sz w:val="28"/>
          <w:sz w:val="28"/>
          <w:szCs w:val="28"/>
          <w:rtl w:val="true"/>
          <w:lang w:bidi="fa-IR"/>
        </w:rPr>
        <w:t xml:space="preserve">آن را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قبل از اینکه ممکن ، تحقق پیدا کند باید مسبوق به وجوب وجود شده باشد در نتیجه ممکنِ موجود ، وجوب سابقی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لاحق هم که مشخص است </w:t>
      </w:r>
      <w:r>
        <w:rPr>
          <w:rFonts w:eastAsia="IRNazanin" w:cs="IRNazanin"/>
          <w:color w:val="111111"/>
          <w:sz w:val="28"/>
          <w:szCs w:val="28"/>
          <w:rtl w:val="true"/>
          <w:lang w:bidi="fa-IR"/>
        </w:rPr>
        <w:t>.</w:t>
      </w:r>
    </w:p>
    <w:p>
      <w:pPr>
        <w:pStyle w:val="Heading3"/>
        <w:numPr>
          <w:ilvl w:val="2"/>
          <w:numId w:val="1"/>
        </w:numPr>
        <w:rPr/>
      </w:pPr>
      <w:bookmarkStart w:id="42" w:name="__RefHeading___Toc4158778_2870459653"/>
      <w:bookmarkStart w:id="43" w:name="_Toc16"/>
      <w:bookmarkEnd w:id="42"/>
      <w:r>
        <w:rPr>
          <w:rtl w:val="true"/>
        </w:rPr>
        <w:t xml:space="preserve">قاعده </w:t>
      </w:r>
      <w:r>
        <w:rPr>
          <w:rtl w:val="true"/>
        </w:rPr>
        <w:t>«</w:t>
      </w:r>
      <w:r>
        <w:rPr>
          <w:rtl w:val="true"/>
        </w:rPr>
        <w:t>الشيء مالم يجب لم يوجد</w:t>
      </w:r>
      <w:r>
        <w:rPr>
          <w:rtl w:val="true"/>
        </w:rPr>
        <w:t xml:space="preserve">» </w:t>
      </w:r>
      <w:r>
        <w:rPr>
          <w:rtl w:val="true"/>
        </w:rPr>
        <w:t>در اسفار</w:t>
      </w:r>
      <w:bookmarkEnd w:id="43"/>
    </w:p>
    <w:p>
      <w:pPr>
        <w:pStyle w:val="BookText"/>
        <w:rPr/>
      </w:pPr>
      <w:r>
        <w:rPr>
          <w:rFonts w:ascii="IRNazanin" w:hAnsi="IRNazanin" w:eastAsia="IRNazanin"/>
          <w:color w:val="111111"/>
          <w:sz w:val="28"/>
          <w:sz w:val="28"/>
          <w:szCs w:val="28"/>
          <w:rtl w:val="true"/>
          <w:lang w:bidi="fa-IR"/>
        </w:rPr>
        <w:t xml:space="preserve">در اسفار نیز در موارد متعددی این مطلب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الممكن مالم يجب بغيره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تيقّن أنَّ كلّ ممكن مالم يترجّح وجوده بغيره لم يوجد ، ومالم يترجّح عدمه كذلك لم ينعدم ، فلابد له في رجحان كلًّ من الطرفين من سبب خارج عن نفسه فالان نقول إنَّ ذلك السبب المرجّح مالم يبلغ ترجيحه إلى حدّ الوجوب لم يكن السبب المرجّح مرجّحاً ، فالأولويّة الخارجة الغير الواصلة إلى حدّ الوجوب بسبب الغير غير كافية كما ظنه أكثر المتكلمين ، فمادام الممكن في حدود الإمكان لم يتحقق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إذا لم يصل إلى حدّ الوجوب بسبب الغير يجوز وجوده و یجوز عدمه ، فلا يتعيّن بعد التخصيص بأحدهما دون الآخر ، فيعود طلب المخصّص </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روشن شد که هر ممکنی تا مادامی که وجودش به واسطه غیر رجحان پیدا نکند موجود نمی شود و عدمش تا به واسطه غیر رجحان پیدا نکند معدوم نمی شود پس برای ممکن برای خروج از دو طرف نیاز به سببی از خارج هست پس می گوییم این سبب مرجّح خارجی تا مادامی که ترجیحش به حدّ وجوب نرسد سبب مرجح ، مرجّح نخواهد شد و اولویت خارجی که به واسطه غیر به حدّ وجوب نرسیده است در خروج ممکن از تساوی دو طرف کافی نیست بر خلاف ظنّ بیشتر متکلمان که آن را خروج از تساوی دو طرف کافی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تا مادامی ممکن در حد امکان است وجود پیدا نمی کند مگر نه این است که ممکن تا به واسطه غیر به حدّ وجوب نرسد وجود و عدم نسبت به او مساوی است و تخصیص به یکی بدون دیگری در حق آن متعیّن نمی شود پس نیاز به مخصص عود می کند </w:t>
      </w:r>
      <w:r>
        <w:rPr>
          <w:rFonts w:eastAsia="IRNazanin" w:cs="IRNazanin"/>
          <w:color w:val="111111"/>
          <w:sz w:val="28"/>
          <w:szCs w:val="28"/>
          <w:rtl w:val="true"/>
          <w:lang w:bidi="fa-IR"/>
        </w:rPr>
        <w:t xml:space="preserve">. </w:t>
      </w:r>
      <w:bookmarkStart w:id="44" w:name="pg9221_92064"/>
    </w:p>
    <w:p>
      <w:pPr>
        <w:pStyle w:val="BookText"/>
        <w:rPr/>
      </w:pPr>
      <w:bookmarkEnd w:id="44"/>
      <w:r>
        <w:rPr>
          <w:rFonts w:ascii="IRNazanin" w:hAnsi="IRNazanin" w:eastAsia="IRNazanin"/>
          <w:color w:val="111111"/>
          <w:sz w:val="28"/>
          <w:sz w:val="28"/>
          <w:szCs w:val="28"/>
          <w:rtl w:val="true"/>
          <w:lang w:bidi="fa-IR"/>
        </w:rPr>
        <w:t xml:space="preserve">حاصل آنکه شیء ممکنِ متحقّق در خارج نیاز به علتی دارد که موجب تحقق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ملاصدرا در جای دیگر تصریح می کند که هم خود علت در علیتش و هم معلول در تحققش وجوب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جای دیگر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فقد صحّ إذن أنَّ كلَّ ماهيّة ممكنة أو كلَّ وجود إمكاني ، لا يتقرّر ولا يوجد مالم يجب تقرّره ووجوده بعلّته ، فلا يتصوّر كون العلّة علّة مالم يكن ترجيحها للمعلول ترجيحاً إيجابياً ، فكلُّ علة واجبة العلّيّة وكلُّ معلول واجب المعلوليّة والعلّة الأولى كما هو واجب الوجوب كذلك واجب العليّة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خلاصه کلام این که هر ماهیّت ممکنی یا هر وجود امکانی تقرّر و وجود پیدا نمی کند مگر بعد از آن که تقرّر و وجودش به واسطه علّت اش به حدّ وجوب برسد و علّت ، علّت نمی شود مگر هنگامی که ترجیحش نسبت به معلول ترجیح ایجابی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علّتی ، علّیت اش واجب و هر معلولی ، معلولیّت اش واجب است و علّت اوّل چنانچه واجب الوجوب است واجب العليّة 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کتب مربوط روشن می شود که این مطلب به فراوانی با همین مضمون و با تقریرهای مختلف مطرح شده است </w:t>
      </w:r>
      <w:r>
        <w:rPr>
          <w:rFonts w:eastAsia="IRNazanin" w:cs="IRNazanin"/>
          <w:color w:val="111111"/>
          <w:sz w:val="28"/>
          <w:szCs w:val="28"/>
          <w:rtl w:val="true"/>
          <w:lang w:bidi="fa-IR"/>
        </w:rPr>
        <w:t>.</w:t>
      </w:r>
    </w:p>
    <w:p>
      <w:pPr>
        <w:pStyle w:val="Heading3"/>
        <w:numPr>
          <w:ilvl w:val="2"/>
          <w:numId w:val="1"/>
        </w:numPr>
        <w:rPr/>
      </w:pPr>
      <w:bookmarkStart w:id="45" w:name="__RefHeading___Toc4158780_2870459653"/>
      <w:bookmarkStart w:id="46" w:name="_Toc17"/>
      <w:bookmarkEnd w:id="45"/>
      <w:r>
        <w:rPr>
          <w:rtl w:val="true"/>
        </w:rPr>
        <w:t xml:space="preserve">قاعده </w:t>
      </w:r>
      <w:r>
        <w:rPr>
          <w:rtl w:val="true"/>
        </w:rPr>
        <w:t>«</w:t>
      </w:r>
      <w:r>
        <w:rPr>
          <w:rtl w:val="true"/>
        </w:rPr>
        <w:t>الشيء مالم يجب لم يوجد</w:t>
      </w:r>
      <w:r>
        <w:rPr>
          <w:rtl w:val="true"/>
        </w:rPr>
        <w:t xml:space="preserve">» </w:t>
      </w:r>
      <w:r>
        <w:rPr>
          <w:rtl w:val="true"/>
        </w:rPr>
        <w:t>و جبر و اختيار</w:t>
      </w:r>
      <w:bookmarkEnd w:id="46"/>
    </w:p>
    <w:p>
      <w:pPr>
        <w:pStyle w:val="BookText"/>
        <w:rPr/>
      </w:pPr>
      <w:r>
        <w:rPr>
          <w:rFonts w:ascii="IRNazanin" w:hAnsi="IRNazanin" w:eastAsia="IRNazanin"/>
          <w:color w:val="111111"/>
          <w:sz w:val="28"/>
          <w:sz w:val="28"/>
          <w:szCs w:val="28"/>
          <w:rtl w:val="true"/>
          <w:lang w:bidi="fa-IR"/>
        </w:rPr>
        <w:t xml:space="preserve">چنانکه گفتیم محدوده بحث جبر و اختیار فعل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نیز شیء و ممکن الوجود است و به حکم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ممکنی برای تحقق در خارج ، نیاز به وجوب سابق ولاحق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 انسان هم باید مسبوق به وجوب وجود باشد تا محقّق گردد ، در نتیجه صدور فعل از عبد ضروری خواهد بود ، و این جبر است </w:t>
      </w:r>
      <w:r>
        <w:rPr>
          <w:rFonts w:eastAsia="IRNazanin" w:cs="IRNazanin"/>
          <w:color w:val="111111"/>
          <w:sz w:val="28"/>
          <w:szCs w:val="28"/>
          <w:rtl w:val="true"/>
          <w:lang w:bidi="fa-IR"/>
        </w:rPr>
        <w:t>.</w:t>
      </w:r>
    </w:p>
    <w:p>
      <w:pPr>
        <w:pStyle w:val="Heading3"/>
        <w:numPr>
          <w:ilvl w:val="2"/>
          <w:numId w:val="1"/>
        </w:numPr>
        <w:rPr/>
      </w:pPr>
      <w:bookmarkStart w:id="47" w:name="__RefHeading___Toc4158782_2870459653"/>
      <w:bookmarkStart w:id="48" w:name="_Toc18"/>
      <w:bookmarkEnd w:id="47"/>
      <w:r>
        <w:rPr>
          <w:rtl w:val="true"/>
        </w:rPr>
        <w:t xml:space="preserve">جواب ملاصدرا </w:t>
      </w:r>
      <w:r>
        <w:rPr>
          <w:rtl w:val="true"/>
        </w:rPr>
        <w:t>(</w:t>
      </w:r>
      <w:r>
        <w:rPr>
          <w:rtl w:val="true"/>
        </w:rPr>
        <w:t>رحمة الله علیه</w:t>
      </w:r>
      <w:r>
        <w:rPr>
          <w:rtl w:val="true"/>
        </w:rPr>
        <w:t xml:space="preserve">) </w:t>
      </w:r>
      <w:r>
        <w:rPr>
          <w:rtl w:val="true"/>
        </w:rPr>
        <w:t xml:space="preserve">و علامه طباطبایی </w:t>
      </w:r>
      <w:r>
        <w:rPr>
          <w:rtl w:val="true"/>
        </w:rPr>
        <w:t>(</w:t>
      </w:r>
      <w:r>
        <w:rPr>
          <w:rtl w:val="true"/>
        </w:rPr>
        <w:t>رحمة الله علیه</w:t>
      </w:r>
      <w:r>
        <w:rPr>
          <w:rtl w:val="true"/>
        </w:rPr>
        <w:t xml:space="preserve">) </w:t>
      </w:r>
      <w:r>
        <w:rPr>
          <w:rtl w:val="true"/>
        </w:rPr>
        <w:t>از اشکال جبر</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بزرگان از جمله ملاصدرا و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اشکال ، بحث </w:t>
      </w:r>
      <w:bookmarkStart w:id="49" w:name="pg9221_92065"/>
    </w:p>
    <w:p>
      <w:pPr>
        <w:pStyle w:val="BookText"/>
        <w:rPr/>
      </w:pPr>
      <w:bookmarkEnd w:id="49"/>
      <w:r>
        <w:rPr>
          <w:rFonts w:ascii="IRNazanin" w:hAnsi="IRNazanin" w:eastAsia="IRNazanin"/>
          <w:color w:val="111111"/>
          <w:sz w:val="28"/>
          <w:sz w:val="28"/>
          <w:szCs w:val="28"/>
          <w:rtl w:val="true"/>
          <w:lang w:bidi="fa-IR"/>
        </w:rPr>
        <w:t xml:space="preserve">استناد فعل به اراده انسان را مطرح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پاسخ از شبهه جبر بر اساس علیت ، نیز به همین موضوع استدلال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گفتیم که علامه رحمه الله علیه در پاسخ شبهه جبر لفظ اختیار را به کار گرفته و آن را به سلسله علل اضافه کرده و اراده را در ارتباط با اختیار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به شبهه لغویتِ ثواب و عقاب ، مدح و ذمّ ، ارسال رسل ، انزال کتب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علامه رحمه الله علیه می گوید هر چند به حکم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فعل از عبد ضروری و واجب است اما چون فعل مسبوق به اراده عبد و اراده عبد هم مسبوق به اختیار اوست ، در نتیجه شبهه جبرو تالی فاسد های مربوط به آن از بین می رود </w:t>
      </w:r>
      <w:r>
        <w:rPr>
          <w:rFonts w:eastAsia="IRNazanin" w:cs="IRNazanin"/>
          <w:color w:val="111111"/>
          <w:sz w:val="28"/>
          <w:szCs w:val="28"/>
          <w:rtl w:val="true"/>
          <w:lang w:bidi="fa-IR"/>
        </w:rPr>
        <w:t>.</w:t>
      </w:r>
    </w:p>
    <w:p>
      <w:pPr>
        <w:pStyle w:val="Heading3"/>
        <w:numPr>
          <w:ilvl w:val="2"/>
          <w:numId w:val="1"/>
        </w:numPr>
        <w:rPr/>
      </w:pPr>
      <w:bookmarkStart w:id="50" w:name="__RefHeading___Toc4158784_2870459653"/>
      <w:bookmarkStart w:id="51" w:name="_Toc19"/>
      <w:bookmarkEnd w:id="50"/>
      <w:r>
        <w:rPr>
          <w:rtl w:val="true"/>
        </w:rPr>
        <w:t>مناقشه در جواب اشکال</w:t>
      </w:r>
      <w:bookmarkEnd w:id="51"/>
    </w:p>
    <w:p>
      <w:pPr>
        <w:pStyle w:val="BookText"/>
        <w:rPr/>
      </w:pPr>
      <w:r>
        <w:rPr>
          <w:rFonts w:ascii="IRNazanin" w:hAnsi="IRNazanin" w:eastAsia="IRNazanin"/>
          <w:color w:val="111111"/>
          <w:sz w:val="28"/>
          <w:sz w:val="28"/>
          <w:szCs w:val="28"/>
          <w:rtl w:val="true"/>
          <w:lang w:bidi="fa-IR"/>
        </w:rPr>
        <w:t xml:space="preserve">اما سؤال این است که آیا این قاعده در مورد اراده عبد هم جاری است یا خیر؟ چون اراده شیء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ما لم يجب لم يوجد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نتيجه اراده هم برای تحقق باید وجوبِ وجود پیدا کند ؛ پس هر چند فعل عبد مسبوق به اراده اوست اما خود اراده وجوب وجود دارد و لذا شبهه جبر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لفظ اختیار هم که توسط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بود ، گفتیم چنانچه از اختیار ، معنای حقیقی آن ، یعنی سلطه بر فعل و ترک مورد نظر باشد ، اشکال مرتفع می شود اما اگر گفته شود خداوند اراده کرده که عبد با اختیار خود فعل خاص را اراده کند ، اشکال جبر عود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 محدوده علل اختیاری تخصصاً جاری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محدوده آن در علل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شیء در خارج به دو گونه ممکن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استناد شيء به علل واجب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استناد فعل به اختیار ، به معنای سلطه بر فعل و ترک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وجدان و معارف اهل بیت عَلَیهِم السَّلام حضرت حقّ به عبد چنین سلطه ای مرحمت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فعل صادره از عبد منشأ دیگری جز سلطه و قدرت عبد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نفس این سلطه تحت اراده حضرت حق است و لذا تفویض هم صورت نگرفته است بلکه امر بین الامرین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مختار به تفصیل به این موضوع خواهیم پرداخت </w:t>
      </w:r>
      <w:r>
        <w:rPr>
          <w:rFonts w:eastAsia="IRNazanin" w:cs="IRNazanin"/>
          <w:color w:val="111111"/>
          <w:sz w:val="28"/>
          <w:szCs w:val="28"/>
          <w:rtl w:val="true"/>
          <w:lang w:bidi="fa-IR"/>
        </w:rPr>
        <w:t xml:space="preserve">. </w:t>
      </w:r>
      <w:bookmarkStart w:id="52" w:name="pg9221_92066"/>
    </w:p>
    <w:p>
      <w:pPr>
        <w:pStyle w:val="Heading3"/>
        <w:numPr>
          <w:ilvl w:val="2"/>
          <w:numId w:val="1"/>
        </w:numPr>
        <w:rPr/>
      </w:pPr>
      <w:bookmarkStart w:id="53" w:name="__RefHeading___Toc4158786_2870459653"/>
      <w:bookmarkStart w:id="54" w:name="_Toc20"/>
      <w:bookmarkEnd w:id="52"/>
      <w:bookmarkEnd w:id="53"/>
      <w:r>
        <w:rPr>
          <w:rtl w:val="true"/>
        </w:rPr>
        <w:t>اشاره به جبر عرفانی</w:t>
      </w:r>
      <w:bookmarkEnd w:id="54"/>
    </w:p>
    <w:p>
      <w:pPr>
        <w:pStyle w:val="BookText"/>
        <w:rPr/>
      </w:pPr>
      <w:r>
        <w:rPr>
          <w:rFonts w:ascii="IRNazanin" w:hAnsi="IRNazanin" w:eastAsia="IRNazanin"/>
          <w:color w:val="111111"/>
          <w:sz w:val="28"/>
          <w:sz w:val="28"/>
          <w:szCs w:val="28"/>
          <w:rtl w:val="true"/>
          <w:lang w:bidi="fa-IR"/>
        </w:rPr>
        <w:t xml:space="preserve">چنان که در جلسات قبل بیان شد بر اساس مبنای عرفانی در عالم وجود یک حقیقت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هست تطوّر اوست یعنی این حقیقت مظاهر مختلف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وجود به اشیاء اسناد مجازی است در نتیجه هیچ چیزی غیر او نیست تا گفته شود مجبور است یا مختار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انتفای سالبه به انتفای موضوعش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55" w:name="__RefHeading___Toc4158788_2870459653"/>
      <w:bookmarkStart w:id="56" w:name="_Toc21"/>
      <w:bookmarkEnd w:id="55"/>
      <w:r>
        <w:rPr>
          <w:rtl w:val="true"/>
        </w:rPr>
        <w:t xml:space="preserve">جبر عرفانی و علّامه جعفری </w:t>
      </w:r>
      <w:r>
        <w:rPr>
          <w:rtl w:val="true"/>
        </w:rPr>
        <w:t>(</w:t>
      </w:r>
      <w:r>
        <w:rPr>
          <w:rtl w:val="true"/>
        </w:rPr>
        <w:t>رحمة الله علیه</w:t>
      </w:r>
      <w:r>
        <w:rPr>
          <w:rtl w:val="true"/>
        </w:rPr>
        <w:t>)</w:t>
      </w:r>
      <w:bookmarkEnd w:id="56"/>
    </w:p>
    <w:p>
      <w:pPr>
        <w:pStyle w:val="BookText"/>
        <w:rPr/>
      </w:pPr>
      <w:r>
        <w:rPr>
          <w:rFonts w:ascii="IRNazanin" w:hAnsi="IRNazanin" w:eastAsia="IRNazanin"/>
          <w:color w:val="111111"/>
          <w:sz w:val="28"/>
          <w:sz w:val="28"/>
          <w:szCs w:val="28"/>
          <w:rtl w:val="true"/>
          <w:lang w:bidi="fa-IR"/>
        </w:rPr>
        <w:t xml:space="preserve">مرحوم علامه جعفری هم قائل است که بنابر نظریه وحدتی ها مسأله جبر و اختیار موضوع ندارد چون جز یک حقیقت و تطورات او چیز دیگری وجود ندارد تا گفته شود ، مجبور است یا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مکتب که میان خداوند و موجودات هیچ گونه تغایری نمی بیند بلکه خداوند را صورت اجمالی موجودات و موجودات را صورت تفصیلی خداوند می داند نبایستی این مسأله را مورد بررسی قرار دهد زیرا نه خالقی هست و نه مخلوقی ، تا ببینیم دخالت صورت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صورت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قرار است ؟</w:t>
      </w:r>
    </w:p>
    <w:p>
      <w:pPr>
        <w:pStyle w:val="BookText"/>
        <w:rPr/>
      </w:pPr>
      <w:r>
        <w:rPr>
          <w:rFonts w:ascii="IRNazanin" w:hAnsi="IRNazanin" w:eastAsia="IRNazanin"/>
          <w:color w:val="111111"/>
          <w:sz w:val="28"/>
          <w:sz w:val="28"/>
          <w:szCs w:val="28"/>
          <w:rtl w:val="true"/>
          <w:lang w:bidi="fa-IR"/>
        </w:rPr>
        <w:t xml:space="preserve">برای نمونه این مکتب می توانیم رباعی عبدالرحمن جامی را در نظر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حق بتفاصیل و شئون گشت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شد این عالم پر سود و زیان</w:t>
      </w:r>
    </w:p>
    <w:p>
      <w:pPr>
        <w:pStyle w:val="BookText"/>
        <w:rPr/>
      </w:pPr>
      <w:r>
        <w:rPr>
          <w:rFonts w:ascii="IRNazanin" w:hAnsi="IRNazanin" w:eastAsia="IRNazanin"/>
          <w:color w:val="111111"/>
          <w:sz w:val="28"/>
          <w:sz w:val="28"/>
          <w:szCs w:val="28"/>
          <w:rtl w:val="true"/>
          <w:lang w:bidi="fa-IR"/>
        </w:rPr>
        <w:t xml:space="preserve">چون باز روند عالم و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اجمال حق آید بمیان</w:t>
      </w:r>
    </w:p>
    <w:p>
      <w:pPr>
        <w:pStyle w:val="BookText"/>
        <w:rPr/>
      </w:pPr>
      <w:r>
        <w:rPr>
          <w:rFonts w:ascii="IRNazanin" w:hAnsi="IRNazanin" w:eastAsia="IRNazanin"/>
          <w:color w:val="111111"/>
          <w:sz w:val="28"/>
          <w:sz w:val="28"/>
          <w:szCs w:val="28"/>
          <w:rtl w:val="true"/>
          <w:lang w:bidi="fa-IR"/>
        </w:rPr>
        <w:t xml:space="preserve">اگر حقیقتا چنین مکتبی در جهان بشریت وجود داشته باشد ، مسأله جبر و اختیار برای آن مکتب قابل مطرح شدن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مانند سایر مکاتب این مسأله را عنوان و رسیدگی کند در حقیقت خالی از تشریفات بی اساس نخواهد بود ، زیرا روشن است که پس از آنکه فرض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هم یکی از آنها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متحداند هر کاری را که انسان انجام می دهد در حقیقت خدا انجام داده است ، اصلا مسأله جبر و اختیار موضوع ندارد تا بدانیم انسان مجبور است یا فاعل مختار </w:t>
      </w:r>
      <w:r>
        <w:rPr>
          <w:rFonts w:eastAsia="IRNazanin" w:cs="IRNazanin"/>
          <w:color w:val="111111"/>
          <w:sz w:val="28"/>
          <w:szCs w:val="28"/>
          <w:rtl w:val="true"/>
          <w:lang w:bidi="fa-IR"/>
        </w:rPr>
        <w:t xml:space="preserve">. </w:t>
      </w:r>
      <w:r>
        <w:rPr>
          <w:rStyle w:val="FootnoteAnchor"/>
          <w:rtl w:val="true"/>
        </w:rPr>
        <w:footnoteReference w:id="12"/>
      </w:r>
      <w:bookmarkStart w:id="57" w:name="pg9221_92067"/>
    </w:p>
    <w:p>
      <w:pPr>
        <w:pStyle w:val="Heading3"/>
        <w:numPr>
          <w:ilvl w:val="2"/>
          <w:numId w:val="1"/>
        </w:numPr>
        <w:rPr/>
      </w:pPr>
      <w:bookmarkStart w:id="58" w:name="__RefHeading___Toc4158790_2870459653"/>
      <w:bookmarkStart w:id="59" w:name="_Toc22"/>
      <w:bookmarkEnd w:id="57"/>
      <w:bookmarkEnd w:id="58"/>
      <w:r>
        <w:rPr>
          <w:rtl w:val="true"/>
        </w:rPr>
        <w:t>فهرست مباحث گذشته</w:t>
      </w:r>
      <w:bookmarkEnd w:id="59"/>
    </w:p>
    <w:p>
      <w:pPr>
        <w:pStyle w:val="BookText"/>
        <w:rPr/>
      </w:pPr>
      <w:r>
        <w:rPr>
          <w:rFonts w:ascii="IRNazanin" w:hAnsi="IRNazanin" w:eastAsia="IRNazanin"/>
          <w:color w:val="111111"/>
          <w:sz w:val="28"/>
          <w:sz w:val="28"/>
          <w:szCs w:val="28"/>
          <w:rtl w:val="true"/>
          <w:lang w:bidi="fa-IR"/>
        </w:rPr>
        <w:t xml:space="preserve">تا اینجا موارد زیر مطرح و بررسی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اشعری ، استدلال های اشاعره و پاسخ آن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فلسفی و استدلال های مهم در این رابطه ، و پاسخ هایی که در اسفار و نوشته های برخی شخصیّت های معروف فلسفه ارائه شده است ، توضیحات و تعلیقات مربوط به قول این بزرگواران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عارفان با استناد به عبارات ایشان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همه این آراء همچنان شبهات و تالی فاسد های مربوط به جبر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در قول مختار به تفصیل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حضرت حق به عبد سلطه بر فعل و ترک اعطا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تقريرات مرحوم شهید صدر و مرحوم آیة الله خویی نیز تبیین شده است که در آینده به تفصیل به آن ها خواهیمپرداخت </w:t>
      </w:r>
      <w:r>
        <w:rPr>
          <w:rFonts w:eastAsia="IRNazanin" w:cs="IRNazanin"/>
          <w:color w:val="111111"/>
          <w:sz w:val="28"/>
          <w:szCs w:val="28"/>
          <w:rtl w:val="true"/>
          <w:lang w:bidi="fa-IR"/>
        </w:rPr>
        <w:t>.</w:t>
      </w:r>
      <w:bookmarkStart w:id="60" w:name="pg9221_92068"/>
    </w:p>
    <w:p>
      <w:pPr>
        <w:pStyle w:val="Heading3"/>
        <w:numPr>
          <w:ilvl w:val="2"/>
          <w:numId w:val="1"/>
        </w:numPr>
        <w:rPr/>
      </w:pPr>
      <w:bookmarkStart w:id="61" w:name="__RefHeading___Toc4158792_2870459653"/>
      <w:bookmarkStart w:id="62" w:name="_Toc23"/>
      <w:bookmarkEnd w:id="60"/>
      <w:bookmarkEnd w:id="61"/>
      <w:r>
        <w:rPr>
          <w:rtl w:val="true"/>
        </w:rPr>
        <w:t>پرسش و پاسخ</w:t>
      </w:r>
      <w:bookmarkEnd w:id="6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مالا یرضی صاحبه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قائل به سراب بودن ماسوی الله نیستند بلکه این قول مربوط به جهله صوفیه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عرفان و اهل برهان قائلند که ماسوی الله نمود است و بود ندارد ، هستی اصیل ندارد ، وجود بالغیر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است بدون چیزی که به آن مربوط شود موجود نمی شود ، معنای حرفی است بدون معنای اسمی نمی شود نه اینکه سراب باشد ، تجلی دارد ، نمود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نسبت هایی که به افراد داده شده شواهدی نیز ارائه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ممدالهمم به نقل از ابن عربی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موسى أعلم بالأمر من هارون لأنّه علم ما عبده أصحاب العجل ، لعلمه بأنّ الله قد قضى ألّا يُعْبَد إلّا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حكم الله بشیء إلّا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عتب موسی أخاه هارون لِمَا وقع الأمر فى إنكاره وعدم اتساعه ، فان العارف من يرى الحقّ في كلّ شيء ، بل يراه عين كلّ شیء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در شرح این عبارت می گوید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به واقع و نفس الامر و به امر توحید اعلم از هارون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می دانست اصحاب عجل چه کسی را پرستش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عالم بود که خداوند حکم فرموده که جز او پرستش نشود و آنچه را حکم فرمود ، غیر آن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جمیع عبادت ها عبادت حق تعالی است و لکن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بسا کس را که صورت راه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این عتاب موسی برادرش هارون را از این جهت بود که هارون انکار عبادت عجل می نمود و قلب او چون موسی اتساع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عارف حق را در هر چیز می بیند بلکه او را عین هر چیز می بیند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شیخ در اینگونه مسائل در فصوص و فتوحات و دیگر کتب و رسائلش بیان اسرار ولایت و باطن است برای کسانی که اهل سرّند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حسب نبوت تشریع مقرّ است که باید توده مردم را از عبادت اصنام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انبیاء عبادت اصنام را انکار می فرمودند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منبع اصلی عرفان مصطلح فصوص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کتاب تصریح شده که از نظر ابن عربی عتاب حضرت موسی علی نبینا و آله و علیه السلام به حضرت هارون عَلیهِ السَّلام به جهت انکار عبادت عجل بوده است ، چرا که علم حضرت موسی گسترده تر از علم حضرت هارون بود لذا می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يرى الحق فى كل شيء بل يراه عين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پس از نقل عبارت ابن عربی به تثبیت آن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 هم خلاف حكم عقل ، هم خلاف وجدان و هم خلاف روایات اهل بیت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عقل ، وجدان و نقل ، حقایق مختلفه ای در عالم وجود دارد و این حقایق عین حضرت حق ، تفصیل یا تعیّنات او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عبارات مستندی که در جلسات قبل به تفصیل مطرح گردید در عرفان مصطلح تصریح می شود که یک وجود هست و تطوّرات او ، هرچه هست مظاهر اوست که به صورت های مختلف متحقّق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استناد وجود به آن معنای حقیقی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وجود به نمود اسناد مجازی است بنابراین موضوعی برای جبر ، تفویض و اختیار باقی نمی ماند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تفويض من باب السالبة منتفٍ بانتفاء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بین الامرین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مختار آفریده و اختیار ما هم جزء علل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قاعده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تخصصاً خارج از محدوده افعال اختیاری می دانید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الحمدلله این مطلب حقّ را پذیرفته اید که خداوند به عبد اختیار اعطا فرموده است و اختیار سلطه بر فعل و ترک است و فعل مستند به اختیار است در نتیجه ثواب و عقاب و تکلیف و ارسال رسل و انزال کتب معنا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بگوید فعل مسبوق به اراده است و از آنجا که اراده حادث است ، نیاز به علت دارد و به دلیل بطلان تسلسل ناگزیر باید به علّتِ واجب بالذات منتهی شود ، اراده واجب می شود و اشکال جبر عود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چنانچه کسی اختیار را در سلسله علل قرار دهد اما بگوید که خداوند اراده کرده که عبد به اختیار خودش فعل خاصی را اراده کند ، در این صورت معنای حقیقی اختیار لحاظ نشده و این قول هم در نهایت به اشکال جبر دچار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شما دقیق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درصدد بیان تعبیر دقیق تر و نقد و آشکار ساختن اشکالات بیان های دیگر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تفسیر شما از نظر عرفان صحیح باشد و جبر و اختیار موضوع نداشته باشد مشکلی پدید می آید مبنی بر اینکه اسلام انسان را مختار دانسته و احکام بسیاری برای او وضع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هم شامل عمل هم شامل قلب و هم شامل نفس او می شود و تقوا عام العام ، عام ، خاص ، خاص الخاص و اخص دارد و خداوند تقوای مراتب بالا را از انسان مطالبه کرده است ، و ما می دانیم مکتبی که احیاگر این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عملیات خیلی ریز و حساسی را از اهل اش مطالبه کرده ، مکتب عرفان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عملی محتاط ترین فرض را در مورد انسان داشته است پس چگونه می توان این نسبت ها را به اهل عرفان داد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عرفان صحیح است اما بحث در مورد عرفان مصطلح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عرفایی که به عرفان مصطلح انتساب دارند هم عمل هست و هم توصیه های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برنامه های اخلاقی مناقض مبانی عرفان است پس آن مبانی صحیح نیستند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می گویند که چون ماسوی الله را وجود حقیقی نمی دانیم لذا برای آنها فاعلیت حقیقی هم قائل نیستیم و معتقدیم که ماسوی الله صرفاً قابل هستند لذا لازم است به واسطه عبادت و توسل از مبادی عالیه جدا نشوند و تحت نظر استاد و اولیاء قرار گیرند و به هیچ عنوان از مبادی عالیه نیک در عالم جدا نشوند تا گرفتار مبادی سافله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در هر صورت معلول است قوایی برای فاعلیت ندارد الا اینکه مفعول شود و دچار فاعلیت حسن یا قبیح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گرفتار شیاطین شود مفعول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موجودات اسفل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طبعاً فاعل 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مبادی عالیه مفعولیت پیدا کند در این صورت فاعلیت بالغیر در خیر پیدا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مطلب در اینجا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از نظر شما یک چیزی هست که قابلیت یا فاعلیت بالغیر دارد یعنی شما به تعدد اشیاء قائل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اینها تعین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تعین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تعین چیز خاصی است یا خیر؟ آیا تعین اعتباری است یا حقیقی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شدت و ضعف و کمال و نقصان تعین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خداوند متعال حقیقتاً چیز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خیر یا شر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کند یا خیر؟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موجود غیر از خداوند وجود دیگری پیدا نمی شود اما چون این موجود موجودی ناقص است و در کنار او موجودات دیگر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می گویند کثرت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قائل به وحدت وجود و موجودند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وجود هست که تعینات مختلف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 کثرت موجود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تعین وجود است یا اعتبار است؟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است که به علت شدت و ضعف و کمال و نقصان تعین خاص پیدا کرده است یعنی موجود خاصی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تعین شیء است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حقیقی شیء نیست بلکه انتزاعی است و منشأ انتزاع هم دارد ، اعتبار صرف هم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انتزاع آن نیز همان 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حدود حقیقتی غیر از وجود است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منتزع از جنبه عدمی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عدمی که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منتزع از امر عدمی که نمی تواند قابل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چیزی نیست ، عدمی با عدم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تعینات با لحاظ تعین غیر او هستند و منهای لحاظ تعین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هم امری اعتباری و انتزاعی است که از عدم انتزاع شده است در نتیجه تعین برای گرفتن مطالب از فاعل خیر یا فاعل شر قابلیت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شما استاد هستید و من شاگرد ، آنچه باعث شاگرد شدن شده است نداشتن کمالات کامله علم شماست یعنی همین نداشتن باعث شده که من شاگرد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شیء حقیقی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مبنای عرفان فاعل شر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فاعل شریک حقیقتی است یا خیر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فعل خیر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انتزاعی است به علت اینکه مبادی آن سافله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قابل يك فاعل خيرو يك فاعل شر فرض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شر نسبی است ، کسی که ناقص تر است فعلش نسبت به آنکه بالاتر است شر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اگر امر عدمی چیزی نیست ، نمی تواند قابلیت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هستید که عدم با عدمی فرق دارد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فرقی نمی کند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عدمی ، وجود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باز هم یک چیزی را که واقعیت دارد ، فرض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بگویید یک چیزی هست ، به وجود حقیقی قائل شده اید و اگر بگویید نیست ، مراد عرفا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اراده ، اعطای سلطه از سوی خداوند به عبد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به معنای سلطه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هم سلطه بر فعل و ترک دارند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آن بحث دیگری است که آیا حیوانات صرفاً بر اساس غریزه فعالیت می کنند یا اراده و اختیار هم دارند ؟ </w:t>
      </w:r>
      <w:bookmarkStart w:id="63" w:name="pg9221_92074"/>
    </w:p>
    <w:p>
      <w:pPr>
        <w:pStyle w:val="Heading2"/>
        <w:numPr>
          <w:ilvl w:val="1"/>
          <w:numId w:val="1"/>
        </w:numPr>
        <w:rPr/>
      </w:pPr>
      <w:bookmarkStart w:id="64" w:name="__RefHeading___Toc4158794_2870459653"/>
      <w:bookmarkStart w:id="65" w:name="_Toc24"/>
      <w:bookmarkEnd w:id="63"/>
      <w:bookmarkEnd w:id="64"/>
      <w:r>
        <w:rPr>
          <w:rtl w:val="true"/>
        </w:rPr>
        <w:t>نظریه دین شناسی یا رؤیای روشنفکرانه دكتر سيد يحيى يثربی</w:t>
      </w:r>
      <w:bookmarkEnd w:id="65"/>
    </w:p>
    <w:p>
      <w:pPr>
        <w:pStyle w:val="Heading3"/>
        <w:numPr>
          <w:ilvl w:val="2"/>
          <w:numId w:val="1"/>
        </w:numPr>
        <w:rPr/>
      </w:pPr>
      <w:bookmarkStart w:id="66" w:name="__RefHeading___Toc4158796_2870459653"/>
      <w:bookmarkStart w:id="67" w:name="_Toc25"/>
      <w:bookmarkEnd w:id="66"/>
      <w:r>
        <w:rPr>
          <w:rtl w:val="true"/>
        </w:rPr>
        <w:t>چکیده</w:t>
      </w:r>
      <w:bookmarkEnd w:id="67"/>
    </w:p>
    <w:p>
      <w:pPr>
        <w:pStyle w:val="BookText"/>
        <w:rPr/>
      </w:pPr>
      <w:r>
        <w:rPr>
          <w:rFonts w:ascii="IRNazanin" w:hAnsi="IRNazanin" w:eastAsia="IRNazanin"/>
          <w:color w:val="111111"/>
          <w:sz w:val="28"/>
          <w:sz w:val="28"/>
          <w:szCs w:val="28"/>
          <w:rtl w:val="true"/>
          <w:lang w:bidi="fa-IR"/>
        </w:rPr>
        <w:t xml:space="preserve">جریان روشنفکری که به گفته بعضی بزرگان از ابتدا در ایران بیمار متولد شده است ، دیریست که علاوه بر حرکت برضد منافع میهنی و مصالح ملی ، ایمان و اعتقاد و اخلاق مردم خصوصاً طبقه تحصیلکرده جامعه را به مخاطره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روشنفکری ، و به طور ویژه روشنفکری دینی که باید بر اساس رسالت پیش تعریف شده از خود به دنبال درمان دردهای اجتماعی و ناهنجاری های فرهنگی جامعه با تکیه بر مواریث دینی و ملی و ظرفیت های تمدنی آن جامعه باشد ، اکنون با طرح مباحثی که هیچ ظرفیت علمی و عقلی برای طرح شدن به عنوان یک نظریه را ندارد از رسالت خویش فاصله گرفته و به جریانی دین ستیز و عقل گریز بدل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با دیدگاه های دین ستیزانه شان در دهه های اخیر ، که خود معلول عدم درک صحیح از بافت جامعه شیعی ایران و مقتضیات فرهنگی و تربیتی آن است تا کنون در ارائه شفاف یک مانیفست یا یک الگو برای پر کردن نیازهای اعتقادی و خلأهای معرفتی که به زعم آنها دین در تأمین و تدارک آن ناموفق بوده ، موفق نشده اند ، بلکه با خیالبافی های روشنفکرانه و تئوری پردازی های غیر واقع گرایانه که هیچ نسبتی با وضع موجود در جامعه ندارد و هم با تربیت دینی متکی به وحی با پیشینه ای به درازای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بیگانه است ، هر چه بیشتر سبب گمراهی و سرگشتگی مردم در رسیدن به تراز زندگی معنوی و سعادتمندانه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گفتگویی از دکتر سید یحیی یثربی استاد ممتاز فلسفه و عرفان و از پیشگامان تفکر انتقادی در دوره معاصر که از شاگردان برجسته علامه طباطبایی بوده است ، تقاضا کردم دیدگاه های خود را درباره آنچه جریان روشنفکری در ایران نام دارد و به ویژه روشنفکری دینی با محوریت آراء دکتر عبدالکریم سروش بیان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اشتغالات فراوان علمی و پژوهشی ، درخواست بنده را صمیمانه پذیرفتند ، نوشتار ذیل که ملاحظاتی پیرامون ماهیت مباحث دکتر سروش و بررسی خاستگاه آن با توجه به آخرین دیدگاه 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رؤیاهای رسولانه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بخش اول از سلسله نقدهای دکتر یثربی بر مباحث طرح شده از سوی جریان روشنفکری است ، که تقدیم محققان و پژوهشگران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روشنفکری ، دکتر سروش ، وحی ، رؤیا ، تأویل ، نظریه علمی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هاست آقای دکتر سروش نظریه ای را درباره وحی و قرآن مطرح کرده اند هرانسان اندیشمندی با شنیدن هر نظریه ای منتظر می شود تا توجیه آن را نیز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نیست که صاحب نظریه از کجا به این نظریه رسیده باشد ، مهم آن است که بتواند آن را براساس عقل و اندیشه توجیه کرده و مستدل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سروش یا هرکس دیگری می توانند نظریه ای درباره قرآن داشته باشند ، اما اگر بخواهند این نظریه را به حالت جدی در بیاورند ، به گونه ای که دیگران نیز آن را بپذیرند ، باید توجیه عقلانی برای آن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اشکالی ندارد که کسی بگوید وحی یک رؤیا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و سَلَّم خواب هایی دیده و چون بیدار شده است ، این خواب ها را برای مردم گزارش کرده است ؛ قیامت را در خواب دیده و سختی های آن را گزارش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خواب دیده و در صفات وی و کارهایش با مردم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یوسف و زلیخا را در خواب دیده و با مردم در میان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در خواب دیده و به مردم گزارش کرده است و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اشکالی ندارد که کسی از جمله آقای سروش چنین نظریه ای داشته باشد و قرآن را هم انشای خود محمد صَلّی الله عَلیهِ و آله و سَلَّم بداند ؛ مشکل اینجاست که نتواند دلیل درست و توجیه قابل قبولی برای آن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 آقای سروش هر تلاشی کردند ، اما نتوانستند نظریه خود را توجیه کنند و هرچه گفتند جز تشبیه و تمثیل و یا تأویل های بی مبنا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 که ایشان ادعا می کنند بحثشان درون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یک مؤمن که قرآن و پیامبر را قبول دارند ، این نظریه را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مؤمن نباید از قرآن و یا پیامبر سخنی برای نظریه خود داشته باشد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در قرآن تکرار شده است که خداوند وحی را به پیامبر نازل می کند و چندین بار آمده است که این فرشته وحی است که وحی را به وی می رساند و صدها بار در احادیث نبوی و امامان معصوم عَلَیهم السَّلام آمده است که جبرییل وحی را به پیامبر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صریح قرآن کریم درباره اقسام وحی چنین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با هیچ بشری سخن نمی گوید ، مگر از راه وحی یا از پشت پرده ، یا فرشته ای می فرستد که وحی را با اذن او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بلند مرتبه و فرزانه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با خواست خود ، به تو قرآنی وحی کردیم که پیش از آن نمی دانستی کتاب چیست و ایمان کدام است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مضمون ، بارها و بارها در قرآن کریم مورد تکرار و تاکید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از پیامبر صَلّی الله عَلیهِ آله و سَلَّم و امامان معصوم علیهِم السَّلام نقل شده اند ، نزول جبرییل و پیام آوردنش برای پیامبر صَلّی الله عَلیهِ و آله و سَلَّم مورد تاکید قرار گرفته و ده ها بار ، پیامبر صَلّی الله عَلیهِ و آله و سَلَّم به عنوان</w:t>
      </w:r>
    </w:p>
    <w:p>
      <w:pPr>
        <w:pStyle w:val="BookText"/>
        <w:rPr/>
      </w:pPr>
      <w:r>
        <w:rPr>
          <w:rFonts w:ascii="IRNazanin" w:hAnsi="IRNazanin" w:eastAsia="IRNazanin"/>
          <w:color w:val="111111"/>
          <w:sz w:val="28"/>
          <w:sz w:val="28"/>
          <w:szCs w:val="28"/>
          <w:rtl w:val="true"/>
          <w:lang w:bidi="fa-IR"/>
        </w:rPr>
        <w:t xml:space="preserve">رسول و پیام رسان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به عنوان یک مؤمن به اسلام و قرآن ، برخلاف همه این آیات و احادیث سخنی گفت ، آنگاه آن سخن را چنین توجیه کرد که این وحی از خود پیامبر به خود پیامبر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وی به خود می گوید که ما به تو وحی می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پیامبر صَلّی الله عَلیهِ و آله و سَلَّم با خدا در هم تنیده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شان مثل رابطه شمس و مولانا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جای اندوه و افسوس نیست که در برابر روشن اندیشی و بنیادهای استوار روشن اندیشان غرب ، اینان را روشنفکر بنامیم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چنین سخنانی می توان انتظار تحول داشت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انصافاً ، چگونه می توان جامعه مؤمنان را وادار به قبول این سخن بی اساس کرد که پیامبر صَلّی الله عَلیهِ و آله و سَلَّم درباره کلامی که به مردم ابلاغ کرده ، حقیقت را نگفته و اعلام نکرده است که آنچه برای شما می گویم ، رویاهای من است ، بلکه برخلاف آن اعلام می کند که تنها وظیفه من ابلاغ پیام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مردم هشدار نمی دهد که این رویاها به خوابگزار نیاز دارند ، بلکه به مردم می گوید هرچه از من و دیگران شنیدید ، با قرآن بسنجید ، اگر مطابق قرآن بود ، بپذیرید ؛ وگرنه نپذیرفته و دور افکنید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یعنی چه ؟ یعنی این که قرآن خوابگزار نمی خواهد و کلام آن از سخن هرکس دیگری ، حتی از سخن خود پیامبر صلّى اللَّهُ عَلَيْهِ و آله و سَلَّم و </w:t>
      </w:r>
    </w:p>
    <w:p>
      <w:pPr>
        <w:pStyle w:val="BookText"/>
        <w:rPr/>
      </w:pPr>
      <w:r>
        <w:rPr>
          <w:rFonts w:ascii="IRNazanin" w:hAnsi="IRNazanin" w:eastAsia="IRNazanin"/>
          <w:color w:val="111111"/>
          <w:sz w:val="28"/>
          <w:sz w:val="28"/>
          <w:szCs w:val="28"/>
          <w:rtl w:val="true"/>
          <w:lang w:bidi="fa-IR"/>
        </w:rPr>
        <w:t xml:space="preserve">علی عَلیهِ السَّلام برای مردم آشناتر و مفهوم تر است که می تواند ملاک ارزیابی سخنان منسوب به معصومان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به بحث آقای دکتر سروش مربوط است و همه کسانی که خواسته اند به عنوان روشن اندیش درباره دین شناسی نظری ارائه کنند ، از قبیل جمود فقهی آقای ملکیان و یا سخن از ساختارشکنی در فقه آقای مجتهد شبستری و یا همان نظریه قبض و بسط تئوریک شریعت آقای دکتر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ندیده ایم این افراد در زمینه فقه و شریعت کاری کرده و توجیه لازم را هم برای کار خود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حال حاضر اظهار نظر از هر جهت آسان است ، مخصوصاً برای کسانی که در خارج از کشور زندگی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قضیه را زیاد جدی نمی گیرم ، چون سخنانی که بنیادی استوار نداشته باشند و از توجیه کافی برخوردار نشوند ، منشأ اثر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آخوندزاده و نوری تا شریعتی و آل احمد نتوانستند از نظر فکری راهی بگشایند و تحولی در جامعه ایجاد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 کارهای دکتر شریعتی منشأ هیچگونه تحول علمی در جامعه ما نشد و نظریه تشیع علوی و صفوی وی هیچ راهی برای پالایش مکتب تشیع باز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من مهم است ، این است که جامعه روشن اندیش ما اندیشه محور نیست ، بلکه مخالفت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مطلب در این باره کمی توضیح می دهم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های علمی مردم تا حدودی و طبقات تحصیل کرده به طور کلی ، به توجیه عقلانی و کارآیی نظریه ها در حل مشکلات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 در جوامع سنتی ، خردورزی ذهن مردم را شکل نمی دهد ، بلکه سنت و قدرت حاکم آن را شکل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عده ای از مردم ، به دلایل احساسی و به خاطر عقده های سیاسی و اجتماعی از قدرت حاکم و سنت موروث می رنجند و نفرت پیدا می کنند و در عین حال خودشان نمی توانند کاری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چشم به راه کسانی هستند که در برابر قدرت و سنت بایستند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مردم ، بازهم بر اساس احساسات و عقده ها از مخالفتها استقبال کرده و آنها را ارج و اعتبار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حاکمان را دروغ می شمارند ، حتی اگر راست باشد و سخن مخالفان را راست می دانند ، اگرچه بی اساس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انتظار رفتن یکی و آمدن دیگری هستند ، رفتن آنکه باعث گرفتاری هاست و آمدن آنکه منجی و رهایی بخش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جوامع ، هر دولتی چون به جای دیگری می آید ، با استقبال روبرو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 همین دولت و همین حاکمیت به تدریج از چشم مردم می افتد ، زیرا قرار بود منجی و حلال همه مشکلات مردم باشد ، ولی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برود و دیگری بیاید تا منجی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جوامع ، علمای دین ، نویسندگان ، مطبوعات ، و کلاً همه چیز به دولتی و غیردولتی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دولتی ها دل کنده و به مخالف ها یا غیردولتی ها دل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 علما و نویسندگان نیز در این جوامع بر محور مخالفت به دو گروه موافق و مخالف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ما از نظر علمی اینجاست که در این جوامع عده ای بر اساس مخالفت و احساسات و عقده های مردم شهرت می یابند ، نه بر اساس کشف مبانی علمی جدید و فراهم آوردن زمینه توسعه ذهنی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اندیشان غرب بسیار زود متوجه این نکته شدند و تا آنجا که می توانستند خود را دانش محور کردند ، نه مخالفت محور که نمونه آن را در رساله روشن اندیشی کانت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زود متوجه شدند که مخالفت و شورش و درگیری و کشت و کشتار جامعه را متحول نمی کند ؛ تنها راه تحول جامعه توسعه دانایی و خردورزی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هولباخ می گوید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عقل ، نه شورشی است و نه تشنه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طرفدار اصلاحات تدریجی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 دریغا که نویسندگان و متفکران ما هنوز به این نکته پی نبرده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بر خلاف آنان که در یک قرن تحول عجیبی در مغرب زمین ایجاد کردند ، ما با وجود این همه مجلات و مطبوعات ، روز به روز گرفتار مشکلات اجتماعی بیشتری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مدنی آنان با دانایی آغاز شده و ادامه یافت ، اما جامعه مدنی ما با تفنگ ستارخان و باقرخان و براساس عقده های مردم از نظام قاجار تأسیس شد ، بنابراین کارآیی لازم را نداشته و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پردازان ما باید از حالت مخالفت محوری به حالت دانش محوری برگردند تا بتوانند به توسعه فکری جامعه بپردازند و نظریه ای ماندگار و اثرگذار پدید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هایی که بر محور مخالفت استوار باشند ، با مرگ یکی از دو طرف از یاد می روند ، اما نظریه های علمی هرگز فراموش نمی شوند و اثر خود را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روشن اندیشان غرب اثر گذاشته اند و تحولی در زندگی انسان ایجاد کرده اند ، به خاطر آن بود که دانش محور بودند ، نه مخالفت محور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دانش محور سه ویژگی دارد ؛ یکی این که مشکلی را حل می کند ، دوم اینکه توجیه و دلایل لازم را با خود دارد و به همین دلیل می تواند گسترش یافته و ماندگار شود و سوم اینکه راه را برای حرکت فکری یا تحول زندگی باز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نظریه های جدید علمی از این سه ویژگی برخوردارند و نیازی به توضیح در این خصوص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 هیچ کدام از نظریه های به اصطلاح روشنفکران این ویژگی ها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نظریه های دین شناسانه یکی را به عنوان مثال مطرح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رشد روشن اندیشی و رواج عقلانیت در غرب ، برخی روشنفکران متون مقدس را به نقد کشیده و در آن مطالبی را یافتند که برخلاف علم و عقل و اخلاق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برای اهل ایمان و دین داران مسیحی مشکلی پدید آمد که باید راه حلی برای آن پیدا می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متفکرانی که این متون را ساخته بشر معرفی کردند ، هدفشان حل این مشکل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متون مقدس به طور کلی وحی نیستند ، بلکه همه آنها یا بخشی از آنها گزارش اشخاص است و این اشخاص براساس فرهنگ و آگاهی های ضعیف خود مطالبی را آورده اند که میتوانیم آنها را نادیده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نظریه بشری بودن متون مقدس خاصیت اول را داشت که می خواست مشکلی را حل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نظریه توجیه کافی 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مقدس که شامل تورات و انجیل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عهد عتیق و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تنها انشای خدا نیستند ، بلکه انشای پیامبران نیز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 همه آنها گزارش دیگران درباره زندگی پیامبران و سرگذشت و الهامات و اظهارات آنانند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و مسیحیان نیز کتابهای موجودشان را کلام الهی یا کلام مستقیم پیامبرانشان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مجموعه ها بیشتر نوشته هایی هستند که از جریان</w:t>
      </w:r>
    </w:p>
    <w:p>
      <w:pPr>
        <w:pStyle w:val="BookText"/>
        <w:rPr/>
      </w:pPr>
      <w:r>
        <w:rPr>
          <w:rFonts w:ascii="IRNazanin" w:hAnsi="IRNazanin" w:eastAsia="IRNazanin"/>
          <w:color w:val="111111"/>
          <w:sz w:val="28"/>
          <w:sz w:val="28"/>
          <w:szCs w:val="28"/>
          <w:rtl w:val="true"/>
          <w:lang w:bidi="fa-IR"/>
        </w:rPr>
        <w:t xml:space="preserve">بعثت و فعالیت انبیا گزارش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انجیل یوحنا را شخصی به نام یوحنا نوشته و نامه های پولس رسول را نیز که جزء کتب مقدس است ، پولس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از پیروان این ادیان ، مجموعه کتب مقدس را کلام پیامبران خود یا خدا نمی داند ، بلکه آنها به منزله سیره هایی هستند که درباره پیامبر اسلام نیز نوشته شده اند ، مانند سیره ابن هشام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 قرآن ، نه کلام پیامبر اسلام است و نه گزارش دیگران از زندگی پیامبر ، بلکه متنی است که خداوند انشاء نموده و جبرئیل آنها را آیه به آیه بر پیامبر اسلام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آیات قرآن ، انشاء پیامبر نیست و این سخن بارها در قرآن مورد تأکید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 این موضوع ، یعنی وحی بودن یک متن ، در هیچ یک از ادیان و مکاتب پیشین سابقه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قرآن است که به عنوان مجموعه ای از وحی الهی 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پیامبر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قرآن می گوید که کتب آسمانی دیگر نیز ، همین </w:t>
      </w:r>
    </w:p>
    <w:p>
      <w:pPr>
        <w:pStyle w:val="BookText"/>
        <w:rPr/>
      </w:pPr>
      <w:r>
        <w:rPr>
          <w:rFonts w:ascii="IRNazanin" w:hAnsi="IRNazanin" w:eastAsia="IRNazanin"/>
          <w:color w:val="111111"/>
          <w:sz w:val="28"/>
          <w:sz w:val="28"/>
          <w:szCs w:val="28"/>
          <w:rtl w:val="true"/>
          <w:lang w:bidi="fa-IR"/>
        </w:rPr>
        <w:t xml:space="preserve">حالت را داشتند ، یعنی مجموعه ای از کلام الهی بودند ؛ اما پیروان آن ادیان آنها را تغییر داده و دستنوشته های خود را به جای آنها نهاده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آنان ویژگی سوم را نیز داشت و آن اینکه راهگشا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ها توانستند برخی آموزه های آن متون را که برخلاف حقوق بشر و اخلاق بود ، جدی نگرفته و جامعه را بیشتر با قوانین مراکز عرفی قانونگذاری اداره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نظریه رویای پیامبرانه دانستن قرآن کدام یک از این ویژگی ها را دارد ؟</w:t>
      </w:r>
    </w:p>
    <w:p>
      <w:pPr>
        <w:pStyle w:val="BookText"/>
        <w:rPr/>
      </w:pPr>
      <w:r>
        <w:rPr>
          <w:rFonts w:ascii="IRNazanin" w:hAnsi="IRNazanin" w:eastAsia="IRNazanin"/>
          <w:color w:val="111111"/>
          <w:sz w:val="28"/>
          <w:sz w:val="28"/>
          <w:szCs w:val="28"/>
          <w:rtl w:val="true"/>
          <w:lang w:bidi="fa-IR"/>
        </w:rPr>
        <w:t xml:space="preserve">نخست باید دید این نظریه می خواهد کدام مشکل مؤمنان را حل کند ؟ ایشان بیش از هرچیز به مشکل تناقض در قرآن اشاره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خود قرآن یکی از دلایل حقانیت خود را همین می داند که تناقض که سهل است ، بلکه اختلافی هم در آیاتش نمی توان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قرآن نمی اندیشند که اگر از طرف خدا نبود ، بی تردید نابسامانی زیادی در آن می یافتند؟ </w:t>
      </w:r>
      <w:r>
        <w:rPr>
          <w:rStyle w:val="FootnoteAnchor"/>
          <w:rtl w:val="true"/>
        </w:rPr>
        <w:footnoteReference w:id="1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از نظر کسی که خود را مؤمن معرفی می کند ، فرض تناقض و پارادوکس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فرض وجود تناقض ، رویا دانستن قرآن چگونه این تناقض را حل می کند ؟ آقای سروش نمونه هایی را بیان کردند که جزء دلایل و توجیهاتشان بود ، از جمله این که احوال نامتعارف به هنگام دریافت وحی ، دخالت و مشاهده در برخی گزارش ها ، همانند گزارش احوال دوزخیان ، میمون شدن یهودیان و جالب تر از همه تحریم ربا به دلیل این که محمد صلّی الله علیه و آله و سَلَّم در خواب دیده است رباخوار آتش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مسلمانان این مشکل را دارند که چرا ربا حرام شده است یا خداوند یا پیامبرش چگونه از احوال دوزخیان خبر داده اند ؟ اگر واقعاً هم چنین مشکلی را داشته باشند ، آیا رؤیا دانستن وحی پیامبر صلّی الله علیه و آله و سَلَّم در برابر تفسیرهای مختلفی که داریم ، این مشکل ها را بهتر حل می کند ؟ </w:t>
      </w:r>
    </w:p>
    <w:p>
      <w:pPr>
        <w:pStyle w:val="BookText"/>
        <w:rPr/>
      </w:pPr>
      <w:r>
        <w:rPr>
          <w:rFonts w:ascii="IRNazanin" w:hAnsi="IRNazanin" w:eastAsia="IRNazanin"/>
          <w:color w:val="111111"/>
          <w:sz w:val="28"/>
          <w:sz w:val="28"/>
          <w:szCs w:val="28"/>
          <w:rtl w:val="true"/>
          <w:lang w:bidi="fa-IR"/>
        </w:rPr>
        <w:t xml:space="preserve">حقیقت مسئله ، حل کردن مشکل نیست ، بلکه حقیقت این است که کسانی که عملاً به روشن اندیشی نرسیده اند ، ولی آرزوی روشنفکر شمرده شدن را دارند ، تلاش می کنند با اقتباس از روشنفکران غرب و در مواردی با اقتباس از برخی روشنفکران عرب زبان و گاهی هم با استفاده از نظریه های فلاسفه و عرفای خودمان که غالباً در میان مردم مطرح نیستند ، خود را به مقام نظریه پردازی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موارد را در پایان این نوشته ، کمی توضیح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نظریه ای که مشکلی را حل نمی کند ، توجیهی دارد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 توجیهات ایشان بیشتر مناسب عنوان خواب و خیال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ایشان می گفتند من در خواب دیده ام که چنین و چنان است ،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توجیه ایشان آن است که پیامبر در هنگام وحی احوال نامتعارفی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حالات غیرعادی به معنای خواب رفتن شخص نیست و هرگز پیامبر چنین سخنی نگفت که من بخواب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وحی برایشان همیشه همراه حالات غیر عادی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ارتباط یافتن فیزیک با متافیزیک کار ساده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شخصی که ارتباط می یابد ، حالت غیرعادی پیدا کند ، ولی این هرگز به معنی به خواب رفتن و رویا دیدن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عرفای ما که کشف و شهود را در حالی ممکن می دانند که سالک از خودآگاهی بیرون آمده باشد و به حال فنا رفته باشد هرگز این حال را خواب ننامیده و آن تجربه ها را رویا نشمرده اند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دیگر ایشان آن است که بخشی از آیات قرآن حالت مشاهده و گزارش دارند ، مانند خبر از شرایط بهشت و دوزخ و نشانه های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این ها را در خواب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خبر دادن از آینده که خورشید تیره می گردد و ستاره بی نور می شود ، نیازی به دیدن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باور داریم که خداوند به وی یاد می دهد ، برای خدا که گذشته و آینده فرقی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توجیه دیگر این که مواردی در قرآن از زبان پیامبر صَلّی الله عَلیهِ و آله و 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برخی سخن خداوندند و برخی سخن این و آن هستند که خداوند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سخن یوسف با پدرش یا گفتگوی اصحاب کهف با یکدیگر و برخی سخنی است که همه انسان ها باید بر زبان آورند ، همانند دعاها یا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برای آموزش ما انسان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پرداختن به این موارد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به پیامبر فرمان داده می شود 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اینکه این خطاب خود پیامبر به خودش است و مقایسه آن با تخلص شعرا که مثلا سعدی می گوید سعدیا یا حافظ می گوید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چه ربطی به هم دارند ؟ مگر با آسمان و ریسمان کردن ، مطلب علمی ثابت می شود ؟ اگر با چنین توجیهاتی بتوان چیزی را ثابت کرد ، بنده می توانم به شما ثابت کنم که اصلاً شاهنامه سروده من بوده است که قرن ها پیش به دست فردوسی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آقای سروش ، ویژگی سوم یک نظریه درست را هم که همان راهگشا بودن است ،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دانستن وحی کدام راه را به روی مؤمنان باز می کند و بر اساس آن در آینده چه اسلام شناسی جدیدی می تواند پدید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این ، لزومی نمی بینم این بحث را ادامه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نظریه ها را حتی آنان که نگرش اپوزیسیونی دارند ، نخواهند پسندید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چنین سخنانی از دو حال بیرون نیست ؛ یا به مروز زمان از یاد می روند ، و یا اینکه در مواردی راه را برای سخن گفتن بی توجیه درباره وحی و قرآن باز می کنند ؛ هرچند ، سرنوشت اول بیشتر اتفاق می افتد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حدود یک قرن پیش چنین نظریه هایی داشته ایم ، اما می بینیم که نه تنها در جامعه به روشن اندیشی و خردورزی کمک نکرده اند ، بلکه در برابر گسترش خرافات نیز کوچکترین اثر بازدارنده ای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آن سوی دنیا ، روشن اندیشان در حدود یک قرن جامعه و فرهنگ خود را تا حدود زیادی از خرافه پالودند و دانش را از سطح ارسطویی آن به سطح نیوتن بالا بردند و مدیریت جامعه را تا حدود زیادی از </w:t>
      </w:r>
    </w:p>
    <w:p>
      <w:pPr>
        <w:pStyle w:val="BookText"/>
        <w:rPr/>
      </w:pPr>
      <w:r>
        <w:rPr>
          <w:rFonts w:ascii="IRNazanin" w:hAnsi="IRNazanin" w:eastAsia="IRNazanin"/>
          <w:color w:val="111111"/>
          <w:sz w:val="28"/>
          <w:sz w:val="28"/>
          <w:szCs w:val="28"/>
          <w:rtl w:val="true"/>
          <w:lang w:bidi="fa-IR"/>
        </w:rPr>
        <w:t xml:space="preserve">آشفتگی ها و خودکامگی ها دور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 غربیان به فکر شناخت فضاهای دوردست افتاده اند و عده ای هنوز در جامعه ما ، سفرانسان به کره ماه را دروغ بزرگ قرن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چنان که گفته بودم ، اکنون به توضیح این مطلب می پردازم که کسانی که عملاً به روشن اندیشی نرسیده اند ، ولی آرزوی روشنفکر شمرده شدن را دارند ، تلاش می کنند با اقتباس از روشنفکران غرب و در مواردی با اقتباس از برخی روشنفکران عرب زبان و گاهی هم با استفاده از نظریه های فلاسفه و عرفای خودمان که غالباً در میان مردم مطرح نیستند ، خود را به مقام نظریه پردازی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سروش ، بیش از خارجیان ، تحت تأثیر دیدگاه عرفای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عرفای اسلام زبان خود را زبان رمز و اشاره می دانند و به همین دلیل ، آن را نیازمند تأویل و تفسیر می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گویند که تجربه های عرفانی به عالم فنا تعلق دارد و چون عارف از عالم فنا برگردد و از بیخودی به خود آید ، می تواند تحت تأثیر مکاشفه ها و مشاهده های خودش چیزهایی بگوید ، اما این گفتن تنها از راه اشاره و کنایه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 آن تجربه ها به اتفاق آرای عارفان بیان ناپذیرند و قابل انتقال به دیگران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 که گفتیم ، آقای سروش در آرزوی نظریه پردازی هم هست ، بنابراین نباید عیناً مطالب آنان را مطرح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مکاشفه و مشاهده عرفانی ، واژه رؤیای پیامبرانه را به کار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 همه توضیحات و مثال های وی از ادبیات عرفانی براساس همان دیدگاه عرفاست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زبان عرفا دو مرحله دارد ؛ یکی مرحله انتقال از حقایق کشفی به بیان زبانی و دیگری ، در جهت فهم این بیان است که انتقالی است از زبان و بیان متن به آن معانی و حقایق کشفی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مراحل کلاً جنبه ذهنی ندارند ، بلکه بستگی به کمالات وجودی عارف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اهل مکاشفه را تنها اهل مکاشفه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آقای سروش </w:t>
      </w:r>
    </w:p>
    <w:p>
      <w:pPr>
        <w:pStyle w:val="BookText"/>
        <w:rPr/>
      </w:pPr>
      <w:r>
        <w:rPr>
          <w:rFonts w:ascii="IRNazanin" w:hAnsi="IRNazanin" w:eastAsia="IRNazanin"/>
          <w:color w:val="111111"/>
          <w:sz w:val="28"/>
          <w:sz w:val="28"/>
          <w:szCs w:val="28"/>
          <w:rtl w:val="true"/>
          <w:lang w:bidi="fa-IR"/>
        </w:rPr>
        <w:t xml:space="preserve">می گوید تاکنون کسی از علمای اسلام شایسته خوابگزار بودن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هرادعایی می توان کرد ، اما واقعیت جریان این است که تأکید خود قرآن بر صراحت بیان خویش است و اینکه همگان میتوانند آن را 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 آیه مربوط به محکم و متشابه تنها یک تفسیرش به روشن بودن و نبودن معنا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 متشابه را معنی های دیگر هم گفته اند ، از جمله منظور از متشابه آیات مکرر قرآن هستند که شبیه هم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نیز در زبان قرآن تنها به معنی خواب گزاردن نیست ، بلکه به معنای انگیزه و نتیجه آینده کار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آن مربی حضرت موسی که کارهای عجیب می کرد ، در آخر به موسی گفت بگذار تأویل کارهایم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تأویل خوابگزاری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بگذار بگویم انگیزه من از کارهایی که کرده ام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رسول خدا ریاضت و روش عرفانی را در میان امت خود ممنوع ساخت ، اما از قرن دوم به بعد این روش از طرف هند و نیز شامات در اثر فتوحات گسترده مسلمانان به فرهنگ اسلامی وارد شد بیشتر علمای اسلام با عرفان مخالفت کرده و آن را به پیروی از قرآن نپسندیده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نمی توانیم دیدگاهی را که بیش از ده قرن سابقه دارد ، به عنوان یک نظریه جدید در تفسیر قرآن پذیرفته و قرآن را دارای بطنهای مختلف بدانیم که فهم های آنها در حد همگان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تنها نام رویا نهادن بر این دیدگاه ، آن را به یک نظریه علمی امروزی تبدیل نمی کند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من آن نیست که این مطلب را تا این حد جدی بگیرم ، زیرا به یقین می دانم که این سخن نیز ، مانند سخنان دیگر روشنفکران ما که ماجرای روشنفکری آنان واقعاً برایم غم انگیز است ، کوچکترین اثری در فکر و فرهنگ مردم ما نخواهد داشت ، جز اینکه ابزار اپوزیسیونی باشد و چنان که گفتم مدتی بر محور مخالفت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 عملاً نه مشکلی را پاسخ خواهد گفت و نه راهی برای جامعه خواهد گشود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تاکنون ، در برابر اینگونه نظریات دوستان چیزی ننوشته ام و اگر هم گاهی چیزی نوشته ام ، نامی از کسی نبرده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 این بار که با این همه طول و تفصیل وارد بحث شدم ، تنها از موضع غم انگیز احساس کردن ماجرای روشنفکری در جامعه ماست که چگونه وقت خود و مردم را هدر داده اند ، اما نتوانسته اند کوچکترین اثری در فکر و فرهنگ جامعه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یکی از روشن اندیشان غرب گفتند شما چه می خواهید بکنید ؟ او پاسخ داد اگر صبور باشید پس از مدتی خواهید دید که در دنیای دیگری زندگی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غربیان نسبت به قرون وسطی در دنیای دیگری زندگی می کنند ، هم از نظر فکر و فرهنگ و هم از نظر سیاست و مدیریت جامعه و هم از نظر رفاه و امنیت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 روشنفکران ما با گذشت حدود یک قرن نتوانسته اند حتی از افزایش و گسترش خرافات در جامعه امان جلوگیری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 های تاثیر روشن اندیشان غرب در جامعه این است که اگر هم اکنون زنده شده و به میان مردم برگردند قدر می بینند و بر صدر می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روشنفکران ما به میان مردم بازگردند ، کسی آنان را نمی شناسد ، چون نمی دانند چه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که زنده اند ، عملاً می بینیم که در میان مردم نیستند ، چون نتوانسته اند کاری بکنند ، بلکه حتی گاهی کار را پیچیده تر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همین که بگوییم متن مقدس نیازمند گزارشگر است ، عملاً زمینه را برای سلطه گزارشگران آماده می کند که خود را میان مردم و پیامبر واسطه قرار دهند و رؤیاهای پیامبر را به ما گزارش کرده و خوابگزار این رویاها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قرون وسطی پاپ و دستگاه کلیسا با چنین فکری بر جامعه مسلط بودند و همین باعث شد پروتستان ها به مخالفت با انحصار فهم متون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روشنفکران ما در قرن بیست و یکم می خواهند عنان اختیار مردم را به دست خوابگزاران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خوابگزارانی که هیچ ملاکی برای ارزیابی و صحت گفته های آنان در دست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ما با هزاران مدعی دروغین </w:t>
      </w:r>
    </w:p>
    <w:p>
      <w:pPr>
        <w:pStyle w:val="BookText"/>
        <w:rPr/>
      </w:pPr>
      <w:r>
        <w:rPr>
          <w:rFonts w:ascii="IRNazanin" w:hAnsi="IRNazanin" w:eastAsia="IRNazanin"/>
          <w:color w:val="111111"/>
          <w:sz w:val="28"/>
          <w:sz w:val="28"/>
          <w:szCs w:val="28"/>
          <w:rtl w:val="true"/>
          <w:lang w:bidi="fa-IR"/>
        </w:rPr>
        <w:t xml:space="preserve">خوابگزاری روبرو خواهیم شد که هر یک دامی گسترده و عده ای را به زیر سلطه 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فهم آیات قرآن کمی با هم اختلاف داشتیم ، به وسیله خوابگزاران قرآن به هزاران گروه و فرقه تقسیم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روشنفکران غرب بر آن می کوشیدند تا مردم را با خردورزی و عقلانیت آشنا سازند ، اما روشنفکران ما به شکل مجتهدانی در می آیند که فقط فتوایی بدهند و مقلدانی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از آقای سروش بپذیرند که قرآن انشای محمد است و گزارش رؤیاهایش ؛ بدون توجه به این همه شواهد و دلایلی که بر خلاف چنین فکری وجود دارند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68" w:name="pg9221_92088"/>
    </w:p>
    <w:p>
      <w:pPr>
        <w:pStyle w:val="Heading2"/>
        <w:numPr>
          <w:ilvl w:val="1"/>
          <w:numId w:val="1"/>
        </w:numPr>
        <w:rPr/>
      </w:pPr>
      <w:bookmarkStart w:id="69" w:name="__RefHeading___Toc4158798_2870459653"/>
      <w:bookmarkStart w:id="70" w:name="_Toc26"/>
      <w:bookmarkEnd w:id="68"/>
      <w:bookmarkEnd w:id="69"/>
      <w:r>
        <w:rPr>
          <w:rtl w:val="true"/>
        </w:rPr>
        <w:t xml:space="preserve">نقد تحریفات علمای عامه در تاریخ اسلام </w:t>
      </w:r>
      <w:r>
        <w:rPr>
          <w:rtl w:val="true"/>
        </w:rPr>
        <w:t xml:space="preserve">( </w:t>
      </w:r>
      <w:r>
        <w:rPr>
          <w:rtl w:val="true"/>
        </w:rPr>
        <w:t xml:space="preserve">پاسخ به یک شبهه </w:t>
      </w:r>
      <w:r>
        <w:rPr>
          <w:rtl w:val="true"/>
        </w:rPr>
        <w:t xml:space="preserve">) </w:t>
      </w:r>
      <w:r>
        <w:rPr>
          <w:rtl w:val="true"/>
        </w:rPr>
        <w:t>آیت الله سید علی میلانی</w:t>
      </w:r>
      <w:bookmarkEnd w:id="70"/>
    </w:p>
    <w:p>
      <w:pPr>
        <w:pStyle w:val="Heading3"/>
        <w:numPr>
          <w:ilvl w:val="2"/>
          <w:numId w:val="1"/>
        </w:numPr>
        <w:rPr/>
      </w:pPr>
      <w:bookmarkStart w:id="71" w:name="__RefHeading___Toc4158800_2870459653"/>
      <w:bookmarkStart w:id="72" w:name="_Toc27"/>
      <w:bookmarkEnd w:id="71"/>
      <w:r>
        <w:rPr>
          <w:rtl w:val="true"/>
        </w:rPr>
        <w:t xml:space="preserve">چکیده </w:t>
      </w:r>
      <w:r>
        <w:rPr>
          <w:rtl w:val="true"/>
        </w:rPr>
        <w:t>:</w:t>
      </w:r>
      <w:bookmarkEnd w:id="72"/>
    </w:p>
    <w:p>
      <w:pPr>
        <w:pStyle w:val="BookText"/>
        <w:rPr/>
      </w:pPr>
      <w:r>
        <w:rPr>
          <w:rFonts w:ascii="IRNazanin" w:hAnsi="IRNazanin" w:eastAsia="IRNazanin"/>
          <w:color w:val="111111"/>
          <w:sz w:val="28"/>
          <w:sz w:val="28"/>
          <w:szCs w:val="28"/>
          <w:rtl w:val="true"/>
          <w:lang w:bidi="fa-IR"/>
        </w:rPr>
        <w:t>فقه امامت از مهمترین ارکان شناخت اصول عقاید است که کلید ورود به دیگر مباحث عقاید است ، مفاد این نوشتار که مطالبی در پاسخ به بعضی از علمای عامه</w:t>
      </w:r>
    </w:p>
    <w:p>
      <w:pPr>
        <w:pStyle w:val="BookText"/>
        <w:rPr/>
      </w:pPr>
      <w:r>
        <w:rPr>
          <w:rFonts w:ascii="IRNazanin" w:hAnsi="IRNazanin" w:eastAsia="IRNazanin"/>
          <w:color w:val="111111"/>
          <w:sz w:val="28"/>
          <w:sz w:val="28"/>
          <w:szCs w:val="28"/>
          <w:rtl w:val="true"/>
          <w:lang w:bidi="fa-IR"/>
        </w:rPr>
        <w:t xml:space="preserve">است ، در ادامه سنت احتجاج علمای بزرگ امامیه مبنی بر اثبات حقانیت اهل بیت عَلَیهِم اسَّلام بر پایه استناد بر تاریخ صحیح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عقایدشناس حضرت آیت الله سید علی حسینی میلانی مطالب ذیل را به طور اجمال اما مستند و دقیق و بر مبنای قاعده الزام بیان فرموده اند که صرف نظر از رویکرد احتجاجی آن و الزام مخالفین سرنخ هایی برای پیگیری و تعقیب حوادث صدر اسلام و دهه های نخستین هجرت به دست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بی طرفانه و مستند حقایق تاریخ اسلام از ویژگیهای پژوهش های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سیدعلی میلانی در واکنش به اظهارات اخیر امام جمعه آزادشهر از همه خطباء ، وعاظ وائمه جمعه خواست با متانت و ادب و به طور مستند ، حقائق صدر اسلام را به مردم بگویند و همه هیئات مذهبی در سراسر کشور مراسم عزای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احسن وجه برگزار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سخنرانی آیت الله سید علی میلانی در درس خارج فقه خود به شرح زیر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خير خلقه و أشرف بريته محمد و آله الطاهرين لا سيما بقية الله في الارضين و لعنة الله على اعداءهم اجمعين در این چند روز از سراسر کشور صدها مراجعه به بنده شده و از بنده خواسته اند که در رابطه با خطبه جمعه یکی از آقایان اهل سنت چیزی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مطلب این است که ما در محذور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بزرگان فرموده اند که به مقدسات اهل سنت جسارت نکنید و از طرفی می بینیم که بعضی از آنها پای خودشان</w:t>
      </w:r>
    </w:p>
    <w:p>
      <w:pPr>
        <w:pStyle w:val="BookText"/>
        <w:rPr/>
      </w:pPr>
      <w:r>
        <w:rPr>
          <w:rFonts w:ascii="IRNazanin" w:hAnsi="IRNazanin" w:eastAsia="IRNazanin"/>
          <w:color w:val="111111"/>
          <w:sz w:val="28"/>
          <w:sz w:val="28"/>
          <w:szCs w:val="28"/>
          <w:rtl w:val="true"/>
          <w:lang w:bidi="fa-IR"/>
        </w:rPr>
        <w:t xml:space="preserve">را از گلیم شان درازتر می کنند و از این نهی ای که بزرگان فرمودند سوء استفاده می کنند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ما چه کنیم آیا سکوت کنیم یا اینکه به تکلیفمان عمل کنیم ؟ </w:t>
      </w:r>
    </w:p>
    <w:p>
      <w:pPr>
        <w:pStyle w:val="BookText"/>
        <w:rPr/>
      </w:pPr>
      <w:r>
        <w:rPr>
          <w:rFonts w:ascii="IRNazanin" w:hAnsi="IRNazanin" w:eastAsia="IRNazanin"/>
          <w:color w:val="111111"/>
          <w:sz w:val="28"/>
          <w:sz w:val="28"/>
          <w:szCs w:val="28"/>
          <w:rtl w:val="true"/>
          <w:lang w:bidi="fa-IR"/>
        </w:rPr>
        <w:t xml:space="preserve">بنده همیشه گفته ام که حقائق امور صدر اسلام را و آنچه که متعلق است به مسئله امامت و خلافت ، حقائق امور را باید بگوییم و چیزی را نباید اخفاء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معتقدم که حقائق به آن طوری که هست بایستی بیان شود البته با دو شرط که همیشه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اول این است که با متانت حرف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دوم این است که مستند حرف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روی این مبنا بنده می خواهم عرائضی داشته باشم و این عرائض را در چند مطلب عنوان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این است که چرا آقایان این همه دفاع از صحابه می کنند ؟ مگر صحابه چه کار کردند ؟ در طول این تاریخ همچنان آقایان از صحابه دفاع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لابد چیزی هست که این جور مصرّند بر دفاع از صحابه ؟ این همه اصرار دارند بر وجوب محبت همه 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چه کسانی هستند ؟ تمام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که خیلی از اینها صرفاً پیغمبر اکرم صلّی الله عَلیهِ و آله و سَلّم را دیدند یا معاصر پیغمبر اکرم صَلّی الله عَلیهِ و آله و سَلَّم بودند و لو در یمن زندگی می کرده جزء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ما همه اینها را واجب است دوست داشته باشیم ؟ یعنی اغماض کنیم از تمام آنچه که درباره اینها نوشته شده در کتب ؟</w:t>
      </w:r>
    </w:p>
    <w:p>
      <w:pPr>
        <w:pStyle w:val="BookText"/>
        <w:rPr/>
      </w:pPr>
      <w:r>
        <w:rPr>
          <w:rFonts w:ascii="IRNazanin" w:hAnsi="IRNazanin" w:eastAsia="IRNazanin"/>
          <w:color w:val="111111"/>
          <w:sz w:val="28"/>
          <w:sz w:val="28"/>
          <w:szCs w:val="28"/>
          <w:rtl w:val="true"/>
          <w:lang w:bidi="fa-IR"/>
        </w:rPr>
        <w:t xml:space="preserve">اغماض کنیم از آنچه که در سیره اینها میخوانیم ؟ بلکه ادعا می کنند که هر کسی که بر علیه صحابه چیزی بگوید او یهودی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یهودی ها هستند که بر علیه صحابه حرف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 والتابعين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قطوری هم هست که نوشتم و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w:t>
      </w:r>
    </w:p>
    <w:p>
      <w:pPr>
        <w:pStyle w:val="BookText"/>
        <w:rPr/>
      </w:pPr>
      <w:r>
        <w:rPr>
          <w:rFonts w:ascii="IRNazanin" w:hAnsi="IRNazanin" w:eastAsia="IRNazanin"/>
          <w:color w:val="111111"/>
          <w:sz w:val="28"/>
          <w:sz w:val="28"/>
          <w:szCs w:val="28"/>
          <w:rtl w:val="true"/>
          <w:lang w:bidi="fa-IR"/>
        </w:rPr>
        <w:t xml:space="preserve">صحابه مفصلاً بحث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منابع بنده در این کتاب منابع معتبر اهل سنت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که اعتراض بر صحابه کار یهودی ها باشد پس ابن هشام ، طبری ، ابن حجر عسقلانی ، ذهبی ، ابن کثیر ، سیوطی و بقیه علماء شان اینها همه یهودی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منابع بنده در این کتاب از همین ها و امثال اینها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هستند که نقاط ضعف صحابه را نقل کرده اند به دست ما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خودمان جعل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طعن بر صحابه کار یهودی ها است پس همه علماءشان یهودی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علماء شان اتباع یهود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صحابه را نمی شود به اثبات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صحابه را قاطبتاً به اثبات نمی شود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قرآن نه با سنت نه با اجماع و نه با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صحابه با همه ادله اربعه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الصحابة اجمعين قول باطلی است هیچ دلیلی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همه دفاع از صحابه برای چی ؟ مگر یک باطلی را هی تکرار کردن تکرار </w:t>
      </w:r>
    </w:p>
    <w:p>
      <w:pPr>
        <w:pStyle w:val="BookText"/>
        <w:rPr/>
      </w:pPr>
      <w:r>
        <w:rPr>
          <w:rFonts w:ascii="IRNazanin" w:hAnsi="IRNazanin" w:eastAsia="IRNazanin"/>
          <w:color w:val="111111"/>
          <w:sz w:val="28"/>
          <w:sz w:val="28"/>
          <w:szCs w:val="28"/>
          <w:rtl w:val="true"/>
          <w:lang w:bidi="fa-IR"/>
        </w:rPr>
        <w:t xml:space="preserve">کردن تکرار کردن این حق می شود ؟ مگر یک کذبی را هی تکرار بکنند تکرار بکنند این حقیقت می شود ؟ این 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چاره ای ندارند یا این کتاب ها را کل کتاب هایشان را معدوم کنند بریزند تو دریا دست ما کوتاه بشه از این منابع و یا اینکه بیایند حقیقت را بپذیرند لااقل سکوت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قضیه فتح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در این قضیه تحقیق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قضایا از چه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مطلب در فتح ایران و غیر ایران عبارت از اینه که صحابه رسول الله صَلّی الله عَلیهِ و آله و سَلَّم و تابعین صحابه از خلیفه دوم آقایان خسته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که اهانت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که خشونت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متوجه شده بود که عاقبت امرش عاقبت امر عثمان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عثمان را کی ها کشتند ؟ خود صحابه و تابعین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فهمیده بود که عاقبت امرش عاقبت امرعثمان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عرض می کنم با مدرک می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 که لشگر اسلام را بفرستد به بلاد مختلف به عنوان فتوحات تا در مدینه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اینها غنائمی هم به دستشان می رسد وضع مالی شان خوب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شیعیان امیرالمؤمنین را هم می فرستاد در این فتوحات فتح ایران را نگاه کنید فرماندهان لشکر عده ای شیعیان امیرالمؤمنین بودند و تعمد داشته که این ها را بیرون مدینه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صحابه ای که دنبال این قضیه بودند بالاخره کسی را پیدا کردند و آنچه را که فرار می کرد برایش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فکر نکند که فتح ایران و غیر ایران فضیلتی است برای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اینطور نیست و اهل تحقیق این را می دانند ممکن است که سایر مردم که با این امور سر و کار ندارند گول این مطالب را بخورند اما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ادعا کرده که امام حسن و امام حسین عَلَیهِما السَّلام در جیش او بودند که این از اکذب اکاذیب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ناقلش هرکسی می خواهد باشد اگر کسی نقل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این است که این شیخ می گوید که من می خواهم الزام خصم کنم و از باب الزام خصم این مطالب را گفتم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به مقتضای حدیث معتبر که در ذیل آیه مبارکه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زخرف آمده است و این حدیث را حاکم نیشابوری و غیر او از بزرگان اهل سنت روایت کردند در این حدیث آمده که وقتی پیامبر اکرم صَلّی الله عَلیهِ و آله و سَلَّم رفتند به معراج ، با انبیاء سابقین ملاقات کردند و از </w:t>
      </w:r>
    </w:p>
    <w:p>
      <w:pPr>
        <w:pStyle w:val="BookText"/>
        <w:rPr/>
      </w:pPr>
      <w:r>
        <w:rPr>
          <w:rFonts w:ascii="IRNazanin" w:hAnsi="IRNazanin" w:eastAsia="IRNazanin"/>
          <w:color w:val="111111"/>
          <w:sz w:val="28"/>
          <w:sz w:val="28"/>
          <w:szCs w:val="28"/>
          <w:rtl w:val="true"/>
          <w:lang w:bidi="fa-IR"/>
        </w:rPr>
        <w:t xml:space="preserve">ایشان سؤال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بعثتم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امت های خودتان را بر چه چیزی دعوت کردید و خداوند متعال شما را بر چه چیزی مبعوث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خداوند متعال ، رسالت پیامبر اکرم صَلّی الله عَلیهِ و آله و سَلَّم و ولایت امير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ولایت داشتند از اول خلقت بر همه 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اینکه خانمی را به عقد آقا زاده خود در بیاورند یا در نیاورند خود امیرالمؤمنین علیهِ السَّلام ولایت دارند و این اعتقاد ماست و دلایل داریم بر این اعتقاد اگر آن شیخ می خواهد ما را ملزم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دیگر امیرالمؤمنین سلام الله علیه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اولى بكم من انفسكم قالوا بلى قال و 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داشتند حتی برخود خلیفه آقایان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علی اصبحت مولای و مولا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چه چیزی را می خواهد به اثبات برساند با این سخنرانی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شیخ مفید که از بزرگان شیعه است در کتاب ارشاد می فرماید به اینکه قضیه آمدن آن خانم دختر یزدجرد به مدینه در زمان خود امیرالمؤمنین علیهِ السَّلام بوده و اصلاً ربطی به فتح ایران ندارد و ربطی به خلیفه دوم آقایان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خواهد ما را ملزم کند این کتاب ماست و این هم شیخ مفید از بزرگان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 الزامی است ؟ این دال بر این است که این شیخ سواد ندارد و</w:t>
      </w:r>
    </w:p>
    <w:p>
      <w:pPr>
        <w:pStyle w:val="BookText"/>
        <w:rPr/>
      </w:pPr>
      <w:r>
        <w:rPr>
          <w:rFonts w:ascii="IRNazanin" w:hAnsi="IRNazanin" w:eastAsia="IRNazanin"/>
          <w:color w:val="111111"/>
          <w:sz w:val="28"/>
          <w:sz w:val="28"/>
          <w:szCs w:val="28"/>
          <w:rtl w:val="true"/>
          <w:lang w:bidi="fa-IR"/>
        </w:rPr>
        <w:t xml:space="preserve">کتاب های ما را نخوانده است و بعد ما را می خواهد ملزم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داستان در زمان امیرالمؤمنين علیهِ السَّلام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راجع به امام سجاد علیهِ السَّلام نقل کرده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شَاهْ زَنَانُ بِنْتُ يَزْدَجَرْدَ بْنِ شَهْريَارَ كِسْرَى وَ يُقَالُ إِنَّ اسْمَهَا شَهْرَبَانُو وَكَانَ أَمِيرُ الْمُؤْمِنِينَ علیهِ السَّلام وَلَّى حُرَيْثَ بنَ جَابِرٍ جَانِباً مِنَ الْمَشْرِقِ فَبَعَثَ إِلَيْهِ بِنْتَى يَزْدَجَرْدَ بْنِ شَهْرِيَارَ فَنَحَلَ ابْنَهُ الْحُسَيْنَ علیهِ السَّلام شَاهْ زَنَانَ مِنْهُمَا فَأَوْلَدَهَا زَيْنَ الْعَابِدِينَ وَ نَحَلَ الاُخْرَى مُحَمَّدَ بْنَ أَبِي بَكْرٍ فَوَلَدَتْ لَهُ الْقَاسِمَ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در زمان خود امیرالمؤمنین علیهِ السَّلام بوده پس چه ربطی دارد به خلیفه شما ؟</w:t>
      </w:r>
    </w:p>
    <w:p>
      <w:pPr>
        <w:pStyle w:val="BookText"/>
        <w:rPr/>
      </w:pPr>
      <w:r>
        <w:rPr>
          <w:rFonts w:ascii="IRNazanin" w:hAnsi="IRNazanin" w:eastAsia="IRNazanin"/>
          <w:color w:val="111111"/>
          <w:sz w:val="28"/>
          <w:sz w:val="28"/>
          <w:szCs w:val="28"/>
          <w:rtl w:val="true"/>
          <w:lang w:bidi="fa-IR"/>
        </w:rPr>
        <w:t xml:space="preserve">اگر می خواهید ما را ملزم کنید این چه الزامی است غیر از اینکه دلالت دارد برجهل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شیخ ابن شهر آشوب در کتاب مناقب آل ابی طالب عَلیهِم السَّلام ایشون روایت را این چنین نقل میکند که اگر هم صحت داشته باشد این قضیه در زمان فتح ایران اتفاق افتاده باشد ابن شهر آشوب این چنین نقل می کند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بِسَبْىِ الْفُرْسِ إِلَى الْمَدِينَةِ أَرَادَ عُمَرُ بَيْعَ النِّسَاء وَ أَنْ يَجْعَلَ الرِّجَالَ عَبِيدَ الْعَرَبِ وَ عَزَمَ عَلَى أَنْ يَحْمِلُوا العَلِيلَ وَالضَّعِيفَ والشَّيْخَ الْكَبِيرَ فِي الطَّوَافِ وَ حَوْلَ الْبَيْتِ عَلَى ظُهُورِهِمْ فَقَالَ أَمِيرُ الْمُؤْمِنِينَ علیهِ السَّلام إِنَّ النَّبِيَّ قَالَ أَكْرِمُوا كَرِيمَ قَوْمٍ وَ إِنْ خَالَفُوكُمْ وَ هَؤُلَاءِ اِلْفُرْسُ حَكَمَاءُ كُرَمَاءُ فَقَدْ أَلْقَوْا إِلَيْنَا بِالسَّلَم وَ رَغِبُوا فِي الْإِسْلَامِ فَقَدْ أَعْتَقْتُ مِنْهُمْ لِوَجْهِ اللهِ حَقِّى وَ حَقِّ بَنِي هَاشِمٍ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روایت را خوانده این شیخ یا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می خواهد ما را ملزم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ملزم کند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الْمُهَاجِرُونَ وَ الْأَنْصَارُ قَدْ وَهَبْنَا حَقَّنَا لَكَ يَا أَخَا رَسُولِ الله فَقَالَ الَلَّهُمَّ فَاشْهَدْ أَنَّهُمْ قَدْ وَهَبُوا وَ قَبِلْتُ وَ أَعْتَقْتُ فَقَالَ عُمَرُ سَبَقَ إِلَيْهَا عَلِيُّ بْنُ أَبِي طَالِبٍ وَ نَقَضَ عَزْمَتِي فِی الْأَعَاجِمِ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چه الزام کردنی هست از شیخی که ادعا می کنند شیخ المفسرین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خواهد ما را الزام کند به آنچه که خلاف چیزی است که در کتب ما موجود هست ؟</w:t>
      </w:r>
    </w:p>
    <w:p>
      <w:pPr>
        <w:pStyle w:val="BookText"/>
        <w:rPr/>
      </w:pPr>
      <w:r>
        <w:rPr>
          <w:rFonts w:ascii="IRNazanin" w:hAnsi="IRNazanin" w:eastAsia="IRNazanin"/>
          <w:color w:val="111111"/>
          <w:sz w:val="28"/>
          <w:sz w:val="28"/>
          <w:szCs w:val="28"/>
          <w:rtl w:val="true"/>
          <w:lang w:bidi="fa-IR"/>
        </w:rPr>
        <w:t xml:space="preserve">شیخی که براش القاب و مقاماتی قائل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و قطعاً یکی از شاگردان جوان بنده از او اعلم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باور نمی کند مراجعه کند به این مراکزی که ما تأسیس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امامت ، مدرسه امامت و مرکز حقایق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باور نمی کند مراجعه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اینکه ؛ مسئله خلافت ، خلافت اولی و دومی با این حرف ها حل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تا روز قیامت باقی است اما سومی 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که خودشان به تکلیف شرعی شون عمل کردند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و دومی مشکل خلافت شون به این زودی ها حل نمی شود و تا روز قیامت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هم زحمت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های ابوبکر باقلانی رو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 فخر رازی را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 سعدالدین تفتازانی رو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 قاضی ایجی رو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 قبلی ها ، بعدی ها رو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حل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توجیه کرد آنچه را که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زحمت می کشند و بنده کتابی نوشتم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اُسّس </w:t>
      </w:r>
    </w:p>
    <w:p>
      <w:pPr>
        <w:pStyle w:val="BookText"/>
        <w:rPr/>
      </w:pPr>
      <w:r>
        <w:rPr>
          <w:rFonts w:ascii="IRNazanin" w:hAnsi="IRNazanin" w:eastAsia="IRNazanin"/>
          <w:color w:val="111111"/>
          <w:sz w:val="28"/>
          <w:sz w:val="28"/>
          <w:szCs w:val="28"/>
          <w:rtl w:val="true"/>
          <w:lang w:bidi="fa-IR"/>
        </w:rPr>
        <w:t>المذاهب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مذاهب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میخواهد مراجعه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آیا راهی برای اثبات خلافت آقایون وجود دارد از قرآن ، از حدیث ، از عقل ، از 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بیخود زحمت می کشند ؟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شون را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کشور آرام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ایجاد اختلاف می کنند ؟ چرا اضطراب در جامعه ایجاد می کنند ؟ چرا اذهان را تشویش می کنند ؟ همچنانی که ما فرمایش بزرگانمان را اطاعت می کنیم خب آنها هم اطاعت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پنجم ؛ که آخرین مطلب بنده است این است که او می خواست ما را الزام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حق داریم الزام بکنیم یا نکنیم ؟ ما حق داریم آنها را الزام بکنیم از منابع خودشان یا حق نداریم ؟ ما حق داریم بحث بکنیم ؟ مستند بحث بکنیم و با حفظ ادب و با متانت بحث بکنیم ؟ نسب عده کثیری از صحابه را در بیاوریم از کتب ؟ حق داریم این کار را بکنیم یا حق نداریم ؟ کتب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الزام اینها را ما بحث بكنيم تحقیق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نداریم ؟ حق نداریم بیان بکنیم که در صدر اسلام چه ظلم هایی بر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 از منابع دسته اول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نداریم بیان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دسته اول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فاطمیه در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تقاضا می کنم از همه خطباء ، وعاظ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 کنم از همه ائمه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متانت البته با ادب البته به طور مستند ، حقائق امور را به مردم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تقاضا دارم از همه هیئات مذهبی در سراسر کشور که مراسم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احسن وجه برگزار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حقائق باید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این حقائق به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اقامه این جلسات و شعائر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بحث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گفتار چه در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امامت و خلافت باید ادامه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مسئولیت داریم در برابر امیرالمؤمنین و صدیقه طاهره و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از ما انتظار دارند که هم مراسم را به خوبی برگزار کنیم هم از نظر علمی اهل تحقیق باشیم و دفاع بکنیم و حقائق را بیان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لااقل شیعیان اهل بیت عَلیهِم السَّلام ایمانشان تقویت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کاری به دیگران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شیعیان تزلزل در ایمانشان پیدا نشه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همه هیئات از همه مداحین از همه علماء و وعاظ تقاضا می کنیم که رعایت ادب و متانت را داشته باشند بهانه دست دشمنان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رحمة الله و بركاته </w:t>
      </w:r>
      <w:bookmarkStart w:id="73" w:name="pg9221_92094"/>
    </w:p>
    <w:p>
      <w:pPr>
        <w:pStyle w:val="Heading2"/>
        <w:numPr>
          <w:ilvl w:val="1"/>
          <w:numId w:val="1"/>
        </w:numPr>
        <w:rPr/>
      </w:pPr>
      <w:bookmarkStart w:id="74" w:name="__RefHeading___Toc4158802_2870459653"/>
      <w:bookmarkStart w:id="75" w:name="_Toc28"/>
      <w:bookmarkEnd w:id="73"/>
      <w:bookmarkEnd w:id="74"/>
      <w:r>
        <w:rPr>
          <w:rtl w:val="true"/>
        </w:rPr>
        <w:t xml:space="preserve">بررسی نقدهای علامۀ طباطبایی بر علامه مجلسی </w:t>
      </w:r>
      <w:r>
        <w:rPr>
          <w:rtl w:val="true"/>
        </w:rPr>
        <w:t>(</w:t>
      </w:r>
      <w:r>
        <w:rPr>
          <w:rtl w:val="true"/>
        </w:rPr>
        <w:t>مبحث سوم</w:t>
      </w:r>
      <w:r>
        <w:rPr>
          <w:rtl w:val="true"/>
        </w:rPr>
        <w:t xml:space="preserve">) </w:t>
      </w:r>
      <w:r>
        <w:rPr>
          <w:rtl w:val="true"/>
        </w:rPr>
        <w:t>آیت الله حاج شیخ مرتضی رضوی</w:t>
      </w:r>
      <w:bookmarkEnd w:id="75"/>
    </w:p>
    <w:p>
      <w:pPr>
        <w:pStyle w:val="Heading3"/>
        <w:numPr>
          <w:ilvl w:val="2"/>
          <w:numId w:val="1"/>
        </w:numPr>
        <w:rPr/>
      </w:pPr>
      <w:bookmarkStart w:id="76" w:name="__RefHeading___Toc4158804_2870459653"/>
      <w:bookmarkStart w:id="77" w:name="_Toc29"/>
      <w:bookmarkEnd w:id="76"/>
      <w:r>
        <w:rPr>
          <w:rtl w:val="true"/>
        </w:rPr>
        <w:t xml:space="preserve">چکیده </w:t>
      </w:r>
      <w:r>
        <w:rPr>
          <w:rtl w:val="true"/>
        </w:rPr>
        <w:t>:</w:t>
      </w:r>
      <w:bookmarkEnd w:id="77"/>
    </w:p>
    <w:p>
      <w:pPr>
        <w:pStyle w:val="BookText"/>
        <w:rPr/>
      </w:pPr>
      <w:r>
        <w:rPr>
          <w:rFonts w:ascii="IRNazanin" w:hAnsi="IRNazanin" w:eastAsia="IRNazanin"/>
          <w:color w:val="111111"/>
          <w:sz w:val="28"/>
          <w:sz w:val="28"/>
          <w:szCs w:val="28"/>
          <w:rtl w:val="true"/>
          <w:lang w:bidi="fa-IR"/>
        </w:rPr>
        <w:t xml:space="preserve">سنت و روش حاشیه نویسی و تعلیقه نگاری و شرح مباحث الهیاتی و نیز نگاشتن حاشیه بر حاشیه و در مواردی داوری و محاکمه بین ماتن و شارح یا بین دو محشی و تعلیقه نگار ، سنتی است که از دیر باز در علوم انسانی رواج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آن را می توان در شرح فخر رازی بر اشارات شیخ و سپس ایرادات خواجه نصیرالدین طوسی بر شرح فخرالدین و نیز گاهی بر خود شیخ و سپس ترِ آن در محاکمات قطب الدین رازی بین خواجه و فخر مشاهده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اخیر نیز صاحب تفسیر المیزان به تعلیقه نگاری بر مجلدات اولیۀ بحارالانوار علامۀ مجلسی پرداخت مجلداتی که مباحث بنیادینی چون عقل ، علم و عدل را به خود اختصاص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تعلیقه نگاری مناقشاتی را در فضای علمی آن روز برانگیخت و به دستور مرجعیت اعلی در آن زمان متوقف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و داوری ها پیرامون آنچه صاحب المیزان به عنوان تعلیقه بر مباحثی از بحارالانوار نگاشته است تا به امروز ادامه دارد و عدّه کثیری از محققین مشی وی را در این تعلیقات بر منهج صحیح علمی و بر مدار انصاف و ادب و به دور از یکسونگری نمی دانند و آن را شتابزده و یکسویه ، جدلی و گاه خطابی و فاقد معیارهای علمی ارزیابی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محققین معاصر که تعلیقات صاحب المیزان بر بحار را به دقت واکاوی و بررسی نموده ، استاد محقق آیت الله مرتضی رضوی صاحب آثار مهمی در نقد فصوص الحکم ابن عربی ، و نقد مبانی اندیشه ملاصدر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نود و دو فقره به داوری بین علامه مجلسی و صاحب المیزان پرداخته که آنچه در ذیل می آید بخش سوم از تحقیق مفصل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 ارواح ، مجردات ، فلک </w:t>
      </w:r>
      <w:r>
        <w:rPr>
          <w:rFonts w:eastAsia="IRNazanin" w:cs="IRNazanin"/>
          <w:color w:val="111111"/>
          <w:sz w:val="28"/>
          <w:szCs w:val="28"/>
          <w:rtl w:val="true"/>
          <w:lang w:bidi="fa-IR"/>
        </w:rPr>
        <w:t>.</w:t>
      </w:r>
    </w:p>
    <w:p>
      <w:pPr>
        <w:pStyle w:val="Heading3"/>
        <w:numPr>
          <w:ilvl w:val="2"/>
          <w:numId w:val="1"/>
        </w:numPr>
        <w:rPr/>
      </w:pPr>
      <w:bookmarkStart w:id="78" w:name="__RefHeading___Toc4158806_2870459653"/>
      <w:bookmarkStart w:id="79" w:name="_Toc30"/>
      <w:bookmarkEnd w:id="78"/>
      <w:r>
        <w:rPr>
          <w:rtl w:val="true"/>
        </w:rPr>
        <w:t>باز بحث در مجردات</w:t>
      </w:r>
      <w:bookmarkEnd w:id="7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کلام علامه مجلسی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المعنى السادس فلو قال أحد بجوهر مجرد 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بقدمه و لا يتوقف تأثير الواجب في الممكنات عليه و لا بتأثيره فی خلق الأشياء و يسميه العقل و يجعل بعض تلك الأخبار منطبقا على ما سماه عقلا فيمكنه أن يقول إن </w:t>
      </w:r>
      <w:bookmarkStart w:id="80" w:name="pg9221_92095"/>
    </w:p>
    <w:p>
      <w:pPr>
        <w:pStyle w:val="BookText"/>
        <w:rPr/>
      </w:pPr>
      <w:bookmarkEnd w:id="80"/>
      <w:r>
        <w:rPr>
          <w:rFonts w:ascii="Amiri" w:hAnsi="Amiri" w:eastAsia="Amiri" w:cs="Amiri"/>
          <w:color w:val="111111"/>
          <w:sz w:val="28"/>
          <w:sz w:val="28"/>
          <w:szCs w:val="28"/>
          <w:rtl w:val="true"/>
          <w:lang w:bidi="ar-SA"/>
        </w:rPr>
        <w:t xml:space="preserve">إقباله عبارة عن توجهه إلى المبدأ وإدباره عبارة عن توجهه إلى النفوس الإشراقه عليها و استكمالها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فاستمع لما يتلى عليك من الحق الحقيق بالبيان و بأن لا يبالى بما يشمئز عنه من نواقص الأذهان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فاعلم أن أكثر ما أثبتوه لهذه العقول قد ثبت لأرواح النبي و الأئمة عَلیهِم السَّلام في أخبارنا المتواترة على وجه آخر فإنهم أثبتوا القدم للعقل و قد ثبت التقدم في الخلق لأرواحهم إما على جميع المخلوقات أو على سائر الروحانيين فى أخبار متواترة و أيضا أثبتوا لها التوسط فی الإيجاد أو الاشتراط فى التأثير و قد ثبت في الأخبار كونهم عَلیهِ السَّلام علة غائية لجميع المخلوقات و أنه لولاهم لما خلق الله الأفلاك و غيرها و أثبتوا لها كونها وسائط في إفاضة العلوم و المعارف على النفوس و الأرواح وقد ثبت في الأخبار أن جميع العلوم و الحقائق و المعارف بتوسطهم تفيض على سائر الخلق حتى الملائكة و الأنبياء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 قد ثبت بالأخبار المستفيضة أنهم عَلیهِ السَّلام الوسائل بين الخلق و بين الحق في إفاضة جميع الرحمات و العلوم و الكمالات على جميع الخلق فكلما يكون التوسل بهم و الإذعان بفضلهم أكثر كان فيضان الكمالات من الله أكثر و لما سلكوا سبيل الرياضات و التفكرات مستبدين بآراءهم على غير قانون الشريعة المقدسة ظهرت عليهم حقيقة هذا الأمر ملبسا مشتبها فأخطئوا في ذلك و أثبتوا عقولا و تكلموا في ذلك فضولا </w:t>
      </w:r>
      <w:r>
        <w:rPr>
          <w:rFonts w:eastAsia="IRNazanin" w:cs="IRNazanin"/>
          <w:color w:val="111111"/>
          <w:sz w:val="28"/>
          <w:szCs w:val="28"/>
          <w:rtl w:val="true"/>
          <w:lang w:bidi="fa-IR"/>
        </w:rPr>
        <w:t>.</w:t>
      </w:r>
    </w:p>
    <w:p>
      <w:pPr>
        <w:pStyle w:val="Heading3"/>
        <w:numPr>
          <w:ilvl w:val="2"/>
          <w:numId w:val="1"/>
        </w:numPr>
        <w:rPr/>
      </w:pPr>
      <w:bookmarkStart w:id="81" w:name="__RefHeading___Toc4158808_2870459653"/>
      <w:bookmarkStart w:id="82" w:name="_Toc31"/>
      <w:bookmarkEnd w:id="81"/>
      <w:r>
        <w:rPr>
          <w:rtl w:val="true"/>
        </w:rPr>
        <w:t xml:space="preserve">متن کلام علامه طباطبائی </w:t>
      </w:r>
      <w:r>
        <w:rPr>
          <w:rtl w:val="true"/>
        </w:rPr>
        <w:t>(</w:t>
      </w:r>
      <w:r>
        <w:rPr>
          <w:rtl w:val="true"/>
        </w:rPr>
        <w:t xml:space="preserve">رحمة الله علیه </w:t>
      </w:r>
      <w:r>
        <w:rPr>
          <w:rtl w:val="true"/>
        </w:rPr>
        <w:t>)</w:t>
      </w:r>
      <w:bookmarkEnd w:id="82"/>
    </w:p>
    <w:p>
      <w:pPr>
        <w:pStyle w:val="BookText"/>
        <w:rPr/>
      </w:pPr>
      <w:r>
        <w:rPr>
          <w:rFonts w:ascii="IRNazanin" w:hAnsi="IRNazanin" w:eastAsia="IRNazanin"/>
          <w:color w:val="111111"/>
          <w:sz w:val="28"/>
          <w:sz w:val="28"/>
          <w:szCs w:val="28"/>
          <w:rtl w:val="true"/>
          <w:lang w:bidi="fa-IR"/>
        </w:rPr>
        <w:t xml:space="preserve">بل لانهم تحققوا أولا أن الظواهر الدينية تتوقف في حجيتها على البرهان الذي يقيمه العقل ، و العقل فى ركونه و اطمينانه إلى المقدمات البرهانية لا يفرق بين مقدمة و مقدمة ، فإذا قام برهان على شئ اضطر العقل إلى قبوله ، و ثانيا أن الظواهر الدينية متوقفة على ظهور اللفظ ، و هو دليل ظنی ، و الظن لا يقاوم العلم الحاصل بالبرهان لو قام على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الاخذ بالبراهين في أصول الدين ثم عزل العقل فی ما ورد فيه آحاد الاخبار من المعارف العقلية ، فليس إلا من قبيل إبطال المقدمة بالنتيجة التي تستنتج منها ، و هو صريح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الظواهر الدينية لو أبطلت حكم العقل لا بطلت أولا حكم نفسها المستند في حجيته إلى حكم العقل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طريق الاحتياط الدينى لمن لم يتثبت فى الأبحاث العميقة العقلية أن يتعلق بظاهر الكتاب و ظواهر الاخبار المستفيضة و يرجع علم حقائقها إلى الله عز اسمه ، ويجتنب الورود فى الأبحاث العميقة العقلية إثباتا و نفيا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إثباتا فلكونه مظنة الضلال ، و فيه تعرض للهلاك الدائم ، و أما نفيا فلما فيه من وبال القول بغير علم و الانتصار للدين بما لا يرضى به الله سبحانه ، و الابتلاء بالمناقضة فی النظر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اعتبر في ذلك بما ابتلى به المؤلف رحمه الله فإنه لم يطعن في آراء أهل النظر فی مباحث المبدأ و المعاد بشئ إلا ابتلى بالقول به بعينه أو بأشد منه كما سنشير إليه فی موارده ، و أول ذلك ما فى هذه المسألة فإنه طعن فيها على الحكماء في قولهم بالمجردات ثم أثبت الا جميع خواص التجرد على أنوار النبي و الأئمة ، ولم يتنبه أنه لو استحال وجود موجود مجرد غير الله سبحانه لم يتغير حكم استحالته بتغيير اسمه ، و تسمية ما يسمونه عقلا بالنور والطينة ونحوهما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معنی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نظر فلاسفه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کسی به جوهر مجرد قائل باشد بدون آن که به قدیم بودن آن قائل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خداوند در ممکنات را به آن جوهر مجرد متوقف نکند ، و نیز به تأثیر آن در خلق اشیاء معتقد نباشد ، و نام آن را عقل بگذارد ، و برخی از حدیث ها را بر همین چیز که نامش را عقل گذاشته ، منطبق کند ، پس برای چنین شخصی ممکن 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عقل عبارت است از توجه به مبدأ ، و ادبارش </w:t>
      </w:r>
      <w:r>
        <w:rPr>
          <w:rStyle w:val="FootnoteAnchor"/>
          <w:rtl w:val="true"/>
        </w:rPr>
        <w:footnoteReference w:id="17"/>
      </w:r>
      <w:r>
        <w:rPr>
          <w:rFonts w:ascii="IRNazanin" w:hAnsi="IRNazanin" w:eastAsia="IRNazanin"/>
          <w:color w:val="111111"/>
          <w:sz w:val="28"/>
          <w:sz w:val="28"/>
          <w:szCs w:val="28"/>
          <w:rtl w:val="true"/>
          <w:lang w:bidi="fa-IR"/>
        </w:rPr>
        <w:t xml:space="preserve">عبارت است از توجهش به نفوس ، چون بر نفوس اشراق دارد و نفوس به وسیله آن کمال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مطلب را دانستی، پس بشنو مطلبی را که برایت تلاوت می شود ؛ مطلب حقی که سزاوار بیان است و سزاوار است که بدون اعتنا به ناخوشایندی آن برای برخی از ذهن های ناقص ، باید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ویژگی هایی که فلاسفه برای این عقول معتقد هستند ، در احادیث متواتر ما به صورت دیگر برای ارواح پیامبر و ائمه عَلیهِم السَّلام ثابت شده است ؛ آنان قدم را برای عقل ثابت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اخبار متواتر ، تقدم در آفرینش ، برای ارواح آنها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تقدم بر جمیع مخلوقات ، و یا تقدم بر موجودات روحانی و نیز فلاسفه عقول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یا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حدیث ها ثابت شده که پیامبر و آل عَلیهِم السَّلام علت غائی جمیع مخلوقات هستند که اگر آنان نبودند خداوند افلاک و دیگر اشیاء را خلق نمی کرد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معتقدند که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افاضه علوم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علوم و معارف بتوسط آنها بر نفوس و ارواح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اخبار ثابت است که همه علوم و حقائق و معارف بتوسط پیامبر وآل عَلیهِم السَّلام به دیگر خلایق می رسد حتی ملائکه و انبیاء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حاصل سخن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مستفیضه ثابت شده است پیامبروائمه عَلیهِم السَّلام وسیله میان خلق و خدا هستند در افاضه همه رحمت ها و علوم و کمالات بر جمیع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همان میزان که توسل به آنان بیشتر شود و به فضل شان بیشتر اذعان شود ، به همان میزان فیض کمالات از جانب خدا نیز بیشتر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آراء مستبدانه خودشان راه ریاضت ها و تفکرات را می پیمایند ، در مسیری غیر از آنچه در دین مقدس مقرر شده قرار می گیرند و حقیقت این امر برایشان به صورت ملبس و مشتبه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خطا رفته و به عقل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می شوند و درباره آنها به سخنان غیر لازم </w:t>
      </w:r>
      <w:r>
        <w:rPr>
          <w:rStyle w:val="FootnoteAnchor"/>
          <w:rtl w:val="true"/>
        </w:rPr>
        <w:footnoteReference w:id="18"/>
      </w:r>
      <w:r>
        <w:rPr>
          <w:rFonts w:ascii="IRNazanin" w:hAnsi="IRNazanin" w:eastAsia="IRNazanin"/>
          <w:color w:val="111111"/>
          <w:sz w:val="28"/>
          <w:sz w:val="28"/>
          <w:szCs w:val="28"/>
          <w:rtl w:val="true"/>
          <w:lang w:bidi="fa-IR"/>
        </w:rPr>
        <w:t xml:space="preserve">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کلام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کرده اند که حجیت ظواهر دینیه متوقف است بر برهانی که عقل آن را اقامه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در پذیرش و اطمینانش به مقدمات ، میان مقدمه ای با مقدمه دیگر فرقی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برهانی بر چیزی اقامه شد ، عقل مجبور است آن 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دینیه متوقف است بر ظهور لفظ ،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لفظ در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دلیل ظنّی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نمی تواند در مقابل علمی که به وسیله برهان حاصل می شود مقاومت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پذیرش برهان ها در اصول دین و سپس کنار گذاشتن عقل درباره معارف دینیه ای که درباره شان اخبار احاد </w:t>
      </w:r>
      <w:r>
        <w:rPr>
          <w:rStyle w:val="FootnoteAnchor"/>
          <w:rtl w:val="true"/>
        </w:rPr>
        <w:footnoteReference w:id="19"/>
      </w:r>
      <w:r>
        <w:rPr>
          <w:rFonts w:ascii="IRNazanin" w:hAnsi="IRNazanin" w:eastAsia="IRNazanin"/>
          <w:color w:val="111111"/>
          <w:sz w:val="28"/>
          <w:sz w:val="28"/>
          <w:szCs w:val="28"/>
          <w:rtl w:val="true"/>
          <w:lang w:bidi="fa-IR"/>
        </w:rPr>
        <w:t xml:space="preserve">آمده ، نیست مگر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مقدمه به وسیله نتیجه ای که از همان مقدمه استنتاج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تناقض صریح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ظواهر دینیه حکم عقل را ابطال کنند ، پیشاپیش حکم خودشان را ابطال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حجية خودشان مستند به حکم عقل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احتیاط برای کسی که در مباحثات عمیق عقلی به حد تثبت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 این است که به ظاهر قرآن و احادیث مستفیضه بچسبد ، و فهم حقایق آنها را به خداوند عزاسمه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ورود به بحث های عمیق عقلی اثباتاً و نفیاً پرهیز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اثباتاً باید پرهیز کند ، برای اینکه مظنه ضلالت است ، و در آن افتادن به هلاکت دائم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نفیاً باید پرهیز کنند ، برای اینکه در آن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بغیر علم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هست و یاری کردن بردین به وسیله چیزی که خود خداوند سبحان به آن رضایت ندارد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مبتلا شدن به تناقض در ابراز نظر ،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باره عبرت بگیر از آن چه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گرفتار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مباحث مبدأ و معاد به چیزی از آرای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نکرده مگر اینکه خودش به عین همان باور و یا شدیدتر از آن ، مبتلا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آینده به آن اشاره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اولین مورد از این مبتلا شدن ، آن است که در همین مسئله است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فلاسفه درباره اعتقادشان به مجردات حمله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خودش همه ویژگی های تجرد را بر انوار پیامبر و ائمه عَلیهِم السَّلام ، اثبات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متوجه نشده که اگر وجود موجود مجرد غیر از خدا محال بود ، حکم محال بودنش با تغییر اسم ، تغییر نمی کند که 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 نامند ، نور یا طینت نامیده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مجلسی پس از آن که وجود جوهر مجرد غیر از خدا را انکار کرده که از جمله آنها عقل مجرد است ، سپس برگشته همان عقل مجرد را تحت عنوان و اسم نور و طینت پذیرفته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چنین باشد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ببینیم چنین است یا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فرمایشش اشکال های متعددی بر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اثبات کرده اند که حجیت ظواهر دینیه ، متوقف است بر برهانی که عقل آن را اقامه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ایشان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برهان ؛ برهانی که مقدمات آن از انتزاعات ذهنی تشکیل شده است ؟ انتزاعات ذهنی که در خارج از ذهن و در جهان حقیقی و واقعی ، وجود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وجود منهای ماهیت ، ماهیت منهای وجود ، جوهر بدون عرض ، عرض بدون جوهر </w:t>
      </w:r>
      <w:r>
        <w:rPr>
          <w:rStyle w:val="FootnoteAnchor"/>
          <w:rtl w:val="true"/>
        </w:rPr>
        <w:footnoteReference w:id="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 چیست ؟ در برگ های پیش گفته شد که آنچه در ارسطوئیات بکار نرفته عقل است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عقل عوضی گرفته اند و همۀ فلسفۀ ارسطوئی از اول تا آخر ، ذهنیات است نه عقلیات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صدای کوس عقل گرائی شان گوش جهان را 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برای همگان روشن می شد که آنان غیر از پرداختن به ذهنیات کاری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جهانیان هوش و گوش غربیان باز شد و فهمیدند این فلسفه که مال خودشان بود ، غیر از ذهنیات چیزی نیست و آن را کنار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عقل ؟ عقول عشره ساخته خیال ارسطو که عقل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تطبیق می شد و کیهان شناسی خیالی ارسطو را تشکیل می داد ؟ یا عقل در اصطلاح مردم ؟ یا عقل در اصطلاح اهل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عقل است که خدا را مصدر و محل صدور صادر اول بداند ؟ کدام عقل سلیم می پذیرد که خداوند تجزیه شود و جزئی از وجودش از او صادر شود ؟ و پیش تر روشن شد که صدور به هر معنی و با هر تأویل ، تجزیه را لازم گرفته است و عین تجزیه است ؛ آیا با کنار گذاشتن لفظ تجزیه و آوردن لفظ صدور این بزرگ ترین غلط صحیح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حجیت ظواهر دینیه متوقف بر چنین عقل است ، یا بر عقل سلیم انسانی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ما ، بر همین سخن خودشان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 دینیه به برهان عقلی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نمی کنند یعنی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نمی شوند 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تباه می کنند خواه نص های قرآن باشد و خواه نص های حدیثی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صدها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آیه های متعدد به طور نص تنصیص کرده است که آسمان ها هفت است ، ارسطوئیان ما آنها را به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گوید همه ستاره ها و سیاره ها و قمرها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کواکب در درون آسمان اول هستند ، اما آنان خورشید را به آسمان چهارم و ماه را به آسمان سوم میخکوب کردند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مدار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همه 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دستکم خورشید و ماه را در بیان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شناور در فضا می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فِی فَلَكٍ يَسْبَحُون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سخن از میخکوب شدن </w:t>
      </w:r>
    </w:p>
    <w:p>
      <w:pPr>
        <w:pStyle w:val="BookText"/>
        <w:rPr/>
      </w:pPr>
      <w:r>
        <w:rPr>
          <w:rFonts w:ascii="IRNazanin" w:hAnsi="IRNazanin" w:eastAsia="IRNazanin"/>
          <w:color w:val="111111"/>
          <w:sz w:val="28"/>
          <w:sz w:val="28"/>
          <w:szCs w:val="28"/>
          <w:rtl w:val="true"/>
          <w:lang w:bidi="fa-IR"/>
        </w:rPr>
        <w:t xml:space="preserve">به میان می آورند و می گویند که آسمان ها می چرخند و خورشید و ماه و دیگر اجرام آسمانی میخکوب شده بر خودشان را با خود می چرخانند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ارسطوی یونانی که لفظ فلک را به کار نبرده بود ، اینان فلک را از قرآن برداشتند و در ترجمه ها گذاشتند در حالی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در زبان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معنی کره ،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ارسطو همگی کروی هستند که همدیگر را خرق می کنند و دوباره به التیام 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ارسطوئیان بر این کیهان شناسی شان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شان به نظر خودشان برهان عقلی اقامه نکرده بودند ؟ این است براهین عقلیه حضرات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با همان عقلشان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تطبیق نمی کردند ؟</w:t>
      </w:r>
    </w:p>
    <w:p>
      <w:pPr>
        <w:pStyle w:val="BookText"/>
        <w:rPr/>
      </w:pPr>
      <w:r>
        <w:rPr>
          <w:rFonts w:ascii="IRNazanin" w:hAnsi="IRNazanin" w:eastAsia="IRNazanin"/>
          <w:color w:val="111111"/>
          <w:sz w:val="28"/>
          <w:sz w:val="28"/>
          <w:szCs w:val="28"/>
          <w:rtl w:val="true"/>
          <w:lang w:bidi="fa-IR"/>
        </w:rPr>
        <w:t xml:space="preserve">مگر آنان نبودند که فلک هایشان را عاقل ، زنده ، با اراده ، واسطه در خلقت و مدبّر کائنات ، می دانستند ؛ در حالی که خدایشان موجب بی اراده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پایه و اساس اصلی فلسفه شان بر عقول عشره و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ساخته نشده بود ؟ چرا پس از داغان و ویران شدن این کاخ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 کردند مبرهن به براهین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دست از فلسفه ارسطوئی بر نمی دارند ؟ آیا یک فلسفه پس از سقوط پایه هایش باز می تواند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اصرار بر چنین نادرست ها را عقل و علم روا می داند ؟</w:t>
      </w:r>
    </w:p>
    <w:p>
      <w:pPr>
        <w:pStyle w:val="BookText"/>
        <w:rPr/>
      </w:pPr>
      <w:r>
        <w:rPr>
          <w:rFonts w:ascii="IRNazanin" w:hAnsi="IRNazanin" w:eastAsia="IRNazanin"/>
          <w:color w:val="111111"/>
          <w:sz w:val="28"/>
          <w:sz w:val="28"/>
          <w:szCs w:val="28"/>
          <w:rtl w:val="true"/>
          <w:lang w:bidi="fa-IR"/>
        </w:rPr>
        <w:t xml:space="preserve">مگر ارسطوئیان بویژه صد رویان ما نمی گویند خداوند از روح خودش برانسان دمیده است ، آیا خداوند مرکب از ذات و روح است ؟ یا روح محض است ؟ و بر فرض پذیرش این دو بهتان عظیم که به خدا می گویند ، آیا روح خدا تجزیه شده و جزئی از آن به انسان دمیده شده ؟ که مانند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با هر تأویل و به هر معنائی تجزیه را لازم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 به مرکب بودن و تجزیه پذیری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عقل را نیز پایمال می کنند ، و در مباحث پیشین علاوه بر حکم عقل ، با نص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روشن شد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ملکیه و اضافه تشریفیّه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صدها مسئله اصولی درجه اول و درجه دوم و نیز مسائل فرعی درجه اول ، باطل و تخیلی غیر علمی و غیر عقلی که متون ارسطوئیات را پر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پردازترین افراد ، خود را مالک عقل و تعقل می دانند و این اعجوبه از عجیب ترین عجایب جهان ، عجیب تراست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بیچاره عقل چگونه به وسیله ارسطوئیان مصادره شده و مورد تملک انحصاری قرار گرفته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در رکون و اطمینان به مقدمات ، میان مقدمه ای با مقدمه دیگر فرقی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مقدمه ای که خلاف عقل باشد عقل آن را رد می کند خواه یک مقدمه دینی باشد و خواه غیر 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فرمایش هم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شرح رفت این سخن در محدوده ظواهر است و بیان شد که ارسطوئیان نص 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صدها نص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نصوص اگر کسی اسلام را نپذیرفته باشد می تواند با عقل خودش آنها را نپذیرد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ارسطوئیان ما هم اسلام و قرآن را پذیرفته اند و هم نصوص مسلم و روشن قرآن را نمی پذیرند و عقل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نصوص مقدم می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ظواهر دینیه متوقف است برظهور لفظ و این دلیل ظنی است و ظن در مقابل علمی که با برهان حاصل شده مقاومت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گفته شد مشکل فقط به محدوده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مفید ظن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نصوص پایمال شده چگونه سوگواری کنیم که پیکرهایشان با خنجرهای ارسطوئیان پاره پاره شده و سرشان بریده شده است ، نصوصی که به خاطرشان از آغاز اسلام تا به امروز هزاران بل میلیون ها انسان شهید شده و جان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نصوصی که ذبح شده اند سوگمند باشیم یا برای جان دادگان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سلیم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دو گروه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مانند ارسطوئیان بر بام جهان نشسته و برای کشتار هر دو گروه صفیر قهقهه برافکنیم تا رفتار و اندیشه مان مطابق عقل ارسطوئی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براهین در اصول دین ، سپس عزل عقل در مسائلی که اخبار آحاد درباره شان آمده ، از قبیل ابطال مقدمه به وسیله نتیجه است </w:t>
      </w:r>
      <w:r>
        <w:rPr>
          <w:rFonts w:eastAsia="IRNazanin" w:cs="IRNazanin"/>
          <w:color w:val="111111"/>
          <w:sz w:val="28"/>
          <w:szCs w:val="28"/>
          <w:rtl w:val="true"/>
          <w:lang w:bidi="fa-IR"/>
        </w:rPr>
        <w:t xml:space="preserve">. </w:t>
      </w:r>
      <w:bookmarkStart w:id="83" w:name="pg9221_92102"/>
    </w:p>
    <w:p>
      <w:pPr>
        <w:pStyle w:val="Heading3"/>
        <w:numPr>
          <w:ilvl w:val="2"/>
          <w:numId w:val="1"/>
        </w:numPr>
        <w:rPr/>
      </w:pPr>
      <w:bookmarkStart w:id="84" w:name="__RefHeading___Toc4158810_2870459653"/>
      <w:bookmarkStart w:id="85" w:name="_Toc32"/>
      <w:bookmarkEnd w:id="83"/>
      <w:bookmarkEnd w:id="84"/>
      <w:r>
        <w:rPr>
          <w:rtl w:val="true"/>
        </w:rPr>
        <w:t xml:space="preserve">توضیح </w:t>
      </w:r>
      <w:r>
        <w:rPr>
          <w:rtl w:val="true"/>
        </w:rPr>
        <w:t>:</w:t>
      </w:r>
      <w:bookmarkEnd w:id="85"/>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 اخبار آحاد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غیر مستفیض و غیر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نص باشد و یا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ما که اصول دین را بر اساس برهان پذیرفته ایم ، اگر در معارف دینیه و مسائل مربوط به اصول دین به خبر واحدی که بر خلاف برهان باشد کاربرد دهیم ، در این صورت به وسیله نتیجه برهان ، مقدمه برهان را ابطال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آنچه در خود اصول دین به وسیله برهان به آن رسیده ایم ، همان ها باید در برهانی که برای مسائل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می کنیم مقدمه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مسلم شده که خدا تک و اَحَد است ، اکنون خبر واحد آمده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تاست ، باید برهان را به شرح زیر تنظیم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واحد مخالف اصول مسلم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مخالف اصل مسلم دین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خبر واحد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نص هم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برهان را به صورت زیر تنظیم کنیم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واحد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خبر واحد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خبر و پیامش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هر خبر مستفیض و متواتر در 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اصول دین و مبتنی بر اصول مسلم دین است و نتیجه ای است که از اصول دین گرفته می شود ، پس نباید تمسک به خبر واحد ، خود آن اصول را ابطال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این جای سخنش به ایرادی که در بالا درباره ارسطوئیان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در محدوده ظواهر توقف نمی کنند نصوص را نیز 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برهان عقلی میتوان و باید نصوصی را که به صورت خبر واحد آمده اند ، 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ایشان نیز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خبر واحد است که مخالف اصول مسلم دین است و مجلسی آن را پذیرفته است ؟ آیا کسی می تواند نمونه ای در این باره از آثار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و غیر بحار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بیاورد ؛ اما همه ارسطوئیات برخلاف اصول مسلم دین است به شرحی به شرحی که گذشت واولین آنها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اولین اصل ارسطوئیات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نصوص که ارسطوئیان ذبح کرده اند ، خبر واحد هستند ؟ آنان نه تنها مستفیضات و متواترات بسیاری را ذبح کرده اند ، بلکه همان طور که گذشت نصوص قرآن را نیز کشته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ثابت شد که مسلمات عقلی را نیز پای مال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ظواهر قرآن و حدیث های مستفیض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مباحثات عمیقه عقلیه توان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باید به ظواهر قرآن و ظواهر اخبار مستفیضه بچسبد و علم بر حقائق آنها را به خداوند متعال واگذارد و این راه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نیز درست است و عین فرمان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نیز فرمان حدیث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مباحثات عمیقه عقلیه توان کافی و تثبت دارند و حق دارند ظواهر قرآن و اخبار مستفیضه را 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 چه کسانی هستند ؟ بی تردید این کسان غیر از ارسطوئیان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دیدیم که مباحث عقلیه آنها چیست و چه ماهیتی دارد ؛ نه تنها مباحث درستی نیستند عقل و تعقل را نیز زیر پا 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ارسطوئیان با مبانی ارسطوئی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مبانی ارسطوئی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دخالت و ابراز نظر در قرآن و حدیث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راه آنان از اصل و اساس تا دامنه های گسترده اش ، با اصل و اساس تا دامنه گسترده اسلام ، تباین دارد ؛ اسلام و ارسطوئیات دو آئین ، دو هستی شناسی ، دو خدا شناسی ، دو انسان شناسی ، ضد هم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طباطبائی قُدِسَ سِرُّه می فرماید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توان کافی و تثبت در مباحث عمیقه عقلیه ندارند باید از ورود در ابحاث عمیقۀ علمیه اثباتاً و نفیاً پرهیز کنند تا به ضلالت و تعرض به هلاکت دائم ، سقوط نکنند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نیز متین و کاملاً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عمیقه عقلیه ، ارسطوئیات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بحث که گذشت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علامه طباطبائی خواننده را به عبرت آموزی و عبرت گیری دعوت می کند که خواننده از سقوط علامه مجلسی به ضلالت و هلاکت عبرت بگیرد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مجلسی هیچ کدام از آرای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نکرده مگر این که خودش به همان یا به شدیدتر از آن مبتلا شده است و نمونه روشن آن در همین مسئله است که مجلسی قول فلاسفه را درباره مجردات رد کرده سپس خودش همه خواص تجرد را بر انوار پیامبر و ائمه عَلیهِم السَّلام ثابت کرده است و متنبه نشده که اگر موجود مجردی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باشد ، محال بودنش با تغییر اسم تغییر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ما بحث می کنیم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بحار است ، در کجای این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مجلسی قول به موجود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 ؟ تا خودش دوباره در آن سقوط کند ؟</w:t>
      </w:r>
    </w:p>
    <w:p>
      <w:pPr>
        <w:pStyle w:val="BookText"/>
        <w:rPr/>
      </w:pPr>
      <w:r>
        <w:rPr>
          <w:rFonts w:ascii="IRNazanin" w:hAnsi="IRNazanin" w:eastAsia="IRNazanin"/>
          <w:color w:val="111111"/>
          <w:sz w:val="28"/>
          <w:sz w:val="28"/>
          <w:szCs w:val="28"/>
          <w:rtl w:val="true"/>
          <w:lang w:bidi="fa-IR"/>
        </w:rPr>
        <w:t xml:space="preserve">تنها جمله ای که او در این باره دارد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يظهر من الأخبار وجود مجرد سوى الله تعالى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ظاهر اخبار ، در ظواهر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نصی در اخبار بر رد موجود مجرد وجود ندارد ، در ظاهر اخبار نیز دلالتی بر اثبات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نمی گوید ظاهر اخبار وجود موجود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برعکس است یعنی از آن طرف باید بر مرحوم مجلسی ایراد گرفت که چرا اصل و اساس 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و رد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شرحش با فرمول های مربوطه اش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قول به مجرد غیر از خدا را نفی و رد کرده است ، آیا همان طور که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همه ویژگی های تجرد را به انوار پیامبر و ائمه عَلیهِم السَّلام نسبت داده است ؟</w:t>
      </w:r>
    </w:p>
    <w:p>
      <w:pPr>
        <w:pStyle w:val="BookText"/>
        <w:rPr/>
      </w:pPr>
      <w:r>
        <w:rPr>
          <w:rFonts w:ascii="IRNazanin" w:hAnsi="IRNazanin" w:eastAsia="IRNazanin"/>
          <w:color w:val="111111"/>
          <w:sz w:val="28"/>
          <w:sz w:val="28"/>
          <w:szCs w:val="28"/>
          <w:rtl w:val="true"/>
          <w:lang w:bidi="fa-IR"/>
        </w:rPr>
        <w:t xml:space="preserve">علامه مجلسی در آغاز این سخنش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أكثر ما أثبتوه لهذه العقول قد ثبت لأرواح النبی و الأئمة عَلیهِم السَّلام</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ویژگی ها ، نه همه شان ، نه جميع خواص التجرد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جمله نیز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وجهی که ارسطوئیان درباره مجردات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وجه دیگر را شرح می دهد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برای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می کنند اما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ارواح مذکور ثابت می کنند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تا آسمان است و اساساً این دو دارای دو معنی کاملاً متضاد هستند و برای خود ارسطوئیان و دیگران کاملاً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شرح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تقدم ، تقدم بر آفرینش همه مخلوقات باشد ، یا تقدم بر آفرینش مخلوقات روحانی باشد ، دو احتمال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فرض کنیم معنی اول درست و نور پیامبر صَلّی الله عَلیهِ و آله و سَلَّم و اولین مخلوق باشد این چه ربطی دارد که نور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باشد ؟</w:t>
      </w:r>
    </w:p>
    <w:p>
      <w:pPr>
        <w:pStyle w:val="BookText"/>
        <w:rPr/>
      </w:pPr>
      <w:r>
        <w:rPr>
          <w:rFonts w:ascii="IRNazanin" w:hAnsi="IRNazanin" w:eastAsia="IRNazanin"/>
          <w:color w:val="111111"/>
          <w:sz w:val="28"/>
          <w:sz w:val="28"/>
          <w:szCs w:val="28"/>
          <w:rtl w:val="true"/>
          <w:lang w:bidi="fa-IR"/>
        </w:rPr>
        <w:t xml:space="preserve">البته اگر مجلسی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و نور پیامبر صَلّی الله عَلیهِ و آله و سَلَّم را صادر اول می دانست ناچار می شد که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البسيط لا يصدر منه الا البسيط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 لا يصدر منه الا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معتقد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ناچار بود که نور آن حضرت را مجرد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مجلسی در همان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سخنان را که به صورت قاعده در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مموهات شبهات و خیالات غریبه که با سخنان لطیف آرایش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اساساً به صدور معتقد نیست و همه این قاعده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 اساساً صدور ، یک تخیل و توهمی بیش نیست و این قاعده ها موضوعاً منتفی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نور پیامبر صَلّی الله عَلیهِ و آله و سَلَّم را مخلوق و پدیده می داند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صَلّی الله عَلیهِ و آله و سَلَّم ، معتقد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بزرگوارانه و با سماحت می خواهد برای برخی از کسانی که گاهی لفظ مجرد به کار می برند و ارسطوئی نیستند ، راه توجیهی باز کند ، </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جوهر مجرد معتقد باشد ، و آن را قدیم نداند ، و مانند ارسطوئیان خداوند متعال را مجبور نکند که مخلوقات را از آن جوهر مجرد به وجود آورد ، و اگر آن مجرد را در خلق اشیاء دارای تأثیر نداند ، نام عقل بر آن بگذارد ، می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قدیم نداند ، اگر ممکنات و مخلوقات را ناشی شده از آن نداند ، اگر آن را در خلق اشیاء دخیل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اگر ها همگی سلب ویژگی های مجرد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کس که در نظر مجلسی است تنها دو لفظ می ماند که آن شیئ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مرادش این است که دعوائی بر سر لفظ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با این اگرها ، اصول فلسفه ارسطوئی را نفی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از وجود خداوند صادر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چیزی قدیم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پدیده است و آن پدیده اولیۀ کائنات ،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نه 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فرض کنیم که نور پیامبر صَلّی الله عَلیهِ و آله و سَلَّم بر همه مخلوقات تقدم دارد باز پدیده است نه صادر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ارسطوئیان می گویند صادر اول از خدا صادر شده و همه کائنات نیز از صادر اول صادر شده است ، مموّهات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 گویند عقول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هستند دارای حیات ، عقل و اراده و آنها جهان کائنات را اداره می کنند ، خیالاتی است که در بیانات شیرین و شیوا می سرایند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هم باید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علامه مجلسی را دست کم گرفته که با همین پیش زمینه ذهنی ، حتی زحمت بررسی سخنان او را به خود نداده است و یا توجه لازم را نکرده است وگرنه مرقوم نمی فرمود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بتلاء بالمناقضة فى النظر و اعتبر فى ذلك بما أبتلى المولف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مجلسی به کدام تناقض دچار شده است تا عبرت دیگران باشد ؟</w:t>
      </w:r>
    </w:p>
    <w:p>
      <w:pPr>
        <w:pStyle w:val="BookText"/>
        <w:rPr/>
      </w:pP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عقل اول و حتی عقول عشره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با عقل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خدایشان فاقد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وسیله آفرینش وجود همه موجودات ،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مجلسی ارواح پیامبر صَلّی الله عَلیهِ آله و سَلَّم و آل عَلیهِم السَّلام را وسیله نیل به توفیقات ، می داند ؛ موفقیت در علم موفقیت در تقوی ، موفقیت در ایمان و کمالات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که در دعای توسل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توسلنا بك إلى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کجا و آن کجا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طور که در پاراگراف آخر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ارسطوئیان را از بهره مندی از این فیض توسل ، محروم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ارسطوئیان بل همه صدرویان ما دعای توسل نیز می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آنان نیز اهل بیت عَلیهِم السَّلام را وسیله قرار می دهند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عشره به جای خود ، این یکی هم علاوه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اهل توسل نیستند امور برایشان مُلتبس و مشتبه می 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توسل قبول نمی شود ، پیرو ارسطو باید به ارسطو متوسل شود نه به اهل 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مناقشه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آن زمان که اکثر مردم ایران سنّی بودند ، یک سنّی بنام جان علی می رود پیش استاد مهر ساز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برای من بساز در قالب یک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هم که سنّی بود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هستی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پس فردا بیا مهرت را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علی مهر را گرفت و با مرکبی که روی میز کار استاد بود رنگین کرد و روی کاغذ منعکس ساخت ، دید نوشته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تو را جان علی نام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بوده ، غلط کرده ، تو جان عمری </w:t>
      </w:r>
      <w:bookmarkStart w:id="86" w:name="pg9221_92108"/>
    </w:p>
    <w:p>
      <w:pPr>
        <w:pStyle w:val="Heading2"/>
        <w:numPr>
          <w:ilvl w:val="1"/>
          <w:numId w:val="1"/>
        </w:numPr>
        <w:rPr/>
      </w:pPr>
      <w:bookmarkStart w:id="87" w:name="__RefHeading___Toc4158812_2870459653"/>
      <w:bookmarkStart w:id="88" w:name="_Toc33"/>
      <w:bookmarkEnd w:id="86"/>
      <w:bookmarkEnd w:id="87"/>
      <w:r>
        <w:rPr>
          <w:rtl w:val="true"/>
        </w:rPr>
        <w:t xml:space="preserve">شرح كشف المراد در شرح تجرید الاعتقاد </w:t>
      </w:r>
      <w:r>
        <w:rPr>
          <w:rtl w:val="true"/>
        </w:rPr>
        <w:t>(</w:t>
      </w:r>
      <w:r>
        <w:rPr>
          <w:rtl w:val="true"/>
        </w:rPr>
        <w:t>بخش چهارم</w:t>
      </w:r>
      <w:r>
        <w:rPr>
          <w:rtl w:val="true"/>
        </w:rPr>
        <w:t>)</w:t>
      </w:r>
      <w:bookmarkEnd w:id="88"/>
    </w:p>
    <w:p>
      <w:pPr>
        <w:pStyle w:val="Heading3"/>
        <w:numPr>
          <w:ilvl w:val="2"/>
          <w:numId w:val="1"/>
        </w:numPr>
        <w:rPr/>
      </w:pPr>
      <w:bookmarkStart w:id="89" w:name="__RefHeading___Toc4158814_2870459653"/>
      <w:bookmarkStart w:id="90" w:name="_Toc34"/>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حجت الاسلام والمسلمين سيد قاسم على احمدى</w:t>
      </w:r>
    </w:p>
    <w:p>
      <w:pPr>
        <w:pStyle w:val="Heading3"/>
        <w:numPr>
          <w:ilvl w:val="2"/>
          <w:numId w:val="1"/>
        </w:numPr>
        <w:rPr/>
      </w:pPr>
      <w:bookmarkStart w:id="91" w:name="__RefHeading___Toc4158816_2870459653"/>
      <w:bookmarkStart w:id="92" w:name="_Toc35"/>
      <w:bookmarkEnd w:id="91"/>
      <w:r>
        <w:rPr>
          <w:rtl w:val="true"/>
        </w:rPr>
        <w:t xml:space="preserve">چکیده </w:t>
      </w:r>
      <w:r>
        <w:rPr>
          <w:rtl w:val="true"/>
        </w:rPr>
        <w:t>:</w:t>
      </w:r>
      <w:bookmarkEnd w:id="92"/>
    </w:p>
    <w:p>
      <w:pPr>
        <w:pStyle w:val="BookText"/>
        <w:rPr/>
      </w:pPr>
      <w:r>
        <w:rPr>
          <w:rFonts w:ascii="IRNazanin" w:hAnsi="IRNazanin" w:eastAsia="IRNazanin"/>
          <w:color w:val="111111"/>
          <w:sz w:val="28"/>
          <w:sz w:val="28"/>
          <w:szCs w:val="28"/>
          <w:rtl w:val="true"/>
          <w:lang w:bidi="fa-IR"/>
        </w:rPr>
        <w:t xml:space="preserve">از مباحث مهم فلسفی کلامی بحث حرکت و زمان است ، نظرات فلاسفه در این باره گوناگون است ، عده ای زمان را موهوم می دانند بدین بیان که بین خدا و خلق زمان حقیقی نیست ، عده ای دیگر زمان را مرکب از آنات متوالی می دانند ، دو دیگر زمان را جوهری جسمانی و نفس فلک 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دیگر آن را مقدار حرکت مطلق می دانند و برخی زمان را حرکت فلک 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سرآخر گروهی زمان را مقدار وجود می دانند ، در این میان آنچه مغفول مانده است ؛ حيث مخلوقیت زمان و تلازم آن با مخلوقیت ماده است که شارح محترم این مهم را که عموماً مورد غفلت فلاسفه است مورد توجه قرار داده است و این حقیقت را که خداوند متعال با خلق عالم ، حقیقت عدد و مقدار و زمان را هم خلق فرموده است ، برکشیده و شرح و بسط داده است ، وی زمان را صفت عالمی که متجزّی و مخلوق و حادث و البته مسبوق به عدم حقیقی است ،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معاصر پس از طرح این مبحث که با توجه دادن به این نکته که ؛ ذات حق تعالی زمانی نیست بلکه او خالق زمان است ، پایان می یابد ، به بحث در باب تحقق و ثبوت حق تعالی می پردازد و تذکار مهم وی در این بحث که با بحث زمان نیزگره خورده است فرق نهادن بین دو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موجود و متحقاست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مطلب سخن از اشتراک معنوی وجود رفته و معنای صحیح وجود ، همان تحقق و ثبوت بیان شده است و وجود و عدم امری انتزاعی و معقول ثانی هستند و اشتراک معنوی خالق با خلق نیز همان طارد العدمیه ذکر شده است ؛ دیدگاهی بدیع که در تقابل با حکمت متعالیه و عرفان نظری و در تطابق با وحی و عقل سلیم و وجدان ، وجود را امری عینی و خارجی نمی داند ، لذا معنایی بدیع از اشتراک معنوی را نه آنگونه که حکمت متعالیه بیان می کند و آن را مقدمۀ نتایج فاسدی چون وحدت وجود قرار می دهد ، ابداع و ابتکار می نماید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 عدم ، زمان ، حدوث ، قدم </w:t>
      </w:r>
      <w:r>
        <w:rPr>
          <w:rFonts w:eastAsia="IRNazanin" w:cs="IRNazanin"/>
          <w:color w:val="111111"/>
          <w:sz w:val="28"/>
          <w:szCs w:val="28"/>
          <w:rtl w:val="true"/>
          <w:lang w:bidi="fa-IR"/>
        </w:rPr>
        <w:t>.</w:t>
      </w:r>
      <w:bookmarkStart w:id="93" w:name="pg9221_92109"/>
    </w:p>
    <w:p>
      <w:pPr>
        <w:pStyle w:val="Heading3"/>
        <w:numPr>
          <w:ilvl w:val="2"/>
          <w:numId w:val="1"/>
        </w:numPr>
        <w:rPr/>
      </w:pPr>
      <w:bookmarkStart w:id="94" w:name="__RefHeading___Toc4158818_2870459653"/>
      <w:bookmarkStart w:id="95" w:name="_Toc36"/>
      <w:bookmarkEnd w:id="93"/>
      <w:bookmarkEnd w:id="94"/>
      <w:r>
        <w:rPr>
          <w:rtl w:val="true"/>
        </w:rPr>
        <w:t xml:space="preserve">تنبیه اول </w:t>
      </w:r>
      <w:r>
        <w:rPr>
          <w:rtl w:val="true"/>
        </w:rPr>
        <w:t xml:space="preserve">: </w:t>
      </w:r>
      <w:r>
        <w:rPr>
          <w:rtl w:val="true"/>
        </w:rPr>
        <w:t>معنای حرکت و سکون و زمان</w:t>
      </w:r>
      <w:bookmarkEnd w:id="95"/>
    </w:p>
    <w:p>
      <w:pPr>
        <w:pStyle w:val="Heading4"/>
        <w:numPr>
          <w:ilvl w:val="3"/>
          <w:numId w:val="1"/>
        </w:numPr>
        <w:rPr/>
      </w:pPr>
      <w:bookmarkStart w:id="96" w:name="__RefHeading___Toc4158820_2870459653"/>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در اصطلاح فلسفی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به معنای جنبش در مقابل سکون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در مقام بیان معنی حرکت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عالم بر چند قسم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که از هر جهت بالفعل می باشد و ناچار اینگونه موجودات از وضع موجود خود خارج نخواهند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که از تمام جهات بالقوّه اند و این چنین موجودی در عالم متصور نیست مگر هیولای اُولی </w:t>
      </w:r>
      <w:r>
        <w:rPr>
          <w:rStyle w:val="FootnoteAnchor"/>
          <w:rtl w:val="true"/>
        </w:rPr>
        <w:footnoteReference w:id="23"/>
      </w:r>
      <w:r>
        <w:rPr>
          <w:rFonts w:ascii="IRNazanin" w:hAnsi="IRNazanin" w:eastAsia="IRNazanin"/>
          <w:color w:val="111111"/>
          <w:sz w:val="28"/>
          <w:sz w:val="28"/>
          <w:szCs w:val="28"/>
          <w:rtl w:val="true"/>
          <w:lang w:bidi="fa-IR"/>
        </w:rPr>
        <w:t xml:space="preserve">که شأن آن تقوّم به هر نوع صورتی است و فعلیت آن همان قوّت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که از جهتی بالقوه و از جهتی دیگر بالفعل می باشند و ناچار چنین موجودی مرکب خواهد بود از دو امر که به واسطه یکی از آن دو ، بالقوّة و به واسطه دیگر بالفعل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و حیثیّت قوّت شأنش خروج از حالت موجود می باشد ، بطور تدریج که معنی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حرکت عبارت از فعل و کمال اول چیزی که بالقوة است از جهت آنکه بالقوة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قوّت برای موجود متحرّك بمنزله فصل مقوّم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حرکت ، سکون است از باب تقابل عدم و ملکه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 حقیقتِ حرکت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از حدوث تدریجی و خروج از قوّت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سکون شبیه قوّت و فعلند و از عوارض موجود بما هو موجودند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مخفی نماند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فلاسفه و از جمله ملاصدرا خروج از قوّت به فعل باشد به طور مطلق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حرکت باشد به طور مطلق ، لازمه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خروج از قوت به فعلی سازنده زمان باشد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یک دانه زردآلو که کشت می شود و مراحل سیر از قوّت ها را به فعلیّت ها طی می کند ، با توجه به اینکه هر فعلیّتی قوت برای فعلیّت بعدی است و بدین طریق میلیون ها قوّت را فعلیت می کند تا به حدّ باروری برسد ، زمانی را به وجود می آورد مطابق با حرکتی که در مراحل قوّت ها به فعلیت ها داشته است ، نهایت این زمان ها در داخل جهان طبیعت است و مقیاس آنها نیز حرکت کلّ و زمان کلّ است که ناشی از طلوع و غروب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از لحاظ ماهیت مقدار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معمول و مورد استناد مقدار حاصل از حرکت فلک اعلی است و مقدار همه حرکات دیگر هم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 عقاید گوناگون درباره زمان از این قرار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امری موهوم است و وجود واقعی ندارد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مرکب از آنات متوالی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 فاصل بین گذشته و آینده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جوهری است جسمانی و نفس فلک اقصی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مقدار حرکت مطلق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حرکت فلک اقصی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ابوالبرکات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مقدار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زمان را امری وجودی و حتی نوعی از وجود می داند و مقدار حرکت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زمانِ معمول عام ، مقدار و حرکت فلک الافلاک و در فرض هیأت جدید ، مقدار حرکت زمین است به دور خود یا به دور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غایت زمان و حرکات را وجود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از لوازم حرکت است و حرکت از لوازم طبیعت سیّال و طبیعت قائم به مادّه و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فیض حق از طریق طبیعت به اجسام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هم معلول فیض حق است ، و زمان هم از لوازم آن می باشد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الحاصل ، أنّ الّذى عليه إجماع الفلاسفة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وجودى و عبّروا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استبدال حالة قارّة في المحلّ بأخرى يسيراً يسيراً ، لا دفعةً واحدةً ، و أنّها قد تكون في المكان ؛ كالحركة من مكان إلى مكان ، وفى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كالتسوّد و التبيض ، و فى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كالنموّ أو الذبول ، و التكاثف ، و التخلخل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فعبارة عن عدم الحركة ، فيما من شأنه أن يكون قابلا للحركة ، حتى أنّ ما لا يكون قابلا للحركة و إن لم يكن متحركاً كالإله تعالى ؛ فإنّه لا يكون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على هذا التعريف و ليس هنا مجال طرحه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 الآمدى الحركة والسكون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فعبارة عن كمال بالفعل لما هو بالقوة من جهة ما هو بالقوة ؛ لا من كل وجه ؛ و ذلك كما في الانتقال من مكان إلى مكان الاستحالة من كيفية إلى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فعبارة عن عدم الحركة فيما من شأنه أن تكون فيه تلك الحركة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جهتا قوّة و فعل ، فله من حيث كونه بالقوّة أن يخرج إلى الفعل بغيره ، و إلّا لم تكن القوّة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الخروج إمّا بالتدريج ، أو دفعة ، و الأوّل معنى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يقابله السكونُ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الحركة لكونها صفة لا بدّ لها من قابل ، و لكونها حادثة ، بل حدوثا ، لا بدّ لها من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اطلاق اسم النور على الله تعالى 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الأنوار لو كانت أزليةً لكانت إمّا أن تكون متحركة أو ساكنة ، لا جائز أن تكون متحركة لأن الحركة معناها الانتقال من مكان إلى مكان فالحركة مسبوقة بالحصول فى المكان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الأزلى يمتنع أن يكون مسبوقا بالغير فالحركة الأزلية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جائز أن تكون ساكنة لأن السكون لو كان أزليا لكانممتنع الزوال لكن السكون جائز الزوال ، لأنا نرى الأنوار تنتقل من مكان إلى مكان فدل ذلك على حدوث الأنوار </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أمر انتزاعیّ ينتزع عند وجود المخلوق من بقائه فلا وقت و لا زمان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 العالم و الأثر فی وقت دون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داخل فيما سوی الله تعالى و يتحقّق مع الخلق و ينتزع من دوامه ، فما سوى الله مسبوق بالعدم وله ابتداء لا أنّه زمانی حتى يتوهّم ما توهّم ، و بذلك ظهر عدم وجود زمان حقیقی و لا موهوم بینه تعالى و بین خلقه ، كما ورد في خطبة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يَعُودُ بَعْدَ فَنَاءِ الدُّنْيَا وَحْدَهُ لَا شَيیءَ مَعَهُ كَمَا كَانَ قَبْلَ ابْتِدَائِهَا كَذَلِكَ يَكُونُ بَعْدَ فَنَائِهَا بِلَا وَقْتِ وَ لَا مَكَانِ وَلَا حِین زَمَانِ عُدِمَتْ عِنْدَ ذَلِكَ الأَجَالُ وَ الْأَوْقَاتُ وَ زَالَتِ السِّنُونَ وَ السَّاعَاتُ فَلَا شَیءَ إِلَّا الله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27"/>
      </w:r>
      <w:bookmarkStart w:id="98" w:name="pg9221_92112"/>
    </w:p>
    <w:p>
      <w:pPr>
        <w:pStyle w:val="Heading4"/>
        <w:numPr>
          <w:ilvl w:val="3"/>
          <w:numId w:val="1"/>
        </w:numPr>
        <w:rPr/>
      </w:pPr>
      <w:bookmarkStart w:id="99" w:name="__RefHeading___Toc4158822_2870459653"/>
      <w:bookmarkStart w:id="100" w:name="_Toc38"/>
      <w:bookmarkEnd w:id="98"/>
      <w:bookmarkEnd w:id="99"/>
      <w:r>
        <w:rPr>
          <w:rtl w:val="true"/>
        </w:rPr>
        <w:t xml:space="preserve">سؤال </w:t>
      </w:r>
      <w:r>
        <w:rPr>
          <w:rtl w:val="true"/>
        </w:rPr>
        <w:t xml:space="preserve">: </w:t>
      </w:r>
      <w:r>
        <w:rPr>
          <w:rtl w:val="true"/>
        </w:rPr>
        <w:t xml:space="preserve">آیا می شود چیزی را در </w:t>
      </w:r>
      <w:r>
        <w:rPr>
          <w:rtl w:val="true"/>
        </w:rPr>
        <w:t>«</w:t>
      </w:r>
      <w:r>
        <w:rPr>
          <w:rtl w:val="true"/>
        </w:rPr>
        <w:t>لا زمان</w:t>
      </w:r>
      <w:r>
        <w:rPr>
          <w:rtl w:val="true"/>
        </w:rPr>
        <w:t xml:space="preserve">» </w:t>
      </w:r>
      <w:r>
        <w:rPr>
          <w:rtl w:val="true"/>
        </w:rPr>
        <w:t>خلق کرد ؟</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با اشیاء خلق می شود ، و مانند مایع بودن آب و شیرینی عسل که با آب و عسل است نه اینکه مایع بودن و شیرینی قبل از آب و عسل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و عسل خلق می شود مایع بودن و شیرینی با او خلق می شود ؛ زیرا مایع بودن و شیرینی صفت برای آب و عسل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ما مایع بودن آب را می بینیم و می توانیم آن را بفهمیم ، به آن اعتراف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را نمی بینیم نمی توانیم بفهمیم ، لذا باید با عقل بر آن استدلال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يوصف بزمان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خالق الزمان والمكان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عالم را که خلق می کند ، حقیقت عدد و مقدار و زمان خلق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صفت عالم است که متجزّی و مخلوق و 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بشر عینک زمانی و مکانی بر چشمش زده ، همه چیز را در زمان می بیند و لا زمانی را زمانی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موجودی را شما تصوّر کنی ، در اجزاء و زمان است ، و بشر به خودی خود در قدم اول موجود بلا اجزاء را مساوی بامعدوم می داند ، انبیاء و اوصیاء عَلیهِم السَّلام بشر را متوجه این حقیقت نموده اند که موجودی غیر متجزّی و غیر مقداری که فراتر از زمان و مکان و عدد و تصوّر و توهّم است عالم را خلق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عالم نبود و بود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عالم خودش ، خودش را خلق کرده و یا عدم او را خلق کرده و یا موجودی غیر مقداری و غیر متجزّی او را آفریده ، و بشر با تعالیم انبیاء و اوصیاء می فهمد که یک حقیقتی موجود و غیر متجزّی و مقداری وجود دارد ، و او خالق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ما سوى الله حتى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عقل آن را تصدیق می کند و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بشر را به این حقیقت آشنا نکنند ، بشر دنبال خدایان ساختگی و خدای تثلیث و خدای ابن عربی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 آن فیلسوف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وحدت وجود قائل نشویم پس خدا را باید در کنج عالم قرار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گمان کرده اگر خدا را در کنج عالم مکان ندهیم پس باید در همه جای عالم او را مکان و جا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 صاحب نهاية الحكمة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حقيقة الوجود الاصيلة التی لا اصيل دونها و هی عین الأعيان و حاقّ الواقع واجبة الوجود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را داخل خدا دانسته هیچ چیز را خارج از ذات خدا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الحقيقة كلّ الأشياء ليس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در فلسفه به معنای بسط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همان جزء و کلّ و زیاده و نقصان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قیودش را برداشتی بدون قيود كلّ الأشيءاست </w:t>
      </w:r>
    </w:p>
    <w:p>
      <w:pPr>
        <w:pStyle w:val="BookText"/>
        <w:rPr/>
      </w:pPr>
      <w:r>
        <w:rPr>
          <w:rFonts w:ascii="IRNazanin" w:hAnsi="IRNazanin" w:eastAsia="IRNazanin"/>
          <w:color w:val="111111"/>
          <w:sz w:val="28"/>
          <w:sz w:val="28"/>
          <w:szCs w:val="28"/>
          <w:rtl w:val="true"/>
          <w:lang w:bidi="fa-IR"/>
        </w:rPr>
        <w:t xml:space="preserve">نه با تقیّد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تقيّد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الغاء لحاظ آسمان و زمین و بدون لحاظ تعيّناتش كل اشياء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لحاظ عقلی بسیط دانسته ولی در خارج عین اشیاء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هم چنین است و ما با عینک زمان و مکان همه چیز را نگاه می کنیم و با انس ذهنی مان خداوند را در زمان و مکان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کس از خودش حرف زده عالم را قدیم می دانست ، فقط انبیاء و اوصیاء عَلیهِم السَّلام بشر را</w:t>
      </w:r>
    </w:p>
    <w:p>
      <w:pPr>
        <w:pStyle w:val="BookText"/>
        <w:rPr/>
      </w:pPr>
      <w:r>
        <w:rPr>
          <w:rFonts w:ascii="IRNazanin" w:hAnsi="IRNazanin" w:eastAsia="IRNazanin"/>
          <w:color w:val="111111"/>
          <w:sz w:val="28"/>
          <w:sz w:val="28"/>
          <w:szCs w:val="28"/>
          <w:rtl w:val="true"/>
          <w:lang w:bidi="fa-IR"/>
        </w:rPr>
        <w:t xml:space="preserve">تعلیم دادند که خداوند عالم بلازمان و بلامکان است و خالق زمان و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میزتموه بأوهامكم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مخلوق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فلاسفه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ازلی است و همیشه با خدا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بالأخره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عین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فلاسفه به متکلّمین نسبت می دهند که آنها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هایی وجود داشت و هیچ چیزی نبود ، بعد خداوند ، عالم را خلق کرد ، پس قبل از زمان ،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کلمات متکلّمین مراجعه کند خواهد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افتراء و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خلق عالم ، زمانی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حادث است و ابتداء دارد و نمی شود بگویی قبل از زمان ،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صفت عالم است و با اشیاء خلق می شود و نقطه شروع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خلق عالم ، زمانی نبود و تعبیر به قبل از عالم ، قبل زمانی نیست بلکه ضيق تعبیر و مراد ابتداء داشتن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برهان استحاله بی نهایت قدم عالم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آنچه ذکر شده دانسته شد که آنچه در کلمات بعضی از فلاسفه دیده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 مجرّد با هم هستند و زمان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 زیرا اولاً خلق موجودات مستلزم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مصاحبت و تقارن معنایش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چیزی که خلق می شود دارای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زمانش با خودش خلق می شود ؛ چون هر چیزی که ابتدای وجود داشته</w:t>
      </w:r>
    </w:p>
    <w:p>
      <w:pPr>
        <w:pStyle w:val="BookText"/>
        <w:rPr/>
      </w:pPr>
      <w:r>
        <w:rPr>
          <w:rFonts w:ascii="IRNazanin" w:hAnsi="IRNazanin" w:eastAsia="IRNazanin"/>
          <w:color w:val="111111"/>
          <w:sz w:val="28"/>
          <w:sz w:val="28"/>
          <w:szCs w:val="28"/>
          <w:rtl w:val="true"/>
          <w:lang w:bidi="fa-IR"/>
        </w:rPr>
        <w:t>باشد و بقاء هم داشته باشد و لو به دقیقه ، همین معنای زمان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اینکه هر چیزی باید در زمان خلق شود تا اشکال شود که خود زمان آیا در زمان خلق شده یا نه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ذات حق تعالی زمانی نیست و زمان درباره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خالق زمان است – معنا ندارد ، و زمان خودش یک موجود مستقل نیست ، بلکه از حدوث و بقای مخلوقات انتزاع می شود </w:t>
      </w:r>
      <w:r>
        <w:rPr>
          <w:rFonts w:eastAsia="IRNazanin" w:cs="IRNazanin"/>
          <w:color w:val="111111"/>
          <w:sz w:val="28"/>
          <w:szCs w:val="28"/>
          <w:rtl w:val="true"/>
          <w:lang w:bidi="fa-IR"/>
        </w:rPr>
        <w:t xml:space="preserve">. </w:t>
      </w:r>
      <w:bookmarkStart w:id="101" w:name="pg9221_92114"/>
    </w:p>
    <w:p>
      <w:pPr>
        <w:pStyle w:val="Heading3"/>
        <w:numPr>
          <w:ilvl w:val="2"/>
          <w:numId w:val="1"/>
        </w:numPr>
        <w:rPr/>
      </w:pPr>
      <w:bookmarkStart w:id="102" w:name="__RefHeading___Toc4158824_2870459653"/>
      <w:bookmarkStart w:id="103" w:name="_Toc39"/>
      <w:bookmarkEnd w:id="101"/>
      <w:bookmarkEnd w:id="102"/>
      <w:r>
        <w:rPr>
          <w:rtl w:val="true"/>
        </w:rPr>
        <w:t xml:space="preserve">تنبیه دوّم </w:t>
      </w:r>
      <w:r>
        <w:rPr>
          <w:rtl w:val="true"/>
        </w:rPr>
        <w:t xml:space="preserve">: </w:t>
      </w:r>
      <w:r>
        <w:rPr>
          <w:rtl w:val="true"/>
        </w:rPr>
        <w:t>مشترک لفظی یا معنوی</w:t>
      </w:r>
      <w:bookmarkEnd w:id="103"/>
    </w:p>
    <w:p>
      <w:pPr>
        <w:pStyle w:val="BookText"/>
        <w:rPr/>
      </w:pPr>
      <w:r>
        <w:rPr>
          <w:rFonts w:ascii="IRNazanin" w:hAnsi="IRNazanin" w:eastAsia="IRNazanin"/>
          <w:color w:val="111111"/>
          <w:sz w:val="28"/>
          <w:sz w:val="28"/>
          <w:szCs w:val="28"/>
          <w:rtl w:val="true"/>
          <w:lang w:bidi="fa-IR"/>
        </w:rPr>
        <w:t xml:space="preserve">این تذکّر لازم است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موجود و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خبر از تحقّق و ثبوت و بودن و واقعیت داشتن ذات او در خارج می دهیم ، و در صورت دوم از ذات و حقیقت و کنه ذات آن طور که هست ، خبر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مقصود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 خداوند موجود و متحقق است و ثبوت خارجی دارد ،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بحث در مفهوم موجود و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شیئی نسبت دهیم معنایش این است که آن اشیا در مفهوم وجود داشتن و بودن و واقعیّت داشتن و نفی عدم و نیستی ، با هم مشترک می باشند </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بحث در مصداق و حقیقت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تعالی هیچ گونه اشتراک و سنخیّتی با غیر خودش ندارد و بینونت تامّه و جدایی کامل میان او و مخلوقاتش می باشد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پس بحث در اشتراک معنوی و لفظی فقط بحث در مفهوم عام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w:t>
      </w:r>
    </w:p>
    <w:p>
      <w:pPr>
        <w:pStyle w:val="BookText"/>
        <w:rPr/>
      </w:pPr>
      <w:r>
        <w:rPr>
          <w:rFonts w:ascii="IRNazanin" w:hAnsi="IRNazanin" w:eastAsia="IRNazanin"/>
          <w:color w:val="111111"/>
          <w:sz w:val="28"/>
          <w:sz w:val="28"/>
          <w:szCs w:val="28"/>
          <w:rtl w:val="true"/>
          <w:lang w:bidi="fa-IR"/>
        </w:rPr>
        <w:t xml:space="preserve">بر خلاف بحثی است که در باب اصالت وجود فلسفه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بحث از مصداق وجود و حقیقت وجود می باشد </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واضح تر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 ، خداوند موجود است و خدا متحقق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نیست که خدا وجود و هستی است که هستی را یک امری حقیقی بدانیم و برای خدا ثابت نماییم و برای وجود ، عینیّت خارجی قائل شویم که در بحث اصالت وجود مطرح می کنند و معتقدند که در مقابل اشیا ، عینیّت و تحقّق واقعی از آنِ وجود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متحقق و موجود است و موجودیت مفهومی است انتزاعی که از خارجیّت اشیاء و تحقّق آنها در خارج انتزاع می شود و در خارج چیزی به نام وجود نیست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الوجود إلا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چیزی نیست که به من داده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ثبوت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عدم ثبوت من است ، نه آن که وجود چیزی باشد که برای من ثابت و عارض شود ، که در نتیجه وجود از اعراض خارجيه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مایع و جامد بودن برای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صفت بر موصوف عارض می شود یعنی باید موصوفی باشد تا آن صفت بر او عارض شود ، مثلاً آب یک چیزی است که مایع بودن بر او عارض می شود ، آتش چیزی است که ناریّت و سوزاندن بر او عارض می شود ، اما این جور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حجر و شجر عارض شده باشد بلکه با جعل حجرو شجر عقل حکم به موجودیّت آن می کند ، عروض وجود و امکان انتزاع عقل است نه اینکه دوئیت باشد بین شیء ای و ثبوت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آنچه ذکر گردید معلوم 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 همان چیستی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از معقولات ثانیه است ، و چیستی سؤال از هویّت است نه خود هویّت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شیء همان هویّت عینی اوست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حقایق خارجی نظر می کنیم ، می بینیم که آنها با هم تباین و مغایرت دارند ؛ امّا در موجود بودن و نفی عدم و نیستی با هم مشترک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انسان با ملاحظه این جهت ، یک مفهوم از همه آنها انتزاع می کند 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انتزاعی ، بر همه آنها به صورت یکسان ، قابل اطلاق است و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مفهومی که ذهن ما از تمامی موجودات خارجی انتزاع می کند ، موجود بودن و وجود داشتن و نفی عدم می 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لحاظ اینکه همه موجودات متباین نفی کننده عدم هستند ، به تک تک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کننده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بنا بر این صحیح </w:t>
      </w:r>
    </w:p>
    <w:p>
      <w:pPr>
        <w:pStyle w:val="BookText"/>
        <w:rPr/>
      </w:pPr>
      <w:r>
        <w:rPr>
          <w:rFonts w:ascii="IRNazanin" w:hAnsi="IRNazanin" w:eastAsia="IRNazanin"/>
          <w:color w:val="111111"/>
          <w:sz w:val="28"/>
          <w:sz w:val="28"/>
          <w:szCs w:val="28"/>
          <w:rtl w:val="true"/>
          <w:lang w:bidi="fa-IR"/>
        </w:rPr>
        <w:t xml:space="preserve">است که بر هر یک از خلق 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واحد که نفی عدم است ، اطلاق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و مفهوم ، معنا و مفهومی است انتزاعی که بر همه اشیای متباین اطلاق می شود ، و از اطلاق این مفهوم واحد انتزاعی برخدا و خلق ، سنخیّت و تناسب در مصداق و حقیقت خارجی استفاده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دقیق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مفهوم واحد که از معقولات ثانیه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 مابازاء خارجی ندارد ، و جز ذاتِ موضوع چیز دیگری در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حقایق مختلف ، یا انتزاع آن از حقایق متباین ، دلیل بر اشتراک آن حقایق در حقیقت خارجی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از نصوص قرآن و احادیث شریفه هرگز استفاده نمی 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یا مصداق مفهومی است که بر اموری که در حقیقت وجود با هم مشارکت دارند ، اطلاق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شيء بخلاف الاشياء ، خالق العالم وغير المتجزّی که کنه و حقیقت آن منزّه از ادراک است ،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بحث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ابتداء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 و شیء ذی اجزاء منتقل می شود ؛ و شیء بدون اجزاء نزد بشر محال می باشد ، و لذا از ابتداء ، انبیاء و اوصیاء عَلیهِم السَّلام با براهین عقلی بشر را متوجّه یک شیء و موجود بدون اجزاء و بدون مقدار کرده اند و بیان نمودند که چون یک حقیقتی ، اجزاء و مقدار و عدد ندارد و حسّ نمی شود ، پس او خداوند است ، </w:t>
      </w:r>
      <w:r>
        <w:rPr>
          <w:rStyle w:val="FootnoteAnchor"/>
          <w:rtl w:val="true"/>
        </w:rPr>
        <w:footnoteReference w:id="33"/>
      </w:r>
      <w:r>
        <w:rPr>
          <w:rFonts w:ascii="IRNazanin" w:hAnsi="IRNazanin" w:eastAsia="IRNazanin"/>
          <w:color w:val="111111"/>
          <w:sz w:val="28"/>
          <w:sz w:val="28"/>
          <w:szCs w:val="28"/>
          <w:rtl w:val="true"/>
          <w:lang w:bidi="fa-IR"/>
        </w:rPr>
        <w:t xml:space="preserve">وگرنه ما همیشه موجود را در تحقّق اجزاء و مقدار می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نقل شده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بلا كينونة ، كان بلا كيف كان لم يزل بلا كمّ و لا كيف</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می توانی بگوئی خدا نیست ؛ وگرنه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پیدا شده است ؟ و نمی توانی هم بگوئی متجزّی و مقداری و امتدادی است ، چنان که واضح 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بودنی که بشر کلمه بودن را برای او وضع کرده است که همان بودن در مورد متجزّی و مقداری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توضیح داده اند که مقصود از کینونت ندارد این است که کیفیّت نداشته باشد و بدون تجزّی و اجزاء</w:t>
      </w:r>
    </w:p>
    <w:p>
      <w:pPr>
        <w:pStyle w:val="BookText"/>
        <w:rPr/>
      </w:pPr>
      <w:r>
        <w:rPr>
          <w:rFonts w:ascii="IRNazanin" w:hAnsi="IRNazanin" w:eastAsia="IRNazanin"/>
          <w:color w:val="111111"/>
          <w:sz w:val="28"/>
          <w:sz w:val="28"/>
          <w:szCs w:val="28"/>
          <w:rtl w:val="true"/>
          <w:lang w:bidi="fa-IR"/>
        </w:rPr>
        <w:t xml:space="preserve">باشد ، </w:t>
      </w:r>
      <w:r>
        <w:rPr>
          <w:rStyle w:val="FootnoteAnchor"/>
          <w:rtl w:val="true"/>
        </w:rPr>
        <w:footnoteReference w:id="35"/>
      </w:r>
      <w:r>
        <w:rPr>
          <w:rFonts w:ascii="IRNazanin" w:hAnsi="IRNazanin" w:eastAsia="IRNazanin"/>
          <w:color w:val="111111"/>
          <w:sz w:val="28"/>
          <w:sz w:val="28"/>
          <w:szCs w:val="28"/>
          <w:rtl w:val="true"/>
          <w:lang w:bidi="fa-IR"/>
        </w:rPr>
        <w:t xml:space="preserve">نه اینکه وجود ندارد ، پس خداوند هست ، امّا کمّ و کیف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توضیح نمی خواهیم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خداوند و مخلوقات مشترک لفظی است ؛ زیرا در مشترک لفظی بین دو معنا تباین است و هیچ مناسبتی ندارند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تامّ ندارند ؛ زیرا در اصل ثبوت و بودن مشترک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تحقّق الاجزاء است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مشترک لفظی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شود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معنوی مصطلح هم نیست ؛ زیرا آن در جایی است که آن دو معنا تباینی هم نداشته باشند ، در حالیکه در اینجا از یک جهت تباین دارند ، چنان که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علم من و علم زید مشترک معنوی است که در هر دو صور ذهنیّه است ؛ چون بین من و زید تشابه کامل در مفهوم و مصداق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بین من و خداوند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إذ لا كان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یعنی بود ، امّا بودنش به نحو بودن هایی که درباره اشیاء می گوییم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تُمثّل فتكون موجوداً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کلمه موجود اولاً و بالذات برای چیزی وضع شده که تمثیل داشته باشد و نبود و بود شد و پیدا شده است ، خداوند متعال ذاتی است که قابل وصول و وجدان و شهود و تحقّق بعد از عدم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که ما موجودش می دانیم دو جهت در او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 ثبوت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و 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جهت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تحقّق و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 امّا تحقّقِ تمثّلی و متجزّی برای او نیست و منزّه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معنای خاصّی است که مربوط به مخلوقات است که قابل تصوّر و تحقّق و انعدام و تمثّل و ذی </w:t>
      </w:r>
    </w:p>
    <w:p>
      <w:pPr>
        <w:pStyle w:val="BookText"/>
        <w:rPr/>
      </w:pPr>
      <w:r>
        <w:rPr>
          <w:rFonts w:ascii="IRNazanin" w:hAnsi="IRNazanin" w:eastAsia="IRNazanin"/>
          <w:color w:val="111111"/>
          <w:sz w:val="28"/>
          <w:sz w:val="28"/>
          <w:szCs w:val="28"/>
          <w:rtl w:val="true"/>
          <w:lang w:bidi="fa-IR"/>
        </w:rPr>
        <w:t xml:space="preserve">اجزاء است و خداوند از همه اینها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كان قبل أن يكون كان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قبل از اینکه معنای بودن تحقّق پیدا کند او بود ؛ چون این بودن ها و تحقّق ها در تمامی ما سوی الله در مقابل نبودن هایی است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بودن و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ذاتش ممکن است و می شود باشد و می شود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 تکوّن در اینجا همان قبول وجود به معنای خاص مربوط به خلق است که ملکه برای ذات امتدادی و مقداری است و به خداوند متعال نسبت داده نمی شود ،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خاصِّ مربوط به مخلوقات ، هرگز محمول واقع نمی شود مگر برای موجودات که ذاتاً وجود و عدم برای شان متساوی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امیرالمؤمنین عَلیهِ السَّلام نقل شده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كنتَ قبل الأزمان ، و قبل الكون و الكينونة و الكائن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خدایا تو بودی و تحقّق داشتی قبل از زمان و قبل از بودن و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بشر از معنای کائن می شناخته که همان موجودیّت در اجزاء و ادات است ، و خداوند قبل از اینها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هم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زمان ندارد </w:t>
      </w:r>
      <w:r>
        <w:rPr>
          <w:rStyle w:val="FootnoteAnchor"/>
          <w:rtl w:val="true"/>
        </w:rPr>
        <w:footnoteReference w:id="40"/>
      </w:r>
      <w:r>
        <w:rPr>
          <w:rFonts w:ascii="IRNazanin" w:hAnsi="IRNazanin" w:eastAsia="IRNazanin"/>
          <w:color w:val="111111"/>
          <w:sz w:val="28"/>
          <w:sz w:val="28"/>
          <w:szCs w:val="28"/>
          <w:rtl w:val="true"/>
          <w:lang w:bidi="fa-IR"/>
        </w:rPr>
        <w:t xml:space="preserve">و قبل از زمان و مخلوق است به تقدّم رتبی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است ، درست است ، ولو از بحث ما خارج است ؛ زیرا بحث در متلازم در وجود و تقدّم رتبی بین علّت و معلول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معنای تقدّم رتبی یعنی دو چیزی که انفکاک از هم ندارند و امّا بینشان تقدّم و تأخّر رتبی وجود دارد ، مثل آب و مایع بودن که مایع بودن متأخّر از آب است و آب از مایع بودن تقدّم رتبی دارد ، امّا انفکاک زمانی بین آن دو وجود ندارد ، تا آب باشد مایع بودن هست و تا مایع بودن وجود داشته باشد ، آب هست ، مثل جوهر و عرض که عرض</w:t>
      </w:r>
    </w:p>
    <w:p>
      <w:pPr>
        <w:pStyle w:val="BookText"/>
        <w:rPr/>
      </w:pPr>
      <w:r>
        <w:rPr>
          <w:rFonts w:ascii="IRNazanin" w:hAnsi="IRNazanin" w:eastAsia="IRNazanin"/>
          <w:color w:val="111111"/>
          <w:sz w:val="28"/>
          <w:sz w:val="28"/>
          <w:szCs w:val="28"/>
          <w:rtl w:val="true"/>
          <w:lang w:bidi="fa-IR"/>
        </w:rPr>
        <w:t xml:space="preserve">قائم به جوهر است ، تا جوهر نباشد عرض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بطلان کلام شان به تفصیل بیان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تأويل أزليّة الوجود و إن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تأويل نفی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نیست که یک زمان ازلی ممتدیّ وجود داشت که خدا بود و مخلوق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معنای ازلیّت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زمان نداشتن است ؛ زیرا زمان هم از اجزای عالم و ابتدای وجود دارد و شیء زمان دار متجزّی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قابل اصل زمان است یعنی لا زمانی ؛ و ذاتی که بلا أجزاء باشد نه متناهی است و نه نامتناهی و نه کم است و نه زیاده و نه کوچک است و نه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باشد که در مخلوقات استعمال می شود ، متجزّی و مقداری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عدم ، ثبوتاً محال و غیر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چیزی وجود و عدم معنا دارد که متجزّی و مقداری باشد که اگر اجزایش وجود داشت محقّق می شود و اگر وجود نداشت ، معدوم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صحیح است فرض کردن سلب موجودیّت از همه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وجودشان به اثبات کردنشان نیست بلکه موجودیّت شان به ایجاد غیرشان است ؛ چون مخصِّص می خواهند و علامت ممکن الوجود بودن همین است که فرض تساوی وجود و عدم در مورد او صحیح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خداوند متعال یا هیچ توجّه و التفاتی به او نداریم و یا اگر اثباتش کردیم ، عدم در باره او معقول نیست و معنایی ندارد ؛ زیرا اگر ذاتش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 شود که خلاف ذاتش باشد ؛ زیرا شیء از مقتضای ذاتش منقلب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شود برای خداوند فرض کرد حالت تساوی بین وجود و عدم را و همیشه این فرض در مورد متجزّی است که می شود باشد و می شود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اجزاء ندارد ، تساوی بین وجود و عدم در حق او معنا ندارد و بلکه تصوّر ذات شیء این </w:t>
      </w:r>
    </w:p>
    <w:p>
      <w:pPr>
        <w:pStyle w:val="BookText"/>
        <w:rPr/>
      </w:pPr>
      <w:r>
        <w:rPr>
          <w:rFonts w:ascii="IRNazanin" w:hAnsi="IRNazanin" w:eastAsia="IRNazanin"/>
          <w:color w:val="111111"/>
          <w:sz w:val="28"/>
          <w:sz w:val="28"/>
          <w:szCs w:val="28"/>
          <w:rtl w:val="true"/>
          <w:lang w:bidi="fa-IR"/>
        </w:rPr>
        <w:t xml:space="preserve">چنینی امکان ندارد ؛ چون هر چه ما می شناسیم و می یابیم فرض عدم آن ممکن است و می شود باشد و می شود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بقیّه اشیاء وجود و عدم آنها ذاتاً محال نیست ، می شود موجود باشد و می شود معدوم باشد ، بلی در هر شی ای از اشیاء اجتماع نقیضین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که دو معنای متقابل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خداوند ثبوتاً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تا بعد از آن بخواهی بگویی محال است بلکه هرگز تصوّر و تعقّل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رضا عَلیهِ السَّلام نقل شده که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يُحقّق و لا يُمَثّل</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یعنی خداوند واقعاً تحقّق و ثبوت و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بحقيقة الشيئيّة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ذى اجزاء و مقدار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شیء حقیقی خداوند است و بقیّه اشیاء موهوم و خیالات هستند و شیئیّت ندارند چنان که فلاسفه معتقدند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روایت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موهوم ندانید نه اینکه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موهوم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بشر کلمه بودن را برای او وضع کرده و موجودٌ را در آن استعمال می کند ، در مورد متجزّی و موجودات ذوات اجزاء و ادات است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ملازم با حمل بر معنای یک ذات متجزّی است ، و اگر ذات متجزّی و مقداری نباشد و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بشرگمان تناقض می کند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بعد از بیان انبیاء و اوصیاء عَلیهِم السَّلام و تنزيه و تهليل و تسبیحشان حق تعالی را از مشابهت غیر او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بخلاف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 xml:space="preserve">تعالی را ، ما می 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تحقّق و ثبوت بدون اجزاء و مقدار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و از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 یک مقسمی برای ما پیدا می شود که در آن معنای متعالی از تجزّی بحث اشتراک معنوی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دانسته می شود که کسانی که قائل به اشتراک لفظی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دیدند که ممکن الوجود در مفهومش وجود در مقابل عدم خوابیده که ذاتاً می شود باشد و می شود نباشد ، و خواستند خداوند را از موجودیّت به این معنا تنزيه و تقدیس کنند ، و شاید مقصود قاضی سعید قمی و استادش ملارجبعلی همین باشد ، وگرنه چگونه می شود تفوّه به اشتراک لفظی به معنای معهود کنند که دو معنای متباین باشند که هیچ مناسبتی بین آن دو نباشد مثل عین به معنی چشم و عین به معنای 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معقول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ثبوت و تحقّق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حقائق خارجی نیست ، و لذا واقعاً هم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اینجا مشاهده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عنوان تحقّق و ثبوت نیست بلکه حقیقت عینی</w:t>
      </w:r>
    </w:p>
    <w:p>
      <w:pPr>
        <w:pStyle w:val="BookText"/>
        <w:rPr/>
      </w:pPr>
      <w:r>
        <w:rPr>
          <w:rFonts w:ascii="IRNazanin" w:hAnsi="IRNazanin" w:eastAsia="IRNazanin"/>
          <w:color w:val="111111"/>
          <w:sz w:val="28"/>
          <w:sz w:val="28"/>
          <w:szCs w:val="28"/>
          <w:rtl w:val="true"/>
          <w:lang w:bidi="fa-IR"/>
        </w:rPr>
        <w:t xml:space="preserve">خارجی است که در مخلوق و خالق ثابت می شود و بیان کردیم که تمام مخلوقات عالم و ماسوی الله ، موجودات مقداری متجزّی عددی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و 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حجرو شجر و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دیگر از مشترک لفظی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چند نکته تذکّر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اشتراک لفظی و معنوی برنحوی که در کتب منطق و اصول و ادبیّات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لفظی و لغوی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فلاسفه نیست ؛ بلکه مراد آنها از مشترک معنوی وجود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در متن واقع جز حقیقت واحد محض 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وجودات متباین و مختلف در حقیقت و واقع و در خارج نداریم ، بلکه مصادیق و ذوات اشیاء خارجیه با ذات خداوند متعال مشترک می باشند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بیان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گویند وجود مشترک معنوی است مقصودشان این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بی نهایت موجود است که آن چیزی جز خداوند نیست و در مصداق ، اشتراک در حقیقت با حصّه های خود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و واقعِ معنای مشترک معنوی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خارج یک وجود بی نهایت و یک حقیقت لایتناهی مشترک داریم که همه اشیاء حصه های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تحریف لغت و عرف است بلکه تمویه و تلبیس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مشترک لفظی و معنوی در اصطلاح معنایش واضح است ؛ زیرا مشترک لفظی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لفظ مشترک هستند و معانی شان کاملاً متباین هستند ،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شیر در جنگل و شیر خوردنی و شیر آب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مشترک معنوی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زید و عمرو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برخداوند و چه بر انسان و چه بر حیوان و چه برنبات و چه برجماد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چه حمل شود ،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این لحاظ ، مشترک معنوی است نه لفظی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مشترک چه لفظی و چه معنوی همیشه در فرضی است که ما مصادیق متعددی داشته باشیم و هویّات و ذوات را متعدّد دانسته و خالق را غير خلق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خداوند و انسان ها و جمادات و نباتات و زید و جنّ و ملک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ذوات مختلف و مصادیق متعدد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مصداق واحد و منحصر به فرد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واحد شخصی بدانند و ذاتاً مصداق دوّم را برایش محال دانند در این صورت اصلاً بحث از مشترک لفظی یا معنوی بی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مثل اعلام شخصیّه و مثل خانه کعبه و قله دماوند که یک مصداق دارند این بحث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از معاصرین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فیلسوف فارغ از بحث اشتراک لفظی و معنوی است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واحد شخصی می داند و به موجودی جز مصداق واحد حقیقی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کثرات را اوهام و خیالات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جز ذات بی نهایت نیست و بقیه ، حِصَص و اجزای همین وجودند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واحد شخصی می دانند و غیر را برایش محال می دانند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خمیر مایۀ بی نهایت است که دو تا نمی توانیم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را ماهیّات و تعیّنات آن می دانند و هرگز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موج و دریا که دریا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امواج آن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تعیّنات و تخیّلات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فى الكون وهمّ او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عكوس فى المرايا او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به وحدت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که در نظر جمیع فقهاء شیعه این عقیده مردود و مطرود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قائلین به اشتراک لفظی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 عرفا می باشند و لو در ظاهر تصریح به اشتراک لفظی نمی کنند ولی در واقع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 مشترک لفظی می دانند و مقصودشان این است که وجود آن حقیقت خمیر مجسمه سازی بی نهایت است ، و وجود و موجودی جز خدا نداریم و اطلاق وجود بر غیرآن حقیقت ، تخیّل و توهّم بیش نیست و در لفظ وجود مشترک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وجود را مشترک معنوی می دانند به این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حصص و اجزای او هستند و غیر او چیزی نیست و اشتراک در مصداق دارند و در حقیقت همان جزء و کلّ است و در این مسلکشان از اصطلاح مشترک لفظی و معنوی خارج شدند و آن را تحریف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مشترک لفظی واقعاً حقائقی دارد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آب و شیر گاو و شیر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عرفا و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به اصطلاح حکمت متعالیه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ماسوی الله را تخیّل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فی الكون وهم أو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ندركه فهو وجود الحقّ فى أعيان الممكنات فالعالَم متوهَّم ما له وجود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قائلین به اشتراک لفظی وجود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که بر خداوند و خلق و انسان و جماد و نبات اطلاق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ذاتش تجزّی و امکان خوابیده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حیث التفات به موضوع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بتوانند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محلّ خودش استعمال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بشر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 کرده برای اشیای متجزّی و اشیای قابل وجود و عدم وضع نموده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موجود است ، انسان موجود است ، ستاره موجود است ، ماه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مبنا آن را وضع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چیزی که طول و عرض و ارتفاع و زمان و مکان ندارد ، و قابل وجود و عدم نیست ، اطلاق موجود می کردیم ، استعمال مهمل و غلط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وجود با مفهوم معدوم و مفهوم معدوم با مفهوم موجود در مقابل هم شناخته شناخته می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له الثبوت و التحقّق فهو موجود و إلا فهو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ما درباره خداوند اگر به این لحاظ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ممکن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خداوند متعال مفهومش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از این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فقط ، فرق می کند و به این جهت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واجب و ممکن مشترک لفظی است ، در عین حال که از حیث دلالت بر صِرف تحقّق و ثبوت یکی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دقیق است و هیچ گونه اشکال علمی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فلاسفه همان اشکالی که بر مشترک لفظی مصطلح وارد است ، بر این گروه نیز وارد می کنند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ممکن گفته می شود ، اگر همان معنایی را بگوییم که به واجب گفته می شود ، در این صورت مشترک معنوی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معنای دیگری بفهمیم و یا هیچ معنایی نفهمیم ، باید قائل به تعطیل یا ارتفاع نقیضین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می گوید این اشکال به کسانی وارد است که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واجب و ممکن به معنای مشترک لفظی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معنای عام مشترک معنوی است ؛ و دلالت بر تحقّق و ثبوت می کند ، اما باید توجّه داشت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این خصوصیّتی که ذکر ، نمودیم ، در مفهومش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هرگاه به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در آنها مشترک معنوی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 خداوند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 در صِرف معنای آگاهی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هستند و بس ، و در بیش از آن ، مشترک لفظی است ، یعنی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ذاتش ، حالت نفسانی و کیفیّت خاص و تصوّر صورت و تفکّر و ذهن انسان نهفته است ، که هرگز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بر خداوند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حرف دقیقی است و این مطلب با کلام قائلین به اشتراک لفظی به نحو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مفهوم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عدم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مانند ملا رجب علی تبریزی که خودش از اساتید فن است ، تفوّه به اشتراک لفظی بین خدا و خلق می کند حتّی در مفهوم عام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یضحک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اگر ایشان هم آن معنای مشترک لفظی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مفهوم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فسادش بی نیاز از بیان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اگر قائلین به اشترک لفظی مانند ملا رجب علی تبریزی و اتباع ایشان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 و قابلیّت عدم خوابیده است ،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بر خداوند متعال گفته نمی شود ،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عام مشترک است ؛ و آن دلالت بر تحقّق و ثبوت است ، این کلامی دقیق و بدون اشکال است ، و هرگز اشکال آقای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مطلق قائلین به اشتراک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نهاية </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خدا مشترک است ، فقط تعدّد مصداق دارد و شما خلط بین تعدّد مصداق و تعدّد مفهوم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کردید که مفهوم آن هم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جوابش با توجّه به آنچه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 واضح است ؛ زیرا تعدّد مصداق در جایی است که مثلاً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بر مصادیق مختلف حمل شود و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تعدّد مصداق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از اطلاق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ذهن به سوی حالت و کیف نفسانی و تصوّر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اگر به همین مفهوم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خداوند اطلاق کنیم ، کفر و غلط 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برزید و عمرو و بکر ، تعدّد مصداق و وحدت مفهوم است ، امّا در خدای متعال علاوه بر تعدّد مصداق ، تغایر مفهومی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کتاب و بر آن دفتر و بر آن سنگ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مجتمة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مفهومش این معنا خوابیده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معنا بر خداوند اطلاق کنیم ، کفر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در حدّ فهم و ادراک خودش لغات را وضع می کند و این معنا و مفهومی که در مورد خداوند گفتیم ، خارج از حدّ تصوّر و ادراک است و التفات به او هم نیست ، مثل اینکه ما همیشه در حدّ درک و فهم و قدرت قابل دیدمان رنگ های مختلف را می شماریم ، اما ماوراء بنفش و مادون قرمز را اصلاً جزو رنگ ها به حساب نمی آوردیم و ملتفت به آن هم نبودیم ، با اینکه از راه دیگر حسّی که جدیداً پیدا شده ، آنها را درک می کنیم و با وسیله ای کشف شده که امواج رادیویی را به ما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نیز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معانی ای است که فقط خداوند متعال به ما به واسطه حجّت هایش فهمانده که وحدت به این معنا است و هیچ فیلسوفی آن را نفهمیده است بلکه بشر هرگز راهی به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گاه بشر وسیله ای را کشف نخواهد کرد که بفهمد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خود خداوند است که معرفت می دهد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 أَصْلَحَكَ اللَّهُ هَلْ جُعِلَ فِي النَّاسِ أَدَاةٌ يَنَالُونَ بهَا الْمَعْرِفَةَ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كُلِّفُوا الْمَعْرِفَةَ ؟ قَال لَا عَلَى الله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لا يُكَلِّفُ الله نَفْساً إِلَّا ما آتاها</w:t>
      </w:r>
      <w:r>
        <w:rPr>
          <w:rFonts w:eastAsia="Amiri" w:cs="Amiri" w:ascii="Amiri" w:hAnsi="Amiri"/>
          <w:color w:val="111111"/>
          <w:sz w:val="28"/>
          <w:szCs w:val="28"/>
          <w:rtl w:val="true"/>
          <w:lang w:bidi="ar-SA"/>
        </w:rPr>
        <w:t xml:space="preserve">) ... </w:t>
      </w:r>
      <w:r>
        <w:rPr>
          <w:rStyle w:val="FootnoteAnchor"/>
          <w:rtl w:val="true"/>
        </w:rPr>
        <w:footnoteReference w:id="46"/>
      </w:r>
      <w:bookmarkStart w:id="104" w:name="pg9221_92126"/>
    </w:p>
    <w:p>
      <w:pPr>
        <w:pStyle w:val="Heading2"/>
        <w:numPr>
          <w:ilvl w:val="1"/>
          <w:numId w:val="1"/>
        </w:numPr>
        <w:rPr/>
      </w:pPr>
      <w:bookmarkStart w:id="105" w:name="__RefHeading___Toc4158826_2870459653"/>
      <w:bookmarkStart w:id="106" w:name="_Toc40"/>
      <w:bookmarkEnd w:id="104"/>
      <w:bookmarkEnd w:id="105"/>
      <w:r>
        <w:rPr>
          <w:rtl w:val="true"/>
        </w:rPr>
        <w:t>بررسی نقش عباسیان</w:t>
      </w:r>
      <w:bookmarkEnd w:id="106"/>
    </w:p>
    <w:p>
      <w:pPr>
        <w:pStyle w:val="Heading3"/>
        <w:numPr>
          <w:ilvl w:val="2"/>
          <w:numId w:val="1"/>
        </w:numPr>
        <w:rPr/>
      </w:pPr>
      <w:bookmarkStart w:id="107" w:name="__RefHeading___Toc4158828_2870459653"/>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در نهادینه سازی انحراف اعتقادی و فرهنگی در جهان اسلام</w:t>
      </w:r>
    </w:p>
    <w:p>
      <w:pPr>
        <w:pStyle w:val="BookText"/>
        <w:rPr/>
      </w:pPr>
      <w:r>
        <w:rPr>
          <w:rFonts w:ascii="IRNazanin" w:hAnsi="IRNazanin" w:eastAsia="IRNazanin"/>
          <w:color w:val="111111"/>
          <w:sz w:val="28"/>
          <w:sz w:val="28"/>
          <w:szCs w:val="28"/>
          <w:rtl w:val="true"/>
          <w:lang w:bidi="fa-IR"/>
        </w:rPr>
        <w:t>دکتر سید علی آیت اللهی</w:t>
      </w:r>
    </w:p>
    <w:p>
      <w:pPr>
        <w:pStyle w:val="Heading3"/>
        <w:numPr>
          <w:ilvl w:val="2"/>
          <w:numId w:val="1"/>
        </w:numPr>
        <w:rPr/>
      </w:pPr>
      <w:bookmarkStart w:id="109" w:name="__RefHeading___Toc4158830_2870459653"/>
      <w:bookmarkStart w:id="110" w:name="_Toc42"/>
      <w:bookmarkEnd w:id="109"/>
      <w:r>
        <w:rPr>
          <w:rtl w:val="true"/>
        </w:rPr>
        <w:t xml:space="preserve">چکیده </w:t>
      </w:r>
      <w:r>
        <w:rPr>
          <w:rtl w:val="true"/>
        </w:rPr>
        <w:t>:</w:t>
      </w:r>
      <w:bookmarkEnd w:id="110"/>
    </w:p>
    <w:p>
      <w:pPr>
        <w:pStyle w:val="BookText"/>
        <w:rPr/>
      </w:pPr>
      <w:r>
        <w:rPr>
          <w:rFonts w:ascii="IRNazanin" w:hAnsi="IRNazanin" w:eastAsia="IRNazanin"/>
          <w:color w:val="111111"/>
          <w:sz w:val="28"/>
          <w:sz w:val="28"/>
          <w:szCs w:val="28"/>
          <w:rtl w:val="true"/>
          <w:lang w:bidi="fa-IR"/>
        </w:rPr>
        <w:t xml:space="preserve">هدف این نوشتار پاسخ به این پرسش است که پس از ایجاد نخستین انحراف ، چگونه و در کدام دوره از تاریخ در امت اسلام انحراف اعتقادی نهادینه و تثبیت شده است ؟ در این مقاله ، آشکار شده است که پیدایش فرقه های اهل سنّت در قرن سوم و جریان های فرهنگی نظیر نهضت ترجمه ، محصول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و میراث نظری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 انحرافی که در آغاز بنی عباس به آن دچار شدند را مصداقی از حدیث مطرح شده در 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می داند ؛ از امام صادق عَلیهِ السَّلام نقل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گروهی از شیعیان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ثَمُودُ فَهَدَيْنَاهُمْ فَاسْتَحَبُّوا الْعَمَى عَلى الهُدَى فَأَخَذَتْهُمْ صَاعِقَةُ العَذَابِ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 کوری عمدی را بر هدایتی که دریافت داشته اند ، ترجیح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صاعقه عذاب ، شمشیر حضرت مهدی عَجَّل الله تعالی فَرجه الشَّریف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 عباسیان ، چرخش مذهبی ، منصور دوانیقی ، غاوون </w:t>
      </w:r>
      <w:r>
        <w:rPr>
          <w:rFonts w:eastAsia="IRNazanin" w:cs="IRNazanin"/>
          <w:color w:val="111111"/>
          <w:sz w:val="28"/>
          <w:szCs w:val="28"/>
          <w:rtl w:val="true"/>
          <w:lang w:bidi="fa-IR"/>
        </w:rPr>
        <w:t>.</w:t>
      </w:r>
    </w:p>
    <w:p>
      <w:pPr>
        <w:pStyle w:val="Heading3"/>
        <w:numPr>
          <w:ilvl w:val="2"/>
          <w:numId w:val="1"/>
        </w:numPr>
        <w:rPr/>
      </w:pPr>
      <w:bookmarkStart w:id="111" w:name="__RefHeading___Toc4158832_2870459653"/>
      <w:bookmarkStart w:id="112" w:name="_Toc43"/>
      <w:bookmarkEnd w:id="111"/>
      <w:r>
        <w:rPr>
          <w:rtl w:val="true"/>
        </w:rPr>
        <w:t>مقدمه و طرح مسأله</w:t>
      </w:r>
      <w:bookmarkEnd w:id="112"/>
    </w:p>
    <w:p>
      <w:pPr>
        <w:pStyle w:val="BookText"/>
        <w:rPr/>
      </w:pPr>
      <w:r>
        <w:rPr>
          <w:rFonts w:ascii="IRNazanin" w:hAnsi="IRNazanin" w:eastAsia="IRNazanin"/>
          <w:color w:val="111111"/>
          <w:sz w:val="28"/>
          <w:sz w:val="28"/>
          <w:szCs w:val="28"/>
          <w:rtl w:val="true"/>
          <w:lang w:bidi="fa-IR"/>
        </w:rPr>
        <w:t xml:space="preserve">نوع مواجهه اکثریت مسلمانانِ غیر شیعه با تشیع یک مواجهه طبیعی و مثبت نبوده و نیست و از یک تقابل معیوب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ابعاد متنوع و گستره وسیعی دارد و باید برای رسیدن به زیر مجموعه ها و عوامل آن ، تحلیل و علت یابی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هر نگاهی که نوع مواجهۀ اکثریت مسلمانان با تشیع را مورد بررسی قرار دهیم ، در تحلیل و علت یابی از میان عوامل مختلف سیاسی ، اجتماعی ،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عوامل اعتقادی و مذهبی سهم زیادی خواهیم یافت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دقت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بِأُمَرائِهِمْ أَشْبَهُ مِنْهُمْ بِآبَائِهِم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این نکته را آشکار می کند که </w:t>
      </w:r>
      <w:bookmarkStart w:id="113" w:name="pg9221_92127"/>
    </w:p>
    <w:p>
      <w:pPr>
        <w:pStyle w:val="BookText"/>
        <w:rPr/>
      </w:pPr>
      <w:bookmarkEnd w:id="113"/>
      <w:r>
        <w:rPr>
          <w:rFonts w:ascii="IRNazanin" w:hAnsi="IRNazanin" w:eastAsia="IRNazanin"/>
          <w:color w:val="111111"/>
          <w:sz w:val="28"/>
          <w:sz w:val="28"/>
          <w:szCs w:val="28"/>
          <w:rtl w:val="true"/>
          <w:lang w:bidi="fa-IR"/>
        </w:rPr>
        <w:t xml:space="preserve">امامان اهل بیت عَلیهِم السَّلام هیچ گاه نخواسته اند که شیعیان با سایر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در تقابل و ستیز باشند و هرگز نخواسته اند که جامعه اسلامی انسجام خویش را از دست بدهد بلکه با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شباهت ایشان با حاکمانِ خویش ، به یک مواجهه و تقابل اصلی و تاریخی ارجاع داده اند ، یعنی مواجهه با حاکمان غاصب نه اکثریت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هرگونه کژی و مواجهه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تشیع در این چهارچوب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برای مشاهده چرایی و نحوه مواجهه غیر شیعیان با تشیع ، بهتر است رویکرد اعتقادی حاکمان بررسی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اراده حاکمان دستگاه خلافت در هر دوره از عصر حضور ، این هنرِ همراه با ایثارِ ائمه اهل بیت عَلیهِم السَّلام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و رشد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یک سوی این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راهبرد حکیمانه و مشفقانه ای را اتخاذ کرده اند ، آیا عجیب نیست که این تقابل معیوب ادامه یافته و حتی مرجعیت علمی ائمه اهل بیت نیز عملاً مطرود واقع شده است ؟ گویا واقعه ای رخ داده و امری نهادینه شده که مانع رفع و اصلاح این تقابل معیوب می شود </w:t>
      </w:r>
      <w:r>
        <w:rPr>
          <w:rFonts w:eastAsia="IRNazanin" w:cs="IRNazanin"/>
          <w:color w:val="111111"/>
          <w:sz w:val="28"/>
          <w:szCs w:val="28"/>
          <w:rtl w:val="true"/>
          <w:lang w:bidi="fa-IR"/>
        </w:rPr>
        <w:t>.</w:t>
      </w:r>
    </w:p>
    <w:p>
      <w:pPr>
        <w:pStyle w:val="Heading3"/>
        <w:numPr>
          <w:ilvl w:val="2"/>
          <w:numId w:val="1"/>
        </w:numPr>
        <w:rPr/>
      </w:pPr>
      <w:bookmarkStart w:id="114" w:name="__RefHeading___Toc4158834_2870459653"/>
      <w:bookmarkStart w:id="115" w:name="_Toc44"/>
      <w:bookmarkEnd w:id="114"/>
      <w:r>
        <w:rPr>
          <w:rtl w:val="true"/>
        </w:rPr>
        <w:t>نقش عباسیان و اهمیت دوران و عملکردشان</w:t>
      </w:r>
      <w:bookmarkEnd w:id="11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این مقدمه و مجموعه مطالعات ناظر به دیدگاه فوق ، ریشه مسأله را شفاف کرده و واکاوی این مسأله و ریشه اش را به دوران عباسیان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شاکله اصلی برخی از اندیشه های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شیعه و اهل سقیفه و عثمانیه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اول شکل گرفته و در قرون بعدی تأثیرات خود را ادامه داده اند اما می دانیم که دوران بنی عباس بستر زمانی مناسبی برای پیدایش و ترویج اغلب مذاهب و مکاتب اسلامی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علت یابی از این تقابل معیوب و مشاهده چرایی نحوه مواجهه مسلمانانِ غیر شیعه با تشیع ، باید رویکرد کلامی حاکمان عباسی مورد مداقّه قرارگیرد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ضرورت های این مداقّه ، بررسی عقاید آل عباس قبل از خلافت و سیر به قدرت رسیدن بنی عباس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بنی عباس و خاصه ابن عباس و </w:t>
      </w:r>
    </w:p>
    <w:p>
      <w:pPr>
        <w:pStyle w:val="BookText"/>
        <w:rPr/>
      </w:pPr>
      <w:r>
        <w:rPr>
          <w:rFonts w:ascii="IRNazanin" w:hAnsi="IRNazanin" w:eastAsia="IRNazanin"/>
          <w:color w:val="111111"/>
          <w:sz w:val="28"/>
          <w:sz w:val="28"/>
          <w:szCs w:val="28"/>
          <w:rtl w:val="true"/>
          <w:lang w:bidi="fa-IR"/>
        </w:rPr>
        <w:t xml:space="preserve">فرزندانش به واسطه خاستگاه اولیه و سابقه و اقدامات خود قبل از عصر حکمرانی شان ، با انواع تشیع مرتبط بوده و گرایش شیعی داشته اند و بعد از تصاحب کرسی خلافت نیز با ملاحظات ویژه ای با تشیع تعامل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منشأ به قدرت رسیدن عباسیان یک قیام اجتماعی با شعار الرضا من آل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این انقلاب طرح مسایل کلامی توسط داعیان و قیام هایی بود که شعار و عمل به مذهبِ مورد رضایت آل محمد را در جامعه مطالبه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بنی عباس گرچه همانند اسلافشان برای قدرت اصالت قائل بودند اما برخلاف بنی امیه ، خود را در عرصه حاکمیت وامدارِ گسترشِ دین و مطالباتِ مذهبی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دوران شان ، فصلی برای تأسیس و رونق مکاتب کلامی مختلف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با اقدامات خاص خود و با جلب همکاری جریان های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غیر اسلامی توسط نهضت ترجمه و 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با رویکردهای مختلف کلامی درصدد فاصله دار کردن خود و جامعه از تشیع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با مواجهه خصمانه با امامان و شیعیان مانع فراگیری گفتمان آنان یعنی مکتب نورانی اهل بیت در دوران خود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چرخش مذهبی عباسیان از تشیع تا تسنن و اقدامات مذهبی آنان در عصر حضور امامان شیعه ، حاکی از یک واقعیت مهم است که مهم ترین عامل تاریخی پیدایش و تقویت تسنن در قرن سوم ، انحراف و ریزش جمعی از خودِ شیعیانِ طالبِ حاکمیت در آغاز قرن دوم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مشترک این شیعیانِ طالبِ حاکمیت عجله و شتاب زدگی عملی و ضعف اعتقادی در امام شناسی و عدم تفقه و سستی در حراست از معارف ائمه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 تشیع با وجود داشتن تقدّم تاریخی ، در مواجهه با مولود ناهماهنگ خویش در فشار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زیر نمونه ای از شتاب زدگی و خطرساز بودن ضعف اعتقادی در درون جامعه شیعه می باشد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عاشورا و جریان مختار و زبیریان ابن عباس به طائف رفت با این که ابن عباس در آخر عمر نابینا شده بود اما تلاش سیاسی ابن عباس حتی در کهولت سن نیز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عاشورا با ایجاد و تبلیغ نگرش سیاسی براساس درک خود سعی داشت تا در میان هاشمیان و شیعیان کنشگری فعال باقی بماند و حکمت عدم </w:t>
      </w:r>
    </w:p>
    <w:p>
      <w:pPr>
        <w:pStyle w:val="BookText"/>
        <w:rPr/>
      </w:pPr>
      <w:r>
        <w:rPr>
          <w:rFonts w:ascii="IRNazanin" w:hAnsi="IRNazanin" w:eastAsia="IRNazanin"/>
          <w:color w:val="111111"/>
          <w:sz w:val="28"/>
          <w:sz w:val="28"/>
          <w:szCs w:val="28"/>
          <w:rtl w:val="true"/>
          <w:lang w:bidi="fa-IR"/>
        </w:rPr>
        <w:t xml:space="preserve">قیام توسط امام سجاد را درک نمی کرد لذا به امام سجاد عَلیهِ السَّلام با ارسال واسطه ای و غیر مستقیم در قالب سؤال از معنای یک آیه قرآن پیام رسانی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کسی را به نزد امام زین العابدین عَلیهِ السَّلام فرستاد و معنای این آیه </w:t>
      </w:r>
      <w:r>
        <w:rPr>
          <w:rStyle w:val="FootnoteAnchor"/>
          <w:rtl w:val="true"/>
        </w:rPr>
        <w:footnoteReference w:id="49"/>
      </w:r>
      <w:r>
        <w:rPr>
          <w:rFonts w:ascii="IRNazanin" w:hAnsi="IRNazanin" w:eastAsia="IRNazanin"/>
          <w:color w:val="111111"/>
          <w:sz w:val="28"/>
          <w:sz w:val="28"/>
          <w:szCs w:val="28"/>
          <w:rtl w:val="true"/>
          <w:lang w:bidi="fa-IR"/>
        </w:rPr>
        <w:t xml:space="preserve">را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 آمَنُوا اصْبِرُوا وَصَابِرُوا 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در کار دین پایدار باشید و یکدیگر را به صبر سفارش کنید و از مرزها مراقب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عَلِيُّ بْنُ الْحُسَيْنِ علیه السلام وَ قَالَ لِلسّائِلِ ودِدْتُ أَنَّ الَّذى أَمَرَکَ بِهَذَا وَاجَهَنِي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خشمناک شد و پرسش کننده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داشتم آن کسی که تو را این مأموریّت داده خودش رویاروی از من می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پدر من و درباره ما نازل شده است و هنوز وقت آن مجاهده و مراقبت و مرزبانی که مأمور آن هستیم ، نرسیده است و در آینده ذرّیه ای از نسل ما که وظیفه آن را به عهده خواهد داشت به وجود خواهد آمد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فِی صُلْبِهِ يَعْنِی ابْنَ عَبَّاس وَدِيعَةً ذُرئَتْ لِنَارٍ جَهَنَّمَ سَيُخْرِجُونَ أَقْوَاماً مِن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در صلب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ای نهاده شده است که وجود و کارشان گسترش آتش دوزخ است ، که به زودی ظهور خواهند کرد ، و به زودی گروه هایی را از دین ، دسته دسته بیرون خواهند نمود و روی زمین با خون های جوانانی از آل محمّد رنگین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که زودرس و نابهنگام قیام خواهند کرد و به هدفشان نخواهند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افراد با ایمان مراقب بوده و صبر نموده و یکدیگر را به صبر سفارش کنند تا خدا حکم فرماید و او است بهترین حاکمان </w:t>
      </w:r>
      <w:r>
        <w:rPr>
          <w:rStyle w:val="FootnoteAnchor"/>
          <w:rtl w:val="true"/>
        </w:rPr>
        <w:footnoteReference w:id="50"/>
      </w:r>
      <w:bookmarkStart w:id="116" w:name="pg9221_92130"/>
    </w:p>
    <w:p>
      <w:pPr>
        <w:pStyle w:val="BookText"/>
        <w:rPr/>
      </w:pPr>
      <w:bookmarkEnd w:id="116"/>
      <w:r>
        <w:rPr>
          <w:rFonts w:ascii="IRNazanin" w:hAnsi="IRNazanin" w:eastAsia="IRNazanin"/>
          <w:color w:val="111111"/>
          <w:sz w:val="28"/>
          <w:sz w:val="28"/>
          <w:szCs w:val="28"/>
          <w:rtl w:val="true"/>
          <w:lang w:bidi="fa-IR"/>
        </w:rPr>
        <w:t>چرا امام سجاد عَلیهِ السَّلام از سؤال غیر مستقیم ابن عباس که به حبر و مفسر در عصر خود شهره است ، ناراحت و خشمگین می شود ؟</w:t>
      </w:r>
    </w:p>
    <w:p>
      <w:pPr>
        <w:pStyle w:val="BookText"/>
        <w:rPr/>
      </w:pPr>
      <w:r>
        <w:rPr>
          <w:rFonts w:ascii="IRNazanin" w:hAnsi="IRNazanin" w:eastAsia="IRNazanin"/>
          <w:color w:val="111111"/>
          <w:sz w:val="28"/>
          <w:sz w:val="28"/>
          <w:szCs w:val="28"/>
          <w:rtl w:val="true"/>
          <w:lang w:bidi="fa-IR"/>
        </w:rPr>
        <w:t xml:space="preserve">زیرا این یک سؤال ساده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سؤال بعد سیاسی داشته و حاوی جریان هایی است در میان شیعیانی که خارج از چهارچوب آموزه های امام سجاد هستند ، در حال تکثیر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شیعیانی که بر محوریت تمام عیار شخصیت امام سجاد عَلیهِ السَّلام اتفاق نداشته و جمع نشده و مناسباتشان را به نحو دیگری فی المثل بر محور اندیشه سیاسی و تحلیل ابن عباس تنظیم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تمامی اقدامات کلامی عباسیان معنایِ خاص تری می یابد و آنچه بر محور اقتضائات قدرت تغییر یافته ، بهتر قابل داوری و تحلیل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عباسیان با یک چرخش اعتقادی ، اموری را نهادینه کردند که مسأله تقابل معیوب و مواجههِ منفی با تشیع و ائمه اطهار عَلیهِم السَّلام تا امروز از همان الگو استفاده کرده و با همان سبک تکرار می شود و آثار تلخ و مسموم آن در جهان اسلام و حتی جامعه کنونی ما قابل مشاهده است </w:t>
      </w:r>
      <w:r>
        <w:rPr>
          <w:rFonts w:eastAsia="IRNazanin" w:cs="IRNazanin"/>
          <w:color w:val="111111"/>
          <w:sz w:val="28"/>
          <w:szCs w:val="28"/>
          <w:rtl w:val="true"/>
          <w:lang w:bidi="fa-IR"/>
        </w:rPr>
        <w:t>.</w:t>
      </w:r>
    </w:p>
    <w:p>
      <w:pPr>
        <w:pStyle w:val="Heading3"/>
        <w:numPr>
          <w:ilvl w:val="2"/>
          <w:numId w:val="1"/>
        </w:numPr>
        <w:rPr/>
      </w:pPr>
      <w:bookmarkStart w:id="117" w:name="__RefHeading___Toc4158836_2870459653"/>
      <w:bookmarkStart w:id="118" w:name="_Toc45"/>
      <w:bookmarkEnd w:id="117"/>
      <w:r>
        <w:rPr>
          <w:rtl w:val="true"/>
        </w:rPr>
        <w:t>آثار چرخش مذهبی و اعتقادی عباسیان</w:t>
      </w:r>
      <w:bookmarkEnd w:id="118"/>
    </w:p>
    <w:p>
      <w:pPr>
        <w:pStyle w:val="BookText"/>
        <w:rPr/>
      </w:pPr>
      <w:r>
        <w:rPr>
          <w:rFonts w:ascii="IRNazanin" w:hAnsi="IRNazanin" w:eastAsia="IRNazanin"/>
          <w:color w:val="111111"/>
          <w:sz w:val="28"/>
          <w:sz w:val="28"/>
          <w:szCs w:val="28"/>
          <w:rtl w:val="true"/>
          <w:lang w:bidi="fa-IR"/>
        </w:rPr>
        <w:t xml:space="preserve">عباسیان با یک دوگانگی اعتقادی روبه رو بودند سابقه شان تشیع و تبلیغ نظریه امامت صاحب بیعت غدیر و پیروی از ابوهاشم فرزند محمد حنفیه بود ولی با این سیاست جدید ، منافع شان را در خروج پیروان خود از منظومه تشیع می دیدند و لذا ابتدا ادعای وراثت مستقیم عباس از پیامبر صَلّی الله عَلیهِ و آله و سَلَّم را مطرح کردند و سپس از دوره منصور عباسی به بعد در پذیرش شیخین بر خلاف کیسانیه و پیروان ابوهاشم فرزند محمد حنفیه ، مسیر انحرافی گروهی از طالبانِ عجول حاکمیت را دوباره مانند بخشی از زیدیه تجربه کردند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گفتیم که این همان شرایط و وضعیتی است که امام سجاد عَلیهِ السَّلام بیش از نیم قرن قبل از وقوعش با عبارت وَدِيعَة ذَرِئَتْ لِنَار و با تعبير خارج کردن مردم از دین به آن اشاره فرموده بود </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نیاز عباسیان در دوره نخست نهضت شان برای کسب مشروعیت در بیشترین حد ممکن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عباسیان در پی این رویدادها برای اولین </w:t>
      </w:r>
    </w:p>
    <w:p>
      <w:pPr>
        <w:pStyle w:val="BookText"/>
        <w:rPr/>
      </w:pPr>
      <w:r>
        <w:rPr>
          <w:rFonts w:ascii="IRNazanin" w:hAnsi="IRNazanin" w:eastAsia="IRNazanin"/>
          <w:color w:val="111111"/>
          <w:sz w:val="28"/>
          <w:sz w:val="28"/>
          <w:szCs w:val="28"/>
          <w:rtl w:val="true"/>
          <w:lang w:bidi="fa-IR"/>
        </w:rPr>
        <w:t xml:space="preserve">بار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ابراهیم ابن محمد بن علی ابن عبدالله ابن عباس </w:t>
      </w:r>
      <w:r>
        <w:rPr>
          <w:rStyle w:val="FootnoteAnchor"/>
          <w:rtl w:val="true"/>
        </w:rPr>
        <w:footnoteReference w:id="53"/>
      </w:r>
      <w:r>
        <w:rPr>
          <w:rFonts w:ascii="IRNazanin" w:hAnsi="IRNazanin" w:eastAsia="IRNazanin"/>
          <w:color w:val="111111"/>
          <w:sz w:val="28"/>
          <w:sz w:val="28"/>
          <w:szCs w:val="28"/>
          <w:rtl w:val="true"/>
          <w:lang w:bidi="fa-IR"/>
        </w:rPr>
        <w:t xml:space="preserve">و سپس برای جانشینانش با تأکید بیشتری علناً به کار می بردند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آنان پس از کسب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از عقائد دوران دعوت دور شدند و با چرخش محتوایی و تغییری مهم ، جدایی خویش از همه انواع تشیع را با به کار بردن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نمایان ساختند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نفی عنصر وصایت بلافصل و انحصار لقب امیرالمؤمنین امام علی عَلیهِ السَّلام ایشان را لحظه به لحظه از تشیع و ائمه شیعه بیگانه تر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ترین تغییر اعتقادی و چرخش مذهبی عباسیان در مسأله امامت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نقطه خاص تاریخی است که شاهد مواجهاتی خصمانه در عصر حضور ائمه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این تغییر رویکرد منصور را در اثر شدت گرفتن خشم او بر بنی حسن می داند و این گونه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در یکی از مجالس از روی خشم قسم یاد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لارغمنّ انفى و انوفهم و ارفع عليهم بنی تيم و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بینی خود و بینی علویان را بر خاک خواهم مالید علی رغم ایشان بنی تیم و بنی عدی را که عبارت از ابوبکر و عمر باشد ، بر حضرت امیرالمؤمنین علی عَلیهِ السَّلام تقدیم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خطبه ذکر خلفا را مقدم شمرد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انتخاب و ترجیح رویکرد غیر شیعی ، منصور در دوران خود در این جهت اقدامات خاصی را راهبری نمود ؛ که در ادامه به بررسی آنها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 عباسیان ناگزیر بودند به سرعت به سازماندهی منابع علم و فرهنگ جامعه اقدام کنند و این هراس را داشتند که شعار الرضا من آل محمد اندک اندک به دعوت به مرجعیت علمی ، فقهی اهل بیت بیانجامد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دغدغه ، منصور با وجود همه اختلافات سیاسی و دلخوری های متعددی که از مالک فقیه مدینه و استادش ابن هرمز داشت ،به جذب و تکریم وی می پردازد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 فقیه مدینه در جریان قیام نفس زکیه به طور تقریبی و پنهانی موضعی موافق قیام اتخاذ نمود و با اینکه مانند استادش با ایشان خروج نکرد ، اما درب خانه را برخود بست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بعداً با بیعت اجباری اهل مدینه با حاکم عباسی مخالفت کرد و آن را باطل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چون با خبر می شود که حاکم مدینه مالک را شلاق زده است ، حاکم را عزل می کند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منصور با تمجید از وی و دادن عطایا و هزار دینار به مالک ، با او رابطه ای صمیمانه برقرار می کند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مردم فقیه تر از من و تو باقی نمانده ، من که گرفتار مشغولیت خلافتم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مردم کتابی بنویس که از آن بهره گیرند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شاید منصور اولین حاکمی است که پیشنهاد تدوین کتاب فقهی برای مذهب سازی رسمی در فقه را می دهد تا برای سراسر قلمرو حکمرانی عباسیان جهت قضاوت یک مجموعه با مختصاتی غیرشیعی ، تدوین و فراگیر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مالک سفارش می دهد که در کتاب و مذهبی که او لازم دارد از چند چیز اجتناب کند ؛ از شدائد و سخت گیری های عبدالله بن عمر و همچنین از رخص عبدالله بن عباس و شواذ ابن مسعود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فقه مطلوب عباسیان فقهی میانه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توافق منصور قول می دهد که در صورت تنظیم این کتاب مردم را وادار به عمل طبق فتوای مالک ابن انس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دستورالعمل حذف میراث علمی ابن عباس توسط عباسیان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منصور می دانست که با طرح فقه ابن عباس که تا حدودی ترجمان فقه علوی است ، به هدفش نمی رسد و جدایی از تشیع و دوری فرهنگی از ائمه شیعه آن سان که او می خواست اتفاق نخواهد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عمد و ناجوانمردانه از میراث فقهی جد و نیای خود به عنوان رخص ابن عباس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تصریح می کند که در رسیدن به این خواسته عجله دارد و فرزندش مهدی را برای تاکید و تعلیم روانه مدینه می کند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البته ارتباط مالک ابن انس با خلفا همواره یکسان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آراء فقهی مالک مایه ناراحتی عباسیان و بروز سخت گیری ها و مشکلاتی برای وی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ابوزهره در تاریخ مذاهب اسلامی جریانی را با عبارتی محتاطانه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نشان می دهد این چرخش اعتقادی و مذهبی حتی برای خود عباسیان نیز ساده نبوده و برخی از عقاید و باورهای شیعی آنها حتی در دوران خلافت نیز ابتدائاً بلاتغییر باقی مانده است و همین امر مایه برخورد با فقهاء مورد حمایت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فقهی سازماندهی شده و احکام صادره از سوی این فقها بعضاً مایه دردسرشان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قيل ان سبب المحنه هو ان مالكاً كان يقول بحرمة المتعة مع القول بان ابن عباس قد جازها و ابن عباس هو رأس اسرة الخلفاء العباسيين فغضب العباسيون على منعه و تحریمه زواج المتعه و آذوه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نمونه همان دوگانگی بود که منصور خود را در آن گرفتار می دید و سعی داشت با برنامه ها و اقداماتی از آن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 اینکه می دانست شیوه اصحاب حدیث و فقهای مدینه و امثال مالک ابن انس معادل تفکر برجا مانده از سقیفه و پرورش یافته و تأثیر پذیرفته از اندیشه عثمانیه است ، اما با این وجود به مالک اعتماد و با وی همکاری کرد ، هرچند که در نزد منصور گزارشی از گرایش مالک به بنی امیه نیز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مالک از ساده زیستی حاکم اموی که به سوی اندلس متواری شده و برای خلافت عباسی رقیب و دشمن اصلی شمرده می شد ، سخن به میان آمد ، مالک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مدینه نیز به مانند او زینت می شد </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 جرم بزرگی در نزد عباسیان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منصور برای تغییر و چرخش مذهبی و خروج از دوگانگی و دوری از تشیع نیازمند مالک و امثال مالک بود و لذا با این که منصور به بخل و خست موسوم شده بود ، اما عطایای هنگفتی را به مالک اختصاص داد و مالک نیز بر خلاف ابوحنیفه آن ها را مشروع دانسته و می پذیرفت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صحنه پردازی منصور برای خروج از دوگانگی در توصیف زیر نمایان است </w:t>
      </w:r>
      <w:r>
        <w:rPr>
          <w:rFonts w:eastAsia="IRNazanin" w:cs="IRNazanin"/>
          <w:color w:val="111111"/>
          <w:sz w:val="28"/>
          <w:szCs w:val="28"/>
          <w:rtl w:val="true"/>
          <w:lang w:bidi="fa-IR"/>
        </w:rPr>
        <w:t xml:space="preserve">. </w:t>
      </w:r>
      <w:bookmarkStart w:id="119" w:name="pg9221_92134"/>
    </w:p>
    <w:p>
      <w:pPr>
        <w:pStyle w:val="BookText"/>
        <w:rPr/>
      </w:pPr>
      <w:bookmarkEnd w:id="119"/>
      <w:r>
        <w:rPr>
          <w:rFonts w:ascii="IRNazanin" w:hAnsi="IRNazanin" w:eastAsia="IRNazanin"/>
          <w:color w:val="111111"/>
          <w:sz w:val="28"/>
          <w:sz w:val="28"/>
          <w:szCs w:val="28"/>
          <w:rtl w:val="true"/>
          <w:lang w:bidi="fa-IR"/>
        </w:rPr>
        <w:t xml:space="preserve">مالک نقل می کند بر منصور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مردم پس از پیامبر چه کسی است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و همین نظر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این رفتار و گفتار و فضاسازیِ منصور در اوج قدرت می باشد و منصور همان کسی است که در جوانی اش برای اثبات برتری و ذکر فضائل امام علی عَلیهِ السَّلام در شبکه دعوتِ پیروانِ ابوهاشم بین قریه ها به دعوت و سفر تبلیغی مشغول بود ، اکنون در هنگامه قدرت هم پیمان مالک بن انس شده است </w:t>
      </w:r>
      <w:r>
        <w:rPr>
          <w:rFonts w:eastAsia="IRNazanin" w:cs="IRNazanin"/>
          <w:color w:val="111111"/>
          <w:sz w:val="28"/>
          <w:szCs w:val="28"/>
          <w:rtl w:val="true"/>
          <w:lang w:bidi="fa-IR"/>
        </w:rPr>
        <w:t>.</w:t>
      </w:r>
    </w:p>
    <w:p>
      <w:pPr>
        <w:pStyle w:val="Heading3"/>
        <w:numPr>
          <w:ilvl w:val="2"/>
          <w:numId w:val="1"/>
        </w:numPr>
        <w:rPr/>
      </w:pPr>
      <w:bookmarkStart w:id="120" w:name="__RefHeading___Toc4158838_2870459653"/>
      <w:bookmarkStart w:id="121" w:name="_Toc46"/>
      <w:bookmarkEnd w:id="120"/>
      <w:r>
        <w:rPr>
          <w:rtl w:val="true"/>
        </w:rPr>
        <w:t>دیدار منصور با ابوحنیفه و تکریم همزمان مرجئه و معتزله و اهل حدیث</w:t>
      </w:r>
      <w:bookmarkEnd w:id="121"/>
    </w:p>
    <w:p>
      <w:pPr>
        <w:pStyle w:val="BookText"/>
        <w:rPr/>
      </w:pPr>
      <w:r>
        <w:rPr>
          <w:rFonts w:ascii="IRNazanin" w:hAnsi="IRNazanin" w:eastAsia="IRNazanin"/>
          <w:color w:val="111111"/>
          <w:sz w:val="28"/>
          <w:sz w:val="28"/>
          <w:szCs w:val="28"/>
          <w:rtl w:val="true"/>
          <w:lang w:bidi="fa-IR"/>
        </w:rPr>
        <w:t xml:space="preserve">در منابع آمده است منصور اعتراض مصریان در خصوص تصدی قضاوت از جانب یکی از پیروان ابوحنیفه را پذیرفت و قاضی را عزل کرد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 یک قاضی مالکی را جایگزین وی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تأملات تاریخی نشانگر این واقعیت است که اهل حدیث در هر شهری تقویت کننده سبک و سیاق سیاسی حاکم بر آنجا بودند اما با این حال با همه فشارهای امویان در كوفه قدرت تأثیر تشیع باقی مانده بود بنابراین در میان کوفیان اهل حدیث که بعضاً متشیّع شمرده شده اند ، دو نگرش متمایز نسبت به خلفا عباسی وجود داشت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عده ای با ترک نماز جمعه و تمایل به قیام به سیف حالتی خصمانه نسبت به عباسیان بروز می دادند و در مقابل افرادی مانند سفیان ثوری با این که در قیام ابراهیم بن عبدالله حسنی شخصاً در نبرد حاضر شدند ، </w:t>
      </w:r>
      <w:r>
        <w:rPr>
          <w:rStyle w:val="FootnoteAnchor"/>
          <w:rtl w:val="true"/>
        </w:rPr>
        <w:footnoteReference w:id="67"/>
      </w:r>
      <w:r>
        <w:rPr>
          <w:rFonts w:ascii="IRNazanin" w:hAnsi="IRNazanin" w:eastAsia="IRNazanin"/>
          <w:color w:val="111111"/>
          <w:sz w:val="28"/>
          <w:sz w:val="28"/>
          <w:szCs w:val="28"/>
          <w:rtl w:val="true"/>
          <w:lang w:bidi="fa-IR"/>
        </w:rPr>
        <w:t xml:space="preserve">اما در نهایت در دیدگاهشان امامت خلفا از پیشینیان تا خلفای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تلقی 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دهنده ارتباط منصور با آنان و پیوند با این دسته برای ایجاد یک هویت تازه برای عباسیان در احادیث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بعد محمد بن اسماعیل بخاری گرایش به </w:t>
      </w:r>
    </w:p>
    <w:p>
      <w:pPr>
        <w:pStyle w:val="BookText"/>
        <w:rPr/>
      </w:pPr>
      <w:r>
        <w:rPr>
          <w:rFonts w:ascii="IRNazanin" w:hAnsi="IRNazanin" w:eastAsia="IRNazanin"/>
          <w:color w:val="111111"/>
          <w:sz w:val="28"/>
          <w:sz w:val="28"/>
          <w:szCs w:val="28"/>
          <w:rtl w:val="true"/>
          <w:lang w:bidi="fa-IR"/>
        </w:rPr>
        <w:t xml:space="preserve">تشیعِ امثال سفیان ثوری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مذهب اهل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کرده و آن خروج بر عباسیان و انکار خلیفه سوم را سهل شمرده است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طرف مقابل و مخالف اهل حدیث ، رأی گرایانی چون ابوحنیفه نیز وضعیت مشابهی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در جریان قیام زید همراهی با زید را همراهی با رسول خدا صَلّی الله عَلیهِ و آله و سَلَّم در بدر قلمداد کرد </w:t>
      </w:r>
      <w:r>
        <w:rPr>
          <w:rStyle w:val="FootnoteAnchor"/>
          <w:rtl w:val="true"/>
        </w:rPr>
        <w:footnoteReference w:id="69"/>
      </w:r>
      <w:r>
        <w:rPr>
          <w:rFonts w:ascii="IRNazanin" w:hAnsi="IRNazanin" w:eastAsia="IRNazanin"/>
          <w:color w:val="111111"/>
          <w:sz w:val="28"/>
          <w:sz w:val="28"/>
          <w:szCs w:val="28"/>
          <w:rtl w:val="true"/>
          <w:lang w:bidi="fa-IR"/>
        </w:rPr>
        <w:t xml:space="preserve">و مخفیانه به وجوب نصرت زید فتوا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با گرایش زیدی ، از امام صادق عَلیهِ السَّلام جمله ای مثبت درباره این عمل ابوحنیفه نقل کرده است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ابوحنیفه در سال های اوج گیری انقلاب عباسیان دو سال از کوفه به سوی حجاز هجرت می کند تا از گزند حوادث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در زمان سفاح چون با علویان برخورد خشونت آمیزی نداشت ، ساکت بود اما با چرخش سیاسی منصور او نیز هم به نمایندگی از مرجئه و هم به عنوان یک مفتی صاحب رأی به طرفداری از بنی حسن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در قیام ابراهیم بن عبدالله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مرجئه نیز به ابراهیم پیوستند و وعده همکاری دادند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 با همه این توصیف ها و با وجود این که همه این گروه ها در تقابل تمام عیار و تضاد سیاسی با منصور دوانقی و عباسیان در یک مصاف نظامی وارد شده بودند ، اما چون این گروه ها در پروژه چرخش کلامی برای هدف منصور می توانستند خوراک فرهنگی و تكثر و تنوع مطلوب عباسیان را ایجاد کنند ، آن ها را با همه آسیب شان تحمّل و حفظ می کند و از جرم شان عملاً صرف نظر کرده و به جذب و تکریم شان می پردازد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منصور در ملاقاتی به 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نفس زکیه برای تو نامه ای فرستاده است ؟</w:t>
      </w:r>
    </w:p>
    <w:p>
      <w:pPr>
        <w:pStyle w:val="BookText"/>
        <w:rPr/>
      </w:pPr>
      <w:r>
        <w:rPr>
          <w:rFonts w:ascii="IRNazanin" w:hAnsi="IRNazanin" w:eastAsia="IRNazanin"/>
          <w:color w:val="111111"/>
          <w:sz w:val="28"/>
          <w:sz w:val="28"/>
          <w:szCs w:val="28"/>
          <w:rtl w:val="true"/>
          <w:lang w:bidi="fa-IR"/>
        </w:rPr>
        <w:t xml:space="preserve">عمرو در جواب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مشابه کتاب او برایم آمده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جوابی دادی ؟ عمرو می گوید تو می دانی که در نظر و اعتقاد ما قیام هنگامی است که تو با ما مخالف باشی </w:t>
      </w:r>
    </w:p>
    <w:p>
      <w:pPr>
        <w:pStyle w:val="BookText"/>
        <w:rPr/>
      </w:pPr>
      <w:r>
        <w:rPr>
          <w:rFonts w:ascii="IRNazanin" w:hAnsi="IRNazanin" w:eastAsia="IRNazanin"/>
          <w:color w:val="111111"/>
          <w:sz w:val="28"/>
          <w:sz w:val="28"/>
          <w:szCs w:val="28"/>
          <w:rtl w:val="true"/>
          <w:lang w:bidi="fa-IR"/>
        </w:rPr>
        <w:t xml:space="preserve">در حالی که امروز این 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سوگند 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درخواست منصور را انجام می دهد و منصور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والله انت الصادق البر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این در حالی است که در قیام نفس زکیه و ابراهیم ، معتزلیان زیادی مشارکت داشته و بسیاری کشته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 گزارش اعلام همسانی و هماهنگی اعتقادی و کلامی رأس معتزله با منصور است و از این شواهد تاریخی است که می توان گرایش به توسعه کلام را در دوران منصور استنباط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ابوحنیفه ، با اینکه شخص ابوحنیفه نقش جدی در حمایت از قیام حسنیان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اما منصور سعی می کند تا به وسیله جذب او ، جوّ غیر شیعیان کوفه و سایر مرجئه که به طور عام از وی تأثیر پذیرفته بودند ، را مدیریت و کنترل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شخص ابوحنیفه مقام قضاوت پیشنهادی خلیفه را رد می کند اما آن سان که در منابع آمده است منصور و عباسیان بعد از او بیشتر از پیروان و شاگردان ابوحنیفه در اجرای حاکمیت خویش بهره برده اند و فقط برخی از مناطق به پیشنهاد بومیان و براساس مصالح مهم تری امثال این قاضیان عزل شده اند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این که در آن زمان اولین منتخب برای قضاوت در مصر یک حنفی مذهب می باشد ؛ به این معنا می تواند تلقی شود که طرح قیاس و توسعه فقهِ استوار شده بر قیاس ، مورد استقبال منصور قرار گرفته است و می خواهد به نحو غیر مستقیم برای تحت شعاع قرار دادن نهضت علمی امام صادق عَلیهِ السَّلام با سازماندهی کانون های علم جایگزین می خواهد منهج شیعیان را در عراق تضعیف و متوقف کند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ابوحنیفه شخصاً برخلاف مالک ابن انس هدایا و عطایا و مناصب و پیشنهاد های منصور را نپذیرفت و رد کرد و در زندان عباسیان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ایجاد یک مذهب فقهی و تولید انحرافات و تربیت نیروهایی نظیر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اوزاعی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ای را از مرجعیت علمی اهل بیت دور کرد و بیشترین خدمت را به دستگاه منصور دوانقی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ابوحنیفه با منصور آن گونه بود که در مراسم افتتاح شهر بغداد </w:t>
      </w:r>
      <w:bookmarkStart w:id="122" w:name="pg9221_92137"/>
    </w:p>
    <w:p>
      <w:pPr>
        <w:pStyle w:val="BookText"/>
        <w:rPr/>
      </w:pPr>
      <w:bookmarkEnd w:id="122"/>
      <w:r>
        <w:rPr>
          <w:rFonts w:ascii="IRNazanin" w:hAnsi="IRNazanin" w:eastAsia="IRNazanin"/>
          <w:color w:val="111111"/>
          <w:sz w:val="28"/>
          <w:sz w:val="28"/>
          <w:szCs w:val="28"/>
          <w:rtl w:val="true"/>
          <w:lang w:bidi="fa-IR"/>
        </w:rPr>
        <w:t xml:space="preserve">ابوحنیفه دعوت بود و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پس از فوت وی هم اهل بغداد و هم منصور به بزرگداشت ابوحنیفه می پردازند و در دوره های بعدی اکثر اهالی بغداد به مذهب وی گرایش می یابند </w:t>
      </w:r>
      <w:r>
        <w:rPr>
          <w:rFonts w:eastAsia="IRNazanin" w:cs="IRNazanin"/>
          <w:color w:val="111111"/>
          <w:sz w:val="28"/>
          <w:szCs w:val="28"/>
          <w:rtl w:val="true"/>
          <w:lang w:bidi="fa-IR"/>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بِأمَرائِهِمْ أَشْبَهُ مِنْهُمْ بِآبائِهِمْ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3"/>
        <w:numPr>
          <w:ilvl w:val="2"/>
          <w:numId w:val="1"/>
        </w:numPr>
        <w:rPr/>
      </w:pPr>
      <w:bookmarkStart w:id="123" w:name="__RefHeading___Toc4158840_2870459653"/>
      <w:bookmarkStart w:id="124" w:name="_Toc47"/>
      <w:bookmarkEnd w:id="123"/>
      <w:r>
        <w:rPr>
          <w:rtl w:val="true"/>
        </w:rPr>
        <w:t>غاوون و ثمود پرده برداری از باطن انحراف</w:t>
      </w:r>
      <w:bookmarkEnd w:id="124"/>
    </w:p>
    <w:p>
      <w:pPr>
        <w:pStyle w:val="BookText"/>
        <w:rPr/>
      </w:pPr>
      <w:r>
        <w:rPr>
          <w:rFonts w:ascii="IRNazanin" w:hAnsi="IRNazanin" w:eastAsia="IRNazanin"/>
          <w:color w:val="111111"/>
          <w:sz w:val="28"/>
          <w:sz w:val="28"/>
          <w:szCs w:val="28"/>
          <w:rtl w:val="true"/>
          <w:lang w:bidi="fa-IR"/>
        </w:rPr>
        <w:t xml:space="preserve">بنی عباس در روایات ائمه با القاب و عناوینی که حاکی از نکات و تعریض ها و کنایه های متعددی است ، ذکر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برخی از این اسامی محتوای بسیاری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عنوان مهمترین خلیفه عباسی المقلاص نامیده شده است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عرب به شتر لاغری که یک مرتبه در تابستان چاق می شود ، ناقه مقلاص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اشاره به کسی است که چیزی نبوده و سپس آشکار شده و یک مرتبه تغییر کرده و از او امور و چیزهایی ظاهر گشته ، حکایت دارد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یکی از مهمترین تعابیری که ائمه در خصوص خلفای عباسی با زبان تأویلات قرآنمطرح کرده اند و به نقش تمدنی ایشان مرتبط است ،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تمام سعی امام صادق عَلیهِ السَّلام این بود که شیعه نسبت به این پدیده مخرّب آگاه شود و آفت و آسیبی متوجه تشیع اعتقادی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فَكَبْكِبُوا فِيها هُم وَ الْغاوُونَ</w:t>
      </w:r>
      <w:r>
        <w:rPr>
          <w:rStyle w:val="FootnoteAnchor"/>
          <w:rtl w:val="true"/>
        </w:rPr>
        <w:footnoteReference w:id="80"/>
      </w:r>
      <w:r>
        <w:rPr>
          <w:rFonts w:ascii="IRNazanin" w:hAnsi="IRNazanin" w:eastAsia="IRNazanin"/>
          <w:color w:val="111111"/>
          <w:sz w:val="28"/>
          <w:sz w:val="28"/>
          <w:szCs w:val="28"/>
          <w:rtl w:val="true"/>
          <w:lang w:bidi="fa-IR"/>
        </w:rPr>
        <w:t xml:space="preserve">حضرت در حدیثی تغایر و تمایز بنی امیه و عباسیان را به صراحت آشکار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بَنُوأُمَيَّةَ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فُلَان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صادق عَلیهِ السَّلام در تعریف غاوون می فرماید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غاوون ، کسانی هستند که حق را شناختند ولی بر خلافش عمل کردند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ذیل آیه کذبت ثمود بطغواها از امام صادق عَلیهِ السَّلام نقل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گروهی از شیعیان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ثَمُودُ فَهَدَيْنَاهُمْ فَاسْتَحَبُّوا الْعَمَى عَلى الهُدَى فَأَخَذَتْهُمْ صَاعِقَةُ العَذَابِ</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 کوری عمدی را بر هدایتی که دریافت داشته اند ترجیح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منظور از صاعقه عذاب ، شمشیر حضرت مهدی عَجَّل الله تعالی فرجه الشَّریف می باشد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 همین تقارن با جبهه حق و تمایز نسبت به امویان مسأله اولین رویکرد کلامی عباسیان را حل می کند و برای نشان دادن نوع تشیع ایشان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الشُّعَراءُ يَتَّبِعُهُمُ الْغَاوُونَ</w:t>
      </w:r>
      <w:r>
        <w:rPr>
          <w:rFonts w:ascii="IRNazanin" w:hAnsi="IRNazanin" w:eastAsia="IRNazanin"/>
          <w:color w:val="111111"/>
          <w:sz w:val="28"/>
          <w:sz w:val="28"/>
          <w:szCs w:val="28"/>
          <w:rtl w:val="true"/>
          <w:lang w:bidi="fa-IR"/>
        </w:rPr>
        <w:t xml:space="preserve"> ؛ گمراهان از شاعران پیروی می کنند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نازل شده که دین خدا را تغییر می دهند و با امر الهی مخالفت می کنند آیا شما دیده اید که شخصی فقط از شاعری تبعیت کند پس منظور همان کسانی هستند که با رأی و هوای خودشان رویکرد اعتقادی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سازند و می سرایند و مردم را به تبعیت از آن وا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آیه بعد را تاکید بر</w:t>
      </w:r>
    </w:p>
    <w:p>
      <w:pPr>
        <w:pStyle w:val="BookText"/>
        <w:rPr/>
      </w:pPr>
      <w:r>
        <w:rPr>
          <w:rFonts w:ascii="IRNazanin" w:hAnsi="IRNazanin" w:eastAsia="IRNazanin"/>
          <w:color w:val="111111"/>
          <w:sz w:val="28"/>
          <w:sz w:val="28"/>
          <w:szCs w:val="28"/>
          <w:rtl w:val="true"/>
          <w:lang w:bidi="fa-IR"/>
        </w:rPr>
        <w:t xml:space="preserve">همین نکته می شمارد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أَنَّهُمْ فِي كُلِّ وادٍ يَهِيمُونَ</w:t>
      </w:r>
      <w:r>
        <w:rPr>
          <w:rFonts w:ascii="IRNazanin" w:hAnsi="IRNazanin" w:eastAsia="IRNazanin"/>
          <w:color w:val="111111"/>
          <w:sz w:val="28"/>
          <w:sz w:val="28"/>
          <w:szCs w:val="28"/>
          <w:rtl w:val="true"/>
          <w:lang w:bidi="fa-IR"/>
        </w:rPr>
        <w:t xml:space="preserve"> يَعْنِي يُنَاظِرُونَ بِالْأَبَاطِيلِ وَ يُجَادِلُونَ بِالْحُجَجِ الْمُضِلَّةِ وَ فِى كُلِّ مَذْهَبٍ يَذْهَبُون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فراز را بتوان به تلاش اولیه عباسیان در نهضت ترجمه مربوط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حکومتی نخستین در عهد عباسیان در ابتدا توضیح دهنده شیوه مناظرات و آموزش جدل به سبک و با ادبیاتی متفاوت بود این تفاوت حاوی نوعی جذابیت بود و علاوه بر جذابیت فرهنگ بیگانه یونانی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گمراهی را برای نسلی که از ائمه گسسته بودند ، تدارک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ایجاد یک منبع علم جدید بود که با ترجمه محقق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زمینه تغییر مدام رویکرد کلامی بنی عباس را فراهم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عباسیان به هر مسلک و مرامی که منافع سیاسی بیشتری را تأمین می کرد ، میسر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امام با توضيح آيه بعد </w:t>
      </w:r>
      <w:r>
        <w:rPr>
          <w:rFonts w:ascii="Amiri" w:hAnsi="Amiri" w:eastAsia="Amiri" w:cs="Amiri"/>
          <w:color w:val="111111"/>
          <w:sz w:val="28"/>
          <w:sz w:val="28"/>
          <w:szCs w:val="28"/>
          <w:rtl w:val="true"/>
          <w:lang w:bidi="ar-SA"/>
        </w:rPr>
        <w:t>وَ أَنَّهُمْ يَقُولُونَ ما لا يَفْعَلُونَ</w:t>
      </w:r>
      <w:r>
        <w:rPr>
          <w:rFonts w:ascii="IRNazanin" w:hAnsi="IRNazanin" w:eastAsia="IRNazanin"/>
          <w:color w:val="111111"/>
          <w:sz w:val="28"/>
          <w:sz w:val="28"/>
          <w:szCs w:val="28"/>
          <w:rtl w:val="true"/>
          <w:lang w:bidi="fa-IR"/>
        </w:rPr>
        <w:t xml:space="preserve"> از شیوه و منهج عملی بنی عباس و کسانی که به مثابه عباسیان گفتمانی نظیر ایشان داشته و یا خواهند داشت ، پرده برداری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w:t>
      </w:r>
      <w:bookmarkStart w:id="125" w:name="pg9221_92139"/>
    </w:p>
    <w:p>
      <w:pPr>
        <w:pStyle w:val="BookText"/>
        <w:rPr/>
      </w:pPr>
      <w:bookmarkEnd w:id="125"/>
      <w:r>
        <w:rPr>
          <w:rFonts w:ascii="IRNazanin" w:hAnsi="IRNazanin" w:eastAsia="IRNazanin"/>
          <w:color w:val="111111"/>
          <w:sz w:val="28"/>
          <w:sz w:val="28"/>
          <w:szCs w:val="28"/>
          <w:rtl w:val="true"/>
          <w:lang w:bidi="fa-IR"/>
        </w:rPr>
        <w:t xml:space="preserve">آنها کسانی هستند که مردم را موعظه می کنند اما خود وعظ نمی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می کنند اما خود منکرات را ترک نمی کنند امر به معروف می کنند اما خود به خوبی ها عمل نمی کنند و در یک جمله آنان غاصبان حق آل محمد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روح و اصل کاری که منصور و سایر خلفاء عباسی انجام دادند ، یعنی تغییر رویکرد کلامی که نتیجه آن بدعت در دین و عقاید بود را با بیانی مشابه باز هم ذیل کلیدواژه غاوون توصیف می کند ؛</w:t>
      </w:r>
    </w:p>
    <w:p>
      <w:pPr>
        <w:pStyle w:val="BookText"/>
        <w:rPr/>
      </w:pPr>
      <w:r>
        <w:rPr>
          <w:rFonts w:ascii="IRNazanin" w:hAnsi="IRNazanin" w:eastAsia="IRNazanin"/>
          <w:color w:val="111111"/>
          <w:sz w:val="28"/>
          <w:sz w:val="28"/>
          <w:szCs w:val="28"/>
          <w:rtl w:val="true"/>
          <w:lang w:bidi="fa-IR"/>
        </w:rPr>
        <w:t xml:space="preserve">آنان گروهی اند که ، بدون علم ، به تعلم و تفقّه پرداختند ، پس گمراه شدند و دیگران را گمراه کردند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نمونه این احادیث حتی در میان روایات علائم ظهور امام مهدی عَلیهِ السَّلام نیز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استفاده از مطلق واژه القوم ، عباسیان را مورد اشاره قرار داده اند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زوال منهج و رویکرد خاصِ عباسیان یا اصل حاکمیت شان از حوادث مطرح در آستانه قیام امام مهدی عَلیهِ السَّلام دانسته شده است </w:t>
      </w:r>
      <w:r>
        <w:rPr>
          <w:rFonts w:eastAsia="IRNazanin" w:cs="IRNazanin"/>
          <w:color w:val="111111"/>
          <w:sz w:val="28"/>
          <w:szCs w:val="28"/>
          <w:rtl w:val="true"/>
          <w:lang w:bidi="fa-IR"/>
        </w:rPr>
        <w:t>.</w:t>
      </w:r>
    </w:p>
    <w:p>
      <w:pPr>
        <w:pStyle w:val="Heading3"/>
        <w:numPr>
          <w:ilvl w:val="2"/>
          <w:numId w:val="1"/>
        </w:numPr>
        <w:rPr/>
      </w:pPr>
      <w:bookmarkStart w:id="126" w:name="__RefHeading___Toc4158842_2870459653"/>
      <w:bookmarkStart w:id="127" w:name="_Toc48"/>
      <w:bookmarkEnd w:id="126"/>
      <w:r>
        <w:rPr>
          <w:rtl w:val="true"/>
        </w:rPr>
        <w:t>تأسیس بغداد زمینه سازی نهضت ترجمه</w:t>
      </w:r>
      <w:bookmarkEnd w:id="12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از ابتدا در جستجوی پایتختی غیر از حوالی کوفه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نخستین خلیفه عباسی از کوفه به انبار تغییر مکان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در نزدیک کوفه در هاشمیه مستقر شدند ولی منصور دریافت که کوفه و حومه آن با جمعیتی که اندیشه وصایت امام علی و تشیع در آن غلبه دارد تأثیر نامطلوبی بر ارتش بنی عباس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راوندیه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منصور نشان داد که مکان هاشمیه و شرایط آن حتی از ناحیه فدائیان سابق خودشان ، نیز آسیب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مهم ترین اقدامات مذهبی و کلامی منصور عباسی تصمیم وی برای تأسیس شهری نو به عنوان مرکز خلافت اسلامی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بار بود که مخصوص خلافت زمامداری شهری از ابتدا ساخته می شد تا پیش از آن انتقال مرکز حکومت امری تجربه </w:t>
      </w:r>
    </w:p>
    <w:p>
      <w:pPr>
        <w:pStyle w:val="BookText"/>
        <w:rPr/>
      </w:pP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منصور دریافت که به لحاظ سیاست و مشکلی که او در چرخش اعتقادی خود و وابستگانش از تشیع یافته بود ، هیچ شهری از سرزمین های اسلامی قوام بخش آنان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دعوت الرضا من آل محمد در هر شهری مخاطبانی یافته و عده ای نیز به حسب شرایط همراهی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عباسیان آن انقلاب و دعوت اکنون به مرحله ای رسیده که باید از مرحله تحریک هیجانات و حالت جنبش و انقلاب گذر کرد و وارد در مرحله ثبات و اقتدار و سازماندهی اجرایی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ادعای حسنیان و قیام علویان و جنگ ها و انتقام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فراموشی و کم رنگ شدن آن شعار منافع عباسیان تأمین می گردید و مرحله ثبات و اقتدار سیاسی و سازماندهی اجرایی آغاز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نمی توانست مرکز خلافت را به شام و یا حجاز و یا خراسان منتقل کند و در عراق شهری را جز کوفه در مرکز جهان اسلام نمی یافت و از آنجا که این شهر بستری شیعی یافته و با سیاست چرخش اعتقادی عباسیان ناسازگار بود ، زمینه انواع مخالف ها را در درون خود داشت بنابراین منصور با یک انتخاب و تصمیم استراتژیک روبه رو شد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تکمیل فرآیند چرخش مذهبی بنی عباس به دنبال محلی سوق الجیشی برآمد و پس از مشاوره گرفتن از منجمان و متخصصان با توجه به ملاحظات نظامی و اقتصادی و اقلیمی محل بغداد 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در دشتی حاصل خیز واقع بود که در آنجا کشت و زرع در دو سوی رودخانه رونق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خراسان و محل تلاقی راه کاروان ها بود به طوری که در آنجا آذوقه برای مردم و ارتش به وفور به دست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بغداد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شد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بغداد نقل مکان کرد و پیش از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شهر که حالت مدور داشت ، به پایان رسید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او با تأسیس بغداد به دنبال ایجاد یک اقتدار تمدنی برای نهضت عباسیان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در مرحله ثبات و سازماندهی اجرایی شهر جدیدی در عراق با رویکرد کلامی جدیدش شکل بگیرد تا ظرفیت تمدن سازی کوفه فراموش شود و برای همیشه مشکل کوفه و شیعه را حل کرده باشد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شاید از این روی بغداد را به مدینه السلام شهر صلح ملقب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ایجاد اقتدار تمدنی بدون الگو و فرهنگ قبلی میسر نیست منصور تغییر کلامی و چرخش مذهبی خود را به انتخاب الگوی تمدنی ایران ساسانی جهت زمامداری پیوند می زند تا ساختار و کانونِ جایگزینی برای فرهنگ و علم در اختیار عباسیان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راستا به نجوم و اخترشناسی ایرانی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در دوران قیام در زندان امویان با نوبخت آشنا شده بود و از مصاحبت با او به علم نجوم و اخترشناسی ایرانی گرایش یافت و در دوران خلافت در مقایسه با سایر الگوها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تمدن رومی ، مصری ،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ساسانی را انتخاب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وی رساندن عباسیان و بغداد به اقتدار تمدنی بود که منجمان ایرانی طراح و راوی 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بسیار مهمی که غالباً مغفول واقع می شود این است که در توصیف منجمان ایرانی و زرتشتیان ساسانی هر کتاب یونانی بنا به توصیف ادعایی ایرانیان باستان ، بخشی از شریعت زرتشتی است ، که غارت ایران توسط اسکندر موجب شده که این کتاب ها در میان یونانیان شناخته شوند و لذا ترجمه و مطالعه آنها به معنای بازیافت دانش و معرفت باستانی ایرانی شمرده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برخی صاحب نظران این خط فکری تا زمان سهرودی امتداد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نیز چنین گزارشی را انعکاس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ایرانیان بر شیوه ای بودند که به علوم عقلی اهمیتی عظیم می دادند و دایره آن علوم در کشور ایشان توسعه یافته بود زیرا دولت های ایشان در منتهای عظمت و پهناوری بودند و هم گویند که این علوم پس از آن که اسکندر ؛ دارا را کشت و بر کشور کیانیان غلبه یافت از ایرانیان به یونانیان رسیده است چه اسکندر بر کتب و علوم بی شمار و بی حد و حصری از ایشان دست یافت </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تاریخ تمدن اذعان دارند که آنچه در ایدئولوژی زرتشتی شاهان ساسانی نقش عنصر غیرقابل چشم پوشی را دارد و در واقع نقش خطیر و حیاتی ایفا می کند فرهنگ ترجمه است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بنابراین از نتایج همکاری منصور با مشاوران ایرانی روی آوردن به دانش های غیراسلامی و ایجاد نهضت ترجمه آثارشان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کتاب اقلیدس </w:t>
      </w:r>
    </w:p>
    <w:p>
      <w:pPr>
        <w:pStyle w:val="BookText"/>
        <w:rPr/>
      </w:pPr>
      <w:r>
        <w:rPr>
          <w:rFonts w:ascii="IRNazanin" w:hAnsi="IRNazanin" w:eastAsia="IRNazanin"/>
          <w:color w:val="111111"/>
          <w:sz w:val="28"/>
          <w:sz w:val="28"/>
          <w:szCs w:val="28"/>
          <w:rtl w:val="true"/>
          <w:lang w:bidi="fa-IR"/>
        </w:rPr>
        <w:t xml:space="preserve">اولین کتاب ترجمه شده در روزگار منصور بوده است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بدین ترتیب از جمله بناهایی که به سبک ساسانیان در دربار عباسیان شکل می گیرد فضایی موسوم به بیت الحکمه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کتابخانه جامع کاخ خلافت بوده و در نقش خزانه و بایگانی مکتوبات سلطنتی نیز کاربرد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گزارش ها آمده که ابوسهل ابن نوبخت به منظور ترجمه کتب فارسی در استخدام بیت الحکمه بوده است و همچنین منصور برای فرهنگ سازی جدید خود به محمد ابن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تدوین کتابی درباره تاریخ جهان و تاریخ عرب می دهد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پس پیروزی بنی عباس مدیون سیاست شمول گرایانه آن ها در برابر سیاست تنگ نظرانه و نژاد پرستانه امویان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امویان که از اسلام تصویری در قالب ارزش های قومی و نژادی عرب عرضه می کردند ، عباسیان در آغاز مروّج تفسیری از اسلام بودند که نظم سیاسی و اجتماعی و اقتصادی جدیدی را در سایه مشارکت اقوام و ملل و حتی آیین های مختلف نوید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 پارادایم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سبک اموی به سبک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خلافت متوکل هیچ گاه به تدوین نوعی رهیافت رسمی از اسلام خلفا منتهی نگشت و چون مکتبی به نام اهل سنت و جماعت تدوین نشده بود و وجود نداشت ، این تغییر تنها نشان می داد که سبک امویان پایان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همه اقوام غیر عرب و به ویژه ایرانیان و موالی در سطوح بالای اجرایی دستگاه خلافت ، معاشرت با پیروان سایر ادیان و مهم تر از همه نهضت ترجمه از این جهت نتیجه تغییر رویکرد کلامی عباسیان شمرده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اهداف عباسیان در چرخش مذهبی شان کسب هواداران 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فرافکنی فرهنگی ، اجتماعی ذهن ها را از تشیعِ سابق خود منصرف می نمودند و بی طرفی را به مثابه ابزاری نمایشی به کار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عباسیان مایل بودند با شهرت در ترجمه آثار بیگانگان و عدمِ انتساب به یک جریان خاص اعتقادی ، شمول گرا بودن و بی طرفی نژادی خویش را که عامل پیروزی و اقتدارشان شده بود ، به نمایش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ترجمه مکتوبات سایر فرهنگ ها و رواج مجادلات کلامی و رواج مذاهب فقهی و تفسیری و روایی از آثار همین ژست سیاسی و حالت اجتماعی عباسیان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نهضت ترجمه بعدِ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سیاسی و نمایشی خاصی برای عباسیان و تابعان 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سوی میدان ، </w:t>
      </w:r>
      <w:bookmarkStart w:id="128" w:name="pg9221_92143"/>
    </w:p>
    <w:p>
      <w:pPr>
        <w:pStyle w:val="BookText"/>
        <w:rPr/>
      </w:pPr>
      <w:bookmarkEnd w:id="128"/>
      <w:r>
        <w:rPr>
          <w:rFonts w:ascii="IRNazanin" w:hAnsi="IRNazanin" w:eastAsia="IRNazanin"/>
          <w:color w:val="111111"/>
          <w:sz w:val="28"/>
          <w:sz w:val="28"/>
          <w:szCs w:val="28"/>
          <w:rtl w:val="true"/>
          <w:lang w:bidi="fa-IR"/>
        </w:rPr>
        <w:t xml:space="preserve">ائمه با این که با این سبک از فرافکنی فرهنگی مخالف اند اما به مصاف اصل ترجمه نمی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گسترش علم صحیح </w:t>
      </w:r>
      <w:r>
        <w:rPr>
          <w:rStyle w:val="FootnoteAnchor"/>
          <w:rtl w:val="true"/>
        </w:rPr>
        <w:footnoteReference w:id="94"/>
      </w:r>
      <w:r>
        <w:rPr>
          <w:rFonts w:ascii="IRNazanin" w:hAnsi="IRNazanin" w:eastAsia="IRNazanin"/>
          <w:color w:val="111111"/>
          <w:sz w:val="28"/>
          <w:sz w:val="28"/>
          <w:szCs w:val="28"/>
          <w:rtl w:val="true"/>
          <w:lang w:bidi="fa-IR"/>
        </w:rPr>
        <w:t xml:space="preserve">و تربیت شاگردان سعی در حفظ استقلال فرهنگی شیعیان دارند و دائماً متذکر این مطلبند که این بی طرفی نژادی بنی عباس پایدار نخواهد بود و بعضاً با مواضع شان اثبات می کنند که این شمول گرایی عباسیان نیز خیرخواهانه نیست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طبق برخی از میراث های مکتوب اسماعیلی </w:t>
      </w:r>
      <w:r>
        <w:rPr>
          <w:rStyle w:val="FootnoteAnchor"/>
          <w:rtl w:val="true"/>
        </w:rPr>
        <w:footnoteReference w:id="96"/>
      </w:r>
      <w:r>
        <w:rPr>
          <w:rFonts w:ascii="IRNazanin" w:hAnsi="IRNazanin" w:eastAsia="IRNazanin"/>
          <w:color w:val="111111"/>
          <w:sz w:val="28"/>
          <w:sz w:val="28"/>
          <w:szCs w:val="28"/>
          <w:rtl w:val="true"/>
          <w:lang w:bidi="fa-IR"/>
        </w:rPr>
        <w:t xml:space="preserve">از نحوه برخورد امام صادق عَلیهِ السَّلام با فردی که به آثار ترجمه شده مشغول شده ، فهمیده می شود که امام با این که آن مطلب خاص را می ستاید ولی آن را حق مطلق ندانسته و گامی فراتر برمی دارد و در ادامه امام به بیان حقایقی در این عرصه می پردازد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این شیوه نه تنها تعقل و استنباط و قدرت تحلیل مخاطب تخریب نمی شود بلکه امام با تصحیح و تبیین آن مطلب ، به حقایق قرآنی ارجاع داده و احتیاج به امام و حجت معصوم را در همه زمان ها و مهيمن بودن قرآن را بر همه فرهنگ ها ، نمایان می کند </w:t>
      </w:r>
      <w:r>
        <w:rPr>
          <w:rFonts w:eastAsia="IRNazanin" w:cs="IRNazanin"/>
          <w:color w:val="111111"/>
          <w:sz w:val="28"/>
          <w:szCs w:val="28"/>
          <w:rtl w:val="true"/>
          <w:lang w:bidi="fa-IR"/>
        </w:rPr>
        <w:t>.</w:t>
      </w:r>
    </w:p>
    <w:p>
      <w:pPr>
        <w:pStyle w:val="Heading2"/>
        <w:numPr>
          <w:ilvl w:val="1"/>
          <w:numId w:val="1"/>
        </w:numPr>
        <w:rPr/>
      </w:pPr>
      <w:bookmarkStart w:id="129" w:name="__RefHeading___Toc4158844_2870459653"/>
      <w:bookmarkStart w:id="130" w:name="_Toc49"/>
      <w:bookmarkEnd w:id="129"/>
      <w:r>
        <w:rPr>
          <w:rtl w:val="true"/>
        </w:rPr>
        <w:t>جمع بندی</w:t>
      </w:r>
      <w:bookmarkEnd w:id="1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می بینیم ائمه شیعه در این میدان نیز راهبرد حکیمانه ای را برای صیانت از استغنای معارف و باورهای دینی اتخاذ کرده اند ، اما چه شده است که با وجود چنین تاریخ و تجربه تلخی باز هم گروهی نسبت به محصولات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آموزه های سقیفه و فرق صوفیانه و فرهنگ یونانی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خودباختگی و دلدادگی نموده و بعضاً همانند عباسیان عمل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انحراف خطرناکی یکبار از درون شیعه برای آینده شیعه به وجود آمده و البته اتخاذ و ترجیح و فراگیری منهج عباسیان قابل تکرار است و از این جهت به خاطر انذار و عبرت ، در حدیثی تأویل معنای قوم ثمود را امام صادق عَلیهِ السَّلام گروهی از شیعیان می شمارد که پس از هدایت شدن ، کوری را عمداً بر هدایت ترجیح می دهند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بسیار محتمل است که این موضوع همان گفتمانی باشد </w:t>
      </w:r>
      <w:bookmarkStart w:id="131" w:name="pg9221_92144"/>
    </w:p>
    <w:p>
      <w:pPr>
        <w:pStyle w:val="BookText"/>
        <w:rPr/>
      </w:pPr>
      <w:bookmarkEnd w:id="131"/>
      <w:r>
        <w:rPr>
          <w:rFonts w:ascii="IRNazanin" w:hAnsi="IRNazanin" w:eastAsia="IRNazanin"/>
          <w:color w:val="111111"/>
          <w:sz w:val="28"/>
          <w:sz w:val="28"/>
          <w:szCs w:val="28"/>
          <w:rtl w:val="true"/>
          <w:lang w:bidi="fa-IR"/>
        </w:rPr>
        <w:t xml:space="preserve">که باز تولید و رواج آن در نزدیکی ظهور مهدی امت در منابع آخرالزمانی وعده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حراست از عقاید و استقلال هویتی تشیع و اختصاصات مکتبی شیعه برایمصون ماندن از این ابتلای بزرگ اهمیت فوق العاده 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عدم مراجعه علمی به خاندان وحی و شتاب زدگی و نفوذ دشمنان در میان شیعیان و عدم تفقه هنوز خسارت های بزرگی را ایجاد کرده و تداوم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معلوم است که چگونه این تقابل معیوب از طرف عامه نسبت به شیعه ادامه یافته است ؟ و چرا شیعیان نتوانسته اند محاسن مرجعیت علمی ائمه اهل بیت و امامت انحصاری شان را عملاً در بسیاری از ابعاد مطرح کنند ؟ متأسفانه در میان خاصه نیز سبک بنی عباس در مواجهه با بسیاری از مسایل از جمله فلسفه و تصوف رواج دارد و با دسیسه هایی هنوز مطرود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واقعه ای که در عصر عباسیان رخ داده ، امری را نهادینه کرده که مانع رفع و اصلاح این تقابل معیوب می شود </w:t>
      </w:r>
      <w:r>
        <w:rPr>
          <w:rFonts w:eastAsia="IRNazanin" w:cs="IRNazanin"/>
          <w:color w:val="111111"/>
          <w:sz w:val="28"/>
          <w:szCs w:val="28"/>
          <w:rtl w:val="true"/>
          <w:lang w:bidi="fa-IR"/>
        </w:rPr>
        <w:t>.</w:t>
      </w:r>
    </w:p>
    <w:p>
      <w:pPr>
        <w:pStyle w:val="Heading2"/>
        <w:numPr>
          <w:ilvl w:val="1"/>
          <w:numId w:val="1"/>
        </w:numPr>
        <w:rPr/>
      </w:pPr>
      <w:bookmarkStart w:id="132" w:name="__RefHeading___Toc4158846_2870459653"/>
      <w:bookmarkStart w:id="133" w:name="_Toc50"/>
      <w:bookmarkEnd w:id="132"/>
      <w:r>
        <w:rPr>
          <w:rtl w:val="true"/>
        </w:rPr>
        <w:t>فهرست منابع</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 تاریخ ابن خلدون ، دارالفکر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تاریخ ابن خلدون ، ترجمه محمد پروین گنابادی ،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علمی و فرهنگی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 طبقات الکبری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 تحف العقول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 الامامة والسياسة ، تحقيق على شيرى ، قم ، الشريف الرضى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 مقاتل الطالبیین ، تصحیح احمد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 محمد ، تاریخ المذاهب اسلامیه ، بیروت ، دار الفكر العربی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 علی بن عیسی ، کشف الغمه فی معرفه الائمه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 ابوالحسن ، مقالات الاسلاميين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المصلين ، تصحیح هلموت ریتر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ويسبادن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فرانتزاشتاینر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 سیدهاشم ، البرهان في تفسير القرآن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بعثت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 خطیب ، تاریخ ، بغداد ، بیروت ، دارالکتب العلميه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بیرونی ، ابوریحان محمد ، آثار الباقیه عن القرون الخاليه ، ترجمه اکبر دانا سرشت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 احمد ، جوامع حدیثی اهل سنت ، جلد اول ، تهران ، دانشگاه امام صادق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 ابن فهد ، عده الداعی ، قم ، دار الکتب الاسلامی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 اسد ، امام صادق عَلیهِ السَّلام و مذاهب اهل سنت ،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دانشگاه ادیان و مذاهب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 شمس الدین محمدبن احمد ، سیر اعلام النبلاء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 عبدالرحمن بن ابی بکر ، تاریخ الخلفا ، بیروت ، المكتبه العصريه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 قاضی نورالله ، مجالس المؤمنین ، مشهد ، بنیاد پژوهشهای اسلامی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ابن بابویه ، محمد بن علی ، عیون الاخبار الرضا ، تهران ، نشر جهان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 محمدبن جریر ، تاریخ طبری ، ترجمه ابوالقاسم پاینده ، تهران ، اساطیر ، چ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 تاريخ الامم و الملوک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احمد ، عبدالحسين ، موقف الخلفاء العباسيين من ائمه اهل السنه الاربعة ، دوحه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قطری بن الفجاه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الفاطمی النجفی ، عبدالامیر ، الاسرار ، قم ، بیروت ، دار الحق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فخار بن معد ، الموسوی ، ایمان ابو طالب ، قم ، دارالسیدالشهدا للنشر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 علی بن ابراهیم ، تفسیر القمی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 کنز الفرائد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 محمد بن عمر ، رجال کشی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دانشگاه مشهد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 محمد بن یعقوب ، الکافی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الاسلاميه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اهوازی ، حسین بن سعيد ، الزهد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العلميه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گوتاس ، دیمیتری ، اندیشه یونانی فرهنگ اسلامی ، ترجمه عبدالرضا سالار بهزادی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 روز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 محمد باقر ، بحار الأنوار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الحياء التراث العربی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مددی ، سیداحمد موسوی ، نگاهی به دریا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کتاب شناسی شیعه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 حمیدرضا ، مجموعه مقالات همایش سیره و زمانه امام جواد عَلیهِ السَّلام ، قم انجمن تاریخ پژوهان حوزه علمیه قم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مفيد ، محمد بن محمد بن نعمان ، الإرشاد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 احمد بن علی ، الخطط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مدبولی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نعماني ، محمد بن ابراهيم ، الغيبة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صدوق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 حسن بن موسي ، فرق الشیعه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 احمد بن ابی یعقوب ، تاریخ یعقوبی ، بیر </w:t>
      </w:r>
      <w:r>
        <w:rPr>
          <w:rFonts w:eastAsia="IRNazanin" w:cs="IRNazanin"/>
          <w:color w:val="111111"/>
          <w:sz w:val="28"/>
          <w:szCs w:val="28"/>
          <w:rtl w:val="true"/>
          <w:lang w:bidi="fa-IR"/>
        </w:rPr>
        <w:t xml:space="preserve">. </w:t>
      </w:r>
      <w:bookmarkStart w:id="134" w:name="pg9221_92146"/>
    </w:p>
    <w:p>
      <w:pPr>
        <w:pStyle w:val="Heading2"/>
        <w:numPr>
          <w:ilvl w:val="1"/>
          <w:numId w:val="1"/>
        </w:numPr>
        <w:rPr/>
      </w:pPr>
      <w:bookmarkStart w:id="135" w:name="__RefHeading___Toc4158848_2870459653"/>
      <w:bookmarkStart w:id="136" w:name="_Toc51"/>
      <w:bookmarkEnd w:id="134"/>
      <w:bookmarkEnd w:id="135"/>
      <w:r>
        <w:rPr>
          <w:rtl w:val="true"/>
        </w:rPr>
        <w:t>آیت الله بروجردی و تعطیلی درس اسفار گزارش ها و تحریف ها</w:t>
      </w:r>
      <w:bookmarkEnd w:id="136"/>
    </w:p>
    <w:p>
      <w:pPr>
        <w:pStyle w:val="Heading3"/>
        <w:numPr>
          <w:ilvl w:val="2"/>
          <w:numId w:val="1"/>
        </w:numPr>
        <w:rPr/>
      </w:pPr>
      <w:bookmarkStart w:id="137" w:name="__RefHeading___Toc4158850_2870459653"/>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محمد مهدی سلمانپور</w:t>
      </w:r>
    </w:p>
    <w:p>
      <w:pPr>
        <w:pStyle w:val="Heading3"/>
        <w:numPr>
          <w:ilvl w:val="2"/>
          <w:numId w:val="1"/>
        </w:numPr>
        <w:rPr/>
      </w:pPr>
      <w:bookmarkStart w:id="139" w:name="__RefHeading___Toc4158852_2870459653"/>
      <w:bookmarkStart w:id="140" w:name="_Toc53"/>
      <w:bookmarkEnd w:id="139"/>
      <w:r>
        <w:rPr>
          <w:rtl w:val="true"/>
        </w:rPr>
        <w:t xml:space="preserve">چکیده </w:t>
      </w:r>
      <w:r>
        <w:rPr>
          <w:rtl w:val="true"/>
        </w:rPr>
        <w:t>:</w:t>
      </w:r>
      <w:bookmarkEnd w:id="140"/>
    </w:p>
    <w:p>
      <w:pPr>
        <w:pStyle w:val="BookText"/>
        <w:rPr/>
      </w:pPr>
      <w:r>
        <w:rPr>
          <w:rFonts w:ascii="IRNazanin" w:hAnsi="IRNazanin" w:eastAsia="IRNazanin"/>
          <w:color w:val="111111"/>
          <w:sz w:val="28"/>
          <w:sz w:val="28"/>
          <w:szCs w:val="28"/>
          <w:rtl w:val="true"/>
          <w:lang w:bidi="fa-IR"/>
        </w:rPr>
        <w:t xml:space="preserve">آیت الله العظمی بروجردی ، فقیهی کامل و جامع بود که در عین تبحر در علوم عقلی ، میانه ای با آن ، به خصوص فلسفه صدرایی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سال های عمر شریف ایشان ، دو برخورد تلخ بین ایشان و مرحوم علامه طباطبایی پیش آمد که به روشنی اوج مخالفت آن مرجع بزرگ را با برخی دیدگاه های فلسفی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برخورد که مقاله حاضر درباره آن نگاشته شده ، تعطیلی درس اسفار علامه طباطبایی به دستور آیت الله بروجردی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این واقعه به شکل متواتر در گزارش های متعددی از آثار شاگردان آن دو بزرگوار منعکس شده ، اما از تحریفات برخی دیگر از ایشان در امان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پیش رو ، پس از ذکر مقدماتی درباره آیت الله بروجردی و فلسفه ، با ذکر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شاگردان علامه طباطبایی ، به تحلیل آنها می پردازد و سپس دو گزارش را از آقایان سید محمدحسین لاله زاری طهرانی و سید جلال الدین آشتیانی که خلاف نقل های متواتر هستند بررسی می کند دو گزارشی که نشان می دهد شیفتگان فلسفه و عرفان ، چگونه در راه باورهای خود ، بی پروا اقدام به تحریف مسلمات تاریخ معاصر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 طباطبایی ، فلسفه ، اسفار ، ملاصدرا ، طهرانی ، آشتیانی </w:t>
      </w:r>
      <w:r>
        <w:rPr>
          <w:rFonts w:eastAsia="IRNazanin" w:cs="IRNazanin"/>
          <w:color w:val="111111"/>
          <w:sz w:val="28"/>
          <w:szCs w:val="28"/>
          <w:rtl w:val="true"/>
          <w:lang w:bidi="fa-IR"/>
        </w:rPr>
        <w:t>.</w:t>
      </w:r>
    </w:p>
    <w:p>
      <w:pPr>
        <w:pStyle w:val="Heading3"/>
        <w:numPr>
          <w:ilvl w:val="2"/>
          <w:numId w:val="1"/>
        </w:numPr>
        <w:rPr/>
      </w:pPr>
      <w:bookmarkStart w:id="141" w:name="__RefHeading___Toc4158854_2870459653"/>
      <w:bookmarkStart w:id="142" w:name="_Toc54"/>
      <w:bookmarkEnd w:id="141"/>
      <w:r>
        <w:rPr>
          <w:rtl w:val="true"/>
        </w:rPr>
        <w:t>مقدمه</w:t>
      </w:r>
      <w:bookmarkEnd w:id="142"/>
    </w:p>
    <w:p>
      <w:pPr>
        <w:pStyle w:val="Heading4"/>
        <w:numPr>
          <w:ilvl w:val="3"/>
          <w:numId w:val="1"/>
        </w:numPr>
        <w:rPr/>
      </w:pPr>
      <w:bookmarkStart w:id="143" w:name="__RefHeading___Toc4158856_2870459653"/>
      <w:bookmarkStart w:id="144" w:name="_Toc55"/>
      <w:bookmarkEnd w:id="143"/>
      <w:r>
        <w:rPr>
          <w:rtl w:val="true"/>
        </w:rPr>
        <w:t>اشاره</w:t>
      </w:r>
      <w:bookmarkEnd w:id="14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اسلام همواره نزاع عمیقی بین فیلسوفان و دیگر اصحاب فکر و اندیشه در جامعه اسلامی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آثار یاران ائمه طاهرین عَلیهِم السَّلام ، رد و نقض بر فلاسفه پرشمار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بزرگواران همچون هشام بن حکم ، بر همین اساس حتی مورد غضب ظالمان واقع شده و در معرض قتل و آسیب قرار گرفته اند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اختلاف ، پس از عصر حضور امامان نیز همچنان سایه خود را محفوظ داشته است و حتی در مواردی بسیار ، فیلسوفان که از دید فقیهان منکر ضروریات به شمار می آمدند ، تکفیر نیز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اعظم انصاری این امر را سیره مستمره اصحاب قلمداد کرده است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فلسفه دانان ، خود نیز به نزاع اکثر جامعه با فیلسوفان تصریح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یکی از اساتید بزرگ فلسفه معاصر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هم مخالفت نمودند و اینها اکثریت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فقهاء و متکلمان و متشرعان و اخباریون و دیگران که تا آنجا که در توان داشتند مخالفت کردند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تاریخ فقه و فلسفه اسلامی آشنایی دارند به خوبی می دانند که بین فقهاء و فلاسفه هرگز صلح و آشتی برقرار نبوده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این نزاع دیرین تا عصر حاضر نیز همچون گذشته استمرار یافته و در مواردی نیز ژرف تر و چشمگیرتر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قاطعانه مرجع بزرگ معاصر ، حضرت آیت الله العظمی بروجردی با حضرت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 مهم آن در تاریخ معاصر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سی خورشیدی ، با فاصله ای نسبتا کوتاه دو برخورد تند بین مرجع بزرگ وقت حضرت آیت الله العظمی بروجردی و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هر دو برخورد ، مخالفت آیت الله بروجردی با عقائد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 جلوگیری آن بزرگوار از چاپ تعلیقات علامه طباطبائی بر مجلدات نخست بحارالانوار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تند علامه طباطبایی بر برخی نظرات علامه مجلسی ، که برخاسته از تفاوت مشرب فکری آن دو بود ، اعتراض عالمان حوزه های مقدسه علمیه را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که هتک حرمت علامه مجلسی را هرگز بر نمی تافت ، مانع از ادامه انتشار تعلیقات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آزردگی آن مرجع والا مقام از صاحب تعلیقات ، به حدی </w:t>
      </w:r>
    </w:p>
    <w:p>
      <w:pPr>
        <w:pStyle w:val="BookText"/>
        <w:rPr/>
      </w:pPr>
      <w:r>
        <w:rPr>
          <w:rFonts w:ascii="IRNazanin" w:hAnsi="IRNazanin" w:eastAsia="IRNazanin"/>
          <w:color w:val="111111"/>
          <w:sz w:val="28"/>
          <w:sz w:val="28"/>
          <w:szCs w:val="28"/>
          <w:rtl w:val="true"/>
          <w:lang w:bidi="fa-IR"/>
        </w:rPr>
        <w:t xml:space="preserve">رسید که پیغام داده بود فلانی در مجلدات بعدی اصول فلسفه و روش رئالیسم ، نام محمد حسین طباطبائی را طوری بنویسد که با حسین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حوزه مقدسه نجف و بزرگان آن همچون آیت الله العظمی شاهرودی ، آیت الله العظمی سید عبدالهادی شیرازی و علامه امینی </w:t>
      </w:r>
      <w:r>
        <w:rPr>
          <w:rStyle w:val="FootnoteAnchor"/>
          <w:rtl w:val="true"/>
        </w:rPr>
        <w:footnoteReference w:id="104"/>
      </w:r>
      <w:r>
        <w:rPr>
          <w:rFonts w:ascii="IRNazanin" w:hAnsi="IRNazanin" w:eastAsia="IRNazanin"/>
          <w:color w:val="111111"/>
          <w:sz w:val="28"/>
          <w:sz w:val="28"/>
          <w:szCs w:val="28"/>
          <w:rtl w:val="true"/>
          <w:lang w:bidi="fa-IR"/>
        </w:rPr>
        <w:t xml:space="preserve">نیز مواضع سختی در این میان اتخاذ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شاهرودی با صدور فتوایی چاپ تعلیقات علامه طباطبائی بر بحارالانوار را حرام اعلام نمود </w:t>
      </w:r>
      <w:r>
        <w:rPr>
          <w:rStyle w:val="FootnoteAnchor"/>
          <w:rtl w:val="true"/>
        </w:rPr>
        <w:footnoteReference w:id="105"/>
      </w:r>
      <w:r>
        <w:rPr>
          <w:rFonts w:ascii="IRNazanin" w:hAnsi="IRNazanin" w:eastAsia="IRNazanin"/>
          <w:color w:val="111111"/>
          <w:sz w:val="28"/>
          <w:sz w:val="28"/>
          <w:szCs w:val="28"/>
          <w:rtl w:val="true"/>
          <w:lang w:bidi="fa-IR"/>
        </w:rPr>
        <w:t xml:space="preserve">و گفته شده است که آقا سید عبدالهادی شیرازی طی اعلامیه ای که در قم پخش شد ، علامه را تقریباً تکفیر کرد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اساتید فلسفه و شاگردان علامه طباطبایی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کرباسچی ، تاریخ شفاهی انقلاب اسلامی ایران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مورد دوم ، برخورد آیت الله بروجردی با تدریس اسفار در حوزه مقدسه قم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 عین تبحر در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گفته می شد در فلسفه ، بعد از مرحوم سبزواری ، تا آن زمان ، کسی مانند مرحوم کمپانی و آیت الله بروجردی نیامده است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بسیاری دیگر از بزرگان اعتقادی به این اثر آمیخته به اوهام و کشفیات نداشت و تدریس آن را به دلایلی در حوزه وقت صلاح نمی دانست و علامه طباطبایی را از تدریس اسفار منع کرد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 در هر دوی این موارد ابتدا مقاومت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تعلیقات در پاسخ به عده ای که ایشان را توصیه به ملاحظه کرده بودند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نمی نویسم یا همین جور می نویسم</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درباره تدریس فلسفه نیز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نمی کنم هر چه بادآباد</w:t>
      </w:r>
      <w:r>
        <w:rPr>
          <w:rFonts w:eastAsia="IRNazanin" w:cs="IRNazanin"/>
          <w:color w:val="111111"/>
          <w:sz w:val="28"/>
          <w:szCs w:val="28"/>
          <w:rtl w:val="true"/>
          <w:lang w:bidi="fa-IR"/>
        </w:rPr>
        <w:t xml:space="preserve">» . </w:t>
      </w:r>
      <w:r>
        <w:rPr>
          <w:rStyle w:val="FootnoteAnchor"/>
          <w:rtl w:val="true"/>
        </w:rPr>
        <w:footnoteReference w:id="109"/>
      </w:r>
      <w:r>
        <w:rPr>
          <w:rFonts w:ascii="IRNazanin" w:hAnsi="IRNazanin" w:eastAsia="IRNazanin"/>
          <w:color w:val="111111"/>
          <w:sz w:val="28"/>
          <w:sz w:val="28"/>
          <w:szCs w:val="28"/>
          <w:rtl w:val="true"/>
          <w:lang w:bidi="fa-IR"/>
        </w:rPr>
        <w:t xml:space="preserve">پایان این نزاع اما به سود آن بزرگوار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پس از مدتی برای همیشه متوقف شد و تدریس اسفار نیز حداقل تا زمان رحلت آیت الله بروجردی ممنوع باقی ماند و تنها به شکل جلساتی خصوصی و با ایما و اشاره برگزار می شد </w:t>
      </w:r>
      <w:r>
        <w:rPr>
          <w:rFonts w:eastAsia="IRNazanin" w:cs="IRNazanin"/>
          <w:color w:val="111111"/>
          <w:sz w:val="28"/>
          <w:szCs w:val="28"/>
          <w:rtl w:val="true"/>
          <w:lang w:bidi="fa-IR"/>
        </w:rPr>
        <w:t xml:space="preserve">. </w:t>
      </w:r>
      <w:bookmarkStart w:id="145" w:name="pg9221_92149"/>
    </w:p>
    <w:p>
      <w:pPr>
        <w:pStyle w:val="BookText"/>
        <w:rPr/>
      </w:pPr>
      <w:bookmarkEnd w:id="145"/>
      <w:r>
        <w:rPr>
          <w:rFonts w:ascii="IRNazanin" w:hAnsi="IRNazanin" w:eastAsia="IRNazanin"/>
          <w:color w:val="111111"/>
          <w:sz w:val="28"/>
          <w:sz w:val="28"/>
          <w:szCs w:val="28"/>
          <w:rtl w:val="true"/>
          <w:lang w:bidi="fa-IR"/>
        </w:rPr>
        <w:t xml:space="preserve">این تعصب و غیرت دینی آیت الله بروجردی ، کام برخی از شیفتگان فلسفه و عرفان را تلخ کرده و ایشان را به واکنش هایی در تحریف این مسلمات تاریخ معاصر فقاهت شیعی واداشته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سخنان ناصواب افرادی چون دکتر محسن کدیور که عملکرد استاد فقهاء و مجتهدین و اصولی بزرگ حوزه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بقای اندیشه اخباری گری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 اند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به دلیل سبکی بیش از حد آن بگذریم ، واکنش دو چهره دیگر در این خصوص درخور توجه است </w:t>
      </w:r>
      <w:r>
        <w:rPr>
          <w:rFonts w:eastAsia="IRNazanin" w:cs="IRNazanin"/>
          <w:color w:val="111111"/>
          <w:sz w:val="28"/>
          <w:szCs w:val="28"/>
          <w:rtl w:val="true"/>
          <w:lang w:bidi="fa-IR"/>
        </w:rPr>
        <w:t>:</w:t>
      </w:r>
    </w:p>
    <w:p>
      <w:pPr>
        <w:pStyle w:val="Heading4"/>
        <w:numPr>
          <w:ilvl w:val="3"/>
          <w:numId w:val="1"/>
        </w:numPr>
        <w:rPr/>
      </w:pPr>
      <w:bookmarkStart w:id="146" w:name="__RefHeading___Toc4158858_2870459653"/>
      <w:bookmarkStart w:id="147" w:name="_Toc56"/>
      <w:bookmarkEnd w:id="146"/>
      <w:r>
        <w:rPr/>
        <w:t>1</w:t>
      </w:r>
      <w:r>
        <w:rPr>
          <w:rtl w:val="true"/>
        </w:rPr>
        <w:t xml:space="preserve">- </w:t>
      </w:r>
      <w:r>
        <w:rPr>
          <w:rtl w:val="true"/>
        </w:rPr>
        <w:t>شادروان استاد سید جلال الدین آشتیانی</w:t>
      </w:r>
      <w:bookmarkEnd w:id="147"/>
    </w:p>
    <w:p>
      <w:pPr>
        <w:pStyle w:val="BookText"/>
        <w:rPr/>
      </w:pPr>
      <w:r>
        <w:rPr>
          <w:rFonts w:ascii="IRNazanin" w:hAnsi="IRNazanin" w:eastAsia="IRNazanin"/>
          <w:color w:val="111111"/>
          <w:sz w:val="28"/>
          <w:sz w:val="28"/>
          <w:szCs w:val="28"/>
          <w:rtl w:val="true"/>
          <w:lang w:bidi="fa-IR"/>
        </w:rPr>
        <w:t xml:space="preserve">ایشان در این باره به سیاست انکار متوسل شده ، و جریان را از بیخ و بن انکار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حتی سخنان همفکر و هم مسلک خود ، سید محمد حسین لاله زاری را بی اساس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که خود چنان که خواهد آمد شامل تحریفی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آشتیانی همچنین شامل امور شگفتی است که به جای خود بررسی خواهد شد </w:t>
      </w:r>
      <w:r>
        <w:rPr>
          <w:rFonts w:eastAsia="IRNazanin" w:cs="IRNazanin"/>
          <w:color w:val="111111"/>
          <w:sz w:val="28"/>
          <w:szCs w:val="28"/>
          <w:rtl w:val="true"/>
          <w:lang w:bidi="fa-IR"/>
        </w:rPr>
        <w:t>.</w:t>
      </w:r>
    </w:p>
    <w:p>
      <w:pPr>
        <w:pStyle w:val="Heading4"/>
        <w:numPr>
          <w:ilvl w:val="3"/>
          <w:numId w:val="1"/>
        </w:numPr>
        <w:rPr/>
      </w:pPr>
      <w:bookmarkStart w:id="148" w:name="__RefHeading___Toc4158860_2870459653"/>
      <w:bookmarkStart w:id="149" w:name="_Toc57"/>
      <w:bookmarkEnd w:id="148"/>
      <w:r>
        <w:rPr/>
        <w:t>2</w:t>
      </w:r>
      <w:r>
        <w:rPr>
          <w:rtl w:val="true"/>
        </w:rPr>
        <w:t xml:space="preserve">- </w:t>
      </w:r>
      <w:r>
        <w:rPr>
          <w:rtl w:val="true"/>
        </w:rPr>
        <w:t>سید محمد حسین لاله زاری طهرانی</w:t>
      </w:r>
      <w:bookmarkEnd w:id="149"/>
    </w:p>
    <w:p>
      <w:pPr>
        <w:pStyle w:val="BookText"/>
        <w:rPr/>
      </w:pPr>
      <w:r>
        <w:rPr>
          <w:rFonts w:ascii="IRNazanin" w:hAnsi="IRNazanin" w:eastAsia="IRNazanin"/>
          <w:color w:val="111111"/>
          <w:sz w:val="28"/>
          <w:sz w:val="28"/>
          <w:szCs w:val="28"/>
          <w:rtl w:val="true"/>
          <w:lang w:bidi="fa-IR"/>
        </w:rPr>
        <w:t xml:space="preserve">لاله زاری در اصل نقل داستان از علامه طباطبائی ، انصاف بیشتری نسبت به آشتیانی به خرج داده و اصل حکایت را نقل کرده است ؛ جز آن که در تتمه آن مرتکب جعل و تزویر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ادعای لاله زاری ، درس اسفار هرگز تعطیل نمی شود ، چرا که آیت الله بروجردی پس از توضیحات علامه طباطبائی دیگر به هیچ وجه متعرض ایشان نشده و تدریس اسفار سال های سال ادامه می یابد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آقای طهرانی توسط سردمداران جریان ایشان ادامه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 محسن طهرانی ، سخنانی مفصل را در این باره به علامه طباطبایی نسبت داده که حتی پدرش نیز آنها را ادعا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وکیلی ، نیز در مقام نقل برخی گزارش ها دست به تحریف و تقطیع زده است که به هر دو این موارد پرداخته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 پیش رو ، پس از ذکر مقدماتی ، به تفصیل به داستان تعطیلی </w:t>
      </w:r>
      <w:bookmarkStart w:id="150" w:name="pg9221_92150"/>
    </w:p>
    <w:p>
      <w:pPr>
        <w:pStyle w:val="BookText"/>
        <w:rPr/>
      </w:pPr>
      <w:bookmarkEnd w:id="150"/>
      <w:r>
        <w:rPr>
          <w:rFonts w:ascii="IRNazanin" w:hAnsi="IRNazanin" w:eastAsia="IRNazanin"/>
          <w:color w:val="111111"/>
          <w:sz w:val="28"/>
          <w:sz w:val="28"/>
          <w:szCs w:val="28"/>
          <w:rtl w:val="true"/>
          <w:lang w:bidi="fa-IR"/>
        </w:rPr>
        <w:t xml:space="preserve">درس اسفار توسط آیت الله بروجردی پرداخته و گزارش هجده نفر از بزرگان حوزه در این باره نقل می شود که همه از شاگردان آیت الله بروجردی و علامه طباطبایی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هایی متواتر که وجه اشتراک همه آنها ، تعطیل شدن درس اسفار است و تحریف آشکار دو شخصیت پیش گفته را نمایان می سازد </w:t>
      </w:r>
      <w:r>
        <w:rPr>
          <w:rFonts w:eastAsia="IRNazanin" w:cs="IRNazanin"/>
          <w:color w:val="111111"/>
          <w:sz w:val="28"/>
          <w:szCs w:val="28"/>
          <w:rtl w:val="true"/>
          <w:lang w:bidi="fa-IR"/>
        </w:rPr>
        <w:t>.</w:t>
      </w:r>
    </w:p>
    <w:p>
      <w:pPr>
        <w:pStyle w:val="Heading3"/>
        <w:numPr>
          <w:ilvl w:val="2"/>
          <w:numId w:val="1"/>
        </w:numPr>
        <w:rPr/>
      </w:pPr>
      <w:bookmarkStart w:id="151" w:name="__RefHeading___Toc4158862_2870459653"/>
      <w:bookmarkStart w:id="152" w:name="_Toc58"/>
      <w:bookmarkEnd w:id="151"/>
      <w:r>
        <w:rPr>
          <w:rtl w:val="true"/>
        </w:rPr>
        <w:t>گفتار اول ؛ چهار نکته مقدماتی</w:t>
      </w:r>
      <w:bookmarkEnd w:id="152"/>
    </w:p>
    <w:p>
      <w:pPr>
        <w:pStyle w:val="Heading4"/>
        <w:numPr>
          <w:ilvl w:val="3"/>
          <w:numId w:val="1"/>
        </w:numPr>
        <w:rPr/>
      </w:pPr>
      <w:bookmarkStart w:id="153" w:name="__RefHeading___Toc4158864_2870459653"/>
      <w:bookmarkStart w:id="154" w:name="_Toc59"/>
      <w:bookmarkEnd w:id="153"/>
      <w:r>
        <w:rPr/>
        <w:t>1</w:t>
      </w:r>
      <w:r>
        <w:rPr>
          <w:rtl w:val="true"/>
        </w:rPr>
        <w:t xml:space="preserve">- </w:t>
      </w:r>
      <w:r>
        <w:rPr>
          <w:rtl w:val="true"/>
        </w:rPr>
        <w:t>آیت الله بروجردی و تسلط بر فلسفه</w:t>
      </w:r>
      <w:bookmarkEnd w:id="154"/>
    </w:p>
    <w:p>
      <w:pPr>
        <w:pStyle w:val="BookText"/>
        <w:rPr/>
      </w:pPr>
      <w:r>
        <w:rPr>
          <w:rFonts w:ascii="IRNazanin" w:hAnsi="IRNazanin" w:eastAsia="IRNazanin"/>
          <w:color w:val="111111"/>
          <w:sz w:val="28"/>
          <w:sz w:val="28"/>
          <w:szCs w:val="28"/>
          <w:rtl w:val="true"/>
          <w:lang w:bidi="fa-IR"/>
        </w:rPr>
        <w:t xml:space="preserve">آیت الله العظمی بروجردی شخصیتی جامع بود و از علوم مختلف اسلامی آگاهی کامل و دقیقی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فقاهت مثال زدنی ایشان ، دیگر ابعاد علمی آن بزرگوار را تحت الشعاع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علومی که ایشان تسلطی بسیار به آن داشتند ، فلسفه بود که آن را در جوانی از محضر دو تن از بزرگترین فلاسفه زمان آموخته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نمونه هایی در این خصوص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علی صافی گلپایگانی فرموده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بروجردی در فلسفه تبحر کامل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ممتاز جهانگیرخان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در فلسفه ، بعد از مرحوم سبزواری ، تا آن زمان ، کسی مانند مرحوم کمپانی و آیت الله بروجردی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شعرهای منظومه را به خوبی حفظ داشتند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فاضل لنکرانی فرموده اند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علمی همانطور که عرض کردم ، ایشان جامع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دائرۃ المعارف بود و در هر زمینه ای اطلاعات دقیق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معقول را در اصفهان ، پیش جهانگیر خان و آخوند کاشی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سر درس ، کمتر وارد مباحث معقول میشدند ؛ ولی گاهی که بحث پیش می آمد ، خیلی جالب ، مانند یک فیلسوف متبحر در معقولات بحث می کردند </w:t>
      </w:r>
      <w:r>
        <w:rPr>
          <w:rFonts w:eastAsia="IRNazanin" w:cs="IRNazanin"/>
          <w:color w:val="111111"/>
          <w:sz w:val="28"/>
          <w:szCs w:val="28"/>
          <w:rtl w:val="true"/>
          <w:lang w:bidi="fa-IR"/>
        </w:rPr>
        <w:t xml:space="preserve">.» </w:t>
      </w:r>
      <w:r>
        <w:rPr>
          <w:rStyle w:val="FootnoteAnchor"/>
          <w:rtl w:val="true"/>
        </w:rPr>
        <w:footnoteReference w:id="112"/>
      </w:r>
      <w:bookmarkStart w:id="155" w:name="pg9221_92151"/>
    </w:p>
    <w:p>
      <w:pPr>
        <w:pStyle w:val="BookText"/>
        <w:rPr/>
      </w:pPr>
      <w:bookmarkEnd w:id="155"/>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فیلسوفان معاصر که خود را در عنفوان جوانی از تمامی عالمان و اساتید برتر می دانست </w:t>
      </w:r>
      <w:r>
        <w:rPr>
          <w:rStyle w:val="FootnoteAnchor"/>
          <w:rtl w:val="true"/>
        </w:rPr>
        <w:footnoteReference w:id="113"/>
      </w:r>
      <w:r>
        <w:rPr>
          <w:rFonts w:ascii="IRNazanin" w:hAnsi="IRNazanin" w:eastAsia="IRNazanin"/>
          <w:color w:val="111111"/>
          <w:sz w:val="28"/>
          <w:sz w:val="28"/>
          <w:szCs w:val="28"/>
          <w:rtl w:val="true"/>
          <w:lang w:bidi="fa-IR"/>
        </w:rPr>
        <w:t xml:space="preserve">نیز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فقه و اصول ما مرحوم آیة الله بروجردی رحمة الله علیه در اصول ، مساله است و هست را خیلی خوب بیان می کرد و ایشان فرق سیمنتیک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را مبرهن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بروجردی هم فقیه و اصولی و هم فیلسوف بود و خود به ما می فرمود که نزد دو فیلسوف عالی مقام در اصفهان فلسفه اموخته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جهانگیرخان بختیاری و دیگری آخوند کاشانی که هر دو از شخصیت های علمی معروف و از فلاسفه اصفهان در قرن گذشته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می گفت اسفار را نزد جهانگیر خان و شوارق را نزد آخوند کاشانی خوانده است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ایشان همچنین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های اصولشان ، مبحث موضوع علم را با نگرشی فیلسوفانه حل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می گفتند که تاکنون موضوع علم را کسی به این خوبی حل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بعدا به کتاب قریب الانتشار من ، که تقریرات کامل اصول فقه آیت الله بروجردی است مراجعه کنید و شم فیلسوفانه ایشان را در مباحث اصولی دریابید </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56" w:name="__RefHeading___Toc4158866_2870459653"/>
      <w:bookmarkStart w:id="157" w:name="_Toc60"/>
      <w:bookmarkEnd w:id="156"/>
      <w:r>
        <w:rPr/>
        <w:t>2</w:t>
      </w:r>
      <w:r>
        <w:rPr>
          <w:rtl w:val="true"/>
        </w:rPr>
        <w:t xml:space="preserve"> - </w:t>
      </w:r>
      <w:r>
        <w:rPr>
          <w:rtl w:val="true"/>
        </w:rPr>
        <w:t>ارادت اهل عرفان و فلسفه به آیت الله بروجردی</w:t>
      </w:r>
      <w:bookmarkEnd w:id="1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والای آیت الله بروجردی ، نامداران عرصه فلسفه و عرفان را نیز در مقابل ایشان به خضوع واداشته بود که به مواردی اشاره 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شبیری زنجانی از آیت الله بهجت نقل کرده اند که هنگامی که آیت الله العظمی خوئی از مرحوم شیخ محمود حلبی درخواست کردند که از استادش شیخ حسنعلی نخودکی اصفهانی مطالبی را برای ایشان بیان کند ، آقای حلبی چنین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باغ دست آشیخ حسنعلی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آشیخ حسنعلی با آن مقامش ، مرید یکی از شماها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خود آقای بهجت توضیح داد و گفت که مراد ، آقای بروجردی بود و ظاهراً آشیخ حسنعلی از ایشان تقلید می کرد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علوی بروجردی نیز درباره مرحوم نخودکی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سال ها قبل از رحلت مرحوم آیت الله سید ابوالحسن اصفهانی مقلد مرحوم آیت الله بروجردی بود و اظهار می داشت من از راه علوم غریبه کشف کرده ام که ایشان اعلم است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جمال الدین گلپایگانی نیز گفته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قرار بود تقلید کنم ، از آقای بروجردی تقلید می کردم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آیت الله شبیری همچنین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اهل سیر و سلوک معنوی بودند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آسید جمال گلپایگانی به ایشان خیلی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من از آسید جمال شنیدم که گفت ایشان برهمه ما مقدم است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مصطفی خوانساری نیز از سید جمال الدین گلپایگانی چنین نقل می کند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حاج آقا حسین سلام مرا برسانید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سید جمال مقلد باشد از شما تقلید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ما تصور می کردیم که بعد از مرحوم حاج میرزا حسین نائینی اعلمی وجود ندارد ، ولی هنگامی که آیت الله حاج آقا حسین بروجردی را دیدیم ، از مرحوم نائینی یادمان رفت </w:t>
      </w:r>
      <w:r>
        <w:rPr>
          <w:rFonts w:eastAsia="IRNazanin" w:cs="IRNazanin"/>
          <w:color w:val="111111"/>
          <w:sz w:val="28"/>
          <w:szCs w:val="28"/>
          <w:rtl w:val="true"/>
          <w:lang w:bidi="fa-IR"/>
        </w:rPr>
        <w:t xml:space="preserve">.» </w:t>
      </w:r>
      <w:r>
        <w:rPr>
          <w:rStyle w:val="FootnoteAnchor"/>
          <w:rtl w:val="true"/>
        </w:rPr>
        <w:footnoteReference w:id="120"/>
      </w:r>
      <w:bookmarkStart w:id="158" w:name="pg9221_92153"/>
    </w:p>
    <w:p>
      <w:pPr>
        <w:pStyle w:val="BookText"/>
        <w:rPr/>
      </w:pPr>
      <w:bookmarkEnd w:id="158"/>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السلام محمد علی قربانی ، از شاگردان استاد سید جلال الدین آشتیانی ، درباره رساله ای از مرحوم استادش که تقریر بحث های اصولی آیت الله العظمی بروجردی است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سید جلال الدین آشتیانی آنچنان نسبت به مقام مرجعیت و فقاهت شیعه خصوصاً حضرت آية الله العظمی بروجردی خاضع است که در چندین جای این رساله وجیزه که در علم اصول فقه است و من نامش را اصول الحکیم گذاشتم ، با تعبیر روحی له الفداء یاد می کند خصوصاً در آخر این کتاب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الكلام في هذا المقام و آخر بحث سيدنا الاستاذ روحی و جسمی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استاذنا و شیخنا و سيدنا و من اليه سندنا في العلوم ادام الله علوه و مجده و در جای دیگر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انه قد اطال الاستاذ عليه من السلام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دارم که بارها از حضرت آیةالله بروجردی با عظمت و نهایت خضوع یاد می کردند </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159" w:name="__RefHeading___Toc4158868_2870459653"/>
      <w:bookmarkStart w:id="160" w:name="_Toc61"/>
      <w:bookmarkEnd w:id="159"/>
      <w:r>
        <w:rPr/>
        <w:t>3</w:t>
      </w:r>
      <w:r>
        <w:rPr>
          <w:rtl w:val="true"/>
        </w:rPr>
        <w:t xml:space="preserve"> - </w:t>
      </w:r>
      <w:r>
        <w:rPr>
          <w:rtl w:val="true"/>
        </w:rPr>
        <w:t>آیت الله بروجردی و مخالفت با فلسفه</w:t>
      </w:r>
      <w:bookmarkEnd w:id="160"/>
    </w:p>
    <w:p>
      <w:pPr>
        <w:pStyle w:val="BookText"/>
        <w:rPr/>
      </w:pPr>
      <w:r>
        <w:rPr>
          <w:rFonts w:ascii="IRNazanin" w:hAnsi="IRNazanin" w:eastAsia="IRNazanin"/>
          <w:color w:val="111111"/>
          <w:sz w:val="28"/>
          <w:sz w:val="28"/>
          <w:szCs w:val="28"/>
          <w:rtl w:val="true"/>
          <w:lang w:bidi="fa-IR"/>
        </w:rPr>
        <w:t xml:space="preserve">آیت الله العظمی بروجردی در عین اشراف و تسلط بر فلسفه ، میانه خوبی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فلسفه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 هایی از سیره ایشان در این خصوص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صافی گلپایگانی ضمن خاطرات خود از مرحوم آیت الله العظمی بروجردی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 جمعی از اساتید دانشگاه به اتفاق مرحوم سید محمد مشکات ، شرفیاب محضر ایشان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مشکات ، اساتید را یک به یک معرفی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اساتید ، آقای شیخ مصلح شیرازی بود که در ضمن معرفی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اسفار را به فارسی ترجمه کرده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پس از تعارفات و اظهار لطف مناسب به همه آنها ، به آقای شیخ مصلح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گمان کرده اید که کار خوب یا خدمتی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این چیزی نفرمودند ، ولی معلوم بود که استفهام انکاری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 حسب مذاق و دریافت خودشان ، آنچه به حکمت متعالیه نامیده شده و مطالب اسفار را در آنچه ارتباط با عقاید اسلامیه دارد ، متضمن اشتباهات و عدول هایی از هدایت قرآن مجید و معارف اهل بيت عَلیهِم السَّلام می دانستند و در آن جلسه چون سکوت خود را معرض توهم قبول می دیدند به این مقدار ، نظر خود را اظهار کردند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صافی گلپایگانی در مصاحبه ای درباره آیت الله بروجردی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ارشادات شرعی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تعالیم ماثوره و شرعیه را معتبر نمی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و خداشناسی و سیر و سلوک ، هیچ خط و حرفی را معتبر نمی شناختند ، و برنامه های به اصطلاح عرفانی متصوفه و غلو آمیز را شدیداً تخطئه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حفظ حریم توحید و نفی شرک اهمیت بسیار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عرفان و سیر و سلوک ، همان خط و راه مستقیم بزرگان اصحاب و علما ، مانند شیخ طوسی ، علامه مجلسی و سایر فقهاء و محدثین عالیقدر را یگانه خط نجات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صوفیانه و اعمال و حالاتی را که چه بسا برخی نادانان برای پیروان طریقت ، فضیلت و کرامت اخلاقی و</w:t>
      </w:r>
    </w:p>
    <w:p>
      <w:pPr>
        <w:pStyle w:val="BookText"/>
        <w:rPr/>
      </w:pPr>
      <w:r>
        <w:rPr>
          <w:rFonts w:ascii="IRNazanin" w:hAnsi="IRNazanin" w:eastAsia="IRNazanin"/>
          <w:color w:val="111111"/>
          <w:sz w:val="28"/>
          <w:sz w:val="28"/>
          <w:szCs w:val="28"/>
          <w:rtl w:val="true"/>
          <w:lang w:bidi="fa-IR"/>
        </w:rPr>
        <w:t xml:space="preserve">نشانه اعراض از دنیا و صفای باطن می شمردند ، مردود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بودند که در بیان ربط عالم و ماسوی الله به خداوند ، از ارشادات و اصطلاحات قرآن خارج نشوند و در تعبیرهایی مانند خلق و خالق و مخلوق از آن تبعیت کنند اصطلاحات عرفانی مصطلح در متصوفه را بر زبان نمی آوردند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علی ملکی میانجی از آیت الله شبیری زنجانی نقل کرده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بروجردی می خواست علوم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فلسفی وقت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شبه تحریمی کند و آقای آقا سید محمدرضا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p>
    <w:p>
      <w:pPr>
        <w:pStyle w:val="BookText"/>
        <w:rPr/>
      </w:pPr>
      <w:r>
        <w:rPr>
          <w:rFonts w:ascii="IRNazanin" w:hAnsi="IRNazanin" w:eastAsia="IRNazanin"/>
          <w:color w:val="111111"/>
          <w:sz w:val="28"/>
          <w:sz w:val="28"/>
          <w:szCs w:val="28"/>
          <w:rtl w:val="true"/>
          <w:lang w:bidi="fa-IR"/>
        </w:rPr>
        <w:t xml:space="preserve">آیت الله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فلسفه مخالف بود در اطراف این موضوع در نزد آیت الله بروجردی فعالیت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وساطت آقای بهبهانی و دیگر آقایان از عملی شدن این کار جلوگیری نمود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 پیش از منع آیت الله بروجردی از تدریس اسفار علامه طباطبایی ، آن مرجع بزرگ مانع تدریس فلسفه برخی دیگر از فیلسوفان بزرگ نیز در قم شده بود ؛ آنگاه که میرزا مهدی آشتیانی به قم آمد و در مسجد عشقعلی فلسفه می گفت ،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کوتاهی محترمانه ترتیبی دادند که ایشان به تهران برگشت و درس تعطیل شد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سید علی طالقانی در بیان خاطراتی از استادش ، سید جلال آشتیانی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نیز یاد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به فلسفه مشاء علاقه ای داشت ، اما به ملاصدرا به هیچ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بخوان ، این صوفی بازی ها را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ملاصدرا بوده است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الاسلام محمد صادق کاملان در گفتگویی که در یادنامه استاد آشتیانی درج شده است می گوید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بروجردی نظر مساعدی به اینکه طلاب فلسفه بخوانند نداشت زیرا می گفت وقت طلبه ها گرفته می شود و از فقه و اصول باز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مرحوم آشتیانی نقل می کرد می فرمود مرحوم بروجردی به این خاطر طلبه ها را از خواندن فلسفه باز می داشت که از فقه و اصول باز می ماندند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بروجردی به شدت ارادت داشت حتی تا آخر عمرش و تا آخر از ایشان تعریف می کرد اما نسبت به این </w:t>
      </w:r>
      <w:bookmarkStart w:id="161" w:name="pg9221_92156"/>
    </w:p>
    <w:p>
      <w:pPr>
        <w:pStyle w:val="BookText"/>
        <w:rPr/>
      </w:pPr>
      <w:bookmarkEnd w:id="161"/>
      <w:r>
        <w:rPr>
          <w:rFonts w:ascii="IRNazanin" w:hAnsi="IRNazanin" w:eastAsia="IRNazanin"/>
          <w:color w:val="111111"/>
          <w:sz w:val="28"/>
          <w:sz w:val="28"/>
          <w:szCs w:val="28"/>
          <w:rtl w:val="true"/>
          <w:lang w:bidi="fa-IR"/>
        </w:rPr>
        <w:t xml:space="preserve">نظر ایشان یعنی مساعد نبودن نظر ایشان با فلسفه ارادتی نداشت و نمی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ارادتش به آقای بروجردی در فقه و اصول بود نه در نظرشان نسبت به فلسفه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که حدود یکسال از درگذشت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 از حاج شیخ محمود حلبی خراسانی خواست تا چند شب در قم با سخنرانی به نقد فلسفه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چنین کرد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استاد مدرس غروی چنین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بروجردی همچنین در سال های بعد برای طرح مبانی معارفی و اصولی میرزا در قم ، تدبیری اندیشیده بود و از آیة الله حلبی خواسته بود تا به قم آمده و مبانی معارفی و اصولی استاد خود را در آنجا نشر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حلبی براساس تکلیفی که در مبارزۀ علمی اساسی با اعتقاد بهایی احساس می کرد به انجام این خواسته روی نیاورد </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162" w:name="__RefHeading___Toc4158870_2870459653"/>
      <w:bookmarkStart w:id="163" w:name="_Toc62"/>
      <w:bookmarkEnd w:id="162"/>
      <w:r>
        <w:rPr/>
        <w:t>4</w:t>
      </w:r>
      <w:r>
        <w:rPr>
          <w:rtl w:val="true"/>
        </w:rPr>
        <w:t xml:space="preserve">- </w:t>
      </w:r>
      <w:r>
        <w:rPr>
          <w:rtl w:val="true"/>
        </w:rPr>
        <w:t>نقد یک برداشت اشتباه</w:t>
      </w:r>
      <w:bookmarkEnd w:id="1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شیفتگان فلسفه و عرفان ، از آنجا که مخالفت حضرت آیت الله بروجردی را با مواضع خویش بر نمی تابند ، تسلط آن مرحوم بر فلسفه و شاگردی نزد فلاسفه بزرگ را دلیل بر اعتقادات فلسفی ایشان بر می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بین این دو موضوع هیچ تلازمی وجود ندارد ، خصوصاً در حوزه های قدیم شیعه که آموختن و حتی تدریس مطالب مختلف برای افراد واجد صلاحیت ، به انگیزه های گوناگون رواج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 هایی از این امر که مشخصاً در حوزه مقدسه خراسان رواج بسیاری داشته اشاره 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کاظم مدیرشانه چی در مصاحبه ای درباره مرحوم شیخ مجتبی قزوینی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مرحوم حاج شیخ مجتبی که به تبع استادش میانه خوبی با فلسفه نداشت اما کاملاً بر فلسفه تسلط داشت ، درخواست کردیم فلسفه تدریس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نزد استادش مرحوم آقا بزرگ حکیم خوب فلسفه را فرا گرفته بود و شاگردانی برای فهم فلسفه و سپس رد برخی مسائل آن تربیت کردند و بر جو عمومی حوزه تأثیر گذاشتند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عبدالله نورانی نیز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میرزا جواد آقا تهرانی یا آقا شیخ مجتبی قزوینی که کتب فلسفی را تدریس می کردند و فلسفه مشاء و اشراق می گفتند به این معنا نبود که همه مطالب فلاسفه را بپذیرند و یا آنها را وحی منزل بدانند ، اما معتقد بودند که باید با فلسفه آشنا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اساتید کتب ضاله و یا</w:t>
      </w:r>
    </w:p>
    <w:p>
      <w:pPr>
        <w:pStyle w:val="BookText"/>
        <w:rPr/>
      </w:pPr>
      <w:r>
        <w:rPr>
          <w:rFonts w:ascii="IRNazanin" w:hAnsi="IRNazanin" w:eastAsia="IRNazanin"/>
          <w:color w:val="111111"/>
          <w:sz w:val="28"/>
          <w:sz w:val="28"/>
          <w:szCs w:val="28"/>
          <w:rtl w:val="true"/>
          <w:lang w:bidi="fa-IR"/>
        </w:rPr>
        <w:t xml:space="preserve">سخنان ماتریالیست ها را مطرح می کردند برای اینکه طلاب آشنا شوند و نظریات مختلف را بخوانند و خواندن چیزی به معنای اعتقاد کامل به آنها نبود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اجتهادی فلسفه در عین مخالفت با آن ، حتی سال ها بعد در مبانی علمی بسیاری از مراجع بزرگ نیز حضور مؤثر خود را حفظ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مرحوم آیت الله سید حسن صالحی درباره حضرت آیت الله العظمی سیستانی گفته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سیستانی حفظه الله در مدرسه ابدال خان که ما برای فراگرفتن مقدمات خدمت مرحوم شیخ علی محمد موحدی می رفتیم ، در محضر آقا شیخ مجتبی قزوینی منظومه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اینکه اصول فقه آقای سیستانی با فلسفه آمیخته شده ، در مشهد شکل گرفته بود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امر اختصاصی به آیت الله بروجردی یا بزرگان خراسان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طی قرون و اعصار ، سیره بسیاری از عالمان شیعه چنین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علامه حلی ، شخصیتی جامع معقول و منقول که بسیاری از فلاسفه نیز به ناروا ایشان را همسو با اعتقادات خویش می پندارند ، در عین تسلط کامل به فلسفه – که از آثار ایشان به روشنی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متعدد به کفر عقائد فلسفی و تمایز فلسفه و اسلام تصریح نموده </w:t>
      </w:r>
      <w:r>
        <w:rPr>
          <w:rStyle w:val="FootnoteAnchor"/>
          <w:rtl w:val="true"/>
        </w:rPr>
        <w:footnoteReference w:id="133"/>
      </w:r>
      <w:r>
        <w:rPr>
          <w:rFonts w:ascii="IRNazanin" w:hAnsi="IRNazanin" w:eastAsia="IRNazanin"/>
          <w:color w:val="111111"/>
          <w:sz w:val="28"/>
          <w:sz w:val="28"/>
          <w:szCs w:val="28"/>
          <w:rtl w:val="true"/>
          <w:lang w:bidi="fa-IR"/>
        </w:rPr>
        <w:t xml:space="preserve">حتی در فتوایی کوبنده ، جهاد با فیلسوفان را واجب قلمداد کرده است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حتی بسیاری از عالمان شیعه در گذر زمان ، فقه اهل سنت را نیز تدریس می کردند یا خود در دروس عالمان دیگر مذاهب حاضر می شدند و هیچ یک از اینها به معنای پذیرفتن آن مطالب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به ذکر است که برخی از رهبران جریان آقای لاله زاری در مشهد ، در یادداشتی که در خصوص تعطیلی اسفار منتشر کرده و نام مقاله را نیز بر آن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در تلاش جهت اثبات ادعای عدم مخالفت آیت الله بروجردی با فلسفه ،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مرحوم حاشیه ای بر اسفار نگاشته اند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منبع مورد اشاره ایشان ، صرفاً چنین عبارتی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تعليقة على الأسفار ، لملا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على نسخة من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تعلیقه ای بر اسفار ملاصدرا ، که آن را بر نسخه ای از کتاب نوشتند </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 چنان که آقای عقیقی بخشایشی آورده و استاد رضا استادی نیز از ایشان نقل کرده است ، نسخه چاپی کتابخانه شخصی آیت الله بروجردی بوده است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اکنون </w:t>
      </w:r>
      <w:bookmarkStart w:id="164" w:name="pg9221_92159"/>
    </w:p>
    <w:p>
      <w:pPr>
        <w:pStyle w:val="BookText"/>
        <w:rPr/>
      </w:pPr>
      <w:bookmarkEnd w:id="164"/>
      <w:r>
        <w:rPr>
          <w:rFonts w:ascii="IRNazanin" w:hAnsi="IRNazanin" w:eastAsia="IRNazanin"/>
          <w:color w:val="111111"/>
          <w:sz w:val="28"/>
          <w:sz w:val="28"/>
          <w:szCs w:val="28"/>
          <w:rtl w:val="true"/>
          <w:lang w:bidi="fa-IR"/>
        </w:rPr>
        <w:t xml:space="preserve">این مدعی باید پاسخ دهد که آیا نوشتن تعلیقاتی بر یک نسخه چاپی از کتابی ، به منزله قبول آن است ؟ وقتی بیشتر تعلیقه نویسی ها در بیان تفاوت دیدگاه صاحب تعلیقه با صاحب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تعلیقات علامه طباطبائی بر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ادعایی بدون دیدن اصل کتاب تنها غیبگویی و تلاش های نافرجام این مدعی و امثال ایشان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اینکه آیت الله بروجردی زمانی فلسفه خوانده ، آن را تدریس کرده و تعلیقاتی براثری فلسفی دارد ، هرگز به معنای عدم مخالفت ایشان با فلسفه نخواهد بود </w:t>
      </w:r>
      <w:r>
        <w:rPr>
          <w:rFonts w:eastAsia="IRNazanin" w:cs="IRNazanin"/>
          <w:color w:val="111111"/>
          <w:sz w:val="28"/>
          <w:szCs w:val="28"/>
          <w:rtl w:val="true"/>
          <w:lang w:bidi="fa-IR"/>
        </w:rPr>
        <w:t>.</w:t>
      </w:r>
    </w:p>
    <w:p>
      <w:pPr>
        <w:pStyle w:val="Heading3"/>
        <w:numPr>
          <w:ilvl w:val="2"/>
          <w:numId w:val="1"/>
        </w:numPr>
        <w:rPr/>
      </w:pPr>
      <w:bookmarkStart w:id="165" w:name="__RefHeading___Toc4158872_2870459653"/>
      <w:bookmarkStart w:id="166" w:name="_Toc63"/>
      <w:bookmarkEnd w:id="165"/>
      <w:r>
        <w:rPr>
          <w:rtl w:val="true"/>
        </w:rPr>
        <w:t>گفتار دوم ؛ گزارش های تعطیلی درس اسفار</w:t>
      </w:r>
      <w:bookmarkEnd w:id="166"/>
    </w:p>
    <w:p>
      <w:pPr>
        <w:pStyle w:val="BookText"/>
        <w:rPr/>
      </w:pPr>
      <w:r>
        <w:rPr>
          <w:rFonts w:ascii="IRNazanin" w:hAnsi="IRNazanin" w:eastAsia="IRNazanin"/>
          <w:color w:val="111111"/>
          <w:sz w:val="28"/>
          <w:sz w:val="28"/>
          <w:szCs w:val="28"/>
          <w:rtl w:val="true"/>
          <w:lang w:bidi="fa-IR"/>
        </w:rPr>
        <w:t xml:space="preserve">اکنون به بحث اصلی این نوشتار پرداخته و آن را در دو بخش ارائه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گزارش عالمان و بزرگانی را که خود افتخار شاگردی علامه طباطبایی و آیت الله بروجردی و در موارد بسیاری هر دو ایشان را داشته اند در خصوص تعطیلی تدریس اسفار ذکر کرده و پس از آن به تحلیل و بررسی آن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دو گزارش متفاوت را از آقایان سید جلال الدین آشتیانی رحمه الله و سید محمد حسین لاله زاری طهرانی نقل و نقد می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دو تحریف دیگر نیز از سردمداران جریان آقای لاله زاری در مشهد اشاره ای خواهم داشت </w:t>
      </w:r>
      <w:r>
        <w:rPr>
          <w:rFonts w:eastAsia="IRNazanin" w:cs="IRNazanin"/>
          <w:color w:val="111111"/>
          <w:sz w:val="28"/>
          <w:szCs w:val="28"/>
          <w:rtl w:val="true"/>
          <w:lang w:bidi="fa-IR"/>
        </w:rPr>
        <w:t>.</w:t>
      </w:r>
    </w:p>
    <w:p>
      <w:pPr>
        <w:pStyle w:val="Heading3"/>
        <w:numPr>
          <w:ilvl w:val="2"/>
          <w:numId w:val="1"/>
        </w:numPr>
        <w:rPr/>
      </w:pPr>
      <w:bookmarkStart w:id="167" w:name="__RefHeading___Toc4158874_2870459653"/>
      <w:bookmarkStart w:id="168" w:name="_Toc64"/>
      <w:bookmarkEnd w:id="167"/>
      <w:r>
        <w:rPr>
          <w:rtl w:val="true"/>
        </w:rPr>
        <w:t>بخش اول ؛ گزارش های تعطیلی درس اسفار توسط آیت الله بروجردی</w:t>
      </w:r>
      <w:bookmarkEnd w:id="168"/>
    </w:p>
    <w:p>
      <w:pPr>
        <w:pStyle w:val="Heading4"/>
        <w:numPr>
          <w:ilvl w:val="3"/>
          <w:numId w:val="1"/>
        </w:numPr>
        <w:rPr/>
      </w:pPr>
      <w:bookmarkStart w:id="169" w:name="__RefHeading___Toc4158876_2870459653"/>
      <w:bookmarkStart w:id="170" w:name="_Toc65"/>
      <w:bookmarkEnd w:id="169"/>
      <w:r>
        <w:rPr>
          <w:rtl w:val="true"/>
        </w:rPr>
        <w:t>اشاره</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 گزارش های تعطیلی درس اسفار توسط آیت الله بروجردی</w:t>
      </w:r>
      <w:r>
        <w:rPr>
          <w:rStyle w:val="FootnoteAnchor"/>
          <w:rtl w:val="true"/>
        </w:rPr>
        <w:footnoteReference w:id="139"/>
      </w:r>
    </w:p>
    <w:p>
      <w:pPr>
        <w:pStyle w:val="Heading4"/>
        <w:numPr>
          <w:ilvl w:val="3"/>
          <w:numId w:val="1"/>
        </w:numPr>
        <w:rPr/>
      </w:pPr>
      <w:bookmarkStart w:id="171" w:name="__RefHeading___Toc4158878_2870459653"/>
      <w:bookmarkStart w:id="172" w:name="_Toc66"/>
      <w:bookmarkEnd w:id="171"/>
      <w:r>
        <w:rPr/>
        <w:t>1</w:t>
      </w:r>
      <w:r>
        <w:rPr>
          <w:rtl w:val="true"/>
        </w:rPr>
        <w:t>-</w:t>
      </w:r>
      <w:r>
        <w:rPr>
          <w:rtl w:val="true"/>
        </w:rPr>
        <w:t>پروفسور غلامحسین ابراهیمی دینانی</w:t>
      </w:r>
      <w:bookmarkEnd w:id="172"/>
    </w:p>
    <w:p>
      <w:pPr>
        <w:pStyle w:val="BookText"/>
        <w:rPr/>
      </w:pPr>
      <w:r>
        <w:rPr>
          <w:rFonts w:ascii="IRNazanin" w:hAnsi="IRNazanin" w:eastAsia="IRNazanin"/>
          <w:color w:val="111111"/>
          <w:sz w:val="28"/>
          <w:sz w:val="28"/>
          <w:szCs w:val="28"/>
          <w:rtl w:val="true"/>
          <w:lang w:bidi="fa-IR"/>
        </w:rPr>
        <w:t xml:space="preserve">استاد دینانی از فلاسفه بزرگ معاصر و از افاضل شاگردان مرحوم علامه طباطبایی و دیگر عالمان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آثار ، گفتگوها و سخنرانی های مختلف خود بارها سخن از تعطیلی درس اسفار گفته اند که به نمونه هایی اشاره می شود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فلسفه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آقای بروجردی تعطیل شد ، در آن مدت ایشان خیلی ناراحت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دستور دادند درس اسفار ایشان تعطیل شود و بعد به دلایلی فرمودند که شفا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ایشان بسیار ناراحت و اندوهگین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ایشان را در آن زمان ناراحت دیدیم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درسی که جاذبه بسیار داشت و من هم به طور منظم در آن شرکت می کردم ، درس روزانه اسفار مرحوم علامه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مدتی و بنا به عللی که شاید در اینجا لازم به توضیح آن نباشد ، درس اسفار ایشان تعطیل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دستور داده شد که ایشان اسفار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تعطیلی درس ایشان با عکس العمل طلاب مواجه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نزد آقایان مراجع شکایت کردند و می گفتند در مقابل مارکسیست ها باید کسانی باشند که این امور را بدانند و شبهات را برطرف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بیانات اجازه داده شد که ایشان به جای اسفار ، شفا تدریس کنند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درس اسفار علامه به دستور آیت الله العظمی بروجردی بر اثر فشارهایی تعطیل شد ، ایشان دوباره درس شفا را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زمان هم که درس علامه تعطیل شد ، من شاگرد ایشان بودم ، بعد کم کم جلسات شبانه هم شروع شد که شرکت می کردم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همچنین در گفتگویی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وجه مفسری علامه نبود هیچ کس به وی اجازه نمی داد مسیر فلسفی خود را در حوزه ادامه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تعطیلی درس علامه ، از آیت الله بروجردی اجازه درس فلسفه علامه طباطبایی را گرفت ، آیت الله فلسفی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سری کتاب های کمونیستی را پیش آیت الله بروجردی برد و گفت اینها دارند دین را زیر سؤال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اجازه دهید کسی پاسخ اینها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فلسفی با نفوذی که داشت رضایت آیت الله بروجردی را گرفت و درس شفا علامه در حوزه دوباره راه افتاد </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 در سخنرانی خود در مرکز پژوهش ادیان جهان فرموده اند </w:t>
      </w:r>
      <w:r>
        <w:rPr>
          <w:rFonts w:eastAsia="IRNazanin" w:cs="IRNazanin"/>
          <w:color w:val="111111"/>
          <w:sz w:val="28"/>
          <w:szCs w:val="28"/>
          <w:rtl w:val="true"/>
          <w:lang w:bidi="fa-IR"/>
        </w:rPr>
        <w:t xml:space="preserve">: </w:t>
      </w:r>
      <w:bookmarkStart w:id="173" w:name="pg9221_92161"/>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درس اسفار اربعه علامه طباطبایی که بنده در آن حاضر بودم به دستور علامه بروجردی تعطیل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آقای جزایری که در حال حاضر دوران کهولت خود را می گذرانند ، در معیت آقای موسی صدر نزد آقای آیت الله بهبهانی رفتند تا مگر ایشان وساطت کنند و جلسات تدریس مجدداً برقرار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بهبهانی این موضوع را با مرحوم آقای فلسفی در میان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بزرگواران از کیاست بالایی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کمونیست ها در ایران به شدت فعالیت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زیادی هم با صبغه ماتریالیستی به چاپ رسانده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فلسفی تعدادی از این کتب را ابتیاع کردند و با خود نزد علامه بروجردی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که این کتاب ها چیست ؟ گفتند که این کتاب ها همه ضد خدا و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اصول ماتریالیستی است و موضوع را به طور کامل تشریح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بروجردی پرسیدند که راه مبارزه با چنین تفکراتی چیست و چه باید کرد ؟ مرحوم فلسفی بلافاصله گفتند که پادزهرش همین جلسات فلسفه علامه طباطبایی است که اگر صلاح بدانید از سر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اطرافیان علامه بروجردی به ایشان فشار می آوردند و مخالفت ها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تدریس دوباره آغاز شد ، اما ایشان به جای اسفار با تدریس کتاب شفای ابن سینا موافقت کردند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استاد دینانی در موارد دیگری نیز به این قضیه پرداخته اند که جهت رعایت اختصار از ذکر آن خودداری می شود </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174" w:name="__RefHeading___Toc4158880_2870459653"/>
      <w:bookmarkStart w:id="175" w:name="_Toc67"/>
      <w:bookmarkEnd w:id="174"/>
      <w:r>
        <w:rPr/>
        <w:t>2</w:t>
      </w:r>
      <w:r>
        <w:rPr>
          <w:rtl w:val="true"/>
        </w:rPr>
        <w:t>-</w:t>
      </w:r>
      <w:r>
        <w:rPr>
          <w:rtl w:val="true"/>
        </w:rPr>
        <w:t>آیت الله امینی</w:t>
      </w:r>
      <w:bookmarkEnd w:id="175"/>
    </w:p>
    <w:p>
      <w:pPr>
        <w:pStyle w:val="Heading5"/>
        <w:numPr>
          <w:ilvl w:val="4"/>
          <w:numId w:val="1"/>
        </w:numPr>
        <w:rPr/>
      </w:pPr>
      <w:bookmarkStart w:id="176" w:name="__RefHeading___Toc4158882_2870459653"/>
      <w:bookmarkStart w:id="177" w:name="_Toc68"/>
      <w:bookmarkEnd w:id="176"/>
      <w:r>
        <w:rPr>
          <w:rtl w:val="true"/>
        </w:rPr>
        <w:t>اشاره</w:t>
      </w:r>
      <w:bookmarkEnd w:id="17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امینی در خاطرات خود دو گزارش از تعطیلی درس اسفار آورده که هر دو را نقل کرده و در تحلیل گزارشات ، آن را بررسی خواهیم کرد </w:t>
      </w:r>
      <w:r>
        <w:rPr>
          <w:rFonts w:eastAsia="IRNazanin" w:cs="IRNazanin"/>
          <w:color w:val="111111"/>
          <w:sz w:val="28"/>
          <w:szCs w:val="28"/>
          <w:rtl w:val="true"/>
          <w:lang w:bidi="fa-IR"/>
        </w:rPr>
        <w:t xml:space="preserve">. </w:t>
      </w:r>
      <w:bookmarkStart w:id="178" w:name="pg9221_92162"/>
    </w:p>
    <w:p>
      <w:pPr>
        <w:pStyle w:val="Heading5"/>
        <w:numPr>
          <w:ilvl w:val="4"/>
          <w:numId w:val="1"/>
        </w:numPr>
        <w:rPr/>
      </w:pPr>
      <w:bookmarkStart w:id="179" w:name="__RefHeading___Toc4158884_2870459653"/>
      <w:bookmarkStart w:id="180" w:name="_Toc69"/>
      <w:bookmarkEnd w:id="178"/>
      <w:bookmarkEnd w:id="179"/>
      <w:r>
        <w:rPr/>
        <w:t>1-2</w:t>
      </w:r>
      <w:r>
        <w:rPr>
          <w:rtl w:val="true"/>
        </w:rPr>
        <w:t>-</w:t>
      </w:r>
      <w:r>
        <w:rPr>
          <w:rtl w:val="true"/>
        </w:rPr>
        <w:t>گزارش اول</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بروجردی از جانب مخالفان فلسفه تحت فشار قرار گرفت و گاهی در جلسات خصوصی اظهار ناراحتی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فضلای اصفهانی که خود در درس اسفار علامه شرکت کرده بود ، گفت آقای بروجردی مرا احضار کرد و در جلسه خصوصی از رونق گرفتن درس اسفار آقای طباطبایی و فشارهای وارده اظهار نگرانی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می توانید پیشنهاد کنید درس اسفار را تعطیل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چگونه ؟ عرض کردم من با آقای طباطبایی در این رابطه صحبت می کنم ببینم نظرشان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علامه رسیدم و جریان ناراحتی آقای بروجردی را 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 فلسفه را به عنوان یک وظیفه شرعی انجام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 بروجردی تعطیلی آن را لازم بداند نظر ایشان را بر نظر خودم ترجیح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آیت الله بروجردی رسیدم و جریان مذاکره با علامه و سخن او را نقل کردم ، خوشحال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آن زمان علامه مریض و درس اسفار تعطیل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ماه مبارک رمضان تعطیلی درس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 که در این زمان بعضی علمای بزرگ تهران برای آقای بروجردی پیام فرستادند که تعطیل کردن درس فلسفه در دانشگاه ها عکس العمل خوبی نداشته است و صلاح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فضلای قم نیز همین مطلب را خدمت ایشان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آقای بروجردی به وسیله حاج احمد خادمی به علامه پیام فرستاد که من با اصل فلسفه مخالف نیستم و خودم در اصفهان فلسفه خواندم ، شما می توانید به جای اسفار کتاب شفا را تدریس کنید ، خیلی هم علنی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اسفار ممکن است برای بعضی طلاب بدآموزی داشته باشد ، چون برایشان قابل فهم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علامه دوست نداشت درس اسفار تعطیل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شفاء را قبلاً تدریس کرده بود و گویا در همان زمان هم به تدریس آن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بدین منوال گذشت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من به اتفاق آقای جوادی آملی خدمت علامه رسیدیم و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کنیم برای شروع درس اسفار مانعی نباشد اگر صلاح </w:t>
      </w:r>
      <w:bookmarkStart w:id="181" w:name="pg9221_92163"/>
    </w:p>
    <w:p>
      <w:pPr>
        <w:pStyle w:val="BookText"/>
        <w:rPr/>
      </w:pPr>
      <w:bookmarkEnd w:id="181"/>
      <w:r>
        <w:rPr>
          <w:rFonts w:ascii="IRNazanin" w:hAnsi="IRNazanin" w:eastAsia="IRNazanin"/>
          <w:color w:val="111111"/>
          <w:sz w:val="28"/>
          <w:sz w:val="28"/>
          <w:szCs w:val="28"/>
          <w:rtl w:val="true"/>
          <w:lang w:bidi="fa-IR"/>
        </w:rPr>
        <w:t xml:space="preserve">بدانید شروع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قبلاً میل داشت درس اسفار را دوباره شروع کند ولی مردد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استخاره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استخاره خوب آمد ،قرار شد درس را شروع کند ولی به دوستان اطلاع ندهیم </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182" w:name="__RefHeading___Toc4158886_2870459653"/>
      <w:bookmarkStart w:id="183" w:name="_Toc70"/>
      <w:bookmarkEnd w:id="182"/>
      <w:r>
        <w:rPr/>
        <w:t>2-2</w:t>
      </w:r>
      <w:r>
        <w:rPr>
          <w:rtl w:val="true"/>
        </w:rPr>
        <w:t xml:space="preserve">- </w:t>
      </w:r>
      <w:r>
        <w:rPr>
          <w:rtl w:val="true"/>
        </w:rPr>
        <w:t>گزارش دوم</w:t>
      </w:r>
      <w:bookmarkEnd w:id="183"/>
    </w:p>
    <w:p>
      <w:pPr>
        <w:pStyle w:val="BookText"/>
        <w:rPr/>
      </w:pPr>
      <w:r>
        <w:rPr>
          <w:rFonts w:ascii="IRNazanin" w:hAnsi="IRNazanin" w:eastAsia="IRNazanin"/>
          <w:color w:val="111111"/>
          <w:sz w:val="28"/>
          <w:sz w:val="28"/>
          <w:szCs w:val="28"/>
          <w:rtl w:val="true"/>
          <w:lang w:bidi="fa-IR"/>
        </w:rPr>
        <w:t xml:space="preserve">آیت الله امینی ، پس از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تدریس علامه طباطبایی سال های متمادی تدریس کتاب اسفار و منظومه حکمت حاجی سبزواری ، در حوزه های علمیه قم و سایر شهرستان ها یک گناه و عیب و حتی گاهی به عنوان اشاعه کفر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اند که آیت الله بروجردی درباره تدریس اسفار به علامه طباطبایی چنین پیغام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 این است که شما درس اسفار را تعطیل کنید و به جای آن فلسفه مشاء را تدریس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که انتظار چنین پیامی را نداشت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تدریس اسفار را وظیفه خودم می دانستم ، ولی با توجه به صلاحدید جنابعالی و اینکه شما را زعیم حوزه می دانم نظر جنابعالی را بر نظر خودم مقدم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درس اسفار تعطیل شد و به جای آن تدریس کتاب الهیات شفا بوعلی سینا را شروع کردند ، ولی به قرار مسموع چندی بعد آیت الله بهبهانی از تهران برای آیت الله بروجردی پیغام دادند که تعطیل درس اسفار در بین اساتید دانشگاه عکس العمل بدی داشته ، لذا بهتر است در این باره تجدید نظر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آن آیت الله بروجردی به علامه پیام دادند که می توانید درس اسفار را دوباره شروع کنید ، ولی به گونه ای باشد که انظار عمومی را تحریک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آن تدریس اسفار را دوباره شروع کردند </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184" w:name="__RefHeading___Toc4158888_2870459653"/>
      <w:bookmarkStart w:id="185" w:name="_Toc71"/>
      <w:bookmarkEnd w:id="184"/>
      <w:r>
        <w:rPr/>
        <w:t>3</w:t>
      </w:r>
      <w:r>
        <w:rPr>
          <w:rtl w:val="true"/>
        </w:rPr>
        <w:t xml:space="preserve">- </w:t>
      </w:r>
      <w:r>
        <w:rPr>
          <w:rtl w:val="true"/>
        </w:rPr>
        <w:t>دکتر احمد بهشتی</w:t>
      </w:r>
      <w:bookmarkEnd w:id="18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نامه مندرج در سایت رسمی ایشان </w:t>
      </w:r>
      <w:r>
        <w:rPr>
          <w:rStyle w:val="FootnoteAnchor"/>
          <w:rtl w:val="true"/>
        </w:rPr>
        <w:footnoteReference w:id="148"/>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ورود آیت الله بهشتی به قم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 اسفار علامه تعطیل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این تعطیلی در مصاحبه با رادیو فرهنگ </w:t>
      </w:r>
    </w:p>
    <w:p>
      <w:pPr>
        <w:pStyle w:val="BookText"/>
        <w:rPr/>
      </w:pPr>
      <w:r>
        <w:rPr>
          <w:rFonts w:ascii="IRNazanin" w:hAnsi="IRNazanin" w:eastAsia="IRNazanin"/>
          <w:color w:val="111111"/>
          <w:sz w:val="28"/>
          <w:sz w:val="28"/>
          <w:szCs w:val="28"/>
          <w:rtl w:val="true"/>
          <w:lang w:bidi="fa-IR"/>
        </w:rPr>
        <w:t xml:space="preserve">چنین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مواجه شده بود با یک وضعیت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بروجردی به خاطر فشار زیادی که در حوزه بوده ، دستور داده بودند که علامه طباطبایی درس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تعطیل شدن درس اسفار ، مرحوم علامه ، تدریس الهیات شفا را البته برای عده ای معدود در مسجد سلماسی قم آغاز می کند ، و آیت الله بهشتی یکی از این افراد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این تلمذ و تدرس با مشقاتی مانند نبود کتاب درسی نیز همراه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کتاب الهیات شفا هم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رفتیم کتابخانه مدرسه حجتیه ، یک نسخه چاپ سنگی بود ، دست نویس می کردیم و ساعت یازده ظهر در درس علامه شرکت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رحلت آیت الله بروجردی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طباطبایی درس شفا را تعطیل و دوباره درس اسفار را در مسجد فاطمیه شروع می کند و در این مرحله نیز آیت الله بهشتی از محفل درس و بحث علامه بهره مند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بهشتی همچنین در مصاحبه ای ، در پاسخ به سؤال کیهان فرهنگی درباره درخواست آیت الله بروجردی از علامه طباطبایی مبنی بر عدم تدریس فلسفه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اینکه ما به قم بیاییم کلاس درس ایشان تعطیل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دوستان گفتند که آقای طباطبایی در همان مسجد سلماسی الهیات شفا می گویند ، برویم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در مصاحبه با سازمان اسناد و کتابخانه ملی ایران فرموده اند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سالی که از شیراز آمدم قم ، درس اسفار علامه طباطبائی تعطیل شده بود ، یعنی به خاطر بعضی از سیاست های حوزوی تعطیل کرده </w:t>
      </w:r>
      <w:bookmarkStart w:id="186" w:name="pg9221_92165"/>
    </w:p>
    <w:p>
      <w:pPr>
        <w:pStyle w:val="BookText"/>
        <w:rPr/>
      </w:pPr>
      <w:bookmarkEnd w:id="186"/>
      <w:r>
        <w:rPr>
          <w:rFonts w:ascii="IRNazanin" w:hAnsi="IRNazanin" w:eastAsia="IRNazanin"/>
          <w:color w:val="111111"/>
          <w:sz w:val="28"/>
          <w:sz w:val="28"/>
          <w:szCs w:val="28"/>
          <w:rtl w:val="true"/>
          <w:lang w:bidi="fa-IR"/>
        </w:rPr>
        <w:t xml:space="preserve">بودند ، چون دیده بودند ، درس فلسفه خیلی دارد شلوغ می شود و حوزه هم که رسالتش فقه آل محمد صَلّی الله عَلیهِ و آله و سَلَّم هست ، این است که عملاً درس علامه طباطبائی را تعطیل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هم بدون اینکه اعتراض کنند یا چیزی بگویند ، این را پذیرفته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درس شفا گذاشته شد </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187" w:name="__RefHeading___Toc4158890_2870459653"/>
      <w:bookmarkStart w:id="188" w:name="_Toc72"/>
      <w:bookmarkEnd w:id="187"/>
      <w:r>
        <w:rPr/>
        <w:t>4</w:t>
      </w:r>
      <w:r>
        <w:rPr>
          <w:rtl w:val="true"/>
        </w:rPr>
        <w:t>-</w:t>
      </w:r>
      <w:r>
        <w:rPr>
          <w:rtl w:val="true"/>
        </w:rPr>
        <w:t>آیت الله جوادی آملی</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با حساسیت هایی که نسبت به علوم معقول پدید آمده بود ، دروس حضرت علامه طباطبایی تعطیل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در شبی بارانی به اتفاق بعضی از اعاظم درس فلسفه به منزل علامه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کوچه ارک نزدیک منزل آیة الله سید احمد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مستاجر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تقاضا کردیم که درس اسفار را مجددا شروع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ادامه تدریس اسفار مناسب و لازم است و ثانیاً من به حافظ تفال زدم و این غزل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آن رندم که ترک شاهد و ساغر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داند که من این کارها کمتر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بر این اساس عزم ایشان جزم شد و ادامه درس را پی گرفت </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89" w:name="__RefHeading___Toc4158892_2870459653"/>
      <w:bookmarkStart w:id="190" w:name="_Toc73"/>
      <w:bookmarkEnd w:id="189"/>
      <w:r>
        <w:rPr/>
        <w:t>5</w:t>
      </w:r>
      <w:r>
        <w:rPr>
          <w:rtl w:val="true"/>
        </w:rPr>
        <w:t xml:space="preserve"> -</w:t>
      </w:r>
      <w:r>
        <w:rPr>
          <w:rtl w:val="true"/>
        </w:rPr>
        <w:t>استاد علی حجتی کرمانی</w:t>
      </w:r>
      <w:bookmarkEnd w:id="19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فلسفه و تفسیر علامه طباطبائی ، روز به روز اوج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درس فلسفه علامه طباطبائی ، آیت الله منتظری نیز درس منظومه ای در مدرس مدرسه فیضیه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آن بیان جاذبی که داشت ، به خوبی از عهده منظومه بر می آمد و این خیلی امید بخش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زیادی شرکت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تمام مدرس پر می شد و حتی </w:t>
      </w:r>
      <w:bookmarkStart w:id="191" w:name="pg9221_92166"/>
    </w:p>
    <w:p>
      <w:pPr>
        <w:pStyle w:val="BookText"/>
        <w:rPr/>
      </w:pPr>
      <w:bookmarkEnd w:id="191"/>
      <w:r>
        <w:rPr>
          <w:rFonts w:ascii="IRNazanin" w:hAnsi="IRNazanin" w:eastAsia="IRNazanin"/>
          <w:color w:val="111111"/>
          <w:sz w:val="28"/>
          <w:sz w:val="28"/>
          <w:szCs w:val="28"/>
          <w:rtl w:val="true"/>
          <w:lang w:bidi="fa-IR"/>
        </w:rPr>
        <w:t xml:space="preserve">عده ای در بیرون می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درس منظومه دوام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از افرادی که ضد فلسفه بودند و یا اغراض دیگری داشتند ، نزد آیت الله بروجردی رفتند و ایشان را شدیداً تحت تأثیر قرار دادند ، به طوری که آقای منتظری درس منظومه را تعطیل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هم با اینکه درس فلسفه اش را تعطیل نکرد ، اما آن را محدود کرد </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92" w:name="__RefHeading___Toc4158894_2870459653"/>
      <w:bookmarkStart w:id="193" w:name="_Toc74"/>
      <w:bookmarkEnd w:id="192"/>
      <w:r>
        <w:rPr/>
        <w:t>6</w:t>
      </w:r>
      <w:r>
        <w:rPr>
          <w:rtl w:val="true"/>
        </w:rPr>
        <w:t>-</w:t>
      </w:r>
      <w:r>
        <w:rPr>
          <w:rtl w:val="true"/>
        </w:rPr>
        <w:t>آیت الله حسین حقانی زنجانی</w:t>
      </w:r>
      <w:bookmarkEnd w:id="193"/>
    </w:p>
    <w:p>
      <w:pPr>
        <w:pStyle w:val="BookText"/>
        <w:rPr/>
      </w:pPr>
      <w:r>
        <w:rPr>
          <w:rFonts w:ascii="IRNazanin" w:hAnsi="IRNazanin" w:eastAsia="IRNazanin"/>
          <w:color w:val="111111"/>
          <w:sz w:val="28"/>
          <w:sz w:val="28"/>
          <w:szCs w:val="28"/>
          <w:rtl w:val="true"/>
          <w:lang w:bidi="fa-IR"/>
        </w:rPr>
        <w:t xml:space="preserve">ایشان نیز در مقدمه شرح نهاية الحكمة استاد خویش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های مرموزی بود که سر راه خدمات اسلامی و فلسفی مرحوم علامه طباطبائی مانع ایجاد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مواردی در حوزه علمیه قم پیش آمد که نزدیک بود نه تنها حوزه را از فیض افاضات مرحوم علامه طباطبائی بی نصیب کنند بلکه ایشان را اصولاً حذف و حیثیت آن مرحوم را یکباره برباد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موج در زمان مرحوم آیة الله بروجردی از نجف اشرف به همراهی عده ای در قم با انتشار اعلامیه ای علیه آن مرحوم شروع گردید به این بهانه که او مدافع فلسفه بوده و در پاورقی بحارالانوار دفاع از فلسفه نموده و اسفار و شفاء تدریس می کردند تا آنجا که ایشان مجبور شد اسفار صدرالمتألهین را که یک درس فلسفه عالی بوده ، برای مدتی تعطیل کنند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با توجه به شناختی که مرحوم آیة الله بروجردی از مرحوم طباطبائی داشتند با کمک عده ای از بزرگان مثل مرحوم آیة الله سید احمد زنجانی و غیر آن این توطئه نه تنها اثری نبخشید بلکه در این ایام بحرانی نیز برکت آفرید و عده ای از بزرگان حوزه موفق شدند از محضر درس ایشان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کامل ببرند و خود من نیز از آن عده بودم عده بودم که در این فرصت بحرانی از محضر درس ایشان در مورد شفای بوعلی در مسجد سلماسی همراه برخی از بزرگان و شیفتگان فلسفه استفاده بردم </w:t>
      </w:r>
      <w:r>
        <w:rPr>
          <w:rFonts w:eastAsia="IRNazanin" w:cs="IRNazanin"/>
          <w:color w:val="111111"/>
          <w:sz w:val="28"/>
          <w:szCs w:val="28"/>
          <w:rtl w:val="true"/>
          <w:lang w:bidi="fa-IR"/>
        </w:rPr>
        <w:t xml:space="preserve">.» </w:t>
      </w:r>
      <w:r>
        <w:rPr>
          <w:rStyle w:val="FootnoteAnchor"/>
          <w:rtl w:val="true"/>
        </w:rPr>
        <w:footnoteReference w:id="153"/>
      </w:r>
      <w:bookmarkStart w:id="194" w:name="pg9221_92167"/>
    </w:p>
    <w:p>
      <w:pPr>
        <w:pStyle w:val="Heading4"/>
        <w:numPr>
          <w:ilvl w:val="3"/>
          <w:numId w:val="1"/>
        </w:numPr>
        <w:rPr/>
      </w:pPr>
      <w:bookmarkStart w:id="195" w:name="__RefHeading___Toc4158896_2870459653"/>
      <w:bookmarkStart w:id="196" w:name="_Toc75"/>
      <w:bookmarkEnd w:id="194"/>
      <w:bookmarkEnd w:id="195"/>
      <w:r>
        <w:rPr/>
        <w:t>7</w:t>
      </w:r>
      <w:r>
        <w:rPr>
          <w:rtl w:val="true"/>
        </w:rPr>
        <w:t>-</w:t>
      </w:r>
      <w:r>
        <w:rPr>
          <w:rtl w:val="true"/>
        </w:rPr>
        <w:t>آیت الله خامنه ای</w:t>
      </w:r>
      <w:bookmarkEnd w:id="196"/>
    </w:p>
    <w:p>
      <w:pPr>
        <w:pStyle w:val="BookText"/>
        <w:rPr/>
      </w:pPr>
      <w:r>
        <w:rPr>
          <w:rFonts w:ascii="IRNazanin" w:hAnsi="IRNazanin" w:eastAsia="IRNazanin"/>
          <w:color w:val="111111"/>
          <w:sz w:val="28"/>
          <w:sz w:val="28"/>
          <w:szCs w:val="28"/>
          <w:rtl w:val="true"/>
          <w:lang w:bidi="fa-IR"/>
        </w:rPr>
        <w:t xml:space="preserve">آیت الله خامنه ای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تحصیلات دینی به قم رفته و در دروس آیت الله بروجردی و علامه طباطبایی حاضر شده است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ایشان در بیانات خود در دیدار گروهی از فضلای حوزه علمیه قم به تاریخ </w:t>
      </w:r>
      <w:r>
        <w:rPr>
          <w:rFonts w:eastAsia="IRNazanin" w:cs="IRNazanin"/>
          <w:color w:val="111111"/>
          <w:sz w:val="28"/>
          <w:szCs w:val="28"/>
          <w:lang w:bidi="fa-IR"/>
        </w:rPr>
        <w:t>1389/10/29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در حوزۀ قم با فلسفه و وجود مرحوم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درس اسفار ایشان به دستور تعطیل گردید و ایشان مجبور شد شفا تدریس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اخیر قم مرکز حوزۀ فلسفی ما بوده است ؛ آقای طباطبایی هم انسان کاملاً متشرع ، مواظب ، دائم الذكر، متعبد ، اهل تفسیر و اهل حدیث بوده ؛ از آن قلندرمآبهای آن طوری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جلسات خصوصی را کاری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علمی و فقه و اصولش هم طوری نبوده که کسی بتواند آنها را انکار کند ؛ در عین حال کسی مثل آقای طباطبایی که جرأت کرد و فلسفه را ادامه داد و عقب نزده این طور مورد تهاجم قرار گرفت </w:t>
      </w:r>
      <w:r>
        <w:rPr>
          <w:rFonts w:eastAsia="IRNazanin" w:cs="IRNazanin"/>
          <w:color w:val="111111"/>
          <w:sz w:val="28"/>
          <w:szCs w:val="28"/>
          <w:rtl w:val="true"/>
          <w:lang w:bidi="fa-IR"/>
        </w:rPr>
        <w:t>.»</w:t>
      </w:r>
    </w:p>
    <w:p>
      <w:pPr>
        <w:pStyle w:val="Heading4"/>
        <w:numPr>
          <w:ilvl w:val="3"/>
          <w:numId w:val="1"/>
        </w:numPr>
        <w:rPr/>
      </w:pPr>
      <w:bookmarkStart w:id="197" w:name="__RefHeading___Toc4158898_2870459653"/>
      <w:bookmarkStart w:id="198" w:name="_Toc76"/>
      <w:bookmarkEnd w:id="197"/>
      <w:r>
        <w:rPr/>
        <w:t>8</w:t>
      </w:r>
      <w:r>
        <w:rPr>
          <w:rtl w:val="true"/>
        </w:rPr>
        <w:t>-</w:t>
      </w:r>
      <w:r>
        <w:rPr>
          <w:rtl w:val="true"/>
        </w:rPr>
        <w:t>آیت الله سید هادی خسروشاهی</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ما در حوزه علمیه قم ، بیشتر منظومه سبزواری در منطق و حکمت تدریس می شد ، ولی متأسفانه تدریس اسفار ملاصدرا ، چه توسط امام خمینی و چه علامه طباطبایی ، با عکس العمل های منفی ، حتی تا مرز 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کشیدن لیوان فرزند امام به خاطر تدریس فلسفه توسط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امام تدریس فلسفه را رها کرد و علامه طباطبایی هم مدتی آن را به صلاحدید آیت الله بروجردی متوقف ساخت </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199" w:name="__RefHeading___Toc4158900_2870459653"/>
      <w:bookmarkStart w:id="200" w:name="_Toc77"/>
      <w:bookmarkEnd w:id="199"/>
      <w:r>
        <w:rPr/>
        <w:t>9</w:t>
      </w:r>
      <w:r>
        <w:rPr>
          <w:rtl w:val="true"/>
        </w:rPr>
        <w:t>-</w:t>
      </w:r>
      <w:r>
        <w:rPr>
          <w:rtl w:val="true"/>
        </w:rPr>
        <w:t>آیت الله خوشوقت</w:t>
      </w:r>
      <w:bookmarkEnd w:id="2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علی اکبر 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شورای حوزه های علمیه 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1389/10/28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گفتگویی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ارباب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آیت الله خوشوقت انجام داده اند که متن </w:t>
      </w:r>
      <w:bookmarkStart w:id="201" w:name="pg9221_92168"/>
    </w:p>
    <w:p>
      <w:pPr>
        <w:pStyle w:val="BookText"/>
        <w:rPr/>
      </w:pPr>
      <w:bookmarkEnd w:id="201"/>
      <w:r>
        <w:rPr>
          <w:rFonts w:ascii="IRNazanin" w:hAnsi="IRNazanin" w:eastAsia="IRNazanin"/>
          <w:color w:val="111111"/>
          <w:sz w:val="28"/>
          <w:sz w:val="28"/>
          <w:szCs w:val="28"/>
          <w:rtl w:val="true"/>
          <w:lang w:bidi="fa-IR"/>
        </w:rPr>
        <w:t xml:space="preserve">کامل آن در پایگاه اینترنتی مدیریت حوزه علمیه تهران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خوشوقت در پاسخ به سوال آقای رشاد درباره تعطیلی درس علامه طباطبایی چنین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حادثه یک پیشینه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مشهد و نجف که با فلسفه و عرفان مخالف بودند ، طوماری امضا کردند و به آیت الله بروجردی دادند که در زمان ریاست شما نباید چنین حرف های کفرآمیزی در حوزه مطرح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ایشان هم این طور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این را برای من تعریف کردند که آیت الله بروجردی فرمودند ریاست و حوزه من روی دوش عبا به دوش ها اداره می شود ، این ها می گویند نه و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پیش جهانگیرخان اسفار خوانده ام اما اینطور راضی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آوردند و تعطیل کردند ، حتی درس آقای منتظری را هم تعطیل کردند که ایشان بیشتر منظومه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خارج اسفار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درس امام هم همه راه نداشتند و تعداد کمی مثل مرحوم آقای مطهری ، آقای منتظری و چند نفر دیگر بودند و در حجره آقای مطهری هم ایشان درس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ایشان هم بیشتر مخلوط با عرفان نظری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تخصص ایشان در عرفان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منتظر بودند که راه حلی پیش بیاید و درس تعطیل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مرحوم آقای فلسفی از طرف بعضی از علمای تهران پیغامی به مرحوم آیت الله بروجردی آوردند و ایشان منصرف شدند </w:t>
      </w:r>
      <w:r>
        <w:rPr>
          <w:rFonts w:eastAsia="IRNazanin" w:cs="IRNazanin"/>
          <w:color w:val="111111"/>
          <w:sz w:val="28"/>
          <w:szCs w:val="28"/>
          <w:rtl w:val="true"/>
          <w:lang w:bidi="fa-IR"/>
        </w:rPr>
        <w:t>.»</w:t>
      </w:r>
    </w:p>
    <w:p>
      <w:pPr>
        <w:pStyle w:val="Heading4"/>
        <w:numPr>
          <w:ilvl w:val="3"/>
          <w:numId w:val="1"/>
        </w:numPr>
        <w:rPr/>
      </w:pPr>
      <w:bookmarkStart w:id="202" w:name="__RefHeading___Toc4158902_2870459653"/>
      <w:bookmarkStart w:id="203" w:name="_Toc78"/>
      <w:bookmarkEnd w:id="202"/>
      <w:r>
        <w:rPr/>
        <w:t>10</w:t>
      </w:r>
      <w:r>
        <w:rPr>
          <w:rtl w:val="true"/>
        </w:rPr>
        <w:t>-</w:t>
      </w:r>
      <w:r>
        <w:rPr>
          <w:rtl w:val="true"/>
        </w:rPr>
        <w:t>استاد محقق ، علی دوانی</w:t>
      </w:r>
      <w:bookmarkEnd w:id="203"/>
    </w:p>
    <w:p>
      <w:pPr>
        <w:pStyle w:val="BookText"/>
        <w:rPr/>
      </w:pPr>
      <w:r>
        <w:rPr>
          <w:rFonts w:ascii="IRNazanin" w:hAnsi="IRNazanin" w:eastAsia="IRNazanin"/>
          <w:color w:val="111111"/>
          <w:sz w:val="28"/>
          <w:sz w:val="28"/>
          <w:szCs w:val="28"/>
          <w:rtl w:val="true"/>
          <w:lang w:bidi="fa-IR"/>
        </w:rPr>
        <w:t xml:space="preserve">ایشان که از نزدیک شاهد تفاصیل واقعه تعطیلی درس اسفار علامه طباطبایی بوده ، از بزرگانی است که این واقعه را با بیشترین جزئیات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ایشان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دو برخورد ناجور با آیت الله بروجردی پیدا کرد و هر دو هم کوتاهی از ایشان و حق با آیت الله بروجردی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 دوانی سپس به ماجرای تعلیقات علامه طباطبایی بر بحارالانوار پرداخته و پس از آن می نویسد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ماجرای نوشتن پاورقی ایشان بر بحار فروکش نکرده بود که گفتند آقای بروجردی فرموده اند این همه فلسفه خوانی در حوزه چه خبر </w:t>
      </w:r>
    </w:p>
    <w:p>
      <w:pPr>
        <w:pStyle w:val="BookText"/>
        <w:rPr/>
      </w:pPr>
      <w:r>
        <w:rPr>
          <w:rFonts w:ascii="IRNazanin" w:hAnsi="IRNazanin" w:eastAsia="IRNazanin"/>
          <w:color w:val="111111"/>
          <w:sz w:val="28"/>
          <w:sz w:val="28"/>
          <w:szCs w:val="28"/>
          <w:rtl w:val="true"/>
          <w:lang w:bidi="fa-IR"/>
        </w:rPr>
        <w:t xml:space="preserve">است ، و چون در اینگونه موارد اطرافیان هم آتش بیار معرکه بودند ، از آن هراس داشتیم نکند آیت الله بروجردی سخنی در منبر یا جلسه استفتا بگویند ، و آن را کش داده و ماجرای فدائیان اسلام برای علامه طباطبایی هم 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موضوع را به ایشان گفته بودند که مدتی درس فلسفه خود را ترک گویند ، گفته بود ترک نمی کنم ، هر چه باداباد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دوانی سپس ، بعد از ذکر مقدماتی به اصل داستان می 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شنیدیم به مرحوم به مرحوم آیت الله بروجردی گفته اند آقای طباطبائی با این درس مفصل حکمت و فلسفه خود که به راه انداخته ، به حوزه علمیه که بنایش بر تدریس و نشر علوم دینی فقه و اصول و حدیث است ضربت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علامه طباطبائی درس دیگری برای تفسیر قرآن داشتند که آن را در مدرسه حجتیه و گاهی هم در همان مسجد سلماسی می گفتند ، که همان نیز پایه و مایه تفسیر بزرگ ایشان المیزان را تشکیل داد ، و بعدها به موازات انتشار مجلدات آن ، بقیه را هم تدریس کردند ، و نویسنده نیز مانند بسیاری دیگر در هر دو درس استاد شرکت داشت و حاضر و ناظر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 سازی بر ضد علامه طباطبائی به جای حادی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تنی چند از ما را بر آن داشت که دست به کار شویم و به حمایت از علامه طباطبائی جلوی واقعه را قبل از وقوع بگیریم ، زیرا از آن بیم داشتیم و می ترسیدیم براثر جو سازیهائی که شده بود ، آیت الله بروجردی سخنی بگویند و رنود آن را دامن زده و برای علامه طباطبائی سخت گران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 دانستیم چه کنیم و کار را از کجا پیگیری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بنا گذاشتیم به سراغ امام خمینی برویم و چاره کار را از ایشان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ایشان هم فقیه مصلح بودند و هم حکیم و استاد بزرگ فلسفه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گفتند امام کسالت دارند و سرما خورده اند ، ولی چاره نبود و موقع از حساسیت زیادی برخوردار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همان شبها با دو سه نفر از فضلا رفتیم خدمت امام و دیدیم که دارند طبق معمول خود با قلم نی و دوات مرکبی قدیمی و خط خوش و زیبا مشغول نوشتن درس هستند که همان اوقات تدریس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فقه بود یا اصول ، سلام کردیم و نشستیم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آخرین سطر را بر روی کاغذ لیموئی رنگ صیقل زده به سبک قدما نوشتند و قلم را در جاقلمی دوات گذاشتند و ضمن احوال پرسی از ما منتظر ماندند که بدانند برای چه آمده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استاد فلسفه حوزه علمیه بوده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اثر گسترش مکتب مادی و تبلیغات الحادی تدریس فلسفه بیش از هر وقت دیگر لازم و ضروری است ، فعلاً هم آقای طباطبائی پیشرو استادانی است که در حوزه در حوزه فلسفه تدریس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ایم در نزد آیت الله بروجردی بر ضد ایشان جو سازی شده و ممکن است تصمیم حادی بگیرند و عکس العملی نشان دهند که به زیان آقای طباطبائی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از ایشان خواستیم که هر طور است با آیت الله بروجردی ملاقات نموده و اگر بتوانند ایشان را متوجه غرض ورزی های اطرافیان یا ساده اندیشان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گفتند نمی شود در این باره چیزی به آقای بروجردی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یکی از رفقا اصرار کرد ، امام با عصبانیت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کنم کسانی در منزل آقای بروجردی هستند که نمی گذارند کاری برای اسلام انجام بگیرد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لحظه ای که آرام گرفتند و ما ساکت بودیم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خودشان اهل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فلسفه و علوم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شخصاً با فلسفه مخالف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بروجرد بودند و خبر به قم رسید که گذشته از خارج فقه و اصول ، فلسفه هم تدریس می کنند ، چند نفر از مقدسین از قم بلند شدند رفتند بروجرد و کاری کردند که ایشان را وا داشتند تدریس فلسفه را ترک کنند ، مبادا به حوزه علمیه هم سرایت کند و کار به جای باریکی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از بیم هو و جنجال مقدسین آن را ترک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امام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طباطبائی مرد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ایشان با این مقام علمی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شنیده ام که این روزها خیلی ها به درس فلسفه ایشان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چقدر؟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ها در مسجد سلماسی اسفار می گویند و بنده هم می روم ، حدود دویست سیصد نفر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آشیخ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منتظری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شاگردان خاص امام بود این طور تعبیر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مسجد امام حکمت می گوید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ایشان هم شرح منظومه تدریس می کنند ، بنده هم می روم و حدود یکصد و پنجاه شاگرد فلسفه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یکی از فضلای حاضر که او نیز از شاگردان معروف امام بود و امروز هم از اساتید خارج قم و استاد فلسفه هستند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شنیده ام فلسفه می گوئی ؟</w:t>
      </w:r>
    </w:p>
    <w:p>
      <w:pPr>
        <w:pStyle w:val="BookText"/>
        <w:rPr/>
      </w:pPr>
      <w:r>
        <w:rPr>
          <w:rFonts w:ascii="IRNazanin" w:hAnsi="IRNazanin" w:eastAsia="IRNazanin"/>
          <w:color w:val="111111"/>
          <w:sz w:val="28"/>
          <w:sz w:val="28"/>
          <w:szCs w:val="28"/>
          <w:rtl w:val="true"/>
          <w:lang w:bidi="fa-IR"/>
        </w:rPr>
        <w:t xml:space="preserve">فاضل مزبور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پای درس تو می آیند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پنجاه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اینجا با ناراحتی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حوزه های علمی شیعه اینقدر فلسفه خوان داشته است آیا اینها همه فلسفه را می فهمند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در طول تاریخ خود قاچاق بوده ، و باید به صورت قاچاق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حوزه های علمیه ، نه این قدر زیاد و برای همه کس درس بگوئید و اجازه بدهید همه بیایند بنشینند ، مگر همه اینها اهل هستند ؟ کسانی که شایستگی برای خواندن فلسفه دارند به طوری که منحرف نشوند ، کمند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در صحن حضرت معصومه عَلیهِما السَّلام حکمت درس می گفتم ، حجره ای انتخاب کرده بودم که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چنان جائی را انتخاب کرده بودم که بیشتر نیایند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که می آمدند و افراد خاص و شناخته شده ای بودند هم می گفتم درس مرا بنویسید بیاورید ، اگر دیدم فهمیده اید ، اجازه می دهم بیائید وگرنه شما نباید فلسفه بخوانید ، چون مطالب را درک نمی کنید و باعث زحمت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زحمت خودتان و هم زحمت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خواهید گفت ما پیش فلانی فلسفه خوانده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 جای آقای بروجردی و رئیس و سرپرست حوزه بودم ، از این همه فلسفه گفتن ، آن هم به این زیادی و به صورت کاملاً علنی ، احساس مسئولیت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حوزه برای فقه و اصول و حدیث و تفسیر و علوم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کنار آن هم عده ای که مستعد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 روزها می توانند با حفظ شرائط و رعایت وضع حوزه و مسئولیتی که فقیه مرجع مسئول حوزه دارد ، معقول بخوانند که کمک به علوم دینی آنها بکند و بتوانند در برابر خصم مسلح باشند ، ولی نه با این وسعت و این همه سر و صدا از درس و بحث و چاپ و نشر کتب فلسفه آن هم در حوزه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را نمی شود دید ، آن هم برای این کار ، نمی گذارند آن طور که می خواهید مطالب را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خوبست آقای طباطبائی چند ماهی تمارض کنند و درس فلسفه را تعطیل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بروند مسافرت تا وضع فعلی قدری آرام بگیرد ، و بعد که برگشتند برای عده کمتری و در جای کناری درس خود را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آشیخ حسینعلی هم درس فلسفه را کمتر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صلاح در این است تا بعد چه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شاگرد فاضل حاضر هم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یا نگو یا چند ماهی تعطیل کن تا سر و صدا بخوابد ، ولی او که ذاتاً قدری جسور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تعطیل نمی کنم هر چه می خواهد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خود فلسفه می گفت و هم شاگرد علامه طباطبائی بود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سوی ناراحت بود ، ولی امام با کمی عصبانیت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گفتم ، جوانی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مرجع مسئول حوزه نمی شود 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 است بشنو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برخاستیم و خداحافظی کردیم و رفتیم و یکی دو روز بعد جریان را به استاد فقید علامه طباطبائی گفتیم ، و ایشان هم که اول حاضر به این کار نبودند سرانجام قبول کردند و به مسافرت رفتند و قضیه خاتمه یافت ، و مغرضین یا مصلحین خیر اندیش هم به منظور خود نرسیدند </w:t>
      </w:r>
      <w:r>
        <w:rPr>
          <w:rFonts w:eastAsia="IRNazanin" w:cs="IRNazanin"/>
          <w:color w:val="111111"/>
          <w:sz w:val="28"/>
          <w:szCs w:val="28"/>
          <w:rtl w:val="true"/>
          <w:lang w:bidi="fa-IR"/>
        </w:rPr>
        <w:t xml:space="preserve">.» </w:t>
      </w:r>
      <w:r>
        <w:rPr>
          <w:rStyle w:val="FootnoteAnchor"/>
          <w:rtl w:val="true"/>
        </w:rPr>
        <w:footnoteReference w:id="156"/>
      </w:r>
      <w:bookmarkStart w:id="204" w:name="pg9221_92173"/>
    </w:p>
    <w:p>
      <w:pPr>
        <w:pStyle w:val="Heading4"/>
        <w:numPr>
          <w:ilvl w:val="3"/>
          <w:numId w:val="1"/>
        </w:numPr>
        <w:rPr/>
      </w:pPr>
      <w:bookmarkStart w:id="205" w:name="__RefHeading___Toc4158904_2870459653"/>
      <w:bookmarkStart w:id="206" w:name="_Toc79"/>
      <w:bookmarkEnd w:id="204"/>
      <w:bookmarkEnd w:id="205"/>
      <w:r>
        <w:rPr/>
        <w:t>11</w:t>
      </w:r>
      <w:r>
        <w:rPr>
          <w:rtl w:val="true"/>
        </w:rPr>
        <w:t>-</w:t>
      </w:r>
      <w:r>
        <w:rPr>
          <w:rtl w:val="true"/>
        </w:rPr>
        <w:t>آیت الله شبیری زنجانی</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آقای طباطبایی درس اسفار را به صورت عمومی شروع کردند ، از مشهد برای آقای بروجردی نامه هایی نوشتند که اگر فلسفه در حوزه رواج پیدا کند برای حوزه خطر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محمدرضا سعیدی هم دنبال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هم جلوی درس عمومی اسفار آقای طباطبایی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خمینی هم مراجعه کردند ، ایشان هم فرموده بود که حق با آقای بروجردی است ، این درس ها نباید عمومی بشود </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207" w:name="__RefHeading___Toc4158906_2870459653"/>
      <w:bookmarkStart w:id="208" w:name="_Toc80"/>
      <w:bookmarkEnd w:id="207"/>
      <w:r>
        <w:rPr/>
        <w:t>12</w:t>
      </w:r>
      <w:r>
        <w:rPr>
          <w:rtl w:val="true"/>
        </w:rPr>
        <w:t>-</w:t>
      </w:r>
      <w:r>
        <w:rPr>
          <w:rtl w:val="true"/>
        </w:rPr>
        <w:t>صالحی نجف آبادی</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بروجردی با فلسفه مخالف نبود ، فقط با تدریس اسفار مخالف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آقای طباطبائی پیغام داده بود که اسفار برای طلبه ها خوب نیست ، شما اگر فلسفه می گویید ، شفای بوعلی را تدریس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منتظری برای من نقل می کرد که من دیدم وضعیت خیلی ناجور شده ، آقای بروجردی اصرار دارد که اسفار نباید در حوزه علمیه قم تدریس شود ، فلسفه باید باشد ؛ شفای بوعلی باشد ؛ کتاب های دیگر باشد ، اما اسفار نباید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طباطبائی هم محکم ایستاد که اسفار باید باشد و کار به جای باریک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آقای بروجردی دستور داد شهریه کسانی که اسفار می روند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طباطبایی هم خیلی رنجید و ناراحت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طلبه های اسفارخوان را برمی دارم و به اطراف قم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وضعی است که اینها در آورده اند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منتظری می گفت من یک روز نزد آقای بروجردی رفتم و به ایشان گفتم که چرا دستور داده اید شهریه کسانی که اسفار می خوانند قطع بشود ؟ این اثر بدی در حوزه گذاشته ، و آقای طباطبایی هم عصبانی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علت مخالفت شما چیست ؟ آقای بروجردی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فلسفه مخالف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بخوانند ، شفای بوعلی </w:t>
      </w:r>
      <w:bookmarkStart w:id="209" w:name="pg9221_92174"/>
    </w:p>
    <w:p>
      <w:pPr>
        <w:pStyle w:val="BookText"/>
        <w:rPr/>
      </w:pPr>
      <w:bookmarkEnd w:id="209"/>
      <w:r>
        <w:rPr>
          <w:rFonts w:ascii="IRNazanin" w:hAnsi="IRNazanin" w:eastAsia="IRNazanin"/>
          <w:color w:val="111111"/>
          <w:sz w:val="28"/>
          <w:sz w:val="28"/>
          <w:szCs w:val="28"/>
          <w:rtl w:val="true"/>
          <w:lang w:bidi="fa-IR"/>
        </w:rPr>
        <w:t xml:space="preserve">بخوانند ، ولی اسفار نخوانند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چرا اسفار نخوانند ؟ گفت که اسفارافکار درویشی را القاء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افکار درویشی ، فلسفه نیست و طلبه ها چون قوی نیستند و نمی توانند حق و باطل را از هم تمیز بدهند ، نباید اسفار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اینها مخالفم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به چه مجوزی شهریه ای که سهم امام است ، به کسانی بدهم که درسی را می خوانند که من آن را مشروع نمی دانم ؟ به این علت بود که دستور داده ام به اینها شهریه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بعدها این قضیه اصلاح شد ؛ یعنی آقای طباطبائی همچنان به کارش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آقای بروجردی این بود که افکار درویشی نباید به طلبه ها القاء شود </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210" w:name="__RefHeading___Toc4158908_2870459653"/>
      <w:bookmarkStart w:id="211" w:name="_Toc81"/>
      <w:bookmarkEnd w:id="210"/>
      <w:r>
        <w:rPr/>
        <w:t>13</w:t>
      </w:r>
      <w:r>
        <w:rPr>
          <w:rtl w:val="true"/>
        </w:rPr>
        <w:t>-</w:t>
      </w:r>
      <w:r>
        <w:rPr>
          <w:rtl w:val="true"/>
        </w:rPr>
        <w:t>آیت الله علی عراقچی</w:t>
      </w:r>
      <w:bookmarkEnd w:id="21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 هست یک شب درس فلسفه در منزل شهید بهشتی بود ، وقتی وارد منزل شدم و نشستم ، هنوز استاد تشریف نیاورده بودند ، دیدم صحبت بر سر موضوع اخیر است که با موضع گیری آیت الله بروجردی که نهی فلسفه فرمودند چه کنیم ؟ چون ایشان رئیس حوزه است ، مرجع کل جهان اسلام و تشیع است ؛ مرجعیت مطلق دارد ، چه باید کرد ؟ روش عقلایی چیست ؟ آن طوری که یادم هست این بحث ها میان آقای بهشتی و آقای سید ابراهیم خسروشاهی رد و بدل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خسروشاهی داماد مرحوم حاج شیخ عباس تهرانی و از شاگردان سرشناس درس فلسفه علامه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گذشت حضرت علامه تشریف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نشستند از فضای جلسه فهمیدند یک صحبت هایی هست ، فرمودند چی شده ؟ گفتند در مورد واقعه اخیر صحبت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فردا به درس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درس عمومی فلسفه بود که در مسجد سلماسی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ایشان با آقای بروجردی صحبت کردند و آقای بروجردی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می خواهید تدریس کنید ، حداقل اسفار را مدتی تعطیل کنید و فعلاً شفای بوعلی را </w:t>
      </w:r>
      <w:bookmarkStart w:id="212" w:name="pg9221_92175"/>
    </w:p>
    <w:p>
      <w:pPr>
        <w:pStyle w:val="BookText"/>
        <w:rPr/>
      </w:pPr>
      <w:bookmarkEnd w:id="212"/>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هم قبول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بود که اسفار مقداری با مسائل عرفانی آمیخته است و مخالفین هم بیشتر با عرفان مخالفت داشتند تا با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عرفان بیشتر به ذوقیات تکیه دارد و خیلی برهانی نیست و گاهی نیز با کشف و مکاشفه سروکار دارد ، ولی کتاب شفا 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پیشنهاد آقای بروجردی می توان استفاده کرد که ایشان مخالف این مسائل نبوده و فقط می خواستند به گونه ای این سر و صداها و مخالفت ها برچیده بشود </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213" w:name="__RefHeading___Toc4158910_2870459653"/>
      <w:bookmarkStart w:id="214" w:name="_Toc82"/>
      <w:bookmarkEnd w:id="213"/>
      <w:r>
        <w:rPr/>
        <w:t>14</w:t>
      </w:r>
      <w:r>
        <w:rPr>
          <w:rtl w:val="true"/>
        </w:rPr>
        <w:t>-</w:t>
      </w:r>
      <w:r>
        <w:rPr>
          <w:rtl w:val="true"/>
        </w:rPr>
        <w:t>آیت الله گرامی</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بروجردی در اصفهان فلسفه تدریس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ایشان در فقه ، آقای درچه ای با فلسفه خیلی مخالف بود ، ولی سایر اساتیدشان مثل جهانگیر خان اینگونه نبوده اند اما خود آقای بروجردی زمانی مانع تدریس فلسفه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که زیر فشار جو نجف و مشهد قرار داشت ، به آقای طباطبائی پیغام داد که بیایید ، من با شما کار دارم ، آقای طباطبائی هم خودش فهمیده بود که قضیه از چه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ایشان رفتم و مجموعه ای از نامه هایی که از داخل و خارج کشور داشتم و سؤالاتی که درباره اصول عقاید و غیره بود ، همراه خود بردم و جلوی آقای بروجردی ریختم و گفتم اینها را با چه چیزی باید جواب بدهیم ، آیا 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و با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بروجردی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دارم ولی خودم از جای دیگر تحت فشار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ما این بود که ایشان هم از نجف ، به خصوص از طرف آقای اصطهباناتی و گروه او و هم از مشهد و از طرف کسانی مثل شاگردان مرحوم میرزا مهدی تحت فشار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شنیده اید که وقتی امام تفسیر سورۀ حمد را شروع کردند ، از مشهد به ایشان پیغام هایی داده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بود به این مضمون که شما باز همان حرف ها را تکرار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آقای طباطبائی به خواست ایشان درس اسفار را تعطیل کردند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را شروع کردند </w:t>
      </w:r>
      <w:r>
        <w:rPr>
          <w:rFonts w:eastAsia="IRNazanin" w:cs="IRNazanin"/>
          <w:color w:val="111111"/>
          <w:sz w:val="28"/>
          <w:szCs w:val="28"/>
          <w:rtl w:val="true"/>
          <w:lang w:bidi="fa-IR"/>
        </w:rPr>
        <w:t xml:space="preserve">.» </w:t>
      </w:r>
      <w:r>
        <w:rPr>
          <w:rStyle w:val="FootnoteAnchor"/>
          <w:rtl w:val="true"/>
        </w:rPr>
        <w:footnoteReference w:id="160"/>
      </w:r>
      <w:bookmarkStart w:id="215" w:name="pg9221_92176"/>
    </w:p>
    <w:p>
      <w:pPr>
        <w:pStyle w:val="Heading4"/>
        <w:numPr>
          <w:ilvl w:val="3"/>
          <w:numId w:val="1"/>
        </w:numPr>
        <w:rPr/>
      </w:pPr>
      <w:bookmarkStart w:id="216" w:name="__RefHeading___Toc4158912_2870459653"/>
      <w:bookmarkStart w:id="217" w:name="_Toc83"/>
      <w:bookmarkEnd w:id="215"/>
      <w:bookmarkEnd w:id="216"/>
      <w:r>
        <w:rPr/>
        <w:t>15</w:t>
      </w:r>
      <w:r>
        <w:rPr>
          <w:rtl w:val="true"/>
        </w:rPr>
        <w:t>-</w:t>
      </w:r>
      <w:r>
        <w:rPr>
          <w:rtl w:val="true"/>
        </w:rPr>
        <w:t>آیت الله علی اصغر مروارید</w:t>
      </w:r>
      <w:bookmarkEnd w:id="217"/>
    </w:p>
    <w:p>
      <w:pPr>
        <w:pStyle w:val="BookText"/>
        <w:rPr/>
      </w:pPr>
      <w:r>
        <w:rPr>
          <w:rFonts w:ascii="IRNazanin" w:hAnsi="IRNazanin" w:eastAsia="IRNazanin"/>
          <w:color w:val="111111"/>
          <w:sz w:val="28"/>
          <w:sz w:val="28"/>
          <w:szCs w:val="28"/>
          <w:rtl w:val="true"/>
          <w:lang w:bidi="fa-IR"/>
        </w:rPr>
        <w:t xml:space="preserve">ایشان که از شاگردان درس فلسفه علامه طباطبایی بوده ، پس از بحث مفصل پیرامون حاشیه علامه بر بحارالانوار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سر و صداهایی که راجع به بحار به وجود آمد ، درس فلسفه تعطیل شد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روشن است که در نقل ایشان بین دو واقعه به دلیل نزدیکی زمان وقوع آن دو خلط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فلسفه پس از سر و صداهای راجع به تدریس اسفار تعطیل شد ، نه پس از موضوع تعلیقه بر بحار </w:t>
      </w:r>
      <w:r>
        <w:rPr>
          <w:rFonts w:eastAsia="IRNazanin" w:cs="IRNazanin"/>
          <w:color w:val="111111"/>
          <w:sz w:val="28"/>
          <w:szCs w:val="28"/>
          <w:rtl w:val="true"/>
          <w:lang w:bidi="fa-IR"/>
        </w:rPr>
        <w:t>.</w:t>
      </w:r>
    </w:p>
    <w:p>
      <w:pPr>
        <w:pStyle w:val="Heading4"/>
        <w:numPr>
          <w:ilvl w:val="3"/>
          <w:numId w:val="1"/>
        </w:numPr>
        <w:rPr/>
      </w:pPr>
      <w:bookmarkStart w:id="218" w:name="__RefHeading___Toc4158914_2870459653"/>
      <w:bookmarkStart w:id="219" w:name="_Toc84"/>
      <w:bookmarkEnd w:id="218"/>
      <w:r>
        <w:rPr/>
        <w:t>16</w:t>
      </w:r>
      <w:r>
        <w:rPr>
          <w:rtl w:val="true"/>
        </w:rPr>
        <w:t>-</w:t>
      </w:r>
      <w:r>
        <w:rPr>
          <w:rtl w:val="true"/>
        </w:rPr>
        <w:t>آیت الله مظاهری</w:t>
      </w:r>
      <w:bookmarkEnd w:id="219"/>
    </w:p>
    <w:p>
      <w:pPr>
        <w:pStyle w:val="BookText"/>
        <w:rPr/>
      </w:pPr>
      <w:r>
        <w:rPr>
          <w:rFonts w:ascii="IRNazanin" w:hAnsi="IRNazanin" w:eastAsia="IRNazanin"/>
          <w:color w:val="111111"/>
          <w:sz w:val="28"/>
          <w:sz w:val="28"/>
          <w:szCs w:val="28"/>
          <w:rtl w:val="true"/>
          <w:lang w:bidi="fa-IR"/>
        </w:rPr>
        <w:t xml:space="preserve">ایشان در درس خارج اصول خود به تاریخ </w:t>
      </w:r>
      <w:r>
        <w:rPr>
          <w:rFonts w:eastAsia="IRNazanin" w:cs="IRNazanin"/>
          <w:color w:val="111111"/>
          <w:sz w:val="28"/>
          <w:szCs w:val="28"/>
          <w:lang w:bidi="fa-IR"/>
        </w:rPr>
        <w:t>1392/7/15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 را معمولا شما آقایان قبولشان ندارید مخصوصاً نجفی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فراموش نمی کنم خاطره تلخی برای ما جلو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اسفار می خواندیم پیش استاد عزیزمان علامه طباطبائی و نجف نگذاشت این اسفار ما تمام بشود جلد معادش ماند البته آقای طباطبائی شفا شروع کردند جبران کردند مرادم اینجاست که نجف قم را تکفیر کرد به عنوان فلسفه خواندن و این که فلسفه ملاصدرا حرف های محیی الدین عربی همه این ها کفر است پس فلسفه کفر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بروجردی خودشان فیلسوف خوبی بودند اما برای خاطر حوزه برای خاطر احترام به علمای نجف دستور دادند آقای طباطبایی باید فلسفه نگوید ایشان هم خب دیگر به دستور آقا فلسفه در قم تعطیل شد البته بعد با آن درایتی که آقای طباطبایی داشتند آهسته آهسته دو دفعه شروع کردند به جوری که سر و صدا درست نشود حرف آقای بروجردی هم زمین نخورد </w:t>
      </w:r>
      <w:r>
        <w:rPr>
          <w:rFonts w:eastAsia="IRNazanin" w:cs="IRNazanin"/>
          <w:color w:val="111111"/>
          <w:sz w:val="28"/>
          <w:szCs w:val="28"/>
          <w:rtl w:val="true"/>
          <w:lang w:bidi="fa-IR"/>
        </w:rPr>
        <w:t xml:space="preserve">.» </w:t>
      </w:r>
      <w:r>
        <w:rPr>
          <w:rStyle w:val="FootnoteAnchor"/>
          <w:rtl w:val="true"/>
        </w:rPr>
        <w:footnoteReference w:id="162"/>
      </w:r>
      <w:bookmarkStart w:id="220" w:name="pg9221_92177"/>
    </w:p>
    <w:p>
      <w:pPr>
        <w:pStyle w:val="Heading4"/>
        <w:numPr>
          <w:ilvl w:val="3"/>
          <w:numId w:val="1"/>
        </w:numPr>
        <w:rPr/>
      </w:pPr>
      <w:bookmarkStart w:id="221" w:name="__RefHeading___Toc4158916_2870459653"/>
      <w:bookmarkStart w:id="222" w:name="_Toc85"/>
      <w:bookmarkEnd w:id="220"/>
      <w:bookmarkEnd w:id="221"/>
      <w:r>
        <w:rPr/>
        <w:t>17</w:t>
      </w:r>
      <w:r>
        <w:rPr>
          <w:rtl w:val="true"/>
        </w:rPr>
        <w:t>-</w:t>
      </w:r>
      <w:r>
        <w:rPr>
          <w:rtl w:val="true"/>
        </w:rPr>
        <w:t>آیت الله منتظری</w:t>
      </w:r>
      <w:bookmarkEnd w:id="222"/>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با مجله حوزه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آیة الله بروجردی با حکمت و فلسفه مخالف بوده است ؛ از این روی درس فلسفه علامه طباطبایی را تعطیل کرده است ، لطفاً در این زمینه توضیح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اسفار و من منظومه تدریس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 مرحوم حاج آقا محمد مقدس اصفهانی پیش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آقای منتظری بگویید منظومه را تعطیل کند و بیاید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بیت آیت الله بروجردی ، آقای حاج محمد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آقای منتظری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شاگردان علامه طباطبائی را بنویسید تا شهریه آنان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تعجب کردم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غیر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تصمیمی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محمد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این نتیجه رسیده ام که این تصمیم غلط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برویم پیش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با همان صراحت لهجه ای که داشتم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چه تصمیمی است ؟ فلسفه علمی است که دانشگاه های دنیا روی آن حساب می کنند ، فقه و اصول ما ، موضوعش امور اعتباری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فلسفه خوانده ام ، ولی چه کنم ؟ از یک طرف برخی از طلبه ها این حرف ها را هضم نمی کنند ؛ از این روی به انحراف کشانده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در اصفهان کسی را دیدم که اسفار را زیر بغلش گرفته بود ، می گفت من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خیلی از آقایان اعتراض می کنند و مرتب فشار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شما با فلسفه مخالف نیستید ، بلکه با نشر و پخش این حرف های درویشی مخالفید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بنشینند خوب درس بخوانند طوری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اشارات شروع می کنم ، علامه طباطبایی را هم قانع می کنم که شفا شروع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رضایت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مرا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این چه حرفی است ایشان نسبت به شما احترام می گذارند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اشارات شروع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مرحوم علامه طباطبایی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مریض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من اسفار را ترک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شاگردهایم از قم می روم کوشک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چه سخنی است </w:t>
      </w:r>
      <w:r>
        <w:rPr>
          <w:rFonts w:eastAsia="IRNazanin" w:cs="IRNazanin"/>
          <w:color w:val="111111"/>
          <w:sz w:val="28"/>
          <w:szCs w:val="28"/>
          <w:rtl w:val="true"/>
          <w:lang w:bidi="fa-IR"/>
        </w:rPr>
        <w:t xml:space="preserve">. </w:t>
      </w:r>
      <w:bookmarkStart w:id="223" w:name="pg9221_92178"/>
    </w:p>
    <w:p>
      <w:pPr>
        <w:pStyle w:val="BookText"/>
        <w:rPr/>
      </w:pPr>
      <w:bookmarkEnd w:id="223"/>
      <w:r>
        <w:rPr>
          <w:rFonts w:ascii="IRNazanin" w:hAnsi="IRNazanin" w:eastAsia="IRNazanin"/>
          <w:color w:val="111111"/>
          <w:sz w:val="28"/>
          <w:sz w:val="28"/>
          <w:szCs w:val="28"/>
          <w:rtl w:val="true"/>
          <w:lang w:bidi="fa-IR"/>
        </w:rPr>
        <w:t xml:space="preserve">طلبه ها شهریه می خواهند و فقه و اصول باید بخوانند ، شما شفا را شروع کنید ، به مناسبت ، نظریه های خود را نیز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را به آیت الله بروجردی دادم ، خیلی خوشحال شدند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منتظری سال ها پس از این مصاحبه ، در کتاب خاطراتش این مطلب را با تفصیل بیشتری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دو بار نقل می کند که آقایان از مشهد فشار آورده اند ؛ همچنین در پایان سخنانشان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یک نکته را یادآور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مرحوم میرزا و شاگردان ایشان در مشهد با اصل خواندن فلسفه مخالف نبوده اند بلکه با بسط آن در میان کسانی که درک عمیق ندارند و ممکن است آرای فلاسفه را وحی منزل بدانند و بسا به انحراف کشیده شوند مخالف بوده اند و لذا بعضی آقایان در خود مشهد مقدس به تدریس فلسفه اشتغال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نزد آقایان وانمود شده بود که در حوزه قم تدریس فلسفه عمومی و بی کنترل می باشد و نگرانی آقایان از این جهت بود ، در صورتی که مرحوم امام نیز با اینکه استاد فلسفه قم بودند به همه کس اجازه شرکت در درس فلسفه خود را نمی دادند و شرکت در درس فلسفه ایشان متوقف بر استجازه از ایشان بود </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224" w:name="__RefHeading___Toc4158918_2870459653"/>
      <w:bookmarkStart w:id="225" w:name="_Toc86"/>
      <w:bookmarkEnd w:id="224"/>
      <w:r>
        <w:rPr/>
        <w:t>18</w:t>
      </w:r>
      <w:r>
        <w:rPr>
          <w:rtl w:val="true"/>
        </w:rPr>
        <w:t>-</w:t>
      </w:r>
      <w:r>
        <w:rPr>
          <w:rtl w:val="true"/>
        </w:rPr>
        <w:t>آیت الله سید حسین موسوی کرمانی</w:t>
      </w:r>
      <w:bookmarkEnd w:id="225"/>
    </w:p>
    <w:p>
      <w:pPr>
        <w:pStyle w:val="Heading5"/>
        <w:numPr>
          <w:ilvl w:val="4"/>
          <w:numId w:val="1"/>
        </w:numPr>
        <w:rPr/>
      </w:pPr>
      <w:bookmarkStart w:id="226" w:name="__RefHeading___Toc4158920_2870459653"/>
      <w:bookmarkStart w:id="227" w:name="_Toc87"/>
      <w:bookmarkEnd w:id="226"/>
      <w:r>
        <w:rPr>
          <w:rtl w:val="true"/>
        </w:rPr>
        <w:t>اشاره</w:t>
      </w:r>
      <w:bookmarkEnd w:id="2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فلسفه آشنا بودند ، ولی با تدریس فلسفه در حوزه موافق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اسفار درس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زیادی در درس ایشان شرکت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به امام خمینی گفتند که شما با این مقام علمی که دارید ، حیف است فقط اسفار درس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صبح ها ، درس فقه بگویید و عصرها درس 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هم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می خواستند امام خمینی را از تدریس فلسفه باز دارند </w:t>
      </w:r>
      <w:r>
        <w:rPr>
          <w:rFonts w:eastAsia="IRNazanin" w:cs="IRNazanin"/>
          <w:color w:val="111111"/>
          <w:sz w:val="28"/>
          <w:szCs w:val="28"/>
          <w:rtl w:val="true"/>
          <w:lang w:bidi="fa-IR"/>
        </w:rPr>
        <w:t xml:space="preserve">. </w:t>
      </w:r>
      <w:bookmarkStart w:id="228" w:name="pg9221_92179"/>
    </w:p>
    <w:p>
      <w:pPr>
        <w:pStyle w:val="BookText"/>
        <w:rPr/>
      </w:pPr>
      <w:bookmarkEnd w:id="228"/>
      <w:r>
        <w:rPr>
          <w:rFonts w:ascii="IRNazanin" w:hAnsi="IRNazanin" w:eastAsia="IRNazanin"/>
          <w:color w:val="111111"/>
          <w:sz w:val="28"/>
          <w:sz w:val="28"/>
          <w:szCs w:val="28"/>
          <w:rtl w:val="true"/>
          <w:lang w:bidi="fa-IR"/>
        </w:rPr>
        <w:t xml:space="preserve">امام هم فلسفه را کنار گذاشتند و صبح ها فقه گفتند و عصرها اصول ، ولی باز هم مطالب فلسفی را در بحث های اصولی مطرح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مدرسه فیضیه ، اسفار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پیغام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مدرسۀ فیضیه ، اسفار درس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جای دیگر ، اسفار درس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بروجردی نگفتند که فلسفه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مراقب بودند که فلسفه با فقه مخلوط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هم پذیرفت و درس خود را به خانه اش منتقل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اسفار را پیش ایشان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خیلی محتاط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خیلی به آیت الله بروجردی ارادت داشت ؛ هرگاه به منزل آیت الله بروجردی می آمد ، مثل شاگردی دبیرستانی در حضور معلمش ، رو به روی آیت الله بروجردی می نشست </w:t>
      </w:r>
      <w:r>
        <w:rPr>
          <w:rFonts w:eastAsia="IRNazanin" w:cs="IRNazanin"/>
          <w:color w:val="111111"/>
          <w:sz w:val="28"/>
          <w:szCs w:val="28"/>
          <w:rtl w:val="true"/>
          <w:lang w:bidi="fa-IR"/>
        </w:rPr>
        <w:t xml:space="preserve">.» </w:t>
      </w:r>
      <w:r>
        <w:rPr>
          <w:rStyle w:val="FootnoteAnchor"/>
          <w:rtl w:val="true"/>
        </w:rPr>
        <w:footnoteReference w:id="165"/>
      </w:r>
    </w:p>
    <w:p>
      <w:pPr>
        <w:pStyle w:val="Heading5"/>
        <w:numPr>
          <w:ilvl w:val="4"/>
          <w:numId w:val="1"/>
        </w:numPr>
        <w:rPr/>
      </w:pPr>
      <w:bookmarkStart w:id="229" w:name="__RefHeading___Toc4158922_2870459653"/>
      <w:bookmarkStart w:id="230" w:name="_Toc88"/>
      <w:bookmarkEnd w:id="229"/>
      <w:r>
        <w:rPr>
          <w:rtl w:val="true"/>
        </w:rPr>
        <w:t>بررسی و تحلیل گزارش های فوق</w:t>
      </w:r>
      <w:bookmarkEnd w:id="230"/>
    </w:p>
    <w:p>
      <w:pPr>
        <w:pStyle w:val="Heading6"/>
        <w:numPr>
          <w:ilvl w:val="5"/>
          <w:numId w:val="1"/>
        </w:numPr>
        <w:rPr/>
      </w:pPr>
      <w:bookmarkStart w:id="231" w:name="__RefHeading___Toc4158924_2870459653"/>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در بررسی بیست و شش گزارش یاد شده ، نکاتی لازم به ذکر است </w:t>
      </w:r>
      <w:r>
        <w:rPr>
          <w:rFonts w:eastAsia="IRNazanin" w:cs="IRNazanin"/>
          <w:color w:val="111111"/>
          <w:sz w:val="28"/>
          <w:szCs w:val="28"/>
          <w:rtl w:val="true"/>
          <w:lang w:bidi="fa-IR"/>
        </w:rPr>
        <w:t>:</w:t>
      </w:r>
    </w:p>
    <w:p>
      <w:pPr>
        <w:pStyle w:val="Heading6"/>
        <w:numPr>
          <w:ilvl w:val="5"/>
          <w:numId w:val="1"/>
        </w:numPr>
        <w:rPr/>
      </w:pPr>
      <w:bookmarkStart w:id="233" w:name="__RefHeading___Toc4158926_2870459653"/>
      <w:bookmarkStart w:id="234" w:name="_Toc90"/>
      <w:bookmarkEnd w:id="233"/>
      <w:r>
        <w:rPr>
          <w:rtl w:val="true"/>
        </w:rPr>
        <w:t xml:space="preserve">نکته اول </w:t>
      </w:r>
      <w:r>
        <w:rPr>
          <w:rtl w:val="true"/>
        </w:rPr>
        <w:t>:</w:t>
      </w:r>
      <w:bookmarkEnd w:id="234"/>
    </w:p>
    <w:p>
      <w:pPr>
        <w:pStyle w:val="BookText"/>
        <w:rPr/>
      </w:pPr>
      <w:r>
        <w:rPr>
          <w:rFonts w:ascii="IRNazanin" w:hAnsi="IRNazanin" w:eastAsia="IRNazanin"/>
          <w:color w:val="111111"/>
          <w:sz w:val="28"/>
          <w:sz w:val="28"/>
          <w:szCs w:val="28"/>
          <w:rtl w:val="true"/>
          <w:lang w:bidi="fa-IR"/>
        </w:rPr>
        <w:t xml:space="preserve">چنانکه ملاحظه شد ، به تصریح بسیاری از آقایان ، علامه طباطبایی پس از تعطیل شدن درس اسفار ، به تدریس شفا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آیت الله بروجردی نیز نقل شد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شفای بوعلی باشد ؛ کتاب های دیگر باشد ، اما اسفار نباید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مرحوم آشتیانی نیز درباره اسفار فرموده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 بخوان ، این صوفی بازی ها را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را می توان در تفاوت فلسفه مشاء و صدرایی جستجو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حکیمی در این باره فرموده اند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آیت الله العظمی بروجردی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 منطقی ، نه مبتنی بر کشف ادعایی و وحدت وجود ، که نتیجه پذیرش آن ، تقلید از مدعیان کشف است ، نه مؤدای عقل ، و موجب انفصال از توحید انبیائی و 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انبیاء و اوصیاء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اند </w:t>
      </w:r>
      <w:r>
        <w:rPr>
          <w:rFonts w:eastAsia="IRNazanin" w:cs="IRNazanin"/>
          <w:color w:val="111111"/>
          <w:sz w:val="28"/>
          <w:szCs w:val="28"/>
          <w:rtl w:val="true"/>
          <w:lang w:bidi="fa-IR"/>
        </w:rPr>
        <w:t xml:space="preserve">. </w:t>
      </w:r>
      <w:r>
        <w:rPr>
          <w:rStyle w:val="FootnoteAnchor"/>
          <w:rtl w:val="true"/>
        </w:rPr>
        <w:footnoteReference w:id="166"/>
      </w:r>
      <w:bookmarkStart w:id="235" w:name="pg9221_92180"/>
    </w:p>
    <w:p>
      <w:pPr>
        <w:pStyle w:val="BookText"/>
        <w:rPr/>
      </w:pPr>
      <w:bookmarkEnd w:id="235"/>
      <w:r>
        <w:rPr>
          <w:rFonts w:ascii="IRNazanin" w:hAnsi="IRNazanin" w:eastAsia="IRNazanin"/>
          <w:color w:val="111111"/>
          <w:sz w:val="28"/>
          <w:sz w:val="28"/>
          <w:szCs w:val="28"/>
          <w:rtl w:val="true"/>
          <w:lang w:bidi="fa-IR"/>
        </w:rPr>
        <w:t xml:space="preserve">بنابراین ، آیت الله بروجردی به فلسفه مشاء به عنوان دانشی که اهل اختصاص می توانند آن را بخوانند می نگریست ، اما فلسفه صدرایی را چنانکه از ایشان نقل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نباید به طلاب دینی القاء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بوعلی سینا بر ملاصدرا در سخنان خود اهل فلسفه نیز مکرراً مشاهده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درباره علامه طباطبایی چنین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ابوعلی سینا تجلیل کرده و او را در فن برهان و استدلال فلسفی از ملاصدرا قوی تر دانست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همچنین استاد دینانی نیز در پاسخ به این سؤال که فلسفه کدام شخصیت را از دیگر فلسفه ها بهتر تشخیص دادید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حقیقتاً ابن سینا یک سر و گردن از همه فیلسوفان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نظیر ابن سینا را در جهان اسلام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در رأس هرم تفکر فلسفی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از همه متفکران عقلی جهان اسلام یک سر و گردن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صادقانه به شما می گویم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چنانکه آیت الله جوادی آملی نیز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فلسفه مردی به عظمت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w:t>
      </w:r>
      <w:r>
        <w:rPr>
          <w:rFonts w:eastAsia="IRNazanin" w:cs="IRNazanin"/>
          <w:color w:val="111111"/>
          <w:sz w:val="28"/>
          <w:szCs w:val="28"/>
          <w:rtl w:val="true"/>
          <w:lang w:bidi="fa-IR"/>
        </w:rPr>
        <w:t xml:space="preserve">.» </w:t>
      </w:r>
      <w:r>
        <w:rPr>
          <w:rStyle w:val="FootnoteAnchor"/>
          <w:rtl w:val="true"/>
        </w:rPr>
        <w:footnoteReference w:id="169"/>
      </w:r>
    </w:p>
    <w:p>
      <w:pPr>
        <w:pStyle w:val="Heading6"/>
        <w:numPr>
          <w:ilvl w:val="5"/>
          <w:numId w:val="1"/>
        </w:numPr>
        <w:rPr/>
      </w:pPr>
      <w:bookmarkStart w:id="236" w:name="__RefHeading___Toc4158928_2870459653"/>
      <w:bookmarkStart w:id="237" w:name="_Toc91"/>
      <w:bookmarkEnd w:id="236"/>
      <w:r>
        <w:rPr>
          <w:rtl w:val="true"/>
        </w:rPr>
        <w:t xml:space="preserve">نکته دوم </w:t>
      </w:r>
      <w:r>
        <w:rPr>
          <w:rtl w:val="true"/>
        </w:rPr>
        <w:t>:</w:t>
      </w:r>
      <w:bookmarkEnd w:id="237"/>
    </w:p>
    <w:p>
      <w:pPr>
        <w:pStyle w:val="BookText"/>
        <w:rPr/>
      </w:pPr>
      <w:r>
        <w:rPr>
          <w:rFonts w:ascii="IRNazanin" w:hAnsi="IRNazanin" w:eastAsia="IRNazanin"/>
          <w:color w:val="111111"/>
          <w:sz w:val="28"/>
          <w:sz w:val="28"/>
          <w:szCs w:val="28"/>
          <w:rtl w:val="true"/>
          <w:lang w:bidi="fa-IR"/>
        </w:rPr>
        <w:t xml:space="preserve">عبارات متشابهی چون ادامه درس را پی گرفتن ، درس را محدود کردن ، مدتی آن را متوقف ساختن ، بعدها آقای طباطبایی همچنان به کارش ادامه داد ، آهسته آهسته دو دفعه شروع کردن و انصراف آیت الله بروجردی به معنای عدم تعطیلی درس اسفار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بازگشت به محکمات و نصوص و تصریحات متعدد و متواتر موجود در گزارش ها ، روشن می شود که مقصود از آنها موارد زیر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مربوط به پس از رحلت آیت الله بروجردی و عدم حضور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دکتر احمد بهشتی در این خصوص تصریح روشنی دارند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الهیات شفای علامه طباطبایی را مرتب می رفتیم ، بعد قضایایی اتفاق افتاد از جمله رحلت مرحوم آقای بروجردی و علامه طباطبایی هم درس الهیات شفا را تعطیل کردند و دوباره اسفار را در مسجد فاطمیه شروع کردند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بنابراین ، مدت کوتاهی که درس اسفار تعطیل بود ، همان بازه زمانی کوتاه بین تعطیلی اسفار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Style w:val="FootnoteAnchor"/>
          <w:rtl w:val="true"/>
        </w:rPr>
        <w:footnoteReference w:id="171"/>
      </w:r>
      <w:r>
        <w:rPr>
          <w:rFonts w:ascii="IRNazanin" w:hAnsi="IRNazanin" w:eastAsia="IRNazanin"/>
          <w:color w:val="111111"/>
          <w:sz w:val="28"/>
          <w:sz w:val="28"/>
          <w:szCs w:val="28"/>
          <w:rtl w:val="true"/>
          <w:lang w:bidi="fa-IR"/>
        </w:rPr>
        <w:t xml:space="preserve">و رحلت آیت الله بروجردی در اوائل فروردین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 توجه به این که طبق گفته آیت الله منتظری ، واقعه مربوط به فصل سرما و اواخر ماه رجب بوده است ، </w:t>
      </w:r>
      <w:r>
        <w:rPr>
          <w:rStyle w:val="FootnoteAnchor"/>
          <w:rtl w:val="true"/>
        </w:rPr>
        <w:footnoteReference w:id="172"/>
      </w:r>
      <w:r>
        <w:rPr>
          <w:rFonts w:ascii="IRNazanin" w:hAnsi="IRNazanin" w:eastAsia="IRNazanin"/>
          <w:color w:val="111111"/>
          <w:sz w:val="28"/>
          <w:sz w:val="28"/>
          <w:szCs w:val="28"/>
          <w:rtl w:val="true"/>
          <w:lang w:bidi="fa-IR"/>
        </w:rPr>
        <w:t xml:space="preserve">این فاصله حدود یک سال و دو ماه پیش از رحلت آیت الله بروجردی می باشد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مربوط به استمرار جلسات اما به صورت خصوصی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علامه طباطبایی جلسات خصوصی اسفار نیز داشته اند که تنها برای برخی افراد خاص برگزار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حسن زاده آملی درباره مرحله ششم اسفار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استاد ما علامه طباطبائی صاحب تفسیر المیزان قُدِسَ سِرُّه این مرحله اسفار را تدریس نمی فرمود که حلقها را تنگ و خلقها را در جنگ دید ، و معاد اسفار را هم به نحو عام متعارف درس نمی فرمود مگر با تنی چند محرمانه که این کمترین نیز مشارکت داشت تدریس فرمود و آن هم به ایماء و اشاره می گذشت </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جلسات به گفته استاد دینانی ، تا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ادامه داشت </w:t>
      </w:r>
      <w:r>
        <w:rPr>
          <w:rFonts w:eastAsia="IRNazanin" w:cs="IRNazanin"/>
          <w:color w:val="111111"/>
          <w:sz w:val="28"/>
          <w:szCs w:val="28"/>
          <w:rtl w:val="true"/>
          <w:lang w:bidi="fa-IR"/>
        </w:rPr>
        <w:t xml:space="preserve">. </w:t>
      </w:r>
      <w:r>
        <w:rPr>
          <w:rStyle w:val="FootnoteAnchor"/>
          <w:rtl w:val="true"/>
        </w:rPr>
        <w:footnoteReference w:id="175"/>
      </w:r>
      <w:bookmarkStart w:id="238" w:name="pg9221_92182"/>
    </w:p>
    <w:p>
      <w:pPr>
        <w:pStyle w:val="BookText"/>
        <w:rPr/>
      </w:pPr>
      <w:bookmarkEnd w:id="2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به استمرار درس فلسفه در چهارچوب کتاب شفا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آیت الله بروجردی ابتدا قصد تعطیل کردن درس فلسفه را به صورت مطلق داشتند ، اما با وساطت آقایان منصرف شده و صرفاً با تدریس شفا موافقت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خاطره آقای حجتی کرمانی نیز آمده بود که علامه طباطبایی درس را تعطیل نکرد ، اما آن را محدود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علامه طباطبایی از سال ها پیش از این واقعه ، دروس مختلفی از فلسفه را تدریس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جوادی آملی که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برای ادامه تحصیلات به قم رفته ، در این باره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دروس مرحوم علامه از اسفار ، الهیات شفا سپس برهان شفا و نیز عرفان شرکت می کردیم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استاد شهید مطهری نیز آورده که از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درس فلسفه بوعلی و فلسفه مادی علامه شرکت می کردند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مسلم است که اصل درس فلسفه تعطیل نشد ، بلکه از تدریس اسفار و مطالب دیگر ، محدود منحصر به کتاب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محدود به جلسات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ادعای انصراف آیت الله بروجردی که در سخنان آقای خوشوقت آمده نیز به همین معنا خواهد بود </w:t>
      </w:r>
      <w:r>
        <w:rPr>
          <w:rFonts w:eastAsia="IRNazanin" w:cs="IRNazanin"/>
          <w:color w:val="111111"/>
          <w:sz w:val="28"/>
          <w:szCs w:val="28"/>
          <w:rtl w:val="true"/>
          <w:lang w:bidi="fa-IR"/>
        </w:rPr>
        <w:t>.</w:t>
      </w:r>
    </w:p>
    <w:p>
      <w:pPr>
        <w:pStyle w:val="Heading6"/>
        <w:numPr>
          <w:ilvl w:val="5"/>
          <w:numId w:val="1"/>
        </w:numPr>
        <w:rPr/>
      </w:pPr>
      <w:bookmarkStart w:id="239" w:name="__RefHeading___Toc4158930_2870459653"/>
      <w:bookmarkStart w:id="240" w:name="_Toc92"/>
      <w:bookmarkEnd w:id="239"/>
      <w:r>
        <w:rPr>
          <w:rtl w:val="true"/>
        </w:rPr>
        <w:t xml:space="preserve">نکته سوم </w:t>
      </w:r>
      <w:r>
        <w:rPr>
          <w:rtl w:val="true"/>
        </w:rPr>
        <w:t>:</w:t>
      </w:r>
      <w:bookmarkEnd w:id="240"/>
    </w:p>
    <w:p>
      <w:pPr>
        <w:pStyle w:val="BookText"/>
        <w:rPr/>
      </w:pPr>
      <w:r>
        <w:rPr>
          <w:rFonts w:ascii="IRNazanin" w:hAnsi="IRNazanin" w:eastAsia="IRNazanin"/>
          <w:color w:val="111111"/>
          <w:sz w:val="28"/>
          <w:sz w:val="28"/>
          <w:szCs w:val="28"/>
          <w:rtl w:val="true"/>
          <w:lang w:bidi="fa-IR"/>
        </w:rPr>
        <w:t xml:space="preserve">نباید از نظر دور داشت که علی رغم اشتراک گزارش ها در بحث تعطیلی درس اسفار ، در جزئیات آنها تفاوت هایی مشاهده می شود که البته خللی در اصل قضیه و وجه اشتراک همه آنها وارد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تمام بزرگان نیز از جهت یادآوری مطالب پس از حدود نیم قرن ، در یک سطح و توانایی نیستند ، از همین رو ، اگر برخی جزئیات نقل شده برخلاف مطالبی باشد که انتسابشان به آیت الله بروجردی ثابت شده ، آن جزئیات مورد پذیرش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در برخی از نقل ها ، سهوهایی آشکار نیز به کار رفته است که به مناسبت ، به یک نمونه اشاره می شود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عراقچی که سخنانی نیز از ایشان نقل کردیم ، ذیل عنوان آیت الله بروجردی و درس فلسفه چنین گفته اند که ممنوعیت فلسفه از جانب آیت الله بروجردی صرفاً مصلحتی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ایشان ضد فلسفه بوده باشد ، نخیر ، این حرف درستی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دوران جوانی قسمت زیادی از مثنوی را حفظ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می تواند ضد فلسفه بشود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همچنین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فضای ضد فلسفه درست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که استکان آقا مصطفی را آب می کشیدند ، چون پدرش حاج آقا روح الله درس فلسفه می گوید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مورد نخست نقل شده در فرمایشات ایشان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قسمت زیادی از مثنوی را حفظ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برعکس ، داستان مشهوری که از آیت الله صافی و آیت الله فاضل لنکرانی از خود ایشان نقل شده ، گواه این است که آیت الله بروجردی هنگام مطالعه مثنوی ، صدایی شنیده است که به ایشان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گم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مثنوی را رها کن ، تو را به جایی نمی رساند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به همین دلیل آن بزرگوار مطالعه مثنوی را رها کردند ؛ همین مطالعه نیز بنا به نقل مرحوم آیت الله فاضل لنکرانی ، مربوط به دقایقی بعد از صرف ناهار ایشان بوده و ناگفته پیداست که با مدتی مطالعه که روزانه از چند دقیقه نیز تجاوز نمی کرده است ، نمی توان قسمت زیادی از کتابی چون مثنوی را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 روشن نیست که منطقاً چه ارتباطی بین حفظ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مخالفت با فلسفه وجود دارد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نقل شده در سخنان ایشان نیز ارتباطی به فضای مخالفت آیت الله بروجردی با فلسفه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برخورد با فلسفه و تدریس اسفار ، مربوط به سال های پایانی دهه سی شمسی است ؛ حال آن که داستان آب کشیدن ظرف مرحوم آقا مصطفی ، به حدود پانزده سال پیش از آن و آغاز حضور آیت الله بروجردی در قم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w:t>
      </w:r>
      <w:bookmarkStart w:id="241" w:name="pg9221_92184"/>
    </w:p>
    <w:p>
      <w:pPr>
        <w:pStyle w:val="BookText"/>
        <w:rPr/>
      </w:pPr>
      <w:bookmarkEnd w:id="241"/>
      <w:r>
        <w:rPr>
          <w:rFonts w:ascii="IRNazanin" w:hAnsi="IRNazanin" w:eastAsia="IRNazanin"/>
          <w:color w:val="111111"/>
          <w:sz w:val="28"/>
          <w:sz w:val="28"/>
          <w:szCs w:val="28"/>
          <w:rtl w:val="true"/>
          <w:lang w:bidi="fa-IR"/>
        </w:rPr>
        <w:t xml:space="preserve">تنها یک بار توسط شیخی مقدس که امام خمینی نیز به او بی علاقه نبود اتفاق افتاده </w:t>
      </w:r>
      <w:r>
        <w:rPr>
          <w:rStyle w:val="FootnoteAnchor"/>
          <w:rtl w:val="true"/>
        </w:rPr>
        <w:footnoteReference w:id="181"/>
      </w:r>
      <w:r>
        <w:rPr>
          <w:rFonts w:ascii="IRNazanin" w:hAnsi="IRNazanin" w:eastAsia="IRNazanin"/>
          <w:color w:val="111111"/>
          <w:sz w:val="28"/>
          <w:sz w:val="28"/>
          <w:szCs w:val="28"/>
          <w:rtl w:val="true"/>
          <w:lang w:bidi="fa-IR"/>
        </w:rPr>
        <w:t xml:space="preserve">و استعمال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مناسب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 این داستان را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بزرگوارشان دانسته اند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خود آیت الله عراقچی نیز در همین خاطرات ، دو بار فرموده اند که این اتفاق مدت کوتاهی پس از ورود آیت الله به قم بوده است </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کوتاه سخن آن که خطا و سهو در جزئیات مطالب طبیعی و قابل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اهمیت دارد ، وجوه مشترک نقل ها و مواردی است که با مطالب قطعی از سیره آیت الله بروجردی همخوانی داشته باشد </w:t>
      </w:r>
      <w:r>
        <w:rPr>
          <w:rFonts w:eastAsia="IRNazanin" w:cs="IRNazanin"/>
          <w:color w:val="111111"/>
          <w:sz w:val="28"/>
          <w:szCs w:val="28"/>
          <w:rtl w:val="true"/>
          <w:lang w:bidi="fa-IR"/>
        </w:rPr>
        <w:t>.</w:t>
      </w:r>
    </w:p>
    <w:p>
      <w:pPr>
        <w:pStyle w:val="Heading6"/>
        <w:numPr>
          <w:ilvl w:val="5"/>
          <w:numId w:val="1"/>
        </w:numPr>
        <w:rPr/>
      </w:pPr>
      <w:bookmarkStart w:id="242" w:name="__RefHeading___Toc4158932_2870459653"/>
      <w:bookmarkStart w:id="243" w:name="_Toc93"/>
      <w:bookmarkEnd w:id="242"/>
      <w:r>
        <w:rPr>
          <w:rtl w:val="true"/>
        </w:rPr>
        <w:t xml:space="preserve">نکته چهارم </w:t>
      </w:r>
      <w:r>
        <w:rPr>
          <w:rtl w:val="true"/>
        </w:rPr>
        <w:t>:</w:t>
      </w:r>
      <w:bookmarkEnd w:id="243"/>
    </w:p>
    <w:p>
      <w:pPr>
        <w:pStyle w:val="BookText"/>
        <w:rPr/>
      </w:pPr>
      <w:r>
        <w:rPr>
          <w:rFonts w:ascii="IRNazanin" w:hAnsi="IRNazanin" w:eastAsia="IRNazanin"/>
          <w:color w:val="111111"/>
          <w:sz w:val="28"/>
          <w:sz w:val="28"/>
          <w:szCs w:val="28"/>
          <w:rtl w:val="true"/>
          <w:lang w:bidi="fa-IR"/>
        </w:rPr>
        <w:t xml:space="preserve">دو گزارش مرحوم آیت الله امینی ، از جهات مختلف قابل بررسی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این دو گزارش آشکارا با یکدیگر تعارض دارند ؛ در گزارش اول ، آیت الله بروجردی تدریس اسفار را تعطیل می کند و به دنبال وساطت دیگران ، صرفاً به تدریس غیر علنی شفا رضایت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که راضی به تدریس اسفار نبوده ، پس از چند ماه با استخاره و به شکلی کاملاً مخفیانه درس را بدون اطلاع آیت الله بروجردی آغاز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دوم اما آیت الله بروجردی پس از وساطت دیگران راضی به تدریس اسفار می شود ، به صورتی که انظار عمومی را تحریک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در یکی از این دو گزارش سهو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که گزارش اول در راستای دیگر گزارشات است ، باید همان را پذیرفت و گزارش دوم را مخدوش دانست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مرحوم آیت الله امینی که سال ها از درس اسفار علامه بهره مند بوده اند ، رعایت امانت کرده و آن چه قطعی می دانستند را نقل کرده و آنچه که صرفاً از شنیده ها </w:t>
      </w:r>
      <w:bookmarkStart w:id="244" w:name="pg9221_92185"/>
    </w:p>
    <w:p>
      <w:pPr>
        <w:pStyle w:val="BookText"/>
        <w:rPr/>
      </w:pPr>
      <w:bookmarkEnd w:id="244"/>
      <w:r>
        <w:rPr>
          <w:rFonts w:ascii="IRNazanin" w:hAnsi="IRNazanin" w:eastAsia="IRNazanin"/>
          <w:color w:val="111111"/>
          <w:sz w:val="28"/>
          <w:sz w:val="28"/>
          <w:szCs w:val="28"/>
          <w:rtl w:val="true"/>
          <w:lang w:bidi="fa-IR"/>
        </w:rPr>
        <w:t xml:space="preserve">بوده را با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شنیده شده در گزارش دوم مورد خدشه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دخالت و وساطت آیت الله بهبهانی که دو بار در برخورد آیت الله بروجردی با علامه طباطبایی انجام شده بود ، </w:t>
      </w:r>
      <w:r>
        <w:rPr>
          <w:rStyle w:val="FootnoteAnchor"/>
          <w:rtl w:val="true"/>
        </w:rPr>
        <w:footnoteReference w:id="184"/>
      </w:r>
      <w:r>
        <w:rPr>
          <w:rFonts w:ascii="IRNazanin" w:hAnsi="IRNazanin" w:eastAsia="IRNazanin"/>
          <w:color w:val="111111"/>
          <w:sz w:val="28"/>
          <w:sz w:val="28"/>
          <w:szCs w:val="28"/>
          <w:rtl w:val="true"/>
          <w:lang w:bidi="fa-IR"/>
        </w:rPr>
        <w:t xml:space="preserve">چنان که استاد دینانی نیز آورده ، مربوط به زمان تعطیل اسفار است و منجر به تدریس شفا شده است ، چنان که در گزارش اول آیت الله امینی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چندی پس از تعطیلی باشد و به تدریس اسفار بینجامد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در مقابل احساس وظیفه شرعی ، عکس العمل برخی اساتید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برای آیت الله بروجردی اهمیتی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آیت الله صافی گلپایگانی خاطره ای نقل کردیم که آیت الله بروجردی چگونه در جمع اساتید دانشگاه ، به ترجمه فارسی اسفار معترض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دو گزارش آیت الله امینی ، موارد قطعی آن که از قضا در راستای دیگر گزارش ها نیز می باشد مورد پذیرش است </w:t>
      </w:r>
      <w:r>
        <w:rPr>
          <w:rFonts w:eastAsia="IRNazanin" w:cs="IRNazanin"/>
          <w:color w:val="111111"/>
          <w:sz w:val="28"/>
          <w:szCs w:val="28"/>
          <w:rtl w:val="true"/>
          <w:lang w:bidi="fa-IR"/>
        </w:rPr>
        <w:t>.</w:t>
      </w:r>
    </w:p>
    <w:p>
      <w:pPr>
        <w:pStyle w:val="Heading6"/>
        <w:numPr>
          <w:ilvl w:val="5"/>
          <w:numId w:val="1"/>
        </w:numPr>
        <w:rPr/>
      </w:pPr>
      <w:bookmarkStart w:id="245" w:name="__RefHeading___Toc4158934_2870459653"/>
      <w:bookmarkStart w:id="246" w:name="_Toc94"/>
      <w:bookmarkEnd w:id="245"/>
      <w:r>
        <w:rPr>
          <w:rtl w:val="true"/>
        </w:rPr>
        <w:t xml:space="preserve">نکته پنجم </w:t>
      </w:r>
      <w:r>
        <w:rPr>
          <w:rtl w:val="true"/>
        </w:rPr>
        <w:t>:</w:t>
      </w:r>
      <w:bookmarkEnd w:id="2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جو نجف و مشهد ، بر فرض صحت ، منافاتی با عقیده خود حضرت آیت الله بروجردی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 زعیم عالم تشیع بود و شأني اجل از آن داشت که کسی برای ایشان تعیین تکلیف کند ، یا در موضوعاتی به این اهمیت ، تحت تأثیر یک جریان خاص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محال است که مردی که ملاحظه ستمگری چون رضاخان را نمی کرد ، </w:t>
      </w:r>
      <w:r>
        <w:rPr>
          <w:rStyle w:val="FootnoteAnchor"/>
          <w:rtl w:val="true"/>
        </w:rPr>
        <w:footnoteReference w:id="185"/>
      </w:r>
      <w:r>
        <w:rPr>
          <w:rFonts w:ascii="IRNazanin" w:hAnsi="IRNazanin" w:eastAsia="IRNazanin"/>
          <w:color w:val="111111"/>
          <w:sz w:val="28"/>
          <w:sz w:val="28"/>
          <w:szCs w:val="28"/>
          <w:rtl w:val="true"/>
          <w:lang w:bidi="fa-IR"/>
        </w:rPr>
        <w:t xml:space="preserve">صرفاً به دلیل گفتار دیگران به چنین کار مهمی مبادرت کند ، مگر آن که خود نیز با آنان هم رأی باشد </w:t>
      </w:r>
      <w:r>
        <w:rPr>
          <w:rFonts w:eastAsia="IRNazanin" w:cs="IRNazanin"/>
          <w:color w:val="111111"/>
          <w:sz w:val="28"/>
          <w:szCs w:val="28"/>
          <w:rtl w:val="true"/>
          <w:lang w:bidi="fa-IR"/>
        </w:rPr>
        <w:t xml:space="preserve">. </w:t>
      </w:r>
      <w:bookmarkStart w:id="247" w:name="pg9221_92186"/>
    </w:p>
    <w:p>
      <w:pPr>
        <w:pStyle w:val="Heading3"/>
        <w:numPr>
          <w:ilvl w:val="2"/>
          <w:numId w:val="1"/>
        </w:numPr>
        <w:rPr/>
      </w:pPr>
      <w:bookmarkStart w:id="248" w:name="__RefHeading___Toc4158936_2870459653"/>
      <w:bookmarkStart w:id="249" w:name="_Toc95"/>
      <w:bookmarkEnd w:id="247"/>
      <w:bookmarkEnd w:id="248"/>
      <w:r>
        <w:rPr>
          <w:rtl w:val="true"/>
        </w:rPr>
        <w:t>بخش دوم ؛ آشتیانی و لاله زاری و گزارش هایی متفاوت</w:t>
      </w:r>
      <w:bookmarkEnd w:id="249"/>
    </w:p>
    <w:p>
      <w:pPr>
        <w:pStyle w:val="Heading4"/>
        <w:numPr>
          <w:ilvl w:val="3"/>
          <w:numId w:val="1"/>
        </w:numPr>
        <w:rPr/>
      </w:pPr>
      <w:bookmarkStart w:id="250" w:name="__RefHeading___Toc4158938_2870459653"/>
      <w:bookmarkStart w:id="251" w:name="_Toc96"/>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اکنون به دو گزارش متفاوتی از این جریان می پردازیم که توسط آقایان ، شادروان استاد سید جلال الدین آشتیانی و سید محمد حسین لاله زاری طهرانی ثبت شده اند </w:t>
      </w:r>
      <w:r>
        <w:rPr>
          <w:rFonts w:eastAsia="IRNazanin" w:cs="IRNazanin"/>
          <w:color w:val="111111"/>
          <w:sz w:val="28"/>
          <w:szCs w:val="28"/>
          <w:rtl w:val="true"/>
          <w:lang w:bidi="fa-IR"/>
        </w:rPr>
        <w:t>.</w:t>
      </w:r>
    </w:p>
    <w:p>
      <w:pPr>
        <w:pStyle w:val="Heading4"/>
        <w:numPr>
          <w:ilvl w:val="3"/>
          <w:numId w:val="1"/>
        </w:numPr>
        <w:rPr/>
      </w:pPr>
      <w:bookmarkStart w:id="252" w:name="__RefHeading___Toc4158940_2870459653"/>
      <w:bookmarkStart w:id="253" w:name="_Toc97"/>
      <w:bookmarkEnd w:id="252"/>
      <w:r>
        <w:rPr/>
        <w:t>1</w:t>
      </w:r>
      <w:r>
        <w:rPr>
          <w:rtl w:val="true"/>
        </w:rPr>
        <w:t>-</w:t>
      </w:r>
      <w:r>
        <w:rPr>
          <w:rtl w:val="true"/>
        </w:rPr>
        <w:t>استاد سید جلال الدین آشتیانی</w:t>
      </w:r>
      <w:bookmarkEnd w:id="253"/>
    </w:p>
    <w:p>
      <w:pPr>
        <w:pStyle w:val="Heading5"/>
        <w:numPr>
          <w:ilvl w:val="4"/>
          <w:numId w:val="1"/>
        </w:numPr>
        <w:rPr/>
      </w:pPr>
      <w:bookmarkStart w:id="254" w:name="__RefHeading___Toc4158942_2870459653"/>
      <w:bookmarkStart w:id="255" w:name="_Toc98"/>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آشتیانی ، از چهره های نامدار فلسفه در ایران معاصر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سالیان و در آثار مختلف خویش ، منتقدان و مخالفان فلسفه را مورد حملات سخت خود قرار داد </w:t>
      </w:r>
      <w:r>
        <w:rPr>
          <w:rStyle w:val="FootnoteAnchor"/>
          <w:rtl w:val="true"/>
        </w:rPr>
        <w:footnoteReference w:id="186"/>
      </w:r>
      <w:r>
        <w:rPr>
          <w:rFonts w:ascii="IRNazanin" w:hAnsi="IRNazanin" w:eastAsia="IRNazanin"/>
          <w:color w:val="111111"/>
          <w:sz w:val="28"/>
          <w:sz w:val="28"/>
          <w:szCs w:val="28"/>
          <w:rtl w:val="true"/>
          <w:lang w:bidi="fa-IR"/>
        </w:rPr>
        <w:t xml:space="preserve">و در این راه مرتکب اشتباهات بسیاری در نسبت مطالب به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در مقالات مختلفی مورد واکاوی قرار گرفته است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ویژگی های ایشان که همواره مورد اشتباهات و بی دقتی فراوان می شد ، در بسیاری از موارد تکیه بر حافظه و در نتیجه بی نیاز دانستن مطالب به ذکر منبع و مرجع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محقق داماد در این زمینه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مطالبی را که استاد آشتیانی آورده اند مبتنی بر حافظه شان است و مرجع و منبعی مبنی بر اینکه این مطالب را از چه کسی شنیده اند یا از کجا نقل می کنند وجود ندارد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آقای دکتر سید حسن اسلامی نیز چنین آورده 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نقدهای خود را به گونه ای گذرا و مجمل بیان می دارد و از بیان دقیق مسئله و لوازم آن خودداری می کند و حتی آدرس سخنانی را که نقل می کند به دست نمی دهد و حتی گاه متنی را که می آورد بی ترجمه است ؛ گویی بر این باور است که در خانه اگر کس است یک حرف بس است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آشتیانی درباره داستان تعطیلی درس اسفار روایت جالب توجهی ارائه داده و آن را از ریشه انکار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گزارش ایشان را نقل و سپس آن را بررسی 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درس اسفار مرحوم علامه طباطبایی و مخالفت آیة الله العظمی بروجردی قُدِسَ سِرُّه با ادامه آن درس ، باید عرض کنم که نه آقای بروجردی درس اسفار ایشان را تحریم نمودند و نه شهریه شاگردان درس اسفار را قطع کردند و نه آقای بروجردی دستور دادند که شفا تدریس شود نه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علم الهدی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بودند برادر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که حضرت آقا فرمودند درس اسفار تعطیل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شخصاً در قم نزدیک گذر خان آقای علم الهدی را دیدم و گفتم چرا چنین حرف بی اساس را از آقا نقل کردی ؟ او بسیار نگران شد و گفت من در خواب دیدم که آقا فرمودند در قم اسفار تدریس نشود و من خواب خود را نقل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طباطبایی قدری ناراحت شدند و احتمال صدق در کلام شخص مذکور را دادند ؛ یکی از شاگردان خود را نزد آیة الله بروجردی فرستاده کسب تکلیف کردند و آقا فرموده بودند اگر آقای حاج میرزا محمد حسین تکلیف شرعی خود می دانند که اسفار تدریس نمایند چه اشکالی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آقا عرض شده بود که نظر شما را پرسش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به تکلیف شرعی خود عمل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شهریه کسی قطع شد و نه کسی را از درس اسفار منع نمودند و نه زمانی بود که مرجع دینی جامع و متبحری مانع تدریس اسفار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طلابی که در درس اسفار می آمدند در قید حیاتند ؛ از جمله بنده حقیر نه کسی بنده را منع از حضور به درس اسفار نمود و نه شهریه بنده قطع شد و نه آقای طباطبایی فرمودند حتماً باید اسفار تدریس شود نه شفا ، بلکه ایشان به واسطه ضعف مزاج و تسریع در امر تفسیر المیزان به اختیار خود درس اسفار را ترک نمود نه از ناحیه دیگر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آقا سید محمد حسین لاله زاری نوشته اند مرحوم آقای بروجردی درس اسفار را تحریم نمود بی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طباطبایی آن </w:t>
      </w:r>
      <w:bookmarkStart w:id="256" w:name="pg9221_92188"/>
    </w:p>
    <w:p>
      <w:pPr>
        <w:pStyle w:val="BookText"/>
        <w:rPr/>
      </w:pPr>
      <w:bookmarkEnd w:id="256"/>
      <w:r>
        <w:rPr>
          <w:rFonts w:ascii="IRNazanin" w:hAnsi="IRNazanin" w:eastAsia="IRNazanin"/>
          <w:color w:val="111111"/>
          <w:sz w:val="28"/>
          <w:sz w:val="28"/>
          <w:szCs w:val="28"/>
          <w:rtl w:val="true"/>
          <w:lang w:bidi="fa-IR"/>
        </w:rPr>
        <w:t xml:space="preserve">چنان محترم و با تقوا بود که نمی شد تکلیف شرعی برای او تعیین کرد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در بررسی سخنان استاد آشتیانی چندین نکته قابل ذکر است </w:t>
      </w:r>
      <w:r>
        <w:rPr>
          <w:rFonts w:eastAsia="IRNazanin" w:cs="IRNazanin"/>
          <w:color w:val="111111"/>
          <w:sz w:val="28"/>
          <w:szCs w:val="28"/>
          <w:rtl w:val="true"/>
          <w:lang w:bidi="fa-IR"/>
        </w:rPr>
        <w:t>:</w:t>
      </w:r>
    </w:p>
    <w:p>
      <w:pPr>
        <w:pStyle w:val="Heading5"/>
        <w:numPr>
          <w:ilvl w:val="4"/>
          <w:numId w:val="1"/>
        </w:numPr>
        <w:rPr/>
      </w:pPr>
      <w:bookmarkStart w:id="257" w:name="__RefHeading___Toc4158944_2870459653"/>
      <w:bookmarkStart w:id="258" w:name="_Toc99"/>
      <w:bookmarkEnd w:id="257"/>
      <w:r>
        <w:rPr>
          <w:rtl w:val="true"/>
        </w:rPr>
        <w:t xml:space="preserve">نکته اول </w:t>
      </w:r>
      <w:r>
        <w:rPr>
          <w:rtl w:val="true"/>
        </w:rPr>
        <w:t>:</w:t>
      </w:r>
      <w:bookmarkEnd w:id="258"/>
    </w:p>
    <w:p>
      <w:pPr>
        <w:pStyle w:val="BookText"/>
        <w:rPr/>
      </w:pPr>
      <w:r>
        <w:rPr>
          <w:rFonts w:ascii="IRNazanin" w:hAnsi="IRNazanin" w:eastAsia="IRNazanin"/>
          <w:color w:val="111111"/>
          <w:sz w:val="28"/>
          <w:sz w:val="28"/>
          <w:szCs w:val="28"/>
          <w:rtl w:val="true"/>
          <w:lang w:bidi="fa-IR"/>
        </w:rPr>
        <w:t xml:space="preserve">استاد آشتیانی اساساً هنگام تعطیلی درس اسفار در قم حضور نداشته اند تا قرار باشد شهریه ایشان قطع شود و کسی از حضور در آن درس منعشان کند ؛ شاهد این امر ، تصریح استاد دینانی است ؛ ایشان در پاسخ به پرسشی درباره همدوره و همدرس بودن با استاد آشتیانی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درس آقای طباطبایی آن وقت که من رفتم ، آقای آشتیانی دیگر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قبل از ما بود و بعد هم که ما بودیم در نجف بود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بنابراین چون تعطیلی درس اسفار در زمان تحصیل استاد دینانی نزد علامه طباطبایی بوده است ، اصلاً آقای آشتیانی در آن زمان در قم و شاگرد علامه طباطبایی نبوده که بخواهد شاهد این واقعه باشد </w:t>
      </w:r>
      <w:r>
        <w:rPr>
          <w:rFonts w:eastAsia="IRNazanin" w:cs="IRNazanin"/>
          <w:color w:val="111111"/>
          <w:sz w:val="28"/>
          <w:szCs w:val="28"/>
          <w:rtl w:val="true"/>
          <w:lang w:bidi="fa-IR"/>
        </w:rPr>
        <w:t>.</w:t>
      </w:r>
    </w:p>
    <w:p>
      <w:pPr>
        <w:pStyle w:val="Heading5"/>
        <w:numPr>
          <w:ilvl w:val="4"/>
          <w:numId w:val="1"/>
        </w:numPr>
        <w:rPr/>
      </w:pPr>
      <w:bookmarkStart w:id="259" w:name="__RefHeading___Toc4158946_2870459653"/>
      <w:bookmarkStart w:id="260" w:name="_Toc100"/>
      <w:bookmarkEnd w:id="259"/>
      <w:r>
        <w:rPr>
          <w:rtl w:val="true"/>
        </w:rPr>
        <w:t xml:space="preserve">نکته دوم </w:t>
      </w:r>
      <w:r>
        <w:rPr>
          <w:rtl w:val="true"/>
        </w:rPr>
        <w:t>:</w:t>
      </w:r>
      <w:bookmarkEnd w:id="260"/>
    </w:p>
    <w:p>
      <w:pPr>
        <w:pStyle w:val="BookText"/>
        <w:rPr/>
      </w:pPr>
      <w:r>
        <w:rPr>
          <w:rFonts w:ascii="IRNazanin" w:hAnsi="IRNazanin" w:eastAsia="IRNazanin"/>
          <w:color w:val="111111"/>
          <w:sz w:val="28"/>
          <w:sz w:val="28"/>
          <w:szCs w:val="28"/>
          <w:rtl w:val="true"/>
          <w:lang w:bidi="fa-IR"/>
        </w:rPr>
        <w:t xml:space="preserve">شگفت آور است که در برخی گزارش ها ، از تلاش خود استاد آشتیانی در دفاع از علامه طباطبایی جهت برقرار ماندن درس فلسفه ایشان سخن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حجت الاسلام کاملان در یادنامه استاد آشتیانی گفته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دفاع می کرد از مرحوم علامه طباطبایی که فلسفه تدریس می کرد و ظاهراً خبری از مرحوم بروجردی به ایشان رسیده بود که تدریس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ناراحت شده بود و می گفت اگر آقای بروجردی در قم اجازه ندهد می روم به یکی از این روستاهای علی آباد راه قم تهران و آنجا تدریس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به شدت بین مرحوم بروجردی و علامه طباطبایی تردد داشت تا بتواند آقای بروجردی را متقاعد کند که ایشان تدریس اش را بکند و بالاخره تأثیر هم کرد و مرحوم علامه به تدریس اش ادامه داد </w:t>
      </w:r>
      <w:r>
        <w:rPr>
          <w:rFonts w:eastAsia="IRNazanin" w:cs="IRNazanin"/>
          <w:color w:val="111111"/>
          <w:sz w:val="28"/>
          <w:szCs w:val="28"/>
          <w:rtl w:val="true"/>
          <w:lang w:bidi="fa-IR"/>
        </w:rPr>
        <w:t xml:space="preserve">.» </w:t>
      </w:r>
      <w:r>
        <w:rPr>
          <w:rStyle w:val="FootnoteAnchor"/>
          <w:rtl w:val="true"/>
        </w:rPr>
        <w:footnoteReference w:id="192"/>
      </w:r>
      <w:bookmarkStart w:id="261" w:name="pg9221_92189"/>
    </w:p>
    <w:p>
      <w:pPr>
        <w:pStyle w:val="BookText"/>
        <w:rPr/>
      </w:pPr>
      <w:bookmarkEnd w:id="261"/>
      <w:r>
        <w:rPr>
          <w:rFonts w:ascii="IRNazanin" w:hAnsi="IRNazanin" w:eastAsia="IRNazanin"/>
          <w:color w:val="111111"/>
          <w:sz w:val="28"/>
          <w:sz w:val="28"/>
          <w:szCs w:val="28"/>
          <w:rtl w:val="true"/>
          <w:lang w:bidi="fa-IR"/>
        </w:rPr>
        <w:t xml:space="preserve">این سخنان غیر قابل پذیرش ، در تعارض کامل با مطالب خود آقای آشتیانی و بلکه با تمام نقل های پیش گفته است </w:t>
      </w:r>
      <w:r>
        <w:rPr>
          <w:rFonts w:eastAsia="IRNazanin" w:cs="IRNazanin"/>
          <w:color w:val="111111"/>
          <w:sz w:val="28"/>
          <w:szCs w:val="28"/>
          <w:rtl w:val="true"/>
          <w:lang w:bidi="fa-IR"/>
        </w:rPr>
        <w:t>.</w:t>
      </w:r>
    </w:p>
    <w:p>
      <w:pPr>
        <w:pStyle w:val="Heading5"/>
        <w:numPr>
          <w:ilvl w:val="4"/>
          <w:numId w:val="1"/>
        </w:numPr>
        <w:rPr/>
      </w:pPr>
      <w:bookmarkStart w:id="262" w:name="__RefHeading___Toc4158948_2870459653"/>
      <w:bookmarkStart w:id="263" w:name="_Toc101"/>
      <w:bookmarkEnd w:id="262"/>
      <w:r>
        <w:rPr>
          <w:rtl w:val="true"/>
        </w:rPr>
        <w:t xml:space="preserve">نکته سوم </w:t>
      </w:r>
      <w:r>
        <w:rPr>
          <w:rtl w:val="true"/>
        </w:rPr>
        <w:t>:</w:t>
      </w:r>
      <w:bookmarkEnd w:id="263"/>
    </w:p>
    <w:p>
      <w:pPr>
        <w:pStyle w:val="BookText"/>
        <w:rPr/>
      </w:pPr>
      <w:r>
        <w:rPr>
          <w:rFonts w:ascii="IRNazanin" w:hAnsi="IRNazanin" w:eastAsia="IRNazanin"/>
          <w:color w:val="111111"/>
          <w:sz w:val="28"/>
          <w:sz w:val="28"/>
          <w:szCs w:val="28"/>
          <w:rtl w:val="true"/>
          <w:lang w:bidi="fa-IR"/>
        </w:rPr>
        <w:t xml:space="preserve">داستانی که آقای آشتیانی به آقای علم الهدی نسبت داده به کلی بی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آیت الله بروجردی به تعطیلی درس اسفار ، متواترا از جانب شاگردان مختلف ایشان و علامه طباطبایی نقل شده و با ارائه چنین داستان بی اعتباری نمی توان آن را به یک خواب تنزل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آن که ظاهر این داستان چنین است که قضیه خواب مورد نظر و برخورد آقای آشتیانی و آقای علم الهدی ، در زمان بحث تعطیلی اسفار و کسب تکلیف علامه طباطبایی از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ادعای آقای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حال آن که اساساً در آن زمان استاد آشتیانی در قم نبوده اند </w:t>
      </w:r>
      <w:r>
        <w:rPr>
          <w:rFonts w:eastAsia="IRNazanin" w:cs="IRNazanin"/>
          <w:color w:val="111111"/>
          <w:sz w:val="28"/>
          <w:szCs w:val="28"/>
          <w:rtl w:val="true"/>
          <w:lang w:bidi="fa-IR"/>
        </w:rPr>
        <w:t>.</w:t>
      </w:r>
    </w:p>
    <w:p>
      <w:pPr>
        <w:pStyle w:val="Heading5"/>
        <w:numPr>
          <w:ilvl w:val="4"/>
          <w:numId w:val="1"/>
        </w:numPr>
        <w:rPr/>
      </w:pPr>
      <w:bookmarkStart w:id="264" w:name="__RefHeading___Toc4158950_2870459653"/>
      <w:bookmarkStart w:id="265" w:name="_Toc102"/>
      <w:bookmarkEnd w:id="264"/>
      <w:r>
        <w:rPr>
          <w:rtl w:val="true"/>
        </w:rPr>
        <w:t xml:space="preserve">نکته چهارم </w:t>
      </w:r>
      <w:r>
        <w:rPr>
          <w:rtl w:val="true"/>
        </w:rPr>
        <w:t>:</w:t>
      </w:r>
      <w:bookmarkEnd w:id="265"/>
    </w:p>
    <w:p>
      <w:pPr>
        <w:pStyle w:val="BookText"/>
        <w:rPr/>
      </w:pPr>
      <w:r>
        <w:rPr>
          <w:rFonts w:ascii="IRNazanin" w:hAnsi="IRNazanin" w:eastAsia="IRNazanin"/>
          <w:color w:val="111111"/>
          <w:sz w:val="28"/>
          <w:sz w:val="28"/>
          <w:szCs w:val="28"/>
          <w:rtl w:val="true"/>
          <w:lang w:bidi="fa-IR"/>
        </w:rPr>
        <w:t xml:space="preserve">چرایی این رفتارها و گزارش های خلاف واقع استاد آشتیانی را باید در شیفتگی افراطی ایشان نسبت به فلسفه صدرایی جستجو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آشتیانی ،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تمام عیار فلسفه صدرائی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 </w:t>
      </w:r>
      <w:r>
        <w:rPr>
          <w:rStyle w:val="FootnoteAnchor"/>
          <w:rtl w:val="true"/>
        </w:rPr>
        <w:footnoteReference w:id="193"/>
      </w:r>
      <w:r>
        <w:rPr>
          <w:rFonts w:ascii="IRNazanin" w:hAnsi="IRNazanin" w:eastAsia="IRNazanin"/>
          <w:color w:val="111111"/>
          <w:sz w:val="28"/>
          <w:sz w:val="28"/>
          <w:szCs w:val="28"/>
          <w:rtl w:val="true"/>
          <w:lang w:bidi="fa-IR"/>
        </w:rPr>
        <w:t xml:space="preserve">در رویکرد فلسفی خود همچون استادشان مرحوم رفیعی قزوینی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تفاوت مشرب مرحوم رفیعی قزوینی و علامه طباطبایی و همچنین روش آقای آشتیانی ، استاد دینانی چنین فرموده اند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طباطبایی گوش شنوا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می گفتیم گوش فرا می داد و برای حرف های تازه گوش شنیدن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سید ابوالحسن رفیعی قزوینی ما هیچ حرفی خلاف حرف ملاصدرا نمی توانستیم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غرب می گفتیم که ایشان به تندی برخورد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شاگردش بودیم نمی توانستیم حرفی خلاف عقیده اش بزنیم ولی در آقای طباطبایی هر چه می خواهد دل تنگت بگو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آقای آشتیانی هم حافظ سنت بود و چیز تازه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اهل ابداع و ابتکار نبود و میل هم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 درست مثل روش رفیعی قزوینی بود تا روش آقای طباطبایی </w:t>
      </w:r>
      <w:r>
        <w:rPr>
          <w:rFonts w:eastAsia="IRNazanin" w:cs="IRNazanin"/>
          <w:color w:val="111111"/>
          <w:sz w:val="28"/>
          <w:szCs w:val="28"/>
          <w:rtl w:val="true"/>
          <w:lang w:bidi="fa-IR"/>
        </w:rPr>
        <w:t xml:space="preserve">.» </w:t>
      </w:r>
      <w:r>
        <w:rPr>
          <w:rStyle w:val="FootnoteAnchor"/>
          <w:rtl w:val="true"/>
        </w:rPr>
        <w:footnoteReference w:id="194"/>
      </w:r>
      <w:bookmarkStart w:id="266" w:name="pg9221_92190"/>
    </w:p>
    <w:p>
      <w:pPr>
        <w:pStyle w:val="BookText"/>
        <w:rPr/>
      </w:pPr>
      <w:bookmarkEnd w:id="266"/>
      <w:r>
        <w:rPr>
          <w:rFonts w:ascii="IRNazanin" w:hAnsi="IRNazanin" w:eastAsia="IRNazanin"/>
          <w:color w:val="111111"/>
          <w:sz w:val="28"/>
          <w:sz w:val="28"/>
          <w:szCs w:val="28"/>
          <w:rtl w:val="true"/>
          <w:lang w:bidi="fa-IR"/>
        </w:rPr>
        <w:t xml:space="preserve">استاد دینانی همچنین در زمینه تعصب و وابستگی آشتیانی به ملاصدرا تعبیر نامطلوبی به کار برده اند که در اینجا به جهت رعایت احترام استاد آشتیانی از نقل آن صرف نظر می شود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همچنین آقای سید محمد عیسی نژاد نیز در یادنامه استاد آشتیانی در بیان دفاع ایشان از حکمت متعالیه و ترویج آن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آشتیانی 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و بازگشت به شفای ابن سینا و ترویج آن ، بدون توجه به تحقیقات صدرالمتألهین ، سیر قهقرایی و ضد عقلانیت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مرحوم آشتیانی ، رگه هایی ضعیف از این تفکر را در تفکر فلسفی مرحوم علامه طباطبایی و حلقه فکری ایشان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تلاش داشت حکمت صدرایی را در پرتو قواعد مشایی بازخوانی و تفسیر کند لذا ایشان منتقد مرحوم علامه طباطبایی نیز بود </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بنابراین ، چنین دلبستگی به فلسفه صدرایی ، نقد هر انتقادی به آنان – حتی از جانب دیگر فیلسوفان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تبعیت از روش اساتیدی که امکان طرح هیچ حرفی خلاف ملاصدرا با آنان وجود نداشت ، موجب شده تا آقای آشتیانی مطالب متواتری را که از بسیاری از همفکران بزرگوار خود ایشان نیز به صراحت نقل شده ، بی اساس و دروغ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کوتاه ، گزارش استاد آشتیانی مطلبی خلاف واقع است که حتی همفکران ایشان نیز آن را نپذیرفته و روایت دیگری ارائه کرده اند </w:t>
      </w:r>
      <w:r>
        <w:rPr>
          <w:rFonts w:eastAsia="IRNazanin" w:cs="IRNazanin"/>
          <w:color w:val="111111"/>
          <w:sz w:val="28"/>
          <w:szCs w:val="28"/>
          <w:rtl w:val="true"/>
          <w:lang w:bidi="fa-IR"/>
        </w:rPr>
        <w:t>.</w:t>
      </w:r>
    </w:p>
    <w:p>
      <w:pPr>
        <w:pStyle w:val="Heading4"/>
        <w:numPr>
          <w:ilvl w:val="3"/>
          <w:numId w:val="1"/>
        </w:numPr>
        <w:rPr/>
      </w:pPr>
      <w:bookmarkStart w:id="267" w:name="__RefHeading___Toc4158952_2870459653"/>
      <w:bookmarkStart w:id="268" w:name="_Toc103"/>
      <w:bookmarkEnd w:id="267"/>
      <w:r>
        <w:rPr/>
        <w:t>2</w:t>
      </w:r>
      <w:r>
        <w:rPr>
          <w:rtl w:val="true"/>
        </w:rPr>
        <w:t>-</w:t>
      </w:r>
      <w:r>
        <w:rPr>
          <w:rtl w:val="true"/>
        </w:rPr>
        <w:t>سید محمد حسین طهرانی و وابستگان</w:t>
      </w:r>
      <w:bookmarkEnd w:id="268"/>
    </w:p>
    <w:p>
      <w:pPr>
        <w:pStyle w:val="Heading5"/>
        <w:numPr>
          <w:ilvl w:val="4"/>
          <w:numId w:val="1"/>
        </w:numPr>
        <w:rPr/>
      </w:pPr>
      <w:bookmarkStart w:id="269" w:name="__RefHeading___Toc4158954_2870459653"/>
      <w:bookmarkStart w:id="270" w:name="_Toc104"/>
      <w:bookmarkEnd w:id="269"/>
      <w:r>
        <w:rPr>
          <w:rtl w:val="true"/>
        </w:rPr>
        <w:t>اشاره</w:t>
      </w:r>
      <w:bookmarkEnd w:id="27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سید محمد حسین لاله زاری طهرانی نیز از افرادی است که این واقعه را نقل کرده ، اما در فقره پایانی آن ، از جانب خود مطالبی بی پایه را به داستان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ایشان از این قرار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فقید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از تبریز به قم آمدم و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کردم ، و طلاب بر درس گرد آمدند و قریب </w:t>
      </w:r>
    </w:p>
    <w:p>
      <w:pPr>
        <w:pStyle w:val="BookText"/>
        <w:rPr/>
      </w:pPr>
      <w:r>
        <w:rPr>
          <w:rFonts w:ascii="IRNazanin" w:hAnsi="IRNazanin" w:eastAsia="IRNazanin"/>
          <w:color w:val="111111"/>
          <w:sz w:val="28"/>
          <w:sz w:val="28"/>
          <w:szCs w:val="28"/>
          <w:rtl w:val="true"/>
          <w:lang w:bidi="fa-IR"/>
        </w:rPr>
        <w:t xml:space="preserve">به یکصد نفر در مجلس درس حضور پیدا می کردند ؛ حضرت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دستور دادند که شهریه طلابی را که به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قطع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اساس چون خبر آن بمن رسید ، من متحیر شدم که خدایا چه کنم ؟ اگر شهریه طلاب قطع شود ، این افراد بدون بضاعت که از شهرهای دور آمده اند و فقط ممر معاش آنها شهریه است چه کنند ؟ و اگر من بخاطر شهریه طلاب ،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کنم لطمه بسطح علمی و عقیدتی طلاب وارد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در تحیر بسر می بردم ، تا بالاخره یک روز در اطاق منزل از دور کرسی می خواستم برگردم چشمم به دیوان حافظ افتاد که روی کرسی اطاق بود ؛ آن را برداشتم و تفأل زدم که چه کنم ؟ آیا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کنم ، یا نه ؟ این غزل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آن رندم که ترک شاهد و ساغر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داند که من این کارها کمتر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 دیدم عجیب غزلی است ؛ این غزل می فهماند که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 و ترک آن در حکم کفر سلوکی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یا همان روز یا روز بعد ، آقای حاج أحمد ، خادم خود را به منزل ما فرستادند ، و بدینگونه پیغام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جوانی در حوزه علمیه اصفهان نزد مرحوم جهانگیر خان أسفار می خواندیم ولی مخفیانه ؛ چند نفر بودیم ، و خفیةً بدرس ایشان می رفتیم ، و اما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در حوزه رسمی به هیچ وجه صلاح نیست و باید ترک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جواب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بروجردی از طرف من پیغام ببرید که این درس های متعارف و رسمی را مانند فقه و اصول ، ما هم خوانده ایم ؛ و از عهده تدریس و تشکیل حوزه های درسی آن برخواهیم آمد و از دیگران کمبودی نداریم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از تبریز به قم آمده ام فقط و فقط برای تصحیح عقائد طلاب بر اساس حق ، و مبارزه با عقائد باطله مادیین و غیرهم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bookmarkStart w:id="271" w:name="pg9221_92192"/>
    </w:p>
    <w:p>
      <w:pPr>
        <w:pStyle w:val="BookText"/>
        <w:rPr/>
      </w:pPr>
      <w:bookmarkEnd w:id="271"/>
      <w:r>
        <w:rPr>
          <w:rFonts w:ascii="IRNazanin" w:hAnsi="IRNazanin" w:eastAsia="IRNazanin"/>
          <w:color w:val="111111"/>
          <w:sz w:val="28"/>
          <w:sz w:val="28"/>
          <w:szCs w:val="28"/>
          <w:rtl w:val="true"/>
          <w:lang w:bidi="fa-IR"/>
        </w:rPr>
        <w:t xml:space="preserve">زمان که حضرت آیة الله با چند نفر خفیهً به درس مرحوم جهانگیرخان می رفتند ، طلاب و قاطبه مردم بحمدالله مؤمن و دارای عقیده پاک بودند ؛ و نیازی به تشکیل حوزه های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ولی امروزه هر طلبه ای که وارد دروازه قم می شود با چند چمدان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دان پر از شبهات و اشکالات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باید بدرد طلاب رسید ؛ و آنها را برای مبارزه با ماتریالیست ها و مادیین بر اساس صحیح آماده کرد ، و فلسفه حقه اسلامیه را بدانها آموخت ؛ و ما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من آیة الله را حاکم شرع می دانم ؛ اگر حکم کنند بر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صورت دیگری بخود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پیام ؛ آیة الله بروجردی دیگر به هیچ وجه متعرض ما نشدند ، و ما سال های سال به تدریس فلسفه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غيرهما مشغول بودیم ، و هر وقت آیةالله برخوردی با ما داشتند بسیار احترام می گذاردند ، و یک روز یک جلد قرآن کریم که از بهترین و صحیح ترین طبع ها بود بعنوان هدیه برای ما فرستادند </w:t>
      </w:r>
      <w:r>
        <w:rPr>
          <w:rFonts w:eastAsia="IRNazanin" w:cs="IRNazanin"/>
          <w:color w:val="111111"/>
          <w:sz w:val="28"/>
          <w:szCs w:val="28"/>
          <w:rtl w:val="true"/>
          <w:lang w:bidi="fa-IR"/>
        </w:rPr>
        <w:t xml:space="preserve">.» </w:t>
      </w:r>
      <w:r>
        <w:rPr>
          <w:rStyle w:val="FootnoteAnchor"/>
          <w:rtl w:val="true"/>
        </w:rPr>
        <w:footnoteReference w:id="197"/>
      </w:r>
    </w:p>
    <w:p>
      <w:pPr>
        <w:pStyle w:val="Heading5"/>
        <w:numPr>
          <w:ilvl w:val="4"/>
          <w:numId w:val="1"/>
        </w:numPr>
        <w:rPr/>
      </w:pPr>
      <w:bookmarkStart w:id="272" w:name="__RefHeading___Toc4158956_2870459653"/>
      <w:bookmarkStart w:id="273" w:name="_Toc105"/>
      <w:bookmarkEnd w:id="272"/>
      <w:r>
        <w:rPr>
          <w:rtl w:val="true"/>
        </w:rPr>
        <w:t>بررسی</w:t>
      </w:r>
      <w:bookmarkEnd w:id="273"/>
    </w:p>
    <w:p>
      <w:pPr>
        <w:pStyle w:val="BookText"/>
        <w:rPr/>
      </w:pPr>
      <w:r>
        <w:rPr>
          <w:rFonts w:ascii="IRNazanin" w:hAnsi="IRNazanin" w:eastAsia="IRNazanin"/>
          <w:color w:val="111111"/>
          <w:sz w:val="28"/>
          <w:sz w:val="28"/>
          <w:szCs w:val="28"/>
          <w:rtl w:val="true"/>
          <w:lang w:bidi="fa-IR"/>
        </w:rPr>
        <w:t xml:space="preserve">با توجه به نقل های متواتر پیشین ، این سخنان نیازی به نقد و بررسی چندانی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اکثر قسمت های آن صحیح و اجمالاً در دیگر گزارش ها نیز بیان شده است ، اما فقره آخر آشکارا اضافه خود ایشان و خلاف نقل های متواتر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شخصیت بزرگی است و دفاع از ایشان نیازمند جعل و تزویر نیست ؛ بلکه این سخنان که با دیگر نقل ها نمی سازد ، خود بی احترامی به ایشان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چنین تحریفاتی را می توان در غلو شدیدی که آقای طهرانی به آن دچار بودند جستجو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مقام اساتید خود را در حد عصمت و گاه نزدیک به الوهیت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درباره شخص علامه طباطبایی چنین گفته اند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طباطبائی فردی است که ملائکه بدون طهارت و وضوء نام او را بر زبان نمی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افقی است که از وصف و نعت بیرون است ، و از </w:t>
      </w:r>
    </w:p>
    <w:p>
      <w:pPr>
        <w:pStyle w:val="BookText"/>
        <w:rPr/>
      </w:pPr>
      <w:r>
        <w:rPr>
          <w:rFonts w:ascii="IRNazanin" w:hAnsi="IRNazanin" w:eastAsia="IRNazanin"/>
          <w:color w:val="111111"/>
          <w:sz w:val="28"/>
          <w:sz w:val="28"/>
          <w:szCs w:val="28"/>
          <w:rtl w:val="true"/>
          <w:lang w:bidi="fa-IR"/>
        </w:rPr>
        <w:t xml:space="preserve">تعریف و تمجید خارج ؛ فعل او در وصف نمی آید تا به این نعوت و اوصاف توصیف گردد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بی گمان ، روح علامه طباطبایی از این سخنان بیزار است ؛ وانگهی کسی که تصوراتی چنین غالیانه دارد ، در راستای معتقدات خویش باکی از تحریف وقایع تاریخی نخواهد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محسن طهرانی ، فرزند آقای محمد حسین لاله زاری طهرانی ، در داستان سرایی از پدر خویش نیز پیشی گرفته و گزارش بامزه ای در این زمینه نقل کرده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مرحوم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مجلسی بودیم ، ایشان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درس فلسفه می گفتم مرحوم آیت الله بروجردی بنابر بعضی از مصالحی مرا منع کردند از تدریس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پیغامی که ایشان برای من فرستاده بودند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پیغام جالبی هست و جواب علامه چقدر واقعاً جواب متینی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گفتند حوزه علمیه به واسطه وجوهاتی می گردد که این وجوهات از افرادی می آید که آنها شرط می کنند صرف این وجوهات را فقط در مسائل فقهی و مسائل اصولی و شرعی و ما اگر بخواهیم اینها را در غیر از این مسائل که مسائل فلسفی و حکمی و عرفانی و تفسیری است ، بخواهیم صرف بکنیم ، این خارج از حدود اجازه ، آن کسی است که دارد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می کند آن شخصی که می آید به یک مرجع ، به یک حاکم شرعی وجوهات را بپردازد ، آن بیاید تعیین تکلیف برای مرجع بکند ، حق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وظیفه اش این است که بیاید این مال را بپردازد حالا آن حاکم شرع می خواهد این مال را به دریا بریزد ، دیگر به او چه مربوط است ؟ اصلاً او چه کاره است که بیاید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w:t>
      </w:r>
      <w:bookmarkStart w:id="274" w:name="pg9221_92194"/>
    </w:p>
    <w:p>
      <w:pPr>
        <w:pStyle w:val="BookText"/>
        <w:rPr/>
      </w:pPr>
      <w:bookmarkEnd w:id="274"/>
      <w:r>
        <w:rPr>
          <w:rFonts w:ascii="IRNazanin" w:hAnsi="IRNazanin" w:eastAsia="IRNazanin"/>
          <w:color w:val="111111"/>
          <w:sz w:val="28"/>
          <w:sz w:val="28"/>
          <w:szCs w:val="28"/>
          <w:rtl w:val="true"/>
          <w:lang w:bidi="fa-IR"/>
        </w:rPr>
        <w:t xml:space="preserve">مال را به شما می پردازم شما در فقه و اصول خرج کنید ؟ به طلبه هایی بدهید که این طلبه ها در فقه و اصول باشند؟ حق ندارد ، آن وظیفه اش این است که بلند شود بیاید ، دست یک حاکم شرع ، مجتهد ، دستش را ببوسد بعد هم بگذارد سرش را پایین بیندازد و بگوید خداحافظ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دلش می خواهد توی جوی بریزد ، دلش می خواهد فرض بکنید که برای طلبه ها خرج کند ، دلش می خواهد برای فقراء خرج کند ، دلش می خواهد برای افراد عادی خرج کند ، در هر موردی می خواهد خرج کند ، بر طبق مدرکات خودش ، از مبانی و از روایات ، بر طبق آن باید انجام بدهد ، آن حق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آقای بروجردی دیگر حرفی نزدند </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275" w:name="__RefHeading___Toc4158958_2870459653"/>
      <w:bookmarkStart w:id="276" w:name="_Toc106"/>
      <w:bookmarkEnd w:id="275"/>
      <w:r>
        <w:rPr>
          <w:rtl w:val="true"/>
        </w:rPr>
        <w:t xml:space="preserve">بررسی </w:t>
      </w:r>
      <w:r>
        <w:rPr>
          <w:rtl w:val="true"/>
        </w:rPr>
        <w:t>:</w:t>
      </w:r>
      <w:bookmarkEnd w:id="276"/>
    </w:p>
    <w:p>
      <w:pPr>
        <w:pStyle w:val="BookText"/>
        <w:rPr/>
      </w:pPr>
      <w:r>
        <w:rPr>
          <w:rFonts w:ascii="IRNazanin" w:hAnsi="IRNazanin" w:eastAsia="IRNazanin"/>
          <w:color w:val="111111"/>
          <w:sz w:val="28"/>
          <w:sz w:val="28"/>
          <w:szCs w:val="28"/>
          <w:rtl w:val="true"/>
          <w:lang w:bidi="fa-IR"/>
        </w:rPr>
        <w:t xml:space="preserve">سخنان ایشان صرف نظر از ناسازگاری با دیگر گزارشات ، هیچ شباهتی به جزئیات نقل های دیگر نیز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علاقه مفرط پدر آقای لاله زاری به مرحوم طباطبایی ، در صورت صحت چنین نقلی ، حتماً در گزارش خود آقای لاله زاری نیز می آمد ، نه آن که ایشان کلیات مطالب دیگران را نقل کرده و ناچار از اضافه نمودن فقره ای به آن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ادبیات هتاکانه و غیر محترمانه ای که در این متن به کار رفته ، هیچ سنخیتی با علامه طباطبایی ندارد ، بلکه مشابه سیره و ستت خود آقای لاله زاری و جریان مربوط به پدر ایشان در مشهد است که از هیچ اهانتی نسبت به بزرگان فروگذار نمی کنند و بسیاری از نوشته ها و گفته های ایشان آکنده از توهین و جسارت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یک نمونه ، آقای محسن لاله زاری مدتی پیش از درگذشتشان ، در سخنرانی علیه عید نوروز </w:t>
      </w:r>
      <w:r>
        <w:rPr>
          <w:rStyle w:val="FootnoteAnchor"/>
          <w:rtl w:val="true"/>
        </w:rPr>
        <w:footnoteReference w:id="200"/>
      </w:r>
      <w:r>
        <w:rPr>
          <w:rFonts w:ascii="IRNazanin" w:hAnsi="IRNazanin" w:eastAsia="IRNazanin"/>
          <w:color w:val="111111"/>
          <w:sz w:val="28"/>
          <w:sz w:val="28"/>
          <w:szCs w:val="28"/>
          <w:rtl w:val="true"/>
          <w:lang w:bidi="fa-IR"/>
        </w:rPr>
        <w:t xml:space="preserve">، به معتقدان به این مناسبت مورد تأیید اسلام و مرحوم محدث قمی رضوان الله علیه ، اینگونه می تازد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علف از توی زمین در می آید برای من که عید نیست ، برای آن گاو و خر عید است که باید بهتر بچرد و بهتر از این زمین استفاده بکند ، بنده که علف خوار نیستم که بخواهم خوشحال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روایتی را که آشیخ </w:t>
      </w:r>
    </w:p>
    <w:p>
      <w:pPr>
        <w:pStyle w:val="BookText"/>
        <w:rPr/>
      </w:pPr>
      <w:r>
        <w:rPr>
          <w:rFonts w:ascii="IRNazanin" w:hAnsi="IRNazanin" w:eastAsia="IRNazanin"/>
          <w:color w:val="111111"/>
          <w:sz w:val="28"/>
          <w:sz w:val="28"/>
          <w:szCs w:val="28"/>
          <w:rtl w:val="true"/>
          <w:lang w:bidi="fa-IR"/>
        </w:rPr>
        <w:t xml:space="preserve">عباس قمی که همه دردسرهای ما از ایشان است ، که آمده در این کتاب مفاتیح این مسئله نوروز و روایت معلی بن خنیس را ایشان 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وکیلی ، از رهبران جریان لاله زاری در مشهد ، در ماه رجب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یادداشت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اند که در پایگاه رسمی ایشان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دو یادداشت هیچ وقعی به قواعد پژوهشی و روشی تحقیق ننهاده و صرفاً مطالبی را به دنبال هم آورده و در موردی حتی نام نویسنده اثر مورد استناد خود را نیز ذکر نکرده است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http://alasar.blog.ir/06/12/1398/wakili4</w:t>
      </w:r>
    </w:p>
    <w:p>
      <w:pPr>
        <w:pStyle w:val="BookText"/>
        <w:rPr/>
      </w:pPr>
      <w:r>
        <w:rPr>
          <w:rFonts w:ascii="IRNazanin" w:hAnsi="IRNazanin" w:eastAsia="IRNazanin"/>
          <w:color w:val="111111"/>
          <w:sz w:val="28"/>
          <w:sz w:val="28"/>
          <w:szCs w:val="28"/>
          <w:rtl w:val="true"/>
          <w:lang w:bidi="fa-IR"/>
        </w:rPr>
        <w:t xml:space="preserve">راقم این سطور اکنون قصد پرداختن به تمام اغلاط متعدد روشی و پژوهشی این دو یادداشت را ندارد و آن را به فرصتی دیگر وا می گذارد و تنها جهت نشان دادن استمرار سنت نکوهیده تزویر و عدم امانت داری در جریان فکری آقای طهرانی ، به نمونه ای از خیانت های آقای وکیلی در یادداشت دوم ایشان می پردازد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وکیلی در یادداشت دوم خود ، هنگام نقل کلام آقای صالحی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مقاله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 باریک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مخالفت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نزدیک به هفت خط منبع مورد رجوع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اند ، بی آن که از علائم نگارشی لازم و نشان دهنده تقطیع متن استفاده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عبارات حذف شده توسط آقای وکیلی ، رنجیدن علامه طباطبایی ، عصبانیت ایشان از آیت الله بروجردی ، قطع شدن شهریه درس اسفار و برخی سخنان تلخ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وکیلی که گویا برقرار بودن این عبارات را به صلاح نمی دیده ، آنها را حذف کرده و از قرار دادن علامت نقطه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از تقطیع در نقل است نیز خودداری نموده و به این ترتیب به پیروی از اسلاف خود ، مرتکب مغالطه شده است </w:t>
      </w:r>
      <w:r>
        <w:rPr>
          <w:rFonts w:eastAsia="IRNazanin" w:cs="IRNazanin"/>
          <w:color w:val="111111"/>
          <w:sz w:val="28"/>
          <w:szCs w:val="28"/>
          <w:rtl w:val="true"/>
          <w:lang w:bidi="fa-IR"/>
        </w:rPr>
        <w:t xml:space="preserve">. </w:t>
      </w:r>
      <w:bookmarkStart w:id="277" w:name="pg9221_92196"/>
    </w:p>
    <w:p>
      <w:pPr>
        <w:pStyle w:val="Heading5"/>
        <w:numPr>
          <w:ilvl w:val="4"/>
          <w:numId w:val="1"/>
        </w:numPr>
        <w:rPr/>
      </w:pPr>
      <w:bookmarkStart w:id="278" w:name="__RefHeading___Toc4158960_2870459653"/>
      <w:bookmarkStart w:id="279" w:name="_Toc107"/>
      <w:bookmarkEnd w:id="277"/>
      <w:bookmarkEnd w:id="278"/>
      <w:r>
        <w:rPr>
          <w:rtl w:val="true"/>
        </w:rPr>
        <w:t>فرجامین سخن</w:t>
      </w:r>
      <w:bookmarkEnd w:id="279"/>
    </w:p>
    <w:p>
      <w:pPr>
        <w:pStyle w:val="Heading6"/>
        <w:numPr>
          <w:ilvl w:val="5"/>
          <w:numId w:val="1"/>
        </w:numPr>
        <w:rPr/>
      </w:pPr>
      <w:bookmarkStart w:id="280" w:name="__RefHeading___Toc4158962_2870459653"/>
      <w:bookmarkStart w:id="281" w:name="_Toc108"/>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آیت الله العظمی بروجردی ، فقیهی جامع علوم نقلی و عقلی بود آشنایی کامل با فلسفه ، تمایلی به آن نداشت و خصوصا تدریس فلسفه صدرایی را هرگز برنمی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مخالفت ایشان با تدریس فلسفه را سوای نگرش شخص آن بزرگوار ، حداقل در چند امر دیگر می توان جستجو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اصلی حوزه های مقدسه علمیه که همان تربیت فقیه و مجتهد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که امام خمینی در تأیید موضع گیری آیت الله بروجردی فرموده بودند که وضع حوزه برای فقه و اصول و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خود آیت الله بروجردی نیز نقل شد که تدریس اسفار به حوزه که بنایش بر تدریس فقه و اصول است ضربه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حتی مورد عنایت فقیهانی که تدریس فلسفه را حرام نمی دانستند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استاد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آیت الله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گفتگویی درباره جد بزرگوارشان چنین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با ایشان راجع به علوم عقلی صحبت شد ،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رسالت ما تربیت مجتهد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علوم عقلی مشتری زیاد است ، اما ما باید مجتهد و فقیه تربیت کنیم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همین رو بود که امام خمینی نیز چنانکه در گزارش ها نقل شد ، افراد شایسته خواندن فلسفه بدون خوف انحراف را کم می دانست و صراحتاً حق را به آیت الله بروجردی می داد ، با آن که خود فیلسوفی بزرگ بود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فلسفه آن هم در عنفوان جوانی ، چنانکه بسیاری از شاگردان اسفار علامه طباطبایی جوان بوده اند ، می تواند ذوق عرفی فقیه را خدشه دار و مبانی استنباط او را در آینده دستخوش تغییر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بزرگانی که خود از چهره های نامدار فلسفه و عرفان نیز بوده اند ، چون جنبه فقاهتی ایشان از ابتدا مستحکم شده بود ، همواره مرزبندی ها را حفظ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امام خمینی ، شخصیتی که در چهره فلسفی خود ، حتی در تدریس اسفار به جنبه های عرفانی بیش از جنبه های استدلالی اهمیت می داد </w:t>
      </w:r>
      <w:r>
        <w:rPr>
          <w:rStyle w:val="FootnoteAnchor"/>
          <w:rtl w:val="true"/>
        </w:rPr>
        <w:footnoteReference w:id="203"/>
      </w:r>
      <w:r>
        <w:rPr>
          <w:rFonts w:ascii="IRNazanin" w:hAnsi="IRNazanin" w:eastAsia="IRNazanin"/>
          <w:color w:val="111111"/>
          <w:sz w:val="28"/>
          <w:sz w:val="28"/>
          <w:szCs w:val="28"/>
          <w:rtl w:val="true"/>
          <w:lang w:bidi="fa-IR"/>
        </w:rPr>
        <w:t xml:space="preserve">، درباره لزوم حفظ این مرزها بر این باور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این حرف را می زدند که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مسائل فلسفی را به مسائل اصولی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طلبه ها یک سؤال فلسفی می کردند ایشان توی درس جواب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فرمود که اینها را برای اهلش بگذارید ، اینجا جای این حرفها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اسلام نیاز به فقه دارد و ما باید کارمان را در فقه متمرکز کنیم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همچنین درباره ایشان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درس فقه اصلاً دم از فلسفه نمی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درسش اگر کسی راجع به فلسفه حرفی میزد ایشان اعتنا نمی کرد و پاسخ نمی داد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این در حالی است که همه افراد چنین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مهدوی کنی در این رابطه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خیلی عرفی برخورد می کردند و مسائل فلسفی را با فقه مخلوط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فیلسوف معمولاً وقتی وارد مسائل می شود فیلسوفانه وارد می شود که ما الان در بین فقها داریم ، ولی امام اینگونه نبودند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به نظر می رسد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در بین فقها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فقیهانی باشد که در آن روزگار ، اشتغال اصلی شان به جای فقه ، فلسفه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نگرانی امثال آیت الله العظمی بروجردی بود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فلسفه ، صرف نظر از مطلب پیشین ، می توانست طلبه را از دروسی که وظیفه اصلی خود او بود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خصوصاً در حوزه های امروز که برخی بیش از هر درس واجبی به فلسفه اهمیت می دهند چشمگیر است ، با این وجود ، در گذشته نیز اثرات سوئی داشته که ذکر دو نمونه از آن بی مناسبت نیست </w:t>
      </w:r>
      <w:r>
        <w:rPr>
          <w:rFonts w:eastAsia="IRNazanin" w:cs="IRNazanin"/>
          <w:color w:val="111111"/>
          <w:sz w:val="28"/>
          <w:szCs w:val="28"/>
          <w:rtl w:val="true"/>
          <w:lang w:bidi="fa-IR"/>
        </w:rPr>
        <w:t xml:space="preserve">. </w:t>
      </w:r>
      <w:bookmarkStart w:id="282" w:name="pg9221_92198"/>
    </w:p>
    <w:p>
      <w:pPr>
        <w:pStyle w:val="Heading6"/>
        <w:numPr>
          <w:ilvl w:val="5"/>
          <w:numId w:val="1"/>
        </w:numPr>
        <w:rPr/>
      </w:pPr>
      <w:bookmarkStart w:id="283" w:name="__RefHeading___Toc4158964_2870459653"/>
      <w:bookmarkStart w:id="284" w:name="_Toc109"/>
      <w:bookmarkEnd w:id="282"/>
      <w:bookmarkEnd w:id="283"/>
      <w:r>
        <w:rPr>
          <w:rtl w:val="true"/>
        </w:rPr>
        <w:t xml:space="preserve">نمونه اول </w:t>
      </w:r>
      <w:r>
        <w:rPr>
          <w:rtl w:val="true"/>
        </w:rPr>
        <w:t xml:space="preserve">: </w:t>
      </w:r>
      <w:r>
        <w:rPr>
          <w:rtl w:val="true"/>
        </w:rPr>
        <w:t xml:space="preserve">پروفسور دینانی گفته است </w:t>
      </w:r>
      <w:r>
        <w:rPr>
          <w:rtl w:val="true"/>
        </w:rPr>
        <w:t>:</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قم در درس فقه و اصول شرکت می کردم و با علاقه فقه و اصول را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که به طور جدی به مطالعه فلسفه پرداختم ، از این درس ها دور شدم و بیشتر تمرکزم و مطالعاتم در فلسفه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کارهای فقهی هم انجام داده ام ولی الان تقریباً متروک است و حافظه فقهى من زنگ گرفته است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ایشان با وجود آن که مدعی است در جوانی به مرتبه اجتهاد رسیده است </w:t>
      </w:r>
      <w:r>
        <w:rPr>
          <w:rStyle w:val="FootnoteAnchor"/>
          <w:rtl w:val="true"/>
        </w:rPr>
        <w:footnoteReference w:id="208"/>
      </w:r>
      <w:r>
        <w:rPr>
          <w:rFonts w:ascii="IRNazanin" w:hAnsi="IRNazanin" w:eastAsia="IRNazanin"/>
          <w:color w:val="111111"/>
          <w:sz w:val="28"/>
          <w:sz w:val="28"/>
          <w:szCs w:val="28"/>
          <w:rtl w:val="true"/>
          <w:lang w:bidi="fa-IR"/>
        </w:rPr>
        <w:t>اما در کمال شگفتی ، چند سال قبل در سخنرانی معروفی که فیلم آن منتشر شده و زبان یاوه</w:t>
      </w:r>
    </w:p>
    <w:p>
      <w:pPr>
        <w:pStyle w:val="BookText"/>
        <w:rPr/>
      </w:pPr>
      <w:r>
        <w:rPr>
          <w:rFonts w:ascii="IRNazanin" w:hAnsi="IRNazanin" w:eastAsia="IRNazanin"/>
          <w:color w:val="111111"/>
          <w:sz w:val="28"/>
          <w:sz w:val="28"/>
          <w:szCs w:val="28"/>
          <w:rtl w:val="true"/>
          <w:lang w:bidi="fa-IR"/>
        </w:rPr>
        <w:t xml:space="preserve">سرایان را نیز به مقام منیع فقاهت و فقیهان باز و دراز کرده است چنین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غربی ها سابقه خودشان را دوست دارند و حفظ هم کرده اند ؛ تمام غرب از یونان باستان تا حالا ، ما نه ، ما دیگر قبل از اسلام را می خواهیم به فراموشی بسپاریم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ها را هم جعل می کنیم و به دروغ می خوانیم و می گوییم قبل از اسلام هیچ خبری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خیلی خبر بوده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آور است که ایشان ، این قاعده مسلم فقهی را که ادله قرآنی و روایی دارد و عمل اصحاب بر آن بوده است جعلی می داند و حتی معنای آن را نیز درنیافته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قاعده ، زوال اثر کارهای دارای زیان و عقوبت است که فرد تازه مسلمان پیش از اسلام آوردنش انجام داده است ، و هیچ ارتباطی به آن که قبل از اسلام خبری بوده یا خیر ندارد </w:t>
      </w:r>
      <w:r>
        <w:rPr>
          <w:rFonts w:eastAsia="IRNazanin" w:cs="IRNazanin"/>
          <w:color w:val="111111"/>
          <w:sz w:val="28"/>
          <w:szCs w:val="28"/>
          <w:rtl w:val="true"/>
          <w:lang w:bidi="fa-IR"/>
        </w:rPr>
        <w:t xml:space="preserve">! </w:t>
      </w:r>
      <w:bookmarkStart w:id="285" w:name="pg9221_92199"/>
    </w:p>
    <w:p>
      <w:pPr>
        <w:pStyle w:val="BookText"/>
        <w:rPr/>
      </w:pPr>
      <w:bookmarkEnd w:id="285"/>
      <w:r>
        <w:rPr>
          <w:rFonts w:ascii="IRNazanin" w:hAnsi="IRNazanin" w:eastAsia="IRNazanin"/>
          <w:color w:val="111111"/>
          <w:sz w:val="28"/>
          <w:sz w:val="28"/>
          <w:szCs w:val="28"/>
          <w:rtl w:val="true"/>
          <w:lang w:bidi="fa-IR"/>
        </w:rPr>
        <w:t xml:space="preserve">لازم به ذکر است که دوری از فقه و فقاهت ، تنها به چنین موردی ختم نمی شود ؛ بلکه این استاد مسلم فلسفه که به هزارتوی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فکر فلسفی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همگان آشناتر است ، در اظهار نظری شگفت تر ، فرموده که شیخ صدوق پس از شیخ طوسی می زیسته است ، حال آن که شیخ طوسی پس از رحلت شیخ صدوق پا به جهان گذاشته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حرکت شیخ طوسی در تدوین فقه شیعه نیز برخی از علمای شیعی بر مسلک اخباری گری خویش باقی ماندند و تنها بر اخبار ائمه اطهار به عنوان سند معتبر برای تکلیف دینی خود تاکید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 توان از شیخ صدوق و علامه مجلسی نام برد </w:t>
      </w:r>
      <w:r>
        <w:rPr>
          <w:rFonts w:eastAsia="IRNazanin" w:cs="IRNazanin"/>
          <w:color w:val="111111"/>
          <w:sz w:val="28"/>
          <w:szCs w:val="28"/>
          <w:rtl w:val="true"/>
          <w:lang w:bidi="fa-IR"/>
        </w:rPr>
        <w:t xml:space="preserve">.» </w:t>
      </w:r>
      <w:r>
        <w:rPr>
          <w:rStyle w:val="FootnoteAnchor"/>
          <w:rtl w:val="true"/>
        </w:rPr>
        <w:footnoteReference w:id="209"/>
      </w:r>
    </w:p>
    <w:p>
      <w:pPr>
        <w:pStyle w:val="Heading6"/>
        <w:numPr>
          <w:ilvl w:val="5"/>
          <w:numId w:val="1"/>
        </w:numPr>
        <w:rPr/>
      </w:pPr>
      <w:bookmarkStart w:id="286" w:name="__RefHeading___Toc4158966_2870459653"/>
      <w:bookmarkStart w:id="287" w:name="_Toc110"/>
      <w:bookmarkEnd w:id="286"/>
      <w:r>
        <w:rPr>
          <w:rtl w:val="true"/>
        </w:rPr>
        <w:t xml:space="preserve">نمونه دوم </w:t>
      </w:r>
      <w:r>
        <w:rPr>
          <w:rtl w:val="true"/>
        </w:rPr>
        <w:t xml:space="preserve">: </w:t>
      </w:r>
      <w:r>
        <w:rPr>
          <w:rtl w:val="true"/>
        </w:rPr>
        <w:t>آقای محمد حسین لاله زاری طهرانی ، شخصیتی است که در آغاز جوانی مدعی اجتهاد بوده</w:t>
      </w:r>
      <w:bookmarkEnd w:id="287"/>
    </w:p>
    <w:p>
      <w:pPr>
        <w:pStyle w:val="Heading6"/>
        <w:numPr>
          <w:ilvl w:val="5"/>
          <w:numId w:val="1"/>
        </w:numPr>
        <w:rPr/>
      </w:pPr>
      <w:bookmarkStart w:id="288" w:name="__RefHeading___Toc4158968_2870459653"/>
      <w:bookmarkStart w:id="289" w:name="_Toc111"/>
      <w:bookmarkEnd w:id="288"/>
      <w:r>
        <w:rPr>
          <w:rtl w:val="true"/>
        </w:rPr>
        <w:t>اشاره</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حسین لاله زاری طهرانی ، شخصیتی است که در آغاز جوانی مدعی اجتهاد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کاذب فلسفه ، برای طلابی که در آغاز راه بودند می توانست مضر باشد و بنیان اعتقادات ایشان را متزلزل کند ؛ استاد سید مصطفی محقق داماد که خود از طرفداران نامدار فلسفه هستند ، در این باره می گویند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فلسفه و طبیعت این علم همیشه یک جاذبه کاذبی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که می گویم برای این است که عده ای بدون اینکه فلسفه </w:t>
      </w:r>
    </w:p>
    <w:p>
      <w:pPr>
        <w:pStyle w:val="BookText"/>
        <w:rPr/>
      </w:pPr>
      <w:r>
        <w:rPr>
          <w:rFonts w:ascii="IRNazanin" w:hAnsi="IRNazanin" w:eastAsia="IRNazanin"/>
          <w:color w:val="111111"/>
          <w:sz w:val="28"/>
          <w:sz w:val="28"/>
          <w:szCs w:val="28"/>
          <w:rtl w:val="true"/>
          <w:lang w:bidi="fa-IR"/>
        </w:rPr>
        <w:t xml:space="preserve">را بشناسند ، سینه چاک فلسفه اند و وقتی آشنا می شوند ، یک مرتبه رها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حوزه احساس مسؤولیت می کردند که مبادا یک عده بروند و شبهات را بشنوند و ذهن خود را پر از شبهه کنند ، آن وقت نیمه کاره و پاسخ نشنیده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فلسفه خواندن ، هیچ سودی ندارد وكاش فقط سودی نداشته باشد ، در تضعیف عقاید و ایمان مردم بسیار اثر منفی دارد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این تضعیف عقاید و اسیر شبهات شدن به خصوص درباره فلسفه صدرایی که بر بنیان مکاشفات استوار است صادق است ؛ آن هم مکاشفاتی که در بهترین حالت ، تنها برای صاحب کشف حجتند نه دیگران ، و دلیلی غیر از خودشان برای آنها وجود ندارد </w:t>
      </w:r>
      <w:r>
        <w:rPr>
          <w:rStyle w:val="FootnoteAnchor"/>
          <w:rtl w:val="true"/>
        </w:rPr>
        <w:footnoteReference w:id="211"/>
      </w:r>
      <w:r>
        <w:rPr>
          <w:rFonts w:ascii="IRNazanin" w:hAnsi="IRNazanin" w:eastAsia="IRNazanin"/>
          <w:color w:val="111111"/>
          <w:sz w:val="28"/>
          <w:sz w:val="28"/>
          <w:szCs w:val="28"/>
          <w:rtl w:val="true"/>
          <w:lang w:bidi="fa-IR"/>
        </w:rPr>
        <w:t xml:space="preserve">، و همان مکاشفات نیز سرشار از تناقض و اضطرابند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بنابراین ، سخن درست ، همان است که از امام خمینی نقل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هم جای آقای بروجردی و رئیس و سرپرست حوزه بودم ، از این همه فلسفه گفتن ، آنهم به این زیادی و به صورت کاملاً علنی ، احساس مسئولیت می کردم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 ذکر نکته ای درباره فرمایش علامه طباطبایی تهی از فایده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چنان که گذشت به آیت الله بروجردی عرض کردند که در زمان جوانی شما مردم و طلاب عقیده صحیح داشتند و اکنون باید طلاب را برای مبارزه با ماتریالیستها آماده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و غیرت دینی علامه طباطبایی شایسته تقدیر اما قابل خدشه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نبوده که این شبهات تنها در زمان تدریس اسفار علامه طباطبایی پدید آمده باشند و در زمان جوانی آیت الله بروجردی وجود نداشته باشند ؛ گرایش به مادی گرایی ، مربوط به پیش از اسلام و همه طبقات اجتماع بوده است </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صورت یک مکتب ، در قرون اخیر گسترده شده و شدت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فرمایش علامه طباطبایی ، در زمان جوانی آیت الله بروجردی و بلکه حتی پیش از آن ، مادی گرایان در ایران فعالیت گسترده ای داشتند و از قضا برخی از ایشان سابقه تحصیلات دینی نیز داشتند ؛ میرزا آقا خان کرمانی یکی از آنان بود که در پوشش بابیت به نشر تفکرات الحادی می پرداخت ؛ فتحعلی آخوندزاده که مطالب خلاف شرع فراوان و اندیشه های ماتریالیستی را در آثارش منعکس می کرد در دوران خردسالی آیت الله بروجردی درگذشته است ؛ نمونه دیگر ، حیدرخان عمو اوغلی است که رسما ریاست حزب کمونیست ایران را بر عهده داشت و حدود چهل سال پیش از تعطیلی درس اسفار علامه طباطبایی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بسیاری از روشنفکران و حتی طبقه کارگر و مردم عادی در آن سال ها تحت تأثیر فلسفه ماتریالیستی حزب سوسیال دموکرات روسیه واقع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جریان هایی با فلسفه ماتریالیستی و مارکسیستی پس از انقلاب مشروطه حضور فعالی در ایران و میان ایرانیان داشتند و صرف آن که در زمان تشرف علامه طباطبایی به قم ، فعال تر شده بودند ، به معنای نفی و انکار پیشینه گسترده آنان نخواهد بود و البته راه مقابله علمی با جریان های الحادی ماتریالیستی و مارکسیستی منحصر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فلسفه صدرایی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روش علمی و محتوایی وَحیانی می طلبد </w:t>
      </w:r>
      <w:r>
        <w:rPr>
          <w:rFonts w:eastAsia="IRNazanin" w:cs="IRNazanin"/>
          <w:color w:val="111111"/>
          <w:sz w:val="28"/>
          <w:szCs w:val="28"/>
          <w:rtl w:val="true"/>
          <w:lang w:bidi="fa-IR"/>
        </w:rPr>
        <w:t xml:space="preserve">. </w:t>
      </w:r>
      <w:bookmarkStart w:id="290" w:name="pg9221_92202"/>
    </w:p>
    <w:p>
      <w:pPr>
        <w:pStyle w:val="Heading2"/>
        <w:numPr>
          <w:ilvl w:val="1"/>
          <w:numId w:val="1"/>
        </w:numPr>
        <w:rPr/>
      </w:pPr>
      <w:bookmarkStart w:id="291" w:name="__RefHeading___Toc4158970_2870459653"/>
      <w:bookmarkStart w:id="292" w:name="_Toc112"/>
      <w:bookmarkEnd w:id="290"/>
      <w:bookmarkEnd w:id="291"/>
      <w:r>
        <w:rPr>
          <w:rtl w:val="true"/>
        </w:rPr>
        <w:t>فهرست منابع</w:t>
      </w:r>
      <w:bookmarkEnd w:id="292"/>
    </w:p>
    <w:p>
      <w:pPr>
        <w:pStyle w:val="Heading3"/>
        <w:numPr>
          <w:ilvl w:val="2"/>
          <w:numId w:val="1"/>
        </w:numPr>
        <w:rPr/>
      </w:pPr>
      <w:bookmarkStart w:id="293" w:name="__RefHeading___Toc4158972_2870459653"/>
      <w:bookmarkStart w:id="294" w:name="_Toc113"/>
      <w:bookmarkEnd w:id="293"/>
      <w:r>
        <w:rPr>
          <w:rtl w:val="true"/>
        </w:rPr>
        <w:t>الف</w:t>
      </w:r>
      <w:r>
        <w:rPr>
          <w:rtl w:val="true"/>
        </w:rPr>
        <w:t>)</w:t>
      </w:r>
      <w:r>
        <w:rPr>
          <w:rtl w:val="true"/>
        </w:rPr>
        <w:t xml:space="preserve">کتاب ها </w:t>
      </w:r>
      <w:r>
        <w:rPr>
          <w:rtl w:val="true"/>
        </w:rPr>
        <w:t>:</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حکمت در سپهر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حامد زارع با سید حسین نصر ، نشر ققنوس ، چاپ سوم ، تهران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معرفت در سپهر معنویت ، گفتگوی حامد زارع با غلامحسین ابراهیمی دینانی ، نشر ققنوس ، چاپ دوم ، تهران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دینانی ، غلامحسین ، ماجرای فکر فلسفی در جهان اسلام ، نشر طرح نو ، تهران ، چاپ چهارم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 مجتبی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چشم و چراغ مرجعیت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های ویژه مجله حوزه با شاگردان آیت الله بروجردی ، بوستان کتاب ، چاپ دوم ، قم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اسلامی اردکانی ، سید حسن ، سودای تفکیک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جستارهایی در سنت فکری ، روش شناسی و شخصیت های مکتب تفکیک ، نشر کرگدن ، چاپ اول ، تهران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 ابراهیم ، خاطرات آیت الله ابراهیم امینی ، مرکز اسناد انقلاب اسلامی ، چاپ اول ، تهران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 شیخ مرتضی ، کتاب الطهارة ، تحقيق لجنة تحقيق تراث الشيخ الاعظم ، مجمع الفكر الاسلامی ، چاپ سوم ، قم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بحرینی ، سید مجتبی ، ما سمعت ممن رأیت ، انتشارات آفتاب عالمتاب ، چاپ دوم ، مشهد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 هدایت الله ، شرح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آیت الله سید علی حسینی خامنه ای ، موسسه مطالعات و پژوهش های سیاسی ، تهران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جلالی ، محمدرض ا، المنهج الرجالي و العمل الرائد في الموسوعة الرجالية السيد الطائفة آية الله العظمى البروجردی ، تصحیح مركز الابحاث والدراسات الاسلامیه ، بوستان کتاب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 احیاگر حوزه ی خراسان ، نشر آفاق ، چاپ اول ، تهران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 عبدالله ، شمس الوحی تبریزی ، مرکز نشر اسراء ، چاپ اول ، 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یزدی ، مهدی ، خاطرات دکتر مهدی حائری یزدی ، به کوشش حبیب لاجوردی ، نشر کتاب نادر ، چاپ دوم ، تهران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کاوش های عقل عملی ، موسسه مطالعات و تحقیقات فرهنگی ، تهران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حقانی ، حسین ، شرح نهاية الحكمة ، نشر دانشگاه الزهراء ، تهران ، چاپ اول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حکیمی ، محمدرضا ، الهیات الهی و الهیات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دلیل ما ، چاپ اول ، قم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الهيات الهی و الهیات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دلیل ما ، چاپ اول ، قم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 حسن بن یوسف ، تذكرة الفقهاء ، تحقيق موسسة آل البيت لاحیاء التراث ، چاپ اول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نهج الحق و كشف الصدق ، به تحقیق سید رضا صدر و تعلیق شیخ عین اللهالحسنى الارموى ، نشر موسسة الطباعة والنشر دار الهجرة ، قم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خسروشاهی ، سید هادی ، خاطرات مستند سید هادی خسروشاهی درباره علامه سید محمد حسین طباطبایی ، سیدهادی خسروشاهی ، کلبه شروق ، قم ، چاپ اول ،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 روح الله ، صحیفه امام ، موسسه تنظیم و نشر آثار امام خمینی ، تهران ، چاپ اول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تبلیغات اسلامی خراسان ، صدرای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حکیم متأله سید جلال الدین آشتیانی ،معاونت پژوهش دفتر تبلیغات اسلامی خراسان ، مشهد ، 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 علی ، زندگانی زعیم بزرگ عالم تشیع آیت الله بروجردی ، نشر مطهر ، چاپ سوم ، تهران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موی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دوران تدریس امام خمینی ، به کوشش مجتبی فراهانی ، مؤسسه تنظیم و نشر آثار امام خمینی ، تهران ، چاپ چهارم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شبیری زنجانی ، سید موسی ، جرعه ای از دریا ، جلد اول ، مؤسسه کتاب شناسی شیعه ، چاپ ششم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جرعه ای از دریا ، جلد دوم ، مؤسسه کتاب شناسی شیعه ، چاپ چهارم ، قم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شیرازی ، صدرالدین محمد ، الحكمة المتعالية في الأسفار العقلية الأربعة ، داراحياء التراث العربی ، چاپ سوم ، بیروت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صاحبی ، محمد جواد ، جلال حکمت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استاد علامه سید جلال الدین آشتیانی ، نشر احیاگران وابسته به مؤسسه فرهنگی پژوهشی احیاگران اندیشه دینی ، چاپ اول ، قم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صافی گلپایگانی ، لطف الله ، فخر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نکوداشت استاد اعظم و زعیم بزرگ جهان اسلام مرحوم آیت الله العظمی بروجردى أعلى الله مقامه ، قم ، دفتر نشر آثار حضرت آیت الله العظمی صافی ، چاپ اول ، تابستان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الحسن ، اختيار معرفة الرجال ، به تحقیق سید مهدی رجائی ، نشر موسسة آل البيت لاحياء التراث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طهرانی ، محمدحسین ، روح مجرد ، انتشارات علامه طباطبایی ، چاپ نهم ، مشهد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مهرتابان ، نشر علامه طباطبایی ، چاپ پنجم ، مشهد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وظیفه فرد مسلمان در حکومت اسلام ، چاپ اول ، مشهد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طهرانی ، محمد محسن ، حریم قدس ، نشر مکتب وحی ، چاپ اول ، قم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متن سخنرانیهای شرح حدیث عنوان بصری ، بی نا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عراقچی ، علی ، پرتو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حضرت آیت الله حاج شیخ علی عراقچی ، تدوین عبدالرحیم اباذری ،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چاپ اول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عقیقی بخشایشی ، عبدالرحیم ، فقهای نامدار شیعه ، نشر کتابخانه آیت الله مرعشی نجفی ، قم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 ، کریم ، سرشت و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دکتر غلامحسین ابراهیمی دینانی ، انتشارات ، اطلاعات ، چاپ چهارم ، تهران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 داوود ، شرح فصوص الحکم ، به کوشش سید جلال الدین آشتیانی ، انتشارات علمی فرهنگی ، چاپ اول ، تهران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کرباسچی غلامرضا ، تاریخ شفاهی 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بنیاد تاریخ انقلاب اسلامی ایران با همکاری معاونت فرهنگی وزارت فرهنگ و ارشاد اسلامی ، چاپ اول ،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bookmarkStart w:id="295" w:name="pg9221_92204"/>
    </w:p>
    <w:p>
      <w:pPr>
        <w:pStyle w:val="BookText"/>
        <w:rPr/>
      </w:pPr>
      <w:bookmarkEnd w:id="295"/>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کنگره فرهنگی به مناسبت سالگرد رحلت مرحوم علامه طباطبایی ، دومین یادنامه علامه طباطبایی ، مؤسسه مطالعات و تحقیقات فرهنگی ، انجمن اسلامی حکمت و فلسفه ایران ، چاپ اول ، تهران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کوثری ، علی اکبر ، شناخت نامه فقیه اهل بیت آیت الله میرا مهدی اصفهانی ، تحقیق موسسه معارف اهل بیت ، نشر معارف اهل بیت ، چاپ اول ، قم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گرامی ، محمد علی ، خاطرات آیت الله محمد علی گرامی ، مرکز اسناد انقلاب اسلامی ، تهران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مرزبان وحی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مرحوم علامه سید محمد حسین طباطبایی قُدِسَ سِرُّه ، بوستان کتاب ، چاپ اول ، قم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 مرتضی علل گرایش به مادیگری ، انتشارات صدرا ، چاپ بیست و یکم ، تهران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ملکی میانجی ، علی ، علامه مجلسی اخباری با اصولی ؟ ، انتشارات دلیل ما ، چاپ اول ، قم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منتظری ، حسینعلی ، بخشی از خاطرات حضرت آیت الله العظمی منتظری ، بی نا ، چاپ اول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کرمانی ، سید حسین ، خاطرات آیت الله سید حسین موسوی کرمانی ، مرکز اسناد انقلاب اسلامی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 کنی ، محمدرضا ، خاطرات آیت الله مهدوی کنی ، تدوین غلامرضا خواجه سروی ، مرکز اسناد انقلاب اسلامی ، چاپ دوم ، تهران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علمی و عملی استاد جوادی آملی ، مرکز نشر اسراء ، چاپ ششم ، قم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نصری ، عبدالله ، آینه های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گفتگوهایی در باب زندگی ، آثار و دیدگاه های استاد غلامحسین ابراهیمی دینانی ، نشر سروش ، چاپ دوم ، تهران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Heading3"/>
        <w:numPr>
          <w:ilvl w:val="2"/>
          <w:numId w:val="1"/>
        </w:numPr>
        <w:rPr/>
      </w:pPr>
      <w:bookmarkStart w:id="296" w:name="__RefHeading___Toc4158974_2870459653"/>
      <w:bookmarkStart w:id="297" w:name="_Toc114"/>
      <w:bookmarkEnd w:id="296"/>
      <w:r>
        <w:rPr>
          <w:rtl w:val="true"/>
        </w:rPr>
        <w:t>ب</w:t>
      </w:r>
      <w:r>
        <w:rPr>
          <w:rtl w:val="true"/>
        </w:rPr>
        <w:t>)</w:t>
      </w:r>
      <w:r>
        <w:rPr>
          <w:rtl w:val="true"/>
        </w:rPr>
        <w:t xml:space="preserve">مقالات </w:t>
      </w:r>
      <w:r>
        <w:rPr>
          <w:rtl w:val="true"/>
        </w:rPr>
        <w:t>:</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آشتیانی ، سید جلال الدین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درباره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کیهان ، اندیشه ، فروردین و اردیبهشت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استادی ، رضا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تألیفات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حوزه ، فروردین و اردیبهشت و خرداد و تیر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کدیور ، محسن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دین از نگاه محدث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اندیشه ، مهر و آبان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Heading3"/>
        <w:numPr>
          <w:ilvl w:val="2"/>
          <w:numId w:val="1"/>
        </w:numPr>
        <w:rPr/>
      </w:pPr>
      <w:bookmarkStart w:id="298" w:name="__RefHeading___Toc4158976_2870459653"/>
      <w:bookmarkStart w:id="299" w:name="_Toc115"/>
      <w:bookmarkEnd w:id="298"/>
      <w:r>
        <w:rPr>
          <w:rtl w:val="true"/>
        </w:rPr>
        <w:t>ج</w:t>
      </w:r>
      <w:r>
        <w:rPr>
          <w:rtl w:val="true"/>
        </w:rPr>
        <w:t>)</w:t>
      </w:r>
      <w:r>
        <w:rPr>
          <w:rtl w:val="true"/>
        </w:rPr>
        <w:t>مصاحبه ها</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ابراهیمی دینانی ، غلامحسین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عقل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کیهان ، فرهنگی ، فروردین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 احمد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فلسفه اسلامی به روایت دکتر احمد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ماه فلسفه ، 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وحی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 فروردین و اردیبهشت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bookmarkStart w:id="300" w:name="pg9221_92205"/>
    </w:p>
    <w:p>
      <w:pPr>
        <w:pStyle w:val="BookText"/>
        <w:rPr/>
      </w:pPr>
      <w:bookmarkEnd w:id="30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یزدی ، مهدی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تأملاتی گذرا درباره امام خمینی ، زعامت دینی و حکمت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پژوهشنامه متین 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خامنه ای و دیگران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اندیشه های صدرالمتالهین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اندیشه ، آذر و 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 لطف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حوزه ، فروردین و اردیبهشت و خرداد و تیر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هشتم ، 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 مصطفی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دلداده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اطلاعات حکمت و معرفت ، سال اول ، اردیبهشت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شانه چی ، کاظم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های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کیهان ، فرهنگی ، اردیبهشت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 حسینعلی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و سبک استنباط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مجله حوزه ، فروردین و</w:t>
      </w:r>
    </w:p>
    <w:p>
      <w:pPr>
        <w:pStyle w:val="BookText"/>
        <w:rPr/>
      </w:pPr>
      <w:r>
        <w:rPr>
          <w:rFonts w:ascii="IRNazanin" w:hAnsi="IRNazanin" w:eastAsia="IRNazanin"/>
          <w:color w:val="111111"/>
          <w:sz w:val="28"/>
          <w:sz w:val="28"/>
          <w:szCs w:val="28"/>
          <w:rtl w:val="true"/>
          <w:lang w:bidi="fa-IR"/>
        </w:rPr>
        <w:t xml:space="preserve">اردیبهشت و خرداد و تیر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Heading3"/>
        <w:numPr>
          <w:ilvl w:val="2"/>
          <w:numId w:val="1"/>
        </w:numPr>
        <w:rPr/>
      </w:pPr>
      <w:bookmarkStart w:id="301" w:name="__RefHeading___Toc4158978_2870459653"/>
      <w:bookmarkStart w:id="302" w:name="_Toc116"/>
      <w:bookmarkEnd w:id="301"/>
      <w:r>
        <w:rPr>
          <w:rtl w:val="true"/>
        </w:rPr>
        <w:t>د</w:t>
      </w:r>
      <w:r>
        <w:rPr>
          <w:rtl w:val="true"/>
        </w:rPr>
        <w:t>)</w:t>
      </w:r>
      <w:r>
        <w:rPr>
          <w:rtl w:val="true"/>
        </w:rPr>
        <w:t xml:space="preserve">سخنرانی ها </w:t>
      </w:r>
      <w:r>
        <w:rPr>
          <w:rtl w:val="true"/>
        </w:rPr>
        <w:t>:</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 سید علی ، سخنرانی در دیدار گروهی از فضلای حوزه علمیه قم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Heading3"/>
        <w:numPr>
          <w:ilvl w:val="2"/>
          <w:numId w:val="1"/>
        </w:numPr>
        <w:rPr/>
      </w:pPr>
      <w:bookmarkStart w:id="303" w:name="__RefHeading___Toc4158980_2870459653"/>
      <w:bookmarkStart w:id="304" w:name="_Toc117"/>
      <w:bookmarkEnd w:id="303"/>
      <w:r>
        <w:rPr>
          <w:rtl w:val="true"/>
        </w:rPr>
        <w:t>ه</w:t>
      </w:r>
      <w:r>
        <w:rPr>
          <w:rtl w:val="true"/>
        </w:rPr>
        <w:t>)</w:t>
      </w:r>
      <w:r>
        <w:rPr>
          <w:rtl w:val="true"/>
        </w:rPr>
        <w:t xml:space="preserve">پایگاه های اینترنتی </w:t>
      </w:r>
      <w:r>
        <w:rPr>
          <w:rtl w:val="true"/>
        </w:rPr>
        <w:t>:</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دینانی ، غلامحسین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آزاد اندیشی او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تبیان ، یکشنبه ، </w:t>
      </w:r>
      <w:r>
        <w:rPr>
          <w:rFonts w:eastAsia="IRNazanin" w:cs="IRNazanin"/>
          <w:color w:val="111111"/>
          <w:sz w:val="28"/>
          <w:szCs w:val="28"/>
          <w:lang w:bidi="fa-IR"/>
        </w:rPr>
        <w:t>1387/10/29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آیت الله بروجردی اجازه درس فلسفه علامه طباطبایی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خبرآنلاین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کد خبر </w:t>
      </w:r>
      <w:r>
        <w:rPr>
          <w:rFonts w:eastAsia="IRNazanin" w:cs="IRNazanin"/>
          <w:color w:val="111111"/>
          <w:sz w:val="28"/>
          <w:szCs w:val="28"/>
          <w:lang w:bidi="fa-IR"/>
        </w:rPr>
        <w:t>108296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دینانی از خط امامی هایی می گوید که مخالف عرفان بودند و جلسه تفسیر سوره حمد را تعطیل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خبرگزاری خبرآنلاین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کد خبر </w:t>
      </w:r>
      <w:r>
        <w:rPr>
          <w:rFonts w:eastAsia="IRNazanin" w:cs="IRNazanin"/>
          <w:color w:val="111111"/>
          <w:sz w:val="28"/>
          <w:szCs w:val="28"/>
          <w:rtl w:val="true"/>
          <w:lang w:bidi="fa-IR"/>
        </w:rPr>
        <w:t xml:space="preserve">: </w:t>
      </w:r>
      <w:r>
        <w:rPr>
          <w:rFonts w:eastAsia="IRNazanin" w:cs="IRNazanin"/>
          <w:color w:val="111111"/>
          <w:sz w:val="28"/>
          <w:szCs w:val="28"/>
          <w:lang w:bidi="fa-IR"/>
        </w:rPr>
        <w:t>217339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 احمد ، مصاحبه سازمان اسناد و کتابخانه ملی ایران با آیت الله آقای دکتر احمد بهشتی ، 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80/8/16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ردیف مصاحبه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1397/10/29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خوشوقت ، عزیز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ارباب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پایگاه اینترنتی مدیریت حوزه علمیه استان تهران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وکیلی ، محمد 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بروجردی و فلسفه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پایگاه اینترنتی مدرسه فقاهت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رسمی آیت الله دکتر احمد بهشتی </w:t>
      </w:r>
      <w:r>
        <w:rPr>
          <w:rFonts w:eastAsia="IRNazanin" w:cs="IRNazanin"/>
          <w:color w:val="111111"/>
          <w:sz w:val="28"/>
          <w:szCs w:val="28"/>
          <w:rtl w:val="true"/>
          <w:lang w:bidi="fa-IR"/>
        </w:rPr>
        <w:t xml:space="preserve">. </w:t>
      </w:r>
      <w:bookmarkStart w:id="305" w:name="pg9221_92206"/>
    </w:p>
    <w:p>
      <w:pPr>
        <w:pStyle w:val="Heading2"/>
        <w:numPr>
          <w:ilvl w:val="1"/>
          <w:numId w:val="1"/>
        </w:numPr>
        <w:rPr/>
      </w:pPr>
      <w:bookmarkStart w:id="306" w:name="__RefHeading___Toc4158982_2870459653"/>
      <w:bookmarkStart w:id="307" w:name="_Toc118"/>
      <w:bookmarkEnd w:id="305"/>
      <w:bookmarkEnd w:id="306"/>
      <w:r>
        <w:rPr>
          <w:rtl w:val="true"/>
        </w:rPr>
        <w:t xml:space="preserve">نقد یک پندار </w:t>
      </w:r>
      <w:r>
        <w:rPr>
          <w:rtl w:val="true"/>
        </w:rPr>
        <w:t>:</w:t>
      </w:r>
      <w:bookmarkEnd w:id="307"/>
    </w:p>
    <w:p>
      <w:pPr>
        <w:pStyle w:val="Heading3"/>
        <w:numPr>
          <w:ilvl w:val="2"/>
          <w:numId w:val="1"/>
        </w:numPr>
        <w:rPr/>
      </w:pPr>
      <w:bookmarkStart w:id="308" w:name="__RefHeading___Toc4158984_2870459653"/>
      <w:bookmarkStart w:id="309" w:name="_Toc119"/>
      <w:bookmarkEnd w:id="308"/>
      <w:r>
        <w:rPr>
          <w:rtl w:val="true"/>
        </w:rPr>
        <w:t>[</w:t>
      </w:r>
      <w:r>
        <w:rPr>
          <w:rtl w:val="true"/>
        </w:rPr>
        <w:t>پاسخ گو بودن فلسفه صدرایی به شبهات مادیین</w:t>
      </w:r>
      <w:r>
        <w:rPr>
          <w:rtl w:val="true"/>
        </w:rPr>
        <w:t>]</w:t>
      </w:r>
      <w:bookmarkEnd w:id="309"/>
    </w:p>
    <w:p>
      <w:pPr>
        <w:pStyle w:val="BookText"/>
        <w:rPr/>
      </w:pPr>
      <w:r>
        <w:rPr>
          <w:rFonts w:ascii="IRNazanin" w:hAnsi="IRNazanin" w:eastAsia="IRNazanin"/>
          <w:color w:val="111111"/>
          <w:sz w:val="28"/>
          <w:sz w:val="28"/>
          <w:szCs w:val="28"/>
          <w:rtl w:val="true"/>
          <w:lang w:bidi="fa-IR"/>
        </w:rPr>
        <w:t xml:space="preserve">در تاریخ مرجعیت شیعه در دورۀ معاصر دو رخداد مهم وجود دارد که نظر اهل علم را به خود جلب نموده و اهمیت این دو رخداد از این روست که مرجع اعلی زمان با اظهار نظر به موقع و ورود به هنگام خود در بزنگاه تاریخی به صیانت و مرزبانی از اعتقادات پرداخت و ساحت مقدس و متعالی عقاید حقّه و معارف اصیل الهی را از آلوده شدن به مطالب و مباحث صناعی و التقاطی و غیر وحیانی پاسداشت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واقعه که نمایانگر افق بلند فکری و جایگاه رفیع و نگاه حقایق شناس حضرت آیت الله العظمی بروجردی بود ، موضع گیری ایشان علیه تعلیقه نگاری بر بحارالانوار علامۀ مجلسی و مخالفت ایشان با تدریس فلسفه در حوزۀ علمیۀ قم بود که در زمان خود و پس از آن واکنش هایی را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قول ها و تاریخ شفاهی پیرامون این دو رخداد که به فاصلۀ کوتاهی از هم اتفاق افتاد فراوان است ولی آنچه نقطه مشترک همۀ این اقوال و مشافهات است ، مخالفت سرسختانه و قاطع آیت الله العظمی بروجردی با تدریس فلسفه و خصوصاً کتاب اسفار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تا چه حد اقوال شاگردان و معاصران آیت الله مصون از اشتباهات و سهوها و نسیان ها باشد ، امریست که با مقایسۀ گزارش های متعدد و تحلیل آنها می توان تا حدودی به آن دست یافت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آنچه بر همگان واضح و مبرهن است و همگی به آن ایمان دارند ، مقام بی نظیر علمی و عملی آیت الله العظمی بروجردی مرجع اعلی شیعیان است که احدی بر سرآن مناقشه ننموده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همین موقعیت منحصر به فرد و یگانۀ ایشان می طلبد که گزارش این واقعه را چه از سوی موافقان به این اقدام که از این مرزبانی و غیرت دینی خرسند بودند ، و چه از سوی ناراضیان و رنجیدگان این اقدام آیت الله العظمی بروجردی ، به شخصیت منحصر به فرد و جامع ایشان عرضه نماییم و پاسخ خود را دربارۀ چند و چون این دو واقعه دریافت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پس از این عرضه ، چند نکته بر خواننده بصیر و هوشیار مخفی نماند که به اختصار بیان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 آنچه که یک مرجع آنهم با موقعیت مرحوم آیت الله العظمی بروجردی اولاٍ به آن می اندیشد ، اقامۀ تکلیف شرعی و ادای وظیفه در برابر ولی زمان خود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این مسیر هیچ ملاحظه ای وجود ندارد ، لذا آنگونه که در برخی از نقل قول های شاهدان واقعه ، ملاحظۀ ایشان از نجف و مشهد و علمای مخالف فلسفه را ، دلیل موضع گیری ایشان علیه تعلیقه نگاری بر بحار و علیه تدریس اسفار دانسته اند ، به نظر دقیق و واقع بینانه نمی رسد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سخنی از استاد علی دوانی که ایشان نیز از مرحوم امام خمینی نقل کرده اند ، که گویی مرحوم امام نیز از این موضع گیری آیت الله العظمی بروجردی دلِ خوشی نداشته اند ولی بنابر مصالحی و برای حفظ مقام مرجعیت سکوت کرده اند و نیز بیان آن عبارت از قول امام خمینی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کنم کسانی در منزل آقای بروجردی هستند که نمی گذارند کاری برای اسلام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نظر مسامحی بلکه خالی از نکته سنجی و بصیرت است ، چون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خمینی خود رسالت حوزه را ترویج و تدریس فقه آل محمد صَلّى الله عَليهِ وسَلَّم می دانستند و حتی اصول را هم آن مقدار که به کار استنباط بیاید لازم می دانستند و از داخل کردن فلسفه در اصول بشدت پرهیز داشتند و وظیفه یک حوزوی را هم فراگیری فقه و اصول می دانستند و تحقیق و تتبع در اخبار و روایات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جهت اشرافی که روی جهات شخصیتی آیت الله العظمی بروجردی داشتند ، می دانستند دستور ایشان بر توقف تعلیقه نگاری بر بحار و نیز دستور ایشان بر توقف تدریس فلسفه بر اساس تکلیف شرعی است و بیت آیت الله العظمی بروجردی هم منزّه از آنست که عده ای با آن وصف مذکور در آن اجتماع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دیگر اینکه در چند نقل قول بیان شده که تدریس فلسفه و آن هم اسفار از برای پاسخ به ماتریالیستها و اصول فلسفۀ مادی و نیز رد شبهات آنها بوده و خصوصاً با توجه به رواج جریان های مارکسیستی تدریس فلسفۀ اسلامی ضروری بوده است ، که البته پس از ممنوعیت آن توسط آیت الله العظمی بروجردی ، خود ایشان پس از چندی تحت تأثیر القائات و رفت و آمدهای برخی شاگردانشان بالاخره راضی به تدریس شفا بجای اسفار شده اند تا این مهم ، یعنی پاسخ به ملاحده و منکرین و ماتریالیستها روی زمین نماند ، آن چنان که علت شکل گیری درس های اصول فلسفه و روش رئالیسم هم ، چنین ذکر شده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دیدگاه شگفت باید گفت ، امروز ، گرفتاری های فلسفۀ صدرایی و اسلاف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مشّا و عرفان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مباینت و مخالفت آشکار آن با مبانی اعتقادی وحیانی امریست که بر اهل تحقیق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مبدأ و معاد این فلسفه ضایعه ای کمتر از بنیان های اعتقادی ماتریالیسم و جریان های الحادی نیست ، با این تفاوت که آن جریان ها در بیان عقاید خود ، صراحت و شفافیت دارند ولی مفاد فلسفۀ صدرایی که برای قالب کردن خود به اذهان متدینین از اهل علم و نیز برای مصون ماندن از تکفیر ، آرایش شده با آیات و احادیث است ، در بیان مطالب خود و ارائه جهان بینی خود شفاف و رو راست نیست ، بیان این فلسفه از توحید همان وحدت شخصی وجود است و از معاد ، معاد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است و تبیین اصول میانی این دو اصل مهم نیز یعنی نبوت ، عدل ، امامت و مباحث وابسته به آن نیز در فلسفۀ صدرایی و دیگر فلسفه ها ، وضعی بهتر از مباحث مبدأ و معاد ندارند و به </w:t>
      </w:r>
    </w:p>
    <w:p>
      <w:pPr>
        <w:pStyle w:val="BookText"/>
        <w:rPr/>
      </w:pPr>
      <w:r>
        <w:rPr>
          <w:rFonts w:ascii="IRNazanin" w:hAnsi="IRNazanin" w:eastAsia="IRNazanin"/>
          <w:color w:val="111111"/>
          <w:sz w:val="28"/>
          <w:sz w:val="28"/>
          <w:szCs w:val="28"/>
          <w:rtl w:val="true"/>
          <w:lang w:bidi="fa-IR"/>
        </w:rPr>
        <w:t xml:space="preserve">نوعی به تبعات و توالی فاسد وحدت وجود و معاد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صوری ، گرفتار آمده اند ، لذا بدیهی است این فلسفه با این ویژگی ها ترجیحی بر ماتریالیسم ندارد چه رسد به اینکه بخواهد پاسخگوی شبهات ماتریالیستها و ملحدین باشد لذا به قول معروف از چاله به چاه افتادن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مسأله در این بعد هم منتفی به انتفاء موضوع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این موضوع مجال موسعی می طلبد ولی اجمالاً مرحوم علامه حائری سمنانی در کتاب حکمت بوعلی و مرحوم علامه محمدتقی جعفری در مبدأ اعلی و برخی دیگر آثار خود مانند جبر و اختیار به تفصیل متعرض آن گردیده اند و انحرافات فلسفۀ صدرایی را ایضاح و تبیین نموده اند و آن را دیوار به دیوار ماتریالیسم ، بلکه ویران تر از آن دانسته اند </w:t>
      </w:r>
      <w:r>
        <w:rPr>
          <w:rFonts w:eastAsia="IRNazanin" w:cs="IRNazanin"/>
          <w:color w:val="111111"/>
          <w:sz w:val="28"/>
          <w:szCs w:val="28"/>
          <w:rtl w:val="true"/>
          <w:lang w:bidi="fa-IR"/>
        </w:rPr>
        <w:t xml:space="preserve">. </w:t>
      </w:r>
      <w:bookmarkStart w:id="310" w:name="pg9221_92210"/>
    </w:p>
    <w:p>
      <w:pPr>
        <w:pStyle w:val="Heading3"/>
        <w:numPr>
          <w:ilvl w:val="2"/>
          <w:numId w:val="1"/>
        </w:numPr>
        <w:rPr/>
      </w:pPr>
      <w:bookmarkStart w:id="311" w:name="__RefHeading___Toc4158986_2870459653"/>
      <w:bookmarkStart w:id="312" w:name="_Toc120"/>
      <w:bookmarkEnd w:id="310"/>
      <w:bookmarkEnd w:id="311"/>
      <w:r>
        <w:rPr>
          <w:rtl w:val="true"/>
        </w:rPr>
        <w:t>نقد بداية الحكمة</w:t>
      </w:r>
      <w:bookmarkEnd w:id="312"/>
    </w:p>
    <w:p>
      <w:pPr>
        <w:pStyle w:val="Heading3"/>
        <w:numPr>
          <w:ilvl w:val="2"/>
          <w:numId w:val="1"/>
        </w:numPr>
        <w:rPr/>
      </w:pPr>
      <w:bookmarkStart w:id="313" w:name="__RefHeading___Toc4158988_2870459653"/>
      <w:bookmarkStart w:id="314" w:name="_Toc121"/>
      <w:bookmarkEnd w:id="313"/>
      <w:r>
        <w:rPr>
          <w:rtl w:val="true"/>
        </w:rPr>
        <w:t>«</w:t>
      </w:r>
      <w:r>
        <w:rPr>
          <w:rtl w:val="true"/>
        </w:rPr>
        <w:t>تقریرات درس استاد سید قاسم علی احمدی</w:t>
      </w:r>
      <w:r>
        <w:rPr>
          <w:rtl w:val="true"/>
        </w:rPr>
        <w:t>» (</w:t>
      </w:r>
      <w:r>
        <w:rPr>
          <w:rtl w:val="true"/>
        </w:rPr>
        <w:t>جلسه پنجم</w:t>
      </w:r>
      <w:r>
        <w:rPr>
          <w:rtl w:val="true"/>
        </w:rPr>
        <w:t>)</w:t>
      </w:r>
      <w:bookmarkEnd w:id="314"/>
    </w:p>
    <w:p>
      <w:pPr>
        <w:pStyle w:val="Heading2"/>
        <w:numPr>
          <w:ilvl w:val="1"/>
          <w:numId w:val="1"/>
        </w:numPr>
        <w:rPr/>
      </w:pPr>
      <w:bookmarkStart w:id="315" w:name="__RefHeading___Toc4158990_2870459653"/>
      <w:bookmarkStart w:id="316" w:name="_Toc122"/>
      <w:bookmarkEnd w:id="315"/>
      <w:r>
        <w:rPr>
          <w:rtl w:val="true"/>
        </w:rPr>
        <w:t xml:space="preserve">تنظیم و تدوین </w:t>
      </w:r>
      <w:r>
        <w:rPr>
          <w:rtl w:val="true"/>
        </w:rPr>
        <w:t xml:space="preserve">: </w:t>
      </w:r>
      <w:r>
        <w:rPr>
          <w:rtl w:val="true"/>
        </w:rPr>
        <w:t>حجت الاسلام جواد عبدی</w:t>
      </w:r>
      <w:bookmarkEnd w:id="316"/>
    </w:p>
    <w:p>
      <w:pPr>
        <w:pStyle w:val="Heading3"/>
        <w:numPr>
          <w:ilvl w:val="2"/>
          <w:numId w:val="1"/>
        </w:numPr>
        <w:rPr/>
      </w:pPr>
      <w:bookmarkStart w:id="317" w:name="__RefHeading___Toc4158992_2870459653"/>
      <w:bookmarkStart w:id="318" w:name="_Toc123"/>
      <w:bookmarkEnd w:id="317"/>
      <w:r>
        <w:rPr>
          <w:rtl w:val="true"/>
        </w:rPr>
        <w:t xml:space="preserve">چکیده </w:t>
      </w:r>
      <w:r>
        <w:rPr>
          <w:rtl w:val="true"/>
        </w:rPr>
        <w:t>:</w:t>
      </w:r>
      <w:bookmarkEnd w:id="318"/>
    </w:p>
    <w:p>
      <w:pPr>
        <w:pStyle w:val="BookText"/>
        <w:rPr/>
      </w:pPr>
      <w:r>
        <w:rPr>
          <w:rFonts w:ascii="IRNazanin" w:hAnsi="IRNazanin" w:eastAsia="IRNazanin"/>
          <w:color w:val="111111"/>
          <w:sz w:val="28"/>
          <w:sz w:val="28"/>
          <w:szCs w:val="28"/>
          <w:rtl w:val="true"/>
          <w:lang w:bidi="fa-IR"/>
        </w:rPr>
        <w:t xml:space="preserve">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یک دوره فلسفه است که بر سبیل اختصار و به منظور کفایت از متون مهم فلسفی ، برای آشنایی طلاب و اهل علم و تدریس در حوزه های علمیه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کتاب مشتمل بر اساسی ترین مسائلیست که در مورد هستی مطرح است و</w:t>
      </w:r>
    </w:p>
    <w:p>
      <w:pPr>
        <w:pStyle w:val="BookText"/>
        <w:rPr/>
      </w:pPr>
      <w:r>
        <w:rPr>
          <w:rFonts w:ascii="IRNazanin" w:hAnsi="IRNazanin" w:eastAsia="IRNazanin"/>
          <w:color w:val="111111"/>
          <w:sz w:val="28"/>
          <w:sz w:val="28"/>
          <w:szCs w:val="28"/>
          <w:rtl w:val="true"/>
          <w:lang w:bidi="fa-IR"/>
        </w:rPr>
        <w:t xml:space="preserve">در دو بخش الهیات بالمعنى الأعم والهيات بالمعنى الأخص عهده دار پاسخ به این مسائل و پرسش 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ها و مسائلی که در مبنای وحی از بنیان ، طرحی متفاوت و پاسخی متفاوت از آنچه در این دو کتاب فلسفی بیان شده ،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ذیل که درس گفتارهای جناب استاد سید قاسم علی احمدی در نقد بدایة الحكمة علامه طباطبایی در حوزه علمیه قم است ، به صورت مسأله محور عهده دار تبیین تفاوت بنیادین مبنای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مبنای وحی و شرع در مسائل مهمی چون حدوث و قدم ، ماده و صورت ، وحدت وجود ، اتحاد علم و عالم و معلوم و بسیاری دیگر از مباحث فلسفی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استدلالی و تحلیل انتقادی به نحو ایجاز از ویژگی های این نقد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الحكمة ، وجود عقل ، وحی و 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به نستعين و صلى الله على سيدنا محمد و آله الطاهرین و لعنة الله على اعدائهم اجمعين من الآن الى قيام يوم الدين رب يسر ولا تعسر سهل علينا يا رب العالمين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به اینجا رسید که در مرحله ذهن وجود ، زائد بر ماهیت و غیر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حاجی سبزواری در منظومه اش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الوجودَ عارضُ الماهيةِ تصوراً و اتحدا هويةً </w:t>
      </w:r>
      <w:bookmarkStart w:id="319" w:name="pg9221_92211"/>
    </w:p>
    <w:p>
      <w:pPr>
        <w:pStyle w:val="BookText"/>
        <w:rPr/>
      </w:pPr>
      <w:bookmarkEnd w:id="319"/>
      <w:r>
        <w:rPr>
          <w:rFonts w:ascii="IRNazanin" w:hAnsi="IRNazanin" w:eastAsia="IRNazanin"/>
          <w:color w:val="111111"/>
          <w:sz w:val="28"/>
          <w:sz w:val="28"/>
          <w:szCs w:val="28"/>
          <w:rtl w:val="true"/>
          <w:lang w:bidi="fa-IR"/>
        </w:rPr>
        <w:t xml:space="preserve">یعنی در تصور ذهنی وجود عارض بر ماهیت است و حال آنکه هویت آنها یک چیز بیش نیست </w:t>
      </w:r>
      <w:r>
        <w:rPr>
          <w:rFonts w:eastAsia="IRNazanin" w:cs="IRNazanin"/>
          <w:color w:val="111111"/>
          <w:sz w:val="28"/>
          <w:szCs w:val="28"/>
          <w:rtl w:val="true"/>
          <w:lang w:bidi="fa-IR"/>
        </w:rPr>
        <w:t>.</w:t>
      </w:r>
    </w:p>
    <w:p>
      <w:pPr>
        <w:pStyle w:val="Heading3"/>
        <w:numPr>
          <w:ilvl w:val="2"/>
          <w:numId w:val="1"/>
        </w:numPr>
        <w:rPr/>
      </w:pPr>
      <w:bookmarkStart w:id="320" w:name="__RefHeading___Toc4158994_2870459653"/>
      <w:bookmarkStart w:id="321" w:name="_Toc124"/>
      <w:bookmarkEnd w:id="320"/>
      <w:r>
        <w:rPr>
          <w:rtl w:val="true"/>
        </w:rPr>
        <w:t xml:space="preserve">هستی و چیستی </w:t>
      </w:r>
      <w:r>
        <w:rPr>
          <w:rtl w:val="true"/>
        </w:rPr>
        <w:t>:</w:t>
      </w:r>
      <w:bookmarkEnd w:id="321"/>
    </w:p>
    <w:p>
      <w:pPr>
        <w:pStyle w:val="BookText"/>
        <w:rPr/>
      </w:pPr>
      <w:r>
        <w:rPr>
          <w:rFonts w:ascii="IRNazanin" w:hAnsi="IRNazanin" w:eastAsia="IRNazanin"/>
          <w:color w:val="111111"/>
          <w:sz w:val="28"/>
          <w:sz w:val="28"/>
          <w:szCs w:val="28"/>
          <w:rtl w:val="true"/>
          <w:lang w:bidi="fa-IR"/>
        </w:rPr>
        <w:t xml:space="preserve">گاهی ما از چیستی شیء سوال می کنیم با وجود این که علم به تحقق آن داریم و گاهی از تحقق شیء سؤال می کنیم ، با وجود اینکه از چیستی آن با خبریم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نتیجه این خواهد شد که مفهوم چیستی غیر از مفهوم هستی است بنابراین این دو ، در مقام تصور غیر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بار سؤال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سیمرغ چیست ؟ یعنی به موجودیت آن علم و آگاهی داریم ولی از چیستی آن بی خبریم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سیمرغ هست یا نه؟ پس در این صورت علم به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اما تحقق ، موجودیت و هستی آن بر ما مجهول است </w:t>
      </w:r>
      <w:r>
        <w:rPr>
          <w:rFonts w:eastAsia="IRNazanin" w:cs="IRNazanin"/>
          <w:color w:val="111111"/>
          <w:sz w:val="28"/>
          <w:szCs w:val="28"/>
          <w:rtl w:val="true"/>
          <w:lang w:bidi="fa-IR"/>
        </w:rPr>
        <w:t>.</w:t>
      </w:r>
    </w:p>
    <w:p>
      <w:pPr>
        <w:pStyle w:val="Heading3"/>
        <w:numPr>
          <w:ilvl w:val="2"/>
          <w:numId w:val="1"/>
        </w:numPr>
        <w:rPr/>
      </w:pPr>
      <w:bookmarkStart w:id="322" w:name="__RefHeading___Toc4158996_2870459653"/>
      <w:bookmarkStart w:id="323" w:name="_Toc125"/>
      <w:bookmarkEnd w:id="322"/>
      <w:r>
        <w:rPr>
          <w:rtl w:val="true"/>
        </w:rPr>
        <w:t>اشیاء خارجی مصداق چه مفهومی هستند ؟</w:t>
      </w:r>
      <w:bookmarkEnd w:id="323"/>
    </w:p>
    <w:p>
      <w:pPr>
        <w:pStyle w:val="BookText"/>
        <w:rPr/>
      </w:pPr>
      <w:r>
        <w:rPr>
          <w:rFonts w:ascii="IRNazanin" w:hAnsi="IRNazanin" w:eastAsia="IRNazanin"/>
          <w:color w:val="111111"/>
          <w:sz w:val="28"/>
          <w:sz w:val="28"/>
          <w:szCs w:val="28"/>
          <w:rtl w:val="true"/>
          <w:lang w:bidi="fa-IR"/>
        </w:rPr>
        <w:t xml:space="preserve">اما اکنون بحث در این است که آیا آن چیزی که در خارج است مصداق مفهوم چیستی است که در ذهن ماست یا مصداق مفهوم هستی است که در تصور ما جای دارد ؟ پس بحث ما بحث مصداقی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بپذیریم آنچه در خارج است مصداق چیستی است که در ذهن ماست ، در این صورت اصالت با ماهیت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بپذیریم آن شیء خارجی مصداق هستی است که در ذهن ماست ، در این صورت اصالت با وجود خواهد بود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ادعای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 ندارد اشیایی که در خارج هستند مصداق مفهوم هستی در ذهن 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همانگونه که مؤلف در مباحث آتی می گوید ، وجود بسیط است یعنی جزء خارجی و ترکیب ذهنی و عقلی ندارد و همچنین فاقد جنس و فصل است بلکه جنس و فصل آن عین یکدیگرند یعنی ما به الامتیاز آن عین ما به الاشتراک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قرار باشد بگوییم آنچه در خارج است مصداق مفهوم هستی بوده و بپذیریم که اصالت با وجود است ، این بدان معناست که آن چه در خارج می بینیم کمّ و کیف و وزن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هر شیء ممکنی مرکب از ماهیت </w:t>
      </w:r>
      <w:bookmarkStart w:id="324" w:name="pg9221_92212"/>
    </w:p>
    <w:p>
      <w:pPr>
        <w:pStyle w:val="BookText"/>
        <w:rPr/>
      </w:pPr>
      <w:bookmarkEnd w:id="324"/>
      <w:r>
        <w:rPr>
          <w:rFonts w:ascii="IRNazanin" w:hAnsi="IRNazanin" w:eastAsia="IRNazanin"/>
          <w:color w:val="111111"/>
          <w:sz w:val="28"/>
          <w:sz w:val="28"/>
          <w:szCs w:val="28"/>
          <w:rtl w:val="true"/>
          <w:lang w:bidi="fa-IR"/>
        </w:rPr>
        <w:t xml:space="preserve">و وجود است و این ماهیت است که برای مقولات عشر مقسم واقع می شود نه وجود و این ماهیت است که به جوهر و عرض تقسیم می شود که همه اینها در قبال وجود است پس هر چه در خارج می بینیم چیزی جز جواهر و اعراض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صاحب کتاب حکمت بوعلی بیانی با این مضمون دارد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اصالت وجودی است که هر آنچه در خارج است حق طلق ماهیت شده و اثری از وجود نیست </w:t>
      </w:r>
      <w:r>
        <w:rPr>
          <w:rFonts w:eastAsia="IRNazanin" w:cs="IRNazanin"/>
          <w:color w:val="111111"/>
          <w:sz w:val="28"/>
          <w:szCs w:val="28"/>
          <w:rtl w:val="true"/>
          <w:lang w:bidi="fa-IR"/>
        </w:rPr>
        <w:t>.</w:t>
      </w:r>
    </w:p>
    <w:p>
      <w:pPr>
        <w:pStyle w:val="Heading3"/>
        <w:numPr>
          <w:ilvl w:val="2"/>
          <w:numId w:val="1"/>
        </w:numPr>
        <w:rPr/>
      </w:pPr>
      <w:bookmarkStart w:id="325" w:name="__RefHeading___Toc4158998_2870459653"/>
      <w:bookmarkStart w:id="326" w:name="_Toc126"/>
      <w:bookmarkEnd w:id="325"/>
      <w:r>
        <w:rPr>
          <w:rtl w:val="true"/>
        </w:rPr>
        <w:t xml:space="preserve">اصالت نه با ماهیت است نه با وجود </w:t>
      </w:r>
      <w:r>
        <w:rPr>
          <w:rtl w:val="true"/>
        </w:rPr>
        <w:t>:</w:t>
      </w:r>
      <w:bookmarkEnd w:id="326"/>
    </w:p>
    <w:p>
      <w:pPr>
        <w:pStyle w:val="BookText"/>
        <w:rPr/>
      </w:pPr>
      <w:r>
        <w:rPr>
          <w:rFonts w:ascii="IRNazanin" w:hAnsi="IRNazanin" w:eastAsia="IRNazanin"/>
          <w:color w:val="111111"/>
          <w:sz w:val="28"/>
          <w:sz w:val="28"/>
          <w:szCs w:val="28"/>
          <w:rtl w:val="true"/>
          <w:lang w:bidi="fa-IR"/>
        </w:rPr>
        <w:t xml:space="preserve">البته ناگفته نماند ما معتقد به اصالت ماهیت نیز نیستیم بلکه می گوییم آنچه را خداوند خلق کرده اشیایی است که در خارج می بینیم و جعل خداوند به اشیا تعلق گرفته است مانند کوه و درخت و سنگ و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مجعول ماهیت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مراد قائلان به اصالت ماهیت از ماهیت همان شیء مجعول خارجی باشد ، در این صورت نزاعی میان ما و ایشان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معتقدیم که جعل به وجود اشیاء نیز تعلق نگرفته است زیرا اگر جعل به وجود اشیا تعلق گرفته باشد باید صحت سلب موجودیت از اشیاء برقرار باشد یعنی باید بشود موجودیت را نسبت به آنها سلب کرد در حالی که به وضوح در می یابیم که سلب موجودیت از یک شیء ، ممکن نیست یعنی وقتی یک شیء وجود خارجی دارد ، نمی 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اگر اصالت با وجود باشد باید صحت سلب برقرار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برخی از قائلان به اصالة الوجود می گویند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 ذوق فلسفی اصالت وجود را فهمید و ثابت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آنچه را که می بینیم و می فهمیم همین اشیا از قبیل آسمان ، زمین ، شجر ، 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از طرح هر اشکالی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بودن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بداهت است در نتیجه نوبت به اقامه برهان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کتاب تنزيه المعبود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وجدان و فطرت سلیم حکم می کند به اینکه اشیا و ماهیات خارجی اولاً و بالذات اشیاء حقیقی و واقعی </w:t>
      </w:r>
    </w:p>
    <w:p>
      <w:pPr>
        <w:pStyle w:val="BookText"/>
        <w:rPr/>
      </w:pPr>
      <w:r>
        <w:rPr>
          <w:rFonts w:ascii="IRNazanin" w:hAnsi="IRNazanin" w:eastAsia="IRNazanin"/>
          <w:color w:val="111111"/>
          <w:sz w:val="28"/>
          <w:sz w:val="28"/>
          <w:szCs w:val="28"/>
          <w:rtl w:val="true"/>
          <w:lang w:bidi="fa-IR"/>
        </w:rPr>
        <w:t xml:space="preserve">هستند یا آنچه اولاً و بالذات محقق است ، حقیقة الوجود است و تحقق مجازی و ثانویه و عرضی ، از آن ماهیات است ؟ آیا اشیا واقعاً دارای تحقق خارج از ذهن هستند یا خیر ؟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صاحب حکمت بوعلی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فکر نمی کنید حقیقت وجود چه حقیقتی است که هر چه نام است و نشان و عنوان و مقوله و ماده و صورت و جوهر و عرض و عناوین حواس ظاهره و باطنه و مراکز آنها در انسان ، همه حقّ طلق ماهیات است و حقیقت وجود بهره ای از این عناوین ندارد بلکه وجود نه ذات دارد نه ذاتیات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ذات ماهیت است ذاتیات هم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کمالاتی هم برای او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ذات واجب تعالی عین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واجب الوجود فاقد كمالاتی ساخته اند که جمیع ماهیات کمالات را هم از او باید سلب نمایند </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متبادر از نصوص کتاب و سنت این است که واقعیت های خارجی ، مصادیق حقیقی برای مفهوم انسان ، درخت و سایر اشیاء است و این امور در خارج اولاً و بالذات تحقق دارند ؟ یا این که آن چیزی که در خارج موجود و متحقق است وجود این اشیاء یا همان حقيقة الوجود است نه خود اشیاء ؟ آیا اشیاء و ماهیت های خارجی همانند سرابی است که انسان جاهل می پندارد آب است ؟ آیا نزد عموم عقلا آنچه موجود است خود اشیا یعنی خود درخت و سنگ و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چیز دیگری است است که وجود نامیده می شود ؟ اگر پاسخ مثبت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قائلان به اصالة الوجود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گفته شود در این صورت این اشیا و ذوات حدّ وجود و منتزَع از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آیا اصولاً امکان سلب تحقق و موجودیت از اشیا و ماهیات خارجی وجود دارد ؟ بنابراین اگر لازمه و خواست وجدان و فطرت و متبادر از نصوص کتاب و سنت و نیز مرتکز اذهان همه عقلاً این است که آنچه در خارج متحقق است خورشید ، ماه ، سنگ درخت </w:t>
      </w:r>
      <w:bookmarkStart w:id="327" w:name="pg9221_92214"/>
    </w:p>
    <w:p>
      <w:pPr>
        <w:pStyle w:val="BookText"/>
        <w:rPr/>
      </w:pPr>
      <w:bookmarkEnd w:id="32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معلوم گشت آنچه را که همه می بینند جز ذوات مشخص و خاص که سلب موجودیت از آنها امکان پذیر نمی باشد چیز دیگری نیست و هرگاه بطلان انتزاع ذوات و ماهیت خارجی از چیزی به نام وجود واضح گردید ، چگونه بر انسان عاقل جایز خواهد بود از امری که بر آن برهان اقامه شده است دست برداشته و به اصالت وجودی معتقد شود که به هیچ دلیلی مستدل نشده بلکه ادله ای که بر آن اقامه شده همگی بر پایه مقدمات غیر مسلم و غیر بدیهی یا مصادره به مطلوب است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حاجی سبزواری اعتراف می کند که اصالت وجود را باید با کشف ثابت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در نهایة الدرایة به اینکه مشهور فلاسفه و متکلمان به اصالة الماهیه و تعلق جعل به ماهیت قائل شده اند ، اعتراف نموده است </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صاحب اسفار نیز در برهه ای از زمان حیات خود قائل به اصالت ماهیت بوده و به شدت از آن دفاع می کرد </w:t>
      </w:r>
      <w:r>
        <w:rPr>
          <w:rStyle w:val="FootnoteAnchor"/>
          <w:rtl w:val="true"/>
        </w:rPr>
        <w:footnoteReference w:id="218"/>
      </w:r>
      <w:r>
        <w:rPr>
          <w:rFonts w:ascii="IRNazanin" w:hAnsi="IRNazanin" w:eastAsia="IRNazanin"/>
          <w:color w:val="111111"/>
          <w:sz w:val="28"/>
          <w:sz w:val="28"/>
          <w:szCs w:val="28"/>
          <w:rtl w:val="true"/>
          <w:lang w:bidi="fa-IR"/>
        </w:rPr>
        <w:t xml:space="preserve">اما بعدها از این اعتقاد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معاصران نیز اقرار کرده اند که مباحث فلسفی پیش از فارابی بر اصالت ماهیت مبتنی بوده است </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328" w:name="__RefHeading___Toc4159000_2870459653"/>
      <w:bookmarkStart w:id="329" w:name="_Toc127"/>
      <w:bookmarkEnd w:id="328"/>
      <w:r>
        <w:rPr>
          <w:rtl w:val="true"/>
        </w:rPr>
        <w:t xml:space="preserve">سخن مؤلف تحت عنوان اصیل بودن وجود و اعتباری بودن ماهیت </w:t>
      </w:r>
      <w:r>
        <w:rPr>
          <w:rtl w:val="true"/>
        </w:rPr>
        <w:t>:</w:t>
      </w:r>
      <w:bookmarkEnd w:id="329"/>
    </w:p>
    <w:p>
      <w:pPr>
        <w:pStyle w:val="BookText"/>
        <w:rPr/>
      </w:pPr>
      <w:r>
        <w:rPr>
          <w:rFonts w:ascii="IRNazanin" w:hAnsi="IRNazanin" w:eastAsia="IRNazanin"/>
          <w:color w:val="111111"/>
          <w:sz w:val="28"/>
          <w:sz w:val="28"/>
          <w:szCs w:val="28"/>
          <w:rtl w:val="true"/>
          <w:lang w:bidi="fa-IR"/>
        </w:rPr>
        <w:t xml:space="preserve">مؤلف در فصل چهارم تحت عنوان اصالت وجود و اعتباریت ماهیت می گوید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شک نداریم که عالم خارج اموری واقعی و دارای آثار واقعی است و ناشی از وهم و خیال پردازی نیست به عبارت دیگر ما سوفسطائی نیستیم و از این همه اموری که مشاهده می کنیم در عین حالی که هر یک از آنها یک چیز بیشتر نیستند ، دو مفهوم ذهنی برداشت می شود که هر یک غیر از دیگری است که یکی از آنها مفهوم هستی و دیگری مفهوم چیستی است به عبارت دیگر مفهوم چیستی و هستی در عین حالی که دو مفهوم ذهنی هستند اما از نظر مصداق و واقعیت خارجی یک چیز بیشتر </w:t>
      </w:r>
      <w:bookmarkStart w:id="330" w:name="pg9221_92215"/>
    </w:p>
    <w:p>
      <w:pPr>
        <w:pStyle w:val="BookText"/>
        <w:rPr/>
      </w:pPr>
      <w:bookmarkEnd w:id="330"/>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انسانی را در خارج می بینیم آنچه را که ذهن اعتبار می کند و می سازد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 است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فلاسفه در اینکه کدام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هستی و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است ، اختلاف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فلاسفه مشاء قائل به اصالت وجود و فلاسفه اشراق قائل به اصالت ماهیت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یک از فلاسفه به اصالت هر دو معتقد نشدند زیرا این باور مستلزم آن است که یک چیز دو 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یا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یا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آتش باید باشد ، بدون هستی و هستی باید باشد بدون ناریت که این خلاف ضرورت عقل است وی 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همان است که فلاسفه مشاء به آن قائل شده اند و آن اصالت وجود است </w:t>
      </w:r>
      <w:r>
        <w:rPr>
          <w:rFonts w:eastAsia="IRNazanin" w:cs="IRNazanin"/>
          <w:color w:val="111111"/>
          <w:sz w:val="28"/>
          <w:szCs w:val="28"/>
          <w:rtl w:val="true"/>
          <w:lang w:bidi="fa-IR"/>
        </w:rPr>
        <w:t>.</w:t>
      </w:r>
    </w:p>
    <w:p>
      <w:pPr>
        <w:pStyle w:val="Heading3"/>
        <w:numPr>
          <w:ilvl w:val="2"/>
          <w:numId w:val="1"/>
        </w:numPr>
        <w:rPr/>
      </w:pPr>
      <w:bookmarkStart w:id="331" w:name="__RefHeading___Toc4159002_2870459653"/>
      <w:bookmarkStart w:id="332" w:name="_Toc128"/>
      <w:bookmarkEnd w:id="331"/>
      <w:r>
        <w:rPr>
          <w:rtl w:val="true"/>
        </w:rPr>
        <w:t xml:space="preserve">مهمترین دلیل مؤلف براصالة الوجود </w:t>
      </w:r>
      <w:r>
        <w:rPr>
          <w:rtl w:val="true"/>
        </w:rPr>
        <w:t>:</w:t>
      </w:r>
      <w:bookmarkEnd w:id="332"/>
    </w:p>
    <w:p>
      <w:pPr>
        <w:pStyle w:val="BookText"/>
        <w:rPr/>
      </w:pPr>
      <w:r>
        <w:rPr>
          <w:rFonts w:ascii="IRNazanin" w:hAnsi="IRNazanin" w:eastAsia="IRNazanin"/>
          <w:color w:val="111111"/>
          <w:sz w:val="28"/>
          <w:sz w:val="28"/>
          <w:szCs w:val="28"/>
          <w:rtl w:val="true"/>
          <w:lang w:bidi="fa-IR"/>
        </w:rPr>
        <w:t xml:space="preserve">مؤلف برای اثبات اصالت وجود چهار دلیل اقامه کرده است که در میان آنها دلیل اول برای پیروان این مسلک بسیار حائز اهمیت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سایر ادله در برابر آن چندان قابل توجه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همچون طلسمی است که همگان مسحور آن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به نقد و رد هر چهار دلیل مؤلف بر اصالت وجود خواهیم پرداخت و بسیاری از موهنات آن را ذکر کرده و خواهیم گفت که چه چیزهایی موهن دلیل اصالت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خواهیم کرد که اگر کسی اصالة الوجود را پذیرفت ، ناگزیر باید لوازم آن را نیز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لوازم قول به اصالة الوجود ، وحدت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حاجی سبزواری در منظومه اش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مشّائيّةِ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تبايَنَتْ و هو لدَيَّ زاهقّ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چه فلاسفه مشاء قائل به اصالة الوجود هستند اما آنان حقایق را وجودات متباین و متکثر می دانند و حال آنکه این سخن نزد من باطل است </w:t>
      </w:r>
      <w:r>
        <w:rPr>
          <w:rFonts w:eastAsia="IRNazanin" w:cs="IRNazanin"/>
          <w:color w:val="111111"/>
          <w:sz w:val="28"/>
          <w:szCs w:val="28"/>
          <w:rtl w:val="true"/>
          <w:lang w:bidi="fa-IR"/>
        </w:rPr>
        <w:t xml:space="preserve">. </w:t>
      </w:r>
      <w:bookmarkStart w:id="333" w:name="pg9221_92216"/>
    </w:p>
    <w:p>
      <w:pPr>
        <w:pStyle w:val="Heading3"/>
        <w:numPr>
          <w:ilvl w:val="2"/>
          <w:numId w:val="1"/>
        </w:numPr>
        <w:rPr/>
      </w:pPr>
      <w:bookmarkStart w:id="334" w:name="__RefHeading___Toc4159004_2870459653"/>
      <w:bookmarkStart w:id="335" w:name="_Toc129"/>
      <w:bookmarkEnd w:id="333"/>
      <w:bookmarkEnd w:id="334"/>
      <w:r>
        <w:rPr>
          <w:rtl w:val="true"/>
        </w:rPr>
        <w:t xml:space="preserve">تقریر اولین برهان مولف براثبات اصالت وجود </w:t>
      </w:r>
      <w:r>
        <w:rPr>
          <w:rtl w:val="true"/>
        </w:rPr>
        <w:t>:</w:t>
      </w:r>
      <w:bookmarkEnd w:id="335"/>
    </w:p>
    <w:p>
      <w:pPr>
        <w:pStyle w:val="BookText"/>
        <w:rPr/>
      </w:pPr>
      <w:r>
        <w:rPr>
          <w:rFonts w:ascii="IRNazanin" w:hAnsi="IRNazanin" w:eastAsia="IRNazanin"/>
          <w:color w:val="111111"/>
          <w:sz w:val="28"/>
          <w:sz w:val="28"/>
          <w:szCs w:val="28"/>
          <w:rtl w:val="true"/>
          <w:lang w:bidi="fa-IR"/>
        </w:rPr>
        <w:t xml:space="preserve">وی می گوید ماهیت فی حد نفسه جز خودش چیز دیگری نیست و نسبت به وجود و عدم یکسان است به عبارت دیگر ماهیت به خودی خود نه مشتمل بر وجود و نه مشتمل بر 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تواند اصیل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بنا باشد ماهیت از حد استواء خارج شده و وجود آن بر عدمش ترجیح یابد و به افق وجود بار یابد به گونه ای که آثار بر آن مترتب شود یا برعکس عدمش بر وجودش ترجیح پیدا کند ، به ناچار باید یک چیز دیگری باشد که بتواند این کار را عهده 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سؤال مهم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باید این کار را انجام دهد چیست ؟ آیا عدم می تواند ماهیت را از حد استواء خارج کرده و به سرحد وجود برساند ؟ یقیناً پاسخ منفی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عدم خود چیزی نیست که بتواند شیئی را به حد وجود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این است که ماهیت به خودی خود از حد استوا خارج شود که این فرض نیز محال است زیرا پذیرش این معنا مستلزم وقوع انقلاب در شیء ، بدون علت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وقوع معلول بلا علت که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چیزی که ذاتش متساوی النسبة به وجود و عدم است چگونه می توان به خودی خود و بدون علت دچار انقلاب گردد ؟ پس این امری محال و در نتیجه این فرض نیز باطل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علتی که می تواند ماهیت را از حد استواء و لا اقتضائی خارج کند به ناگزیر باید 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که وجود اصیل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ملاهادی سبزواری در منظومه خویش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و بالكونِ عن 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قاطبةُ الأشياءِ</w:t>
      </w:r>
    </w:p>
    <w:p>
      <w:pPr>
        <w:pStyle w:val="BookText"/>
        <w:rPr/>
      </w:pPr>
      <w:r>
        <w:rPr>
          <w:rFonts w:ascii="IRNazanin" w:hAnsi="IRNazanin" w:eastAsia="IRNazanin"/>
          <w:color w:val="111111"/>
          <w:sz w:val="28"/>
          <w:sz w:val="28"/>
          <w:szCs w:val="28"/>
          <w:rtl w:val="true"/>
          <w:lang w:bidi="fa-IR"/>
        </w:rPr>
        <w:t xml:space="preserve">یعنی چگونه می شود که وجود اعتباری باشد و حال آنکه همه اشیا و ماهیات به واسطه وجود است که از حد استواء نسبت به وجود و عدم خارج می شوند </w:t>
      </w:r>
      <w:r>
        <w:rPr>
          <w:rFonts w:eastAsia="IRNazanin" w:cs="IRNazanin"/>
          <w:color w:val="111111"/>
          <w:sz w:val="28"/>
          <w:szCs w:val="28"/>
          <w:rtl w:val="true"/>
          <w:lang w:bidi="fa-IR"/>
        </w:rPr>
        <w:t>.</w:t>
      </w:r>
    </w:p>
    <w:p>
      <w:pPr>
        <w:pStyle w:val="Heading3"/>
        <w:numPr>
          <w:ilvl w:val="2"/>
          <w:numId w:val="1"/>
        </w:numPr>
        <w:rPr/>
      </w:pPr>
      <w:bookmarkStart w:id="336" w:name="__RefHeading___Toc4159006_2870459653"/>
      <w:bookmarkStart w:id="337" w:name="_Toc130"/>
      <w:bookmarkEnd w:id="336"/>
      <w:r>
        <w:rPr>
          <w:rtl w:val="true"/>
        </w:rPr>
        <w:t>نقد و رد دلیل</w:t>
      </w:r>
      <w:bookmarkEnd w:id="337"/>
    </w:p>
    <w:p>
      <w:pPr>
        <w:pStyle w:val="Heading4"/>
        <w:numPr>
          <w:ilvl w:val="3"/>
          <w:numId w:val="1"/>
        </w:numPr>
        <w:rPr/>
      </w:pPr>
      <w:bookmarkStart w:id="338" w:name="__RefHeading___Toc4159008_2870459653"/>
      <w:bookmarkStart w:id="339" w:name="_Toc131"/>
      <w:bookmarkEnd w:id="338"/>
      <w:r>
        <w:rPr>
          <w:rtl w:val="true"/>
        </w:rPr>
        <w:t>اشاره</w:t>
      </w:r>
      <w:bookmarkEnd w:id="3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اشکالات متعددی را بر این دلیل وارد می دانیم که در ذیل بیان می نمائیم </w:t>
      </w:r>
      <w:r>
        <w:rPr>
          <w:rFonts w:eastAsia="IRNazanin" w:cs="IRNazanin"/>
          <w:color w:val="111111"/>
          <w:sz w:val="28"/>
          <w:szCs w:val="28"/>
          <w:rtl w:val="true"/>
          <w:lang w:bidi="fa-IR"/>
        </w:rPr>
        <w:t xml:space="preserve">. </w:t>
      </w:r>
      <w:bookmarkStart w:id="340" w:name="pg9221_92217"/>
    </w:p>
    <w:p>
      <w:pPr>
        <w:pStyle w:val="Heading4"/>
        <w:numPr>
          <w:ilvl w:val="3"/>
          <w:numId w:val="1"/>
        </w:numPr>
        <w:rPr/>
      </w:pPr>
      <w:bookmarkStart w:id="341" w:name="__RefHeading___Toc4159010_2870459653"/>
      <w:bookmarkStart w:id="342" w:name="_Toc132"/>
      <w:bookmarkEnd w:id="340"/>
      <w:bookmarkEnd w:id="341"/>
      <w:r>
        <w:rPr>
          <w:rtl w:val="true"/>
        </w:rPr>
        <w:t xml:space="preserve">اشکال اول </w:t>
      </w:r>
      <w:r>
        <w:rPr>
          <w:rtl w:val="true"/>
        </w:rPr>
        <w:t>:</w:t>
      </w:r>
      <w:bookmarkEnd w:id="342"/>
    </w:p>
    <w:p>
      <w:pPr>
        <w:pStyle w:val="Heading5"/>
        <w:numPr>
          <w:ilvl w:val="4"/>
          <w:numId w:val="1"/>
        </w:numPr>
        <w:rPr/>
      </w:pPr>
      <w:bookmarkStart w:id="343" w:name="__RefHeading___Toc4159012_2870459653"/>
      <w:bookmarkStart w:id="344" w:name="_Toc13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سخن ما به قائلین به اصالت وجود این است که می گوییم شما برای وجود دو مرحله قائلید یک مرحله مفهوم که می گوید مفهوم وجود بدیهی است و دیگری مصداق حقیقی و خارجی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برای ماهیت نیز بنا بر فرض اصالت ماهیت دو مرحله وجود دارد یکی مرحله مفهوم بما هو مفهوم و دیگری مرحله خارج و مصداق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گفته می شود الماهية من حيث هي ليست الا هي هي لاموجودة و لا معدومة و نسبت آن را به وجود و عدم مساوی در نظر می گیرند ، ناظر به مرحله مفهوم بما هو مفهوم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قائلان به اصالة الماهیة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اصیل بوده و اوّلا و بالذات در خارج مجعول و محقَّق است ، مقصود آنان مرحله مصداق ماهیت است نه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فرض صحت حکم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امتناع حکم در مرحله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از مسلّم بودن حکم در مرحله مفهوم بما هو مفهوم ، اعتباریت ماهیت و اصالت وجود اثبات نمی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چنانکه گفته شد دو مرحله وجود دارد یکی مرحله مفهوم و دیگری مرحله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با مصادره به مطلوب چنین حکمی صادر گردد </w:t>
      </w:r>
      <w:r>
        <w:rPr>
          <w:rFonts w:eastAsia="IRNazanin" w:cs="IRNazanin"/>
          <w:color w:val="111111"/>
          <w:sz w:val="28"/>
          <w:szCs w:val="28"/>
          <w:rtl w:val="true"/>
          <w:lang w:bidi="fa-IR"/>
        </w:rPr>
        <w:t>.</w:t>
      </w:r>
    </w:p>
    <w:p>
      <w:pPr>
        <w:pStyle w:val="Heading5"/>
        <w:numPr>
          <w:ilvl w:val="4"/>
          <w:numId w:val="1"/>
        </w:numPr>
        <w:rPr/>
      </w:pPr>
      <w:bookmarkStart w:id="345" w:name="__RefHeading___Toc4159014_2870459653"/>
      <w:bookmarkStart w:id="346" w:name="_Toc134"/>
      <w:bookmarkEnd w:id="345"/>
      <w:r>
        <w:rPr>
          <w:rtl w:val="true"/>
        </w:rPr>
        <w:t xml:space="preserve">طرح اشکال بر دلیل اول و پاسخ آن توسط مؤلف </w:t>
      </w:r>
      <w:r>
        <w:rPr>
          <w:rtl w:val="true"/>
        </w:rPr>
        <w:t>:</w:t>
      </w:r>
      <w:bookmarkEnd w:id="346"/>
    </w:p>
    <w:p>
      <w:pPr>
        <w:pStyle w:val="BookText"/>
        <w:rPr/>
      </w:pPr>
      <w:r>
        <w:rPr>
          <w:rFonts w:ascii="IRNazanin" w:hAnsi="IRNazanin" w:eastAsia="IRNazanin"/>
          <w:color w:val="111111"/>
          <w:sz w:val="28"/>
          <w:sz w:val="28"/>
          <w:szCs w:val="28"/>
          <w:rtl w:val="true"/>
          <w:lang w:bidi="fa-IR"/>
        </w:rPr>
        <w:t xml:space="preserve">نویسنده در ادامه بیان برهان اول به طرح یک اشکال و پاسخ آن پرداخته است که تقریر اشکال و پاسخ مؤلف به شرح زیر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مقام اشکال گفته شده است که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به خاطر ارتباط با جاعل یعنی خدای متعال از حد استوا خارج شده و به مرحله اصالت رسیده و آثار بر آن مترتب گردیده است با این پاسخ دفع می شود که آیا ماهیت پس از این ارتباط و انتساب به جاعل حالش تغییر کرد یا خیر ؟ اگر دچار تغییر حالت شد آن چیزی که باعث تغییر حالت ماهیت شده خود ماهیت بوده یا چیز دیگر ؟ اگر خودش سبب تغییر گردیده ، که این همان انقلاب ذات است که محال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آن چیزی که باعث این تغییر حالت ماهیت شده همان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اصالت با وجود خواهد بود این ارتباط و تغییر به جای وجود ، ارتباط با جاعل نامیده شود </w:t>
      </w:r>
      <w:r>
        <w:rPr>
          <w:rFonts w:eastAsia="IRNazanin" w:cs="IRNazanin"/>
          <w:color w:val="111111"/>
          <w:sz w:val="28"/>
          <w:szCs w:val="28"/>
          <w:rtl w:val="true"/>
          <w:lang w:bidi="fa-IR"/>
        </w:rPr>
        <w:t xml:space="preserve">. </w:t>
      </w:r>
      <w:bookmarkStart w:id="347" w:name="pg9221_92218"/>
    </w:p>
    <w:p>
      <w:pPr>
        <w:pStyle w:val="Heading5"/>
        <w:numPr>
          <w:ilvl w:val="4"/>
          <w:numId w:val="1"/>
        </w:numPr>
        <w:rPr/>
      </w:pPr>
      <w:bookmarkStart w:id="348" w:name="__RefHeading___Toc4159016_2870459653"/>
      <w:bookmarkStart w:id="349" w:name="_Toc135"/>
      <w:bookmarkEnd w:id="347"/>
      <w:bookmarkEnd w:id="348"/>
      <w:r>
        <w:rPr>
          <w:rtl w:val="true"/>
        </w:rPr>
        <w:t xml:space="preserve">اشکال بر پاسخ مؤلف </w:t>
      </w:r>
      <w:r>
        <w:rPr>
          <w:rtl w:val="true"/>
        </w:rPr>
        <w:t>:</w:t>
      </w:r>
      <w:bookmarkEnd w:id="349"/>
    </w:p>
    <w:p>
      <w:pPr>
        <w:pStyle w:val="BookText"/>
        <w:rPr/>
      </w:pPr>
      <w:r>
        <w:rPr>
          <w:rFonts w:ascii="IRNazanin" w:hAnsi="IRNazanin" w:eastAsia="IRNazanin"/>
          <w:color w:val="111111"/>
          <w:sz w:val="28"/>
          <w:sz w:val="28"/>
          <w:szCs w:val="28"/>
          <w:rtl w:val="true"/>
          <w:lang w:bidi="fa-IR"/>
        </w:rPr>
        <w:t xml:space="preserve">پیشتر عرض شد که انسان به حمل اوّلى ذاتى الانسانُ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حمل اتحاد مفهومی است اما در حمل شایع صناعی اختلاف مفهومی و اتحاد مصداقی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پس جاعل ، آن مصداق خارجی را جعل کرده نه مفهوم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موجود را بر آن مصداقِ مجعول خارجی حمل می کنیم نه اینکه جاعل مفهوم من حيث هو مفهوم را جعل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آن مفهوم را با جعل ترکیبی از حد استوا خارج کرده و آن را تبدیل به مصداق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مرحله مصداق اصلاً ربطی به مرحله مفهوم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جاعل به جعل بسیط ، مفهوم را نه بلکه مصداق آن مفهوم را در خارج جعل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خارجی را جعل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آنگاه که جاعل ، شيء خارجی را در خارج جعل نمود ما موجود را بر آن شیء مجعول خارجی حمل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موجودیت بر مصداق ، پس از جعل جاعل درست خواهد بود و با این بیان شبهه انقلاب نیز باطل می شود زیرا در مرحله مفهوم بما هو مفهوم هیچ تغییری در ماهیت حاصل نشده زیرا جعل به مرحله مصداق تعلق گرفته نه مرحله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انقلابی رخ نداده است چون اگر توهم انقلاب مربوط به مرحله مفهوم است مفهوم من حيث هی مفهوم</w:t>
      </w:r>
    </w:p>
    <w:p>
      <w:pPr>
        <w:pStyle w:val="BookText"/>
        <w:rPr/>
      </w:pPr>
      <w:r>
        <w:rPr>
          <w:rFonts w:ascii="IRNazanin" w:hAnsi="IRNazanin" w:eastAsia="IRNazanin"/>
          <w:color w:val="111111"/>
          <w:sz w:val="28"/>
          <w:sz w:val="28"/>
          <w:szCs w:val="28"/>
          <w:rtl w:val="true"/>
          <w:lang w:bidi="fa-IR"/>
        </w:rPr>
        <w:t xml:space="preserve">همواره همان همان نفس مفهوم است و به حمل اوّلی ذاتی اصلاً دارای وجود خارجی نیست که دچار انقلاب شود و اگر توهّم انقلاب از ناحیه مصداق است ، مصداق حالت سابقه ای نداشته تا دچار انقلاب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قبلاً نبوده و جاعل آن را جعل و ایجاد کرده است و از لحظه جعلِ جاعل این مصداق متحقق و موجود شده است </w:t>
      </w:r>
      <w:r>
        <w:rPr>
          <w:rFonts w:eastAsia="IRNazanin" w:cs="IRNazanin"/>
          <w:color w:val="111111"/>
          <w:sz w:val="28"/>
          <w:szCs w:val="28"/>
          <w:rtl w:val="true"/>
          <w:lang w:bidi="fa-IR"/>
        </w:rPr>
        <w:t>.</w:t>
      </w:r>
    </w:p>
    <w:p>
      <w:pPr>
        <w:pStyle w:val="Heading5"/>
        <w:numPr>
          <w:ilvl w:val="4"/>
          <w:numId w:val="1"/>
        </w:numPr>
        <w:rPr/>
      </w:pPr>
      <w:bookmarkStart w:id="350" w:name="__RefHeading___Toc4159018_2870459653"/>
      <w:bookmarkStart w:id="351" w:name="_Toc136"/>
      <w:bookmarkEnd w:id="350"/>
      <w:r>
        <w:rPr>
          <w:rtl w:val="true"/>
        </w:rPr>
        <w:t xml:space="preserve">خلاصه کلام اینکه </w:t>
      </w:r>
      <w:r>
        <w:rPr>
          <w:rtl w:val="true"/>
        </w:rPr>
        <w:t>:</w:t>
      </w:r>
      <w:bookmarkEnd w:id="3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مستدِل برای اثبات مدعای خویش از همان ابتدا ماهیت را اعتباری فرض نموده و اصالت وجود را مسلم گرفته است و برای ماهیت مصداقی قائل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ماهیت امری اعتباری بیش نیست ، لذا یک مرحله بیشتر ندارد و چون آن یک مرحله فقط مرحله مفهوم است و نسبت به وجود و عدم على السويه می باشد ، پس لازم است چیزی به عنوان مُخرج آن را از حد استوا خارج کند و آن خارج کننده ،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بطلان این امر ثابت شد </w:t>
      </w:r>
      <w:r>
        <w:rPr>
          <w:rFonts w:eastAsia="IRNazanin" w:cs="IRNazanin"/>
          <w:color w:val="111111"/>
          <w:sz w:val="28"/>
          <w:szCs w:val="28"/>
          <w:rtl w:val="true"/>
          <w:lang w:bidi="fa-IR"/>
        </w:rPr>
        <w:t xml:space="preserve">. </w:t>
      </w:r>
      <w:bookmarkStart w:id="352" w:name="pg9221_92219"/>
    </w:p>
    <w:p>
      <w:pPr>
        <w:pStyle w:val="Heading5"/>
        <w:numPr>
          <w:ilvl w:val="4"/>
          <w:numId w:val="1"/>
        </w:numPr>
        <w:rPr/>
      </w:pPr>
      <w:bookmarkStart w:id="353" w:name="__RefHeading___Toc4159020_2870459653"/>
      <w:bookmarkStart w:id="354" w:name="_Toc137"/>
      <w:bookmarkEnd w:id="352"/>
      <w:bookmarkEnd w:id="353"/>
      <w:r>
        <w:rPr>
          <w:rtl w:val="true"/>
        </w:rPr>
        <w:t xml:space="preserve">نکته ای بسیار مهم </w:t>
      </w:r>
      <w:r>
        <w:rPr>
          <w:rtl w:val="true"/>
        </w:rPr>
        <w:t>:</w:t>
      </w:r>
      <w:bookmarkEnd w:id="354"/>
    </w:p>
    <w:p>
      <w:pPr>
        <w:pStyle w:val="BookText"/>
        <w:rPr/>
      </w:pPr>
      <w:r>
        <w:rPr>
          <w:rFonts w:ascii="IRNazanin" w:hAnsi="IRNazanin" w:eastAsia="IRNazanin"/>
          <w:color w:val="111111"/>
          <w:sz w:val="28"/>
          <w:sz w:val="28"/>
          <w:szCs w:val="28"/>
          <w:rtl w:val="true"/>
          <w:lang w:bidi="fa-IR"/>
        </w:rPr>
        <w:t xml:space="preserve">این نکته قابل ذکر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وجود هم مثل ماهیت در حد استوا یا لا اقتضائی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بحث ما در مورد واجب الوجود نیست که ذاتاً اقتضای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بحث بر سر ممکن الوجود است که لا اقتضاء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در این مرحله نه اقتضای وجود دارد و نه اقتضای عدم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اقتضای وجود می داشت واجب الوجود می شد و اگر اقتضای عدم می داشت ممتنع الوجود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اشکالی که شما به اصالت ماهوی ها می کنید ما همان اشکال را به شما وارد می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سزاوار است که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من حيث هو ليس الا هو لا موجود و لا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وجود هم به ما هو وجود ، مُخرج می خواهد که آن را از حدّ استواء خارج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 به اصالت وجود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جاعل کاری به مرحله مفهوم ندارد و در همان مرحلۀ مصداق آن را از حد استواء خارج کرده است ، ما هم همین حرف را در مورد ماهیت می زنیم و می گوییم جاعل کاری با مرحله مفهوم ماهیت ندارد بلکه جعل او به مصداق ماهیت که همان شیء خارجی است تعلق گرفته است </w:t>
      </w:r>
      <w:r>
        <w:rPr>
          <w:rFonts w:eastAsia="IRNazanin" w:cs="IRNazanin"/>
          <w:color w:val="111111"/>
          <w:sz w:val="28"/>
          <w:szCs w:val="28"/>
          <w:rtl w:val="true"/>
          <w:lang w:bidi="fa-IR"/>
        </w:rPr>
        <w:t>.</w:t>
      </w:r>
    </w:p>
    <w:p>
      <w:pPr>
        <w:pStyle w:val="Heading4"/>
        <w:numPr>
          <w:ilvl w:val="3"/>
          <w:numId w:val="1"/>
        </w:numPr>
        <w:rPr/>
      </w:pPr>
      <w:bookmarkStart w:id="355" w:name="__RefHeading___Toc4159022_2870459653"/>
      <w:bookmarkStart w:id="356" w:name="_Toc138"/>
      <w:bookmarkEnd w:id="355"/>
      <w:r>
        <w:rPr>
          <w:rtl w:val="true"/>
        </w:rPr>
        <w:t xml:space="preserve">اشکال دوم </w:t>
      </w:r>
      <w:r>
        <w:rPr>
          <w:rtl w:val="true"/>
        </w:rPr>
        <w:t>:</w:t>
      </w:r>
      <w:bookmarkEnd w:id="35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ما بر دلیل اول مؤلف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تعریف هر دو گروه فلاسفه از ماهیت یک چیز بوده و مرادشان واحد باشد ،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فقط در معنای مفهوم ماهیت صحیح است و نسبت به مصداق ماهیت صحیح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مصداق ماهیت یعنی تحقق خارجی اشیا بنابراین اشیائی که وجود خارجی دارند ، نمی توانند نسبت به وجود و عدم در حد استواء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ما از اشیای خارجی درک می کنیم ، تحقق و ثبوت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بگوییم شیئی که در خارج تحقق و ثبوت دارد و در عین حال نه موجود است و نه معدوم ، این سخن مستلزم ارتفاع نقیضین خواهد بود و ارتفاع نقیضین نیز به ضرورت عقل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شجر و 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در عین حال که متحقق و ذی الثبوتند ، نه موجودند و نه معدوم ، قائل به امر محالی که همان ارتفاع نقیضین است ، شده ایم </w:t>
      </w:r>
      <w:r>
        <w:rPr>
          <w:rFonts w:eastAsia="IRNazanin" w:cs="IRNazanin"/>
          <w:color w:val="111111"/>
          <w:sz w:val="28"/>
          <w:szCs w:val="28"/>
          <w:rtl w:val="true"/>
          <w:lang w:bidi="fa-IR"/>
        </w:rPr>
        <w:t xml:space="preserve">. </w:t>
      </w:r>
      <w:bookmarkStart w:id="357" w:name="pg9221_92220"/>
    </w:p>
    <w:p>
      <w:pPr>
        <w:pStyle w:val="Heading4"/>
        <w:numPr>
          <w:ilvl w:val="3"/>
          <w:numId w:val="1"/>
        </w:numPr>
        <w:rPr/>
      </w:pPr>
      <w:bookmarkStart w:id="358" w:name="__RefHeading___Toc4159024_2870459653"/>
      <w:bookmarkStart w:id="359" w:name="_Toc139"/>
      <w:bookmarkEnd w:id="357"/>
      <w:bookmarkEnd w:id="358"/>
      <w:r>
        <w:rPr>
          <w:rtl w:val="true"/>
        </w:rPr>
        <w:t xml:space="preserve">اشکال سوم </w:t>
      </w:r>
      <w:r>
        <w:rPr>
          <w:rtl w:val="true"/>
        </w:rPr>
        <w:t>:</w:t>
      </w:r>
      <w:bookmarkEnd w:id="359"/>
    </w:p>
    <w:p>
      <w:pPr>
        <w:pStyle w:val="BookText"/>
        <w:rPr/>
      </w:pPr>
      <w:r>
        <w:rPr>
          <w:rFonts w:ascii="IRNazanin" w:hAnsi="IRNazanin" w:eastAsia="IRNazanin"/>
          <w:color w:val="111111"/>
          <w:sz w:val="28"/>
          <w:sz w:val="28"/>
          <w:szCs w:val="28"/>
          <w:rtl w:val="true"/>
          <w:lang w:bidi="fa-IR"/>
        </w:rPr>
        <w:t xml:space="preserve">اشکال دیگر ما بر مؤلف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الماهية من حيث هی ليست الا هى لا موجودة 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صحیحی از ماهیت باشد ؟ چه بسا این عبارت از ساخته های قائلان به اصالة الوجود باشد تا از این رهگذر بتوانند اعتباری بودن ماهیت و اصیل بودن وجود را ثابت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منظور از این عبارت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با قطع نظر از وجود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موجود است و نه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موجودی اعتباری همچون ماهیت نه موجودی عینی است و نه معدوم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ماهیت از وجود انتزاع می شود و انتزاعی بودن ماهیت دلیل بر اعتباری بودن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در مقام اشکال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این عبارت از آنِ قائلان به وجود واسطه میان وجود و عدم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اند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عقیده معتزله است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حال یک نوع تقرر و ثبوتی برای ماهیت پیش از تحقق خارجی وجود دارد که در آن وعاء نه موجود است و نه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قائلان به اصالة الوجود این اصل موضوعه را از این فرقه گرفته و به عنوان تعریف درستی از ماهیت ارائه نموده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وجود این احتمالات استدلال به عبارت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وجاهت خواهد بود </w:t>
      </w:r>
      <w:r>
        <w:rPr>
          <w:rFonts w:eastAsia="IRNazanin" w:cs="IRNazanin"/>
          <w:color w:val="111111"/>
          <w:sz w:val="28"/>
          <w:szCs w:val="28"/>
          <w:rtl w:val="true"/>
          <w:lang w:bidi="fa-IR"/>
        </w:rPr>
        <w:t>.</w:t>
      </w:r>
    </w:p>
    <w:p>
      <w:pPr>
        <w:pStyle w:val="Heading3"/>
        <w:numPr>
          <w:ilvl w:val="2"/>
          <w:numId w:val="1"/>
        </w:numPr>
        <w:rPr/>
      </w:pPr>
      <w:bookmarkStart w:id="360" w:name="__RefHeading___Toc4159026_2870459653"/>
      <w:bookmarkStart w:id="361" w:name="_Toc140"/>
      <w:bookmarkEnd w:id="360"/>
      <w:r>
        <w:rPr>
          <w:rtl w:val="true"/>
        </w:rPr>
        <w:t xml:space="preserve">پی آوردی مهم </w:t>
      </w:r>
      <w:r>
        <w:rPr>
          <w:rtl w:val="true"/>
        </w:rPr>
        <w:t>:</w:t>
      </w:r>
      <w:bookmarkEnd w:id="36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و عرفا در خارج دو ذات و دو هویت و دو حقیقت به نام خالق و مخلوق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خوب به کلماتشان در اصالت وجود و آنچه متفرع بر اصالت وجود است و نیز آنچه در خواص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بر اصالت وجود متفرع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 تأمل و تفحص کند ، برای او واضح می شود که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 یک حقیقت و یک سنخ ، بیش نیست ، که امتدادش هم بی نهایت است ؛ مانند خمیر مجسمه سازی بی نهایت ، و آن اصل و اصیل است که قابل جعل و خلق نیست ، و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یک حقیقت عینیه بی نهایت است ، و آن حقیقت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به شکل بت عیار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حقیقت واجب الوجود است و در حقیقت أصالة الوجود اسم دیگری برای وحدت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p>
    <w:p>
      <w:pPr>
        <w:pStyle w:val="BookText"/>
        <w:rPr/>
      </w:pPr>
      <w:r>
        <w:rPr>
          <w:rFonts w:ascii="IRNazanin" w:hAnsi="IRNazanin" w:eastAsia="IRNazanin"/>
          <w:color w:val="111111"/>
          <w:sz w:val="28"/>
          <w:sz w:val="28"/>
          <w:szCs w:val="28"/>
          <w:rtl w:val="true"/>
          <w:lang w:bidi="fa-IR"/>
        </w:rPr>
        <w:t xml:space="preserve">كتاب نهاية الحكمة وبداية الحكمة و غیر آن دو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خارج است ، خود وجود است ، و وجود ، حقیقت عینیه است که پذیرای عدم نیست ، و بالذات عدم را نمی رپذیرد و گرنه اجتماع نقیضین حاصل می شود ، و لذا همه چیز عین واجب الوجود است و چیزی به نام خالق و مخلوق نخواهیم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در کتاب تنزيه المعبود از اساطین آنها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وحدت وجود احتیاج به چهار مقدمه 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الوجود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معنوی وجود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در وجود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وجود</w:t>
      </w:r>
    </w:p>
    <w:p>
      <w:pPr>
        <w:pStyle w:val="BookText"/>
        <w:rPr/>
      </w:pPr>
      <w:r>
        <w:rPr>
          <w:rFonts w:ascii="IRNazanin" w:hAnsi="IRNazanin" w:eastAsia="IRNazanin"/>
          <w:color w:val="111111"/>
          <w:sz w:val="28"/>
          <w:sz w:val="28"/>
          <w:szCs w:val="28"/>
          <w:rtl w:val="true"/>
          <w:lang w:bidi="fa-IR"/>
        </w:rPr>
        <w:t xml:space="preserve">اگر در کلمات این طائفه به نیکی درنگ و ژرف نگری شود ، و متابعت آنها از عرفای صوفیه ملاحظه گردد ، فهمیده می شود که آنها در ترتیب این مقدمات برای رسیدن به اصالت وجود دچار اشتباه شده اند ؛ و وجود ، عنوانی برای یک حقیقت ازلی و ابدی است ، و اصالت وجود ، همان وحدت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بعضی از بزرگان آنها خود اعتراف دارند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عده ای قائلند ، اصالت وجود از مقدمات وحدت وجود است ، بحث لفظی است و مطلب درستی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ملاصدرا در اسفار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وضعناه أولاً إنّ فى الوجود علة و معلولاً بحسب النظر الجليل قد آل آخر الأمر بحسب السلوک العرفانی إلى كون العلّة منهما أمراً حقيقياً و المعلول جهة من جهاته ، رجعت عليّة المسمّى بالعلة وتأثيره للمعلول إلى تطوّره بطورٍ و تحيّثه بحيثيّةٍ لا انفصال شیء مباين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موضع دیگر می گوید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وضعناه أوّلاً بحسب النظر الجليل من أنّ فی الوجود علة و معلولا أدّى بنا أخيرا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نمط اُخرى من جهة السلوک العلمی و النسک العقلى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المسمّى بالعلة هو الأصل والمعلول شأن من شؤونه و طور </w:t>
      </w:r>
    </w:p>
    <w:p>
      <w:pPr>
        <w:pStyle w:val="BookText"/>
        <w:rPr/>
      </w:pPr>
      <w:r>
        <w:rPr>
          <w:rFonts w:ascii="Amiri" w:hAnsi="Amiri" w:eastAsia="Amiri" w:cs="Amiri"/>
          <w:color w:val="111111"/>
          <w:sz w:val="28"/>
          <w:sz w:val="28"/>
          <w:szCs w:val="28"/>
          <w:rtl w:val="true"/>
          <w:lang w:bidi="ar-SA"/>
        </w:rPr>
        <w:t>من أطواره و رجعت و رجعت العلّيّة والإفاضة الى تطوّر المبدأ الأول بأطواره و تجلّيه بأنواع ظهوراته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علیت و افاضۀ وجود معنایش این نیست که خداوند عالم را خلق کرده بلکه خودِ مبدأ اول به صور مختلف در آمده ، مثل دریا که به صورت امواج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شود که بگویی یک موجش نباشد ، چرا که با این کلام ، یک تکه خدا را از بین برده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حقیقتِ اصالتِ وجود است ، نه این که اکتفا کنیم و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خارج منشأ آثار است ،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واضح است به اقتضای براهین عقلی و نقلی ، بین خدا و خلق تباین وجود دارد ، این تباین آنگونه نیست که یکی موجود و دیگری معدوم باشد ؛ که چنین تباینی بین خلق و خدا نیست ؛ زیرا این هر دو موجودند و مفهوم ثبوت و تحقّق و موجودٌ بر هر دو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اشتراک در مفهوم وجود دارد ، اگر چه فلاسفه دو چیز بودن و دو حقیقت بودنِ خدا و خلق را از اساس منکرند و بین آنها سنخیّت بلکه عینیّت قائل هستند و آنها را مانند دریا و موج می دانند و بنابراین مسلک ، دو چیز وجود نخواهد داشت ، تا بحث از اشتراک لفظی یا معنوی مطرح شود و اصلاً مشترک معنوی بین آن دو غلط محض خواهد بود ، اگر چه در بعضی مقامات بر طبق متکلّمین مشی کنند و بگویند اطلاق وجود یا موجود بر خدا و خلق به اشتراک معنوی است و آن را از مقدمات وحدت وجود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تباین صحیح بین خداوند متعال و مخلوقات این است که مخلوقات متجزّی و مقداری و عددی و زمانی و مکانی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خداوند متعال غیر متجزّی و غیر مقداری و غیر عددی و فراتر از زمان و مکان و تصور و توهم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و خلق در موجود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هستند نه در متجزّی و غیر متجزّی بودن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هر پدیده ای همان هویت خارجی اوست و یک حقیقت جدا از ماهیت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پدیده ها را ملاحظه می کنیم ، از آنها دو مفهوم عام انتزاع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وجود و دیگری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انتزاع وجود ، ویژگی عینیّت و تحقّق پدیده هاست ، و منشأ انتزاع ماهیت ، ویژگی تمایز آنهاست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وقتى حجر و شجر را ملاحظه می کنیم ، از آن جهت که در جهان خارج هستند و تحقّق دارند ، مفهوم وجود را انتزاع می کنیم ، و از آن جهت که هویت حجر غیر از هویت شجر است ، چیستی و ماهیت آنها را انتزاع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بحث می کنند که اصل و اصیل و منشأ آثار کدام یک از آنهاست تا دیگری امری اعتباری باشد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وآله الطاهرين و لعنة الله على اعدائهم أجمعين </w:t>
      </w:r>
      <w:bookmarkStart w:id="362" w:name="pg9221_92224"/>
    </w:p>
    <w:p>
      <w:pPr>
        <w:pStyle w:val="Heading2"/>
        <w:numPr>
          <w:ilvl w:val="1"/>
          <w:numId w:val="1"/>
        </w:numPr>
        <w:rPr/>
      </w:pPr>
      <w:bookmarkStart w:id="363" w:name="__RefHeading___Toc4159028_2870459653"/>
      <w:bookmarkStart w:id="364" w:name="_Toc141"/>
      <w:bookmarkEnd w:id="362"/>
      <w:bookmarkEnd w:id="363"/>
      <w:r>
        <w:rPr>
          <w:rtl w:val="true"/>
        </w:rPr>
        <w:t>تجلیل حضرت آیت الله العظمی صافی گلپایگانی از علامه آیت الله سید جعفر سیدان</w:t>
      </w:r>
      <w:bookmarkEnd w:id="36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تلاش ها و مجاهدت های علمی و عملی حضرت آیت الله علامه سید جعفر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عقاید حقّه و نهضت علمی ایشان در پاسداشت معارف اصیل تشیع و مبارزه با فرق انحرافی خصوصاً جریان منحرف عرفان و تصوف و ارائه ده ها جلد کتاب ارزشمند و برگزاری هزاران ساعت گفتگو و نشست علمی در تبیین مبانی مکتب و پاسخ به شبهات مخالفان مذهب از وهابیت گرفته تا تصوف و عرفان و نیز جریان روشنفکری ، مراجع معظم تقلید در پیام هایی نهضت اصیل علمی ایشان در پاسداشت معارف تشیع در سطوح عالی و ممتاز و با ویژگیهای منحصر بفرد را تأیید و حمایت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مرجع عالیقدر شیخ الفقهاء والمجتهدین ، حضرت آیت الله العظمی صافی گلپایگانی اسن مراجع تقلید ، قدردانی مرجعیت شیعه از بیش از شش دهه مجاهدات علمی و عملی مفسر بزرگ و عقاید شناس سترگ علامه آیت الله سید جعفر سیدان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 الرحمن الرحیم</w:t>
      </w:r>
    </w:p>
    <w:p>
      <w:pPr>
        <w:pStyle w:val="BookText"/>
        <w:rPr/>
      </w:pPr>
      <w:r>
        <w:rPr>
          <w:rFonts w:ascii="IRNazanin" w:hAnsi="IRNazanin" w:eastAsia="IRNazanin"/>
          <w:color w:val="111111"/>
          <w:sz w:val="28"/>
          <w:sz w:val="28"/>
          <w:szCs w:val="28"/>
          <w:rtl w:val="true"/>
          <w:lang w:bidi="fa-IR"/>
        </w:rPr>
        <w:t>جناب مستطاب آیت الله آقای حاج سید جعفر سیدان دامت برکاته</w:t>
      </w:r>
    </w:p>
    <w:p>
      <w:pPr>
        <w:pStyle w:val="BookText"/>
        <w:rPr/>
      </w:pPr>
      <w:r>
        <w:rPr>
          <w:rFonts w:ascii="IRNazanin" w:hAnsi="IRNazanin" w:eastAsia="IRNazanin"/>
          <w:color w:val="111111"/>
          <w:sz w:val="28"/>
          <w:sz w:val="28"/>
          <w:szCs w:val="28"/>
          <w:rtl w:val="true"/>
          <w:lang w:bidi="fa-IR"/>
        </w:rPr>
        <w:t>سلام علیکم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ای از درس ها و مقالات حضرتعالی است را مطالعه نموده ؛ استفاده کرده و لذت بردم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الحق این کتاب ، مانند سایر آثار علمی جنابعالی ، حاکی از احاطه شما به معارف اصیل اهل بیت عصمت و طهارت عَلیهِم السَّلام است ، که همیشه در تبیین و نشر عقاید حقه و آموزه های صحیح دینی ، موفق بوده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 ویژه حضرتعالی به دفع شبهات و پاسخ به اشکالات و ارائه مباحث قویم تفسیری در حوزه عقاید و معارف و دفاع از مبانی والای ولایت و امامت و پاسداری از حدود و ثغور مکتب نورانی خاندان نبوت عَلیهِم السَّلام ، مورد تقدیر و تشکر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مزید توفیقات و تأییدات جنابعالی در خدمت به حوزه های علمیه و مراکز فرهنگی را در ظل عنایات حضرت بقية الله الأعظم روحی و ارواح العالمين لتراب مقدمه الفدا از خداوند متعال مسئلت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1442</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صافی </w:t>
      </w:r>
      <w:bookmarkStart w:id="365" w:name="pg9221_92226"/>
    </w:p>
    <w:p>
      <w:pPr>
        <w:pStyle w:val="Heading2"/>
        <w:numPr>
          <w:ilvl w:val="1"/>
          <w:numId w:val="1"/>
        </w:numPr>
        <w:rPr/>
      </w:pPr>
      <w:bookmarkStart w:id="366" w:name="__RefHeading___Toc4159030_2870459653"/>
      <w:bookmarkStart w:id="367" w:name="_Toc142"/>
      <w:bookmarkEnd w:id="365"/>
      <w:bookmarkEnd w:id="366"/>
      <w:r>
        <w:rPr>
          <w:rtl w:val="true"/>
        </w:rPr>
        <w:t>معرفی کتاب</w:t>
      </w:r>
      <w:bookmarkEnd w:id="36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ارج نامۀ آیت الله سید جعفر سیدان</w:t>
      </w:r>
    </w:p>
    <w:p>
      <w:pPr>
        <w:pStyle w:val="BookText"/>
        <w:rPr/>
      </w:pPr>
      <w:r>
        <w:rPr>
          <w:rFonts w:ascii="IRNazanin" w:hAnsi="IRNazanin" w:eastAsia="IRNazanin"/>
          <w:color w:val="111111"/>
          <w:sz w:val="28"/>
          <w:sz w:val="28"/>
          <w:szCs w:val="28"/>
          <w:rtl w:val="true"/>
          <w:lang w:bidi="fa-IR"/>
        </w:rPr>
        <w:t>مشعل معرفت جلد اول و دوم</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اهل بیت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نکوداشت ، ارج نامه و کارنامه علمی آیت الله علامه سید جعفر سیدان</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معارف اهل بیت عَلیهِم السَّلام</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معلم ، مجتمع ناشران ، طبقه همکف ، پلاک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37842443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حقانیت در اوج مظلومیت جلد اول و دوم</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قاسم علی احمدی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کلامی امامت و اثبات حقانیت امیرامؤمنین عَلیهِ السَّلام</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شیعی</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بلوار عمار یاسر ، بین کوچه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09193908950</w:t>
      </w:r>
    </w:p>
    <w:p>
      <w:pPr>
        <w:pStyle w:val="BookText"/>
        <w:rPr/>
      </w:pPr>
      <w:r>
        <w:rPr>
          <w:rFonts w:ascii="IRNazanin" w:hAnsi="IRNazanin" w:eastAsia="IRNazanin"/>
          <w:color w:val="111111"/>
          <w:sz w:val="28"/>
          <w:sz w:val="28"/>
          <w:szCs w:val="28"/>
          <w:rtl w:val="true"/>
          <w:lang w:bidi="fa-IR"/>
        </w:rPr>
        <w:t>جستار های اعتقادی ؛ علم امام</w:t>
      </w:r>
    </w:p>
    <w:p>
      <w:pPr>
        <w:pStyle w:val="BookText"/>
        <w:rPr/>
      </w:pPr>
      <w:r>
        <w:rPr>
          <w:rFonts w:ascii="Amiri" w:hAnsi="Amiri" w:eastAsia="Amiri" w:cs="Amiri"/>
          <w:color w:val="111111"/>
          <w:sz w:val="28"/>
          <w:sz w:val="28"/>
          <w:szCs w:val="28"/>
          <w:rtl w:val="true"/>
          <w:lang w:bidi="ar-SA"/>
        </w:rPr>
        <w:t xml:space="preserve">نویسنده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معارف اهل بیت عَلیهِم 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نشر معارف اهل بیت عَلیهِم السَّلام</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معلم ، مجتمع ناشران ، طبقه همکف ، پلاک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37842443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جستارهای اعتقادی ؛ نفس</w:t>
      </w:r>
    </w:p>
    <w:p>
      <w:pPr>
        <w:pStyle w:val="BookText"/>
        <w:rPr/>
      </w:pPr>
      <w:r>
        <w:rPr>
          <w:rFonts w:ascii="Amiri" w:hAnsi="Amiri" w:eastAsia="Amiri" w:cs="Amiri"/>
          <w:color w:val="111111"/>
          <w:sz w:val="28"/>
          <w:sz w:val="28"/>
          <w:szCs w:val="28"/>
          <w:rtl w:val="true"/>
          <w:lang w:bidi="ar-SA"/>
        </w:rPr>
        <w:t xml:space="preserve">نویسنده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معارف اهل بیت عَلیهِم 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نشر معارف اهل بیت عَلیهِم السَّلام</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معلم ، مجتمع ناشران ، طبقه همکف ، پلاک </w:t>
      </w:r>
      <w:r>
        <w:rPr>
          <w:rFonts w:eastAsia="IRNazanin" w:cs="IRNazanin"/>
          <w:color w:val="111111"/>
          <w:sz w:val="28"/>
          <w:szCs w:val="28"/>
          <w:lang w:bidi="fa-IR"/>
        </w:rPr>
        <w:t>11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37842443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جستارهای اعتقادی ؛ عقل</w:t>
      </w:r>
    </w:p>
    <w:p>
      <w:pPr>
        <w:pStyle w:val="BookText"/>
        <w:rPr/>
      </w:pPr>
      <w:r>
        <w:rPr>
          <w:rFonts w:ascii="Amiri" w:hAnsi="Amiri" w:eastAsia="Amiri" w:cs="Amiri"/>
          <w:color w:val="111111"/>
          <w:sz w:val="28"/>
          <w:sz w:val="28"/>
          <w:szCs w:val="28"/>
          <w:rtl w:val="true"/>
          <w:lang w:bidi="ar-SA"/>
        </w:rPr>
        <w:t xml:space="preserve">نویسنده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معارف اهل بیت عَلیهِم 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نشر معارف اهل بيت عَلیهِم السَّلام</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معلم ، مجتمع ناشران ، طبقه همکف ، پلاک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37842443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جستار های اعتقادی ؛ فطرت</w:t>
      </w:r>
    </w:p>
    <w:p>
      <w:pPr>
        <w:pStyle w:val="BookText"/>
        <w:rPr/>
      </w:pPr>
      <w:r>
        <w:rPr>
          <w:rFonts w:ascii="Amiri" w:hAnsi="Amiri" w:eastAsia="Amiri" w:cs="Amiri"/>
          <w:color w:val="111111"/>
          <w:sz w:val="28"/>
          <w:sz w:val="28"/>
          <w:szCs w:val="28"/>
          <w:rtl w:val="true"/>
          <w:lang w:bidi="ar-SA"/>
        </w:rPr>
        <w:t xml:space="preserve">نویسنده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معارف اهل بیت عَلیهِم السَّلام</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نشر معارف اهل بیت عَلیهِم السَّلام</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معلم ، طبقه همکف ، پلاک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37842443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جستارهای اعتقادی ؛ اسما و صفات</w:t>
      </w:r>
    </w:p>
    <w:p>
      <w:pPr>
        <w:pStyle w:val="BookText"/>
        <w:rPr/>
      </w:pPr>
      <w:r>
        <w:rPr>
          <w:rFonts w:ascii="Amiri" w:hAnsi="Amiri" w:eastAsia="Amiri" w:cs="Amiri"/>
          <w:color w:val="111111"/>
          <w:sz w:val="28"/>
          <w:sz w:val="28"/>
          <w:szCs w:val="28"/>
          <w:rtl w:val="true"/>
          <w:lang w:bidi="ar-SA"/>
        </w:rPr>
        <w:t xml:space="preserve">نویسنده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معارف اهل بیت عَلیهِم 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معارف اهل بیت عَلیهِم السَّلام</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معلم ، طبقه همکف ، پلاک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37842443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واپسین روزهای عمر پیامبر خدا صَلّی الله عَلیهِ و آله و سَلَّم و ماجرای فدک</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توکلی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فدک از گفتارهای آیت الله علامه شیخ محمدرضا جعفری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خیابان شریعتی ، بالاتر از خیابان بهار شیراز ، کوچه مقدم ، نبش خیابان ادیبی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368" w:name="pg9221_92228"/>
    </w:p>
    <w:p>
      <w:pPr>
        <w:pStyle w:val="Heading2"/>
        <w:numPr>
          <w:ilvl w:val="1"/>
          <w:numId w:val="1"/>
        </w:numPr>
        <w:rPr/>
      </w:pPr>
      <w:bookmarkStart w:id="369" w:name="__RefHeading___Toc4159032_2870459653"/>
      <w:bookmarkStart w:id="370" w:name="_Toc143"/>
      <w:bookmarkEnd w:id="368"/>
      <w:bookmarkEnd w:id="369"/>
      <w:r>
        <w:rPr>
          <w:rtl w:val="true"/>
        </w:rPr>
        <w:t>نامۀ حضرت آیت الله حاج شیخ حسن پاکدل</w:t>
      </w:r>
      <w:bookmarkEnd w:id="370"/>
    </w:p>
    <w:p>
      <w:pPr>
        <w:pStyle w:val="BookText"/>
        <w:rPr/>
      </w:pPr>
      <w:r>
        <w:rPr>
          <w:rFonts w:ascii="IRNazanin" w:hAnsi="IRNazanin" w:eastAsia="IRNazanin"/>
          <w:color w:val="111111"/>
          <w:sz w:val="28"/>
          <w:sz w:val="28"/>
          <w:szCs w:val="28"/>
          <w:rtl w:val="true"/>
          <w:lang w:bidi="fa-IR"/>
        </w:rPr>
        <w:t>استاد حوزۀ علمیۀ شیراز</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 وَخَيْبَةً وَتَعْساً لِمُنتَحِلِى الفَلْسَفَة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هلاکت و ناکامی و بدبختی باد بر معتقدین فلسفه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مسئول و سردبیر محترم فصلنامه 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سلام و تحیات و آرزوی توفیقات روز افزون برای شما و همه خدمتگذاران به اهل بیت عَلیهِم السَّلام فصلنامه وزین و علمی نورالصادق با موضوع نقد و بررسی فلسفه وعرفان مصطلح و جریان های معارض با قرآن و عترت عَلیهِم السَّلام که قریب به دو دهه است به نشر آن همت گمارده اید ، حقاً جهادیست عظیم و تلاشیست ستودنی در راستای نقد افکار انحرافی و آراء باطلۀ مدعیان عرفان و مخالفین طریق قرآن و اهل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این مجله با پاسخ های مستدل و نقدهای مستند و محققانه خود عقاید صحیح مکتب حقۀ جعفری را تبیین نموده و مانع تزلزل عقائد نسل جوان و دانشگاه شده و ایشان را به حبل المتین و صراط المستقيم قرآن و عترت عَلیهِم السَّلام متصل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زحمات شما مرضی خداوند متعال و مورد تأیید امام عصر عجَّل الله تعالی فرجه الشَّریفقرار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الله مساعيكم الجميله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سالروز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Quarterly Periodical</w:t>
      </w:r>
    </w:p>
    <w:p>
      <w:pPr>
        <w:pStyle w:val="BookText"/>
        <w:rPr/>
      </w:pPr>
      <w:r>
        <w:rPr>
          <w:rFonts w:eastAsia="Times New Roman" w:cs="Times New Roman" w:ascii="Times New Roman" w:hAnsi="Times New Roman"/>
          <w:color w:val="111111"/>
          <w:sz w:val="28"/>
          <w:szCs w:val="28"/>
          <w:lang w:val="en-US" w:bidi="en-US"/>
        </w:rPr>
        <w:t>Noor al-Sadegh</w:t>
      </w:r>
    </w:p>
    <w:p>
      <w:pPr>
        <w:pStyle w:val="BookText"/>
        <w:rPr/>
      </w:pPr>
      <w:r>
        <w:rPr>
          <w:rFonts w:eastAsia="Times New Roman" w:cs="Times New Roman" w:ascii="Times New Roman" w:hAnsi="Times New Roman"/>
          <w:color w:val="111111"/>
          <w:sz w:val="28"/>
          <w:szCs w:val="28"/>
          <w:lang w:val="en-US" w:bidi="en-US"/>
        </w:rPr>
        <w:t>Philosophy and Theosophy</w:t>
      </w:r>
    </w:p>
    <w:p>
      <w:pPr>
        <w:pStyle w:val="BookText"/>
        <w:rPr/>
      </w:pPr>
      <w:r>
        <w:rPr>
          <w:rFonts w:eastAsia="Times New Roman" w:cs="Times New Roman" w:ascii="Times New Roman" w:hAnsi="Times New Roman"/>
          <w:color w:val="111111"/>
          <w:sz w:val="28"/>
          <w:szCs w:val="28"/>
          <w:lang w:val="en-US" w:bidi="en-US"/>
        </w:rPr>
        <w:t>Daralsadegh Isfahan, Vol 14, 15, No 51, 52/ spring, summer 1401</w:t>
      </w:r>
    </w:p>
    <w:p>
      <w:pPr>
        <w:pStyle w:val="BookText"/>
        <w:rPr/>
      </w:pPr>
      <w:r>
        <w:rPr>
          <w:rFonts w:eastAsia="Times New Roman" w:cs="Times New Roman" w:ascii="Times New Roman" w:hAnsi="Times New Roman"/>
          <w:color w:val="111111"/>
          <w:sz w:val="28"/>
          <w:szCs w:val="28"/>
          <w:lang w:val="en-US" w:bidi="en-US"/>
        </w:rPr>
        <w:t>In charge manager : Mostafa safi Esfahani</w:t>
      </w:r>
    </w:p>
    <w:p>
      <w:pPr>
        <w:pStyle w:val="BookText"/>
        <w:rPr/>
      </w:pPr>
      <w:r>
        <w:rPr>
          <w:rFonts w:eastAsia="Times New Roman" w:cs="Times New Roman" w:ascii="Times New Roman" w:hAnsi="Times New Roman"/>
          <w:color w:val="111111"/>
          <w:sz w:val="28"/>
          <w:szCs w:val="28"/>
          <w:lang w:val="en-US" w:bidi="en-US"/>
        </w:rPr>
        <w:t>Head secretary : Yasser Fallahi</w:t>
      </w:r>
    </w:p>
    <w:p>
      <w:pPr>
        <w:pStyle w:val="BookText"/>
        <w:rPr/>
      </w:pPr>
      <w:r>
        <w:rPr>
          <w:rFonts w:eastAsia="Times New Roman" w:cs="Times New Roman" w:ascii="Times New Roman" w:hAnsi="Times New Roman"/>
          <w:color w:val="111111"/>
          <w:sz w:val="28"/>
          <w:szCs w:val="28"/>
          <w:lang w:val="en-US" w:bidi="en-US"/>
        </w:rPr>
        <w:t>Paging up and technical director : Ms.Roozbahani</w:t>
      </w:r>
    </w:p>
    <w:p>
      <w:pPr>
        <w:pStyle w:val="BookText"/>
        <w:rPr/>
      </w:pPr>
      <w:r>
        <w:rPr>
          <w:rFonts w:eastAsia="Times New Roman" w:cs="Times New Roman" w:ascii="Times New Roman" w:hAnsi="Times New Roman"/>
          <w:color w:val="111111"/>
          <w:sz w:val="28"/>
          <w:szCs w:val="28"/>
          <w:lang w:val="en-US" w:bidi="en-US"/>
        </w:rPr>
        <w:t>Editor : Yasser Fallahi</w:t>
      </w:r>
    </w:p>
    <w:p>
      <w:pPr>
        <w:pStyle w:val="BookText"/>
        <w:rPr/>
      </w:pPr>
      <w:r>
        <w:rPr>
          <w:rFonts w:eastAsia="Times New Roman" w:cs="Times New Roman" w:ascii="Times New Roman" w:hAnsi="Times New Roman"/>
          <w:color w:val="111111"/>
          <w:sz w:val="28"/>
          <w:szCs w:val="28"/>
          <w:lang w:val="en-US" w:bidi="en-US"/>
        </w:rPr>
        <w:t>Writer group : Professor Yaser Falahi, Dr.Ali Lahiji,Dr.Mohammad Hosein Mosavi, Dr.Sayyed Ali Ayatollahi</w:t>
      </w:r>
    </w:p>
    <w:p>
      <w:pPr>
        <w:pStyle w:val="BookText"/>
        <w:rPr/>
      </w:pPr>
      <w:r>
        <w:rPr>
          <w:rFonts w:eastAsia="Times New Roman" w:cs="Times New Roman" w:ascii="Times New Roman" w:hAnsi="Times New Roman"/>
          <w:color w:val="111111"/>
          <w:sz w:val="28"/>
          <w:szCs w:val="28"/>
          <w:lang w:val="en-US" w:bidi="en-US"/>
        </w:rPr>
        <w:t>Translator : Dr. Maedeh Khiweh</w:t>
      </w:r>
    </w:p>
    <w:p>
      <w:pPr>
        <w:pStyle w:val="BookText"/>
        <w:rPr/>
      </w:pPr>
      <w:r>
        <w:rPr>
          <w:rFonts w:eastAsia="Times New Roman" w:cs="Times New Roman" w:ascii="Times New Roman" w:hAnsi="Times New Roman"/>
          <w:color w:val="111111"/>
          <w:sz w:val="28"/>
          <w:szCs w:val="28"/>
          <w:lang w:val="en-US" w:bidi="en-US"/>
        </w:rPr>
        <w:t>under super vising of Ayatollah- safi Isfahani</w:t>
      </w:r>
    </w:p>
    <w:p>
      <w:pPr>
        <w:pStyle w:val="BookText"/>
        <w:rPr/>
      </w:pPr>
      <w:r>
        <w:rPr>
          <w:rFonts w:eastAsia="Times New Roman" w:cs="Times New Roman" w:ascii="Times New Roman" w:hAnsi="Times New Roman"/>
          <w:color w:val="111111"/>
          <w:sz w:val="28"/>
          <w:szCs w:val="28"/>
          <w:lang w:val="en-US" w:bidi="en-US"/>
        </w:rPr>
        <w:t>data base : www.Safiesfahani.com</w:t>
      </w:r>
    </w:p>
    <w:p>
      <w:pPr>
        <w:pStyle w:val="BookText"/>
        <w:rPr/>
      </w:pPr>
      <w:r>
        <w:rPr>
          <w:rFonts w:eastAsia="Times New Roman" w:cs="Times New Roman" w:ascii="Times New Roman" w:hAnsi="Times New Roman"/>
          <w:color w:val="111111"/>
          <w:sz w:val="28"/>
          <w:szCs w:val="28"/>
          <w:lang w:val="en-US" w:bidi="en-US"/>
        </w:rPr>
        <w:t>www.Daralsadegh.ir</w:t>
      </w:r>
    </w:p>
    <w:p>
      <w:pPr>
        <w:pStyle w:val="BookText"/>
        <w:rPr/>
      </w:pPr>
      <w:r>
        <w:rPr>
          <w:rFonts w:eastAsia="Times New Roman" w:cs="Times New Roman" w:ascii="Times New Roman" w:hAnsi="Times New Roman"/>
          <w:color w:val="111111"/>
          <w:sz w:val="28"/>
          <w:szCs w:val="28"/>
          <w:lang w:val="en-US" w:bidi="en-US"/>
        </w:rPr>
        <w:t>www.Nooralsadegh.ir</w:t>
      </w:r>
    </w:p>
    <w:p>
      <w:pPr>
        <w:pStyle w:val="BookText"/>
        <w:rPr/>
      </w:pPr>
      <w:r>
        <w:rPr>
          <w:rFonts w:eastAsia="Times New Roman" w:cs="Times New Roman" w:ascii="Times New Roman" w:hAnsi="Times New Roman"/>
          <w:color w:val="111111"/>
          <w:sz w:val="28"/>
          <w:szCs w:val="28"/>
          <w:lang w:val="en-US" w:bidi="en-US"/>
        </w:rPr>
        <w:t>Email: Daralsadegh@gmail.com , Safiesfahani@gmail.com</w:t>
      </w:r>
    </w:p>
    <w:p>
      <w:pPr>
        <w:pStyle w:val="BookText"/>
        <w:rPr/>
      </w:pPr>
      <w:r>
        <w:rPr>
          <w:rFonts w:eastAsia="Times New Roman" w:cs="Times New Roman" w:ascii="Times New Roman" w:hAnsi="Times New Roman"/>
          <w:color w:val="111111"/>
          <w:sz w:val="28"/>
          <w:szCs w:val="28"/>
          <w:lang w:val="en-US" w:bidi="en-US"/>
        </w:rPr>
        <w:t>Massage Number: 30008443000844</w:t>
      </w:r>
    </w:p>
    <w:p>
      <w:pPr>
        <w:pStyle w:val="BookText"/>
        <w:rPr/>
      </w:pPr>
      <w:r>
        <w:rPr>
          <w:rFonts w:eastAsia="Times New Roman" w:cs="Times New Roman" w:ascii="Times New Roman" w:hAnsi="Times New Roman"/>
          <w:color w:val="111111"/>
          <w:sz w:val="28"/>
          <w:szCs w:val="28"/>
          <w:lang w:val="en-US" w:bidi="en-US"/>
        </w:rPr>
        <w:t>Telegram chanel: @nooralsadegh</w:t>
      </w:r>
    </w:p>
    <w:p>
      <w:pPr>
        <w:pStyle w:val="BookText"/>
        <w:rPr/>
      </w:pPr>
      <w:r>
        <w:rPr>
          <w:rFonts w:eastAsia="Times New Roman" w:cs="Times New Roman" w:ascii="Times New Roman" w:hAnsi="Times New Roman"/>
          <w:color w:val="111111"/>
          <w:sz w:val="28"/>
          <w:szCs w:val="28"/>
          <w:lang w:val="en-US" w:bidi="en-US"/>
        </w:rPr>
        <w:t>central office of Nooralsadegh seasonal magazine</w:t>
      </w:r>
    </w:p>
    <w:p>
      <w:pPr>
        <w:pStyle w:val="BookText"/>
        <w:rPr/>
      </w:pPr>
      <w:r>
        <w:rPr>
          <w:rFonts w:eastAsia="Times New Roman" w:cs="Times New Roman" w:ascii="Times New Roman" w:hAnsi="Times New Roman"/>
          <w:color w:val="111111"/>
          <w:sz w:val="28"/>
          <w:szCs w:val="28"/>
          <w:lang w:val="en-US" w:bidi="en-US"/>
        </w:rPr>
        <w:t>Isfahan, Daralsadegh Institiute, No. 70, Alley No.9 (laleh), saghir street Isfahan</w:t>
      </w:r>
    </w:p>
    <w:p>
      <w:pPr>
        <w:pStyle w:val="BookText"/>
        <w:rPr/>
      </w:pPr>
      <w:r>
        <w:rPr>
          <w:rFonts w:eastAsia="Times New Roman" w:cs="Times New Roman" w:ascii="Times New Roman" w:hAnsi="Times New Roman"/>
          <w:color w:val="111111"/>
          <w:sz w:val="28"/>
          <w:szCs w:val="28"/>
          <w:lang w:val="en-US" w:bidi="en-US"/>
        </w:rPr>
        <w:t>Tel: 03132317981</w:t>
      </w:r>
    </w:p>
    <w:p>
      <w:pPr>
        <w:pStyle w:val="BookText"/>
        <w:rPr/>
      </w:pPr>
      <w:r>
        <w:rPr>
          <w:rFonts w:eastAsia="Times New Roman" w:cs="Times New Roman" w:ascii="Times New Roman" w:hAnsi="Times New Roman"/>
          <w:color w:val="111111"/>
          <w:sz w:val="28"/>
          <w:szCs w:val="28"/>
          <w:lang w:val="en-US" w:bidi="en-US"/>
        </w:rPr>
        <w:t>fax: 03132317983</w:t>
      </w:r>
    </w:p>
    <w:p>
      <w:pPr>
        <w:pStyle w:val="BookText"/>
        <w:rPr/>
      </w:pPr>
      <w:r>
        <w:rPr>
          <w:rFonts w:eastAsia="Times New Roman" w:cs="Times New Roman" w:ascii="Times New Roman" w:hAnsi="Times New Roman"/>
          <w:color w:val="111111"/>
          <w:sz w:val="28"/>
          <w:szCs w:val="28"/>
          <w:lang w:val="en-US" w:bidi="en-US"/>
        </w:rPr>
        <w:t>Index</w:t>
      </w:r>
    </w:p>
    <w:p>
      <w:pPr>
        <w:pStyle w:val="BookText"/>
        <w:rPr/>
      </w:pPr>
      <w:r>
        <w:rPr>
          <w:rFonts w:eastAsia="Times New Roman" w:cs="Times New Roman" w:ascii="Times New Roman" w:hAnsi="Times New Roman"/>
          <w:color w:val="111111"/>
          <w:sz w:val="28"/>
          <w:szCs w:val="28"/>
          <w:lang w:val="en-US" w:bidi="en-US"/>
        </w:rPr>
        <w:t>Editorial 5</w:t>
      </w:r>
    </w:p>
    <w:p>
      <w:pPr>
        <w:pStyle w:val="BookText"/>
        <w:rPr/>
      </w:pPr>
      <w:r>
        <w:rPr>
          <w:rFonts w:eastAsia="Times New Roman" w:cs="Times New Roman" w:ascii="Times New Roman" w:hAnsi="Times New Roman"/>
          <w:color w:val="111111"/>
          <w:sz w:val="28"/>
          <w:szCs w:val="28"/>
          <w:lang w:val="en-US" w:bidi="en-US"/>
        </w:rPr>
        <w:t>Contradiction between the Quranic monotheism with the mysticism</w:t>
      </w:r>
    </w:p>
    <w:p>
      <w:pPr>
        <w:pStyle w:val="BookText"/>
        <w:rPr/>
      </w:pPr>
      <w:r>
        <w:rPr>
          <w:rFonts w:eastAsia="Times New Roman" w:cs="Times New Roman" w:ascii="Times New Roman" w:hAnsi="Times New Roman"/>
          <w:color w:val="111111"/>
          <w:sz w:val="28"/>
          <w:szCs w:val="28"/>
          <w:lang w:val="en-US" w:bidi="en-US"/>
        </w:rPr>
        <w:t>Ayatollah Al-ozma Safi Golpayegani 11</w:t>
      </w:r>
    </w:p>
    <w:p>
      <w:pPr>
        <w:pStyle w:val="BookText"/>
        <w:rPr/>
      </w:pPr>
      <w:r>
        <w:rPr>
          <w:rFonts w:eastAsia="Times New Roman" w:cs="Times New Roman" w:ascii="Times New Roman" w:hAnsi="Times New Roman"/>
          <w:color w:val="111111"/>
          <w:sz w:val="28"/>
          <w:szCs w:val="28"/>
          <w:lang w:val="en-US" w:bidi="en-US"/>
        </w:rPr>
        <w:t>Compulsion and Discretion in the view of revelation, Philosophy and mysticism [fifth session]</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Ayatollah Sayyed Jafar Sayyedan</w:t>
      </w:r>
    </w:p>
    <w:p>
      <w:pPr>
        <w:pStyle w:val="BookText"/>
        <w:rPr/>
      </w:pPr>
      <w:r>
        <w:rPr>
          <w:rFonts w:eastAsia="Times New Roman" w:cs="Times New Roman" w:ascii="Times New Roman" w:hAnsi="Times New Roman"/>
          <w:color w:val="111111"/>
          <w:sz w:val="28"/>
          <w:szCs w:val="28"/>
          <w:lang w:val="en-US" w:bidi="en-US"/>
        </w:rPr>
        <w:t>The Theological Theory or Intellectual dream 29/ Dr. Sayyed Yahya Yasrebi Criticism on the Sunnit scholars falsifies in the Islamic history (an answer to a suspicion)</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Ayatollah Sayyed Ali Milany</w:t>
      </w:r>
    </w:p>
    <w:p>
      <w:pPr>
        <w:pStyle w:val="BookText"/>
        <w:rPr/>
      </w:pPr>
      <w:r>
        <w:rPr>
          <w:rFonts w:eastAsia="Times New Roman" w:cs="Times New Roman" w:ascii="Times New Roman" w:hAnsi="Times New Roman"/>
          <w:color w:val="111111"/>
          <w:sz w:val="28"/>
          <w:szCs w:val="28"/>
          <w:lang w:val="en-US" w:bidi="en-US"/>
        </w:rPr>
        <w:t>Investigation of Allame Tabatabaei's Criticism on Allame Majlesi (third session)</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Ayatollah Haj Sheikh Morteza Razavi</w:t>
      </w:r>
    </w:p>
    <w:p>
      <w:pPr>
        <w:pStyle w:val="BookText"/>
        <w:rPr/>
      </w:pPr>
      <w:r>
        <w:rPr>
          <w:rFonts w:eastAsia="Times New Roman" w:cs="Times New Roman" w:ascii="Times New Roman" w:hAnsi="Times New Roman"/>
          <w:color w:val="111111"/>
          <w:sz w:val="28"/>
          <w:szCs w:val="28"/>
          <w:lang w:val="en-US" w:bidi="en-US"/>
        </w:rPr>
        <w:t>Description of Kashf -Al- Morad (fourth section) 63/ Hojjat Al-Islam Sayyed Qasem Ali Ahmadi Investigation The role of Abbasids on Institutionalization of Cultural deviation in Islamic world</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Dr. Sayyed Ali Ayatollahi</w:t>
      </w:r>
    </w:p>
    <w:p>
      <w:pPr>
        <w:pStyle w:val="BookText"/>
        <w:rPr/>
      </w:pPr>
      <w:r>
        <w:rPr>
          <w:rFonts w:eastAsia="Times New Roman" w:cs="Times New Roman" w:ascii="Times New Roman" w:hAnsi="Times New Roman"/>
          <w:color w:val="111111"/>
          <w:sz w:val="28"/>
          <w:szCs w:val="28"/>
          <w:lang w:val="en-US" w:bidi="en-US"/>
        </w:rPr>
        <w:t>Ayatollah Borojerdi and the closure of Asfar Class, the reports and distortions</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Hojjat Al-Islam Muhammad Mahdi Salmanpour</w:t>
      </w:r>
    </w:p>
    <w:p>
      <w:pPr>
        <w:pStyle w:val="BookText"/>
        <w:rPr/>
      </w:pPr>
      <w:r>
        <w:rPr>
          <w:rFonts w:eastAsia="Times New Roman" w:cs="Times New Roman" w:ascii="Times New Roman" w:hAnsi="Times New Roman"/>
          <w:color w:val="111111"/>
          <w:sz w:val="28"/>
          <w:szCs w:val="28"/>
          <w:lang w:val="en-US" w:bidi="en-US"/>
        </w:rPr>
        <w:t>The Criticism on Bedayat-al- Hekmat of Allame, «Lessons comment of Professor Sayyed Qasem Ali Ahmadi» (fifth sessions) 161 Arranging and editing by Hojjat-Al-Islam Javad Abdi</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letter of Ayatollah al-ozma Safi Golpayegani to the Ayatollah Sayyedan 179 Book Introduction 181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مشرب فلسفه خاص قدماء خطرش به مراتب از این عرفان اصطلاحی که آن را با فلسفه ممزوج کرده اند و حکمت متعالیه نامیده اند کمتر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أفاد و أجاد الشيخ الطائفة الطوسى قُدِسَ سِرُّه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وصفه بأنه جسم مع انتفاء حقيقة الجسم عنه ؛ لأنّ ذلك نقض اللغة ؛ لأنّ أهل اللغة يسمّون الجسم ما له طول و عرض و عمق ، بدلالة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أطول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زاد طولاً ،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أعرض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 الطول والعرض و العمق ، فعلم بذلك أن حقيقة الجسم ما قلناه ، و ذلك يستحيل فيه تعالى فلا يجوز وصفه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جسم لا كالأجسام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مناقضة ، لأنّه نفى ما أثبت نفيه ؛ لأنّ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يقتضى أنّ له طولاً و عرضاً و عمقاً ، فإذا قيل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کالأجسام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اقتضی نفى ذلك نفيه ، فيكون مناقضة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لا كالأشياء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مناقضة ؛ لأنّ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يقتضى أكثر من أنّه معلوم وليس فيه حس ، فإذا قلنا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كالأشياء 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فى ذلك مناقضة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معاد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الآملي في التعليقة على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توضيح مراد المصنف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غاية ما يمكن أن يقال في هذه الطريقة ولكن الإنصاف أنه عين انحصار المعاد بالروحاني لكن بعبارة أخفى ، فإنه بعد فرض كون شيئية الشيء بصورته وأن صورة ذات النفس هو نفسه و ان المادة الدنيوية لمكان عدم مدخلتها في قوام الشيء لا يحشر وأن المحشور هو النفس غاية الأمر إما مع إنشائها لبدن مثالی قائم بها قياما صدور مجردة عن المادة و لوازمها إلا المقدار كما في نفوس المتوسطين من أصحاب الشمال أو أصحاب اليمين وإما بدون ذلك أيضا كما في المقربين ولعمري أن هذا غير مطابق مع ما نطق عليه الشرع المقدس على صادعه السلام والتحية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أشهد الله وملائكته وأنبيائه ورسله ، أني أعتقد في هذه الساعة و هي ساعة الثلاث من يوم الأحد الرابع عشر من شهر شعبان المعظم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المعاد الجسماني بما نطق به القرآن الكريم ، واعتقد به محمد صَلّی الله عَلیهِ وآله و سَلَّم ، والأئمة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أطبقت الأمة الإسلامية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 و اختیار ، محمد تقی 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پیام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خَلَقَ اللَّهُ الْعَقْلَ قَالَ لَهُ أَقْبِلْ فَأَقْبَلَ ثُمَّ قَالَ لَهُ أَدْبَرْ فَأَدْبَرَ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 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عن الحاجه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اصطلاح رایج امروزی در میان مردم ، اشتباه نشود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واحد حدیثی است که نه مستفیض است و نه متواتر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بغیر علم در قرآن نکوهش و ممنوع شده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تر در مبحث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به شرح رفت که غیر از خداوند ، موجود مجردی وجود ندارد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به معنی فلسفی که شرحش گذشت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فلسفی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اولیه عالم که همواره متصور به صورت و متقلب به احوال و اشکال و هیآت مختلف است ، هیولی گویند و آن واحد و بسیط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هیولی عبارت از تنها امری است که علت کون و فساد است و هر موجودی که عاری از آن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غیر کائن و غیر فاسد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بالجمله مراد از هیولای اولی همان خمیره اجسام و امری است که محل توارد و تعاقب صور است و محل استحالات و انقلابات است ، چنانکه خاک تبدیل به نبات شود و نطفه ، انسان و حیوان شود و مسلم است که نطفه در طی مراحل کمال و ادوار و اکوار و اکوان خود در مرتبت بعد از مرتبت اول به طور کلی باطل نمی شود و بالاخره چنین نیست که نطفه رأسا باطل شده و انسان به وجود آید و اگر چنین باشد نتوان گفت که انسان یا حیوان از نطفه است ، پس معلوم می شود که در تمام مراحل و صور چیزی باقی است که وحدت شخصیه و نوعیه به آن محفوظ است و همان هیولای اولی است که خود بی رنگ و نام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بالجمله هیولی امر بالقوه است و فعلیت آن به صورت است و علی التعاقب صوری را رها و صوری دیگرقبول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این جهت که بالفعل حامل صورت است ، موضوع نامند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معارف اسلامی</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متکلّمین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خدا و خلق زمان حقیقی نیست ، زمان موهوم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مقصودشان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هایی وجود دارد که و همی است ، این تفسیر بی معنی بلکه تناقض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مقصودشان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و توهّمت زمان می سازد نه اینکه واقعاً زمان وجود داشته باشد ؛ چون تو بخواهی خداوند را تصوّر کنی در عینک و آیینۀ زمان و مکان می بینی و برای خدا زمان در نظر می گیری ، پس این زمان را وهم و خیالت ساخته است نه این که واقعاً زمانی در آنجا وجود داشته باشد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بحث زمان و حرکت در فوائد آخر کتاب ذکر شده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المبين للآمدى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بنا بر این که قائل به اشتراک لفظی وجود نباشیم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عدم سنخیّت و بینونت بین خدا و خلقش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مخلوقات اِلاهى ، حقایقی قابل زیادت و نقصان و عددی و مقداری و متجزّی و محتاج و دارای زمان و مکان و حادث به حدوث حقیقی می باشند ، ولی ذات احدیّت بدون جزء و کلّ و مرتبه و امتداد وجودی می باشد و فراتر از زمان و مکان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محال است که بین او و مخلوقاتش رابطه تشکیکی وجود داشته باشد چه رسد به عینیت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تشکیکی تنها در مورد چیزهایی ممکن است که دارای اجزاء و امتداد وجودی و حقیقتی واحد و مشترک باشند و در شدّت و ضعف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داشته باشند مثل خط ، و نور و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دلایل اصالت وجود ، مصادره به مطلوب یا دوری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اینکه خلاف وجدان و فطرت و بداهت و برهان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لوازم فاسد زیادی هم در پی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تنزيه المعبود بحث را ذکر کرده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به آنجا رجوع کنند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اصلاً گفتن اینکه خداوند و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دارند ، غلط است ،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امور عینی خارجی نیست ، و صحیح این است که بگوییم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و خلق موجود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می گوییم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شجر داریم که جوهر است ، و یک تحلیل عقلی موجود بودن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جعل شجر عقل حکم به موجودیت آن می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وقتی می 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سیمرغ عدم دارد ، معنایش این نیست که عدم به او اعطاء شده بلکه معنایش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سیمرغ در خارج موجود نیست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وجود ، عدم امکان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معقولات ثانیه هستند که در خارج نیستند تا گفته شود آن را دارد یا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می گویند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خداوند عین ذاتش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کردیم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معقولات ثانیه است ، و ذات عینیّت خارجیّه دارد ، و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همان تحقّق و ثبوت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 عقلی است ، معنا ندارد که بگوییم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و تحقّق او در مرتبه ذات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کسی بگوید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امکان حجرعین ذاتش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امکان حجر امر عقلی است ، معنا ندارد عین ذاتش</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گفته می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طارد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الخلق طارد العدم ؛ بنا بر این صحیح است که بر خلق و خالق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واحد اطلاق شود ؛ ولی آن معنای واحد ، همان طارد العدميّة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براهین خداشناسی بیان شده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دارای اجزاء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ازلی است و یا حادث است ، صورت اول محال است ؛ لاستحالة ازليّة المادّة والأجزاء و المقدار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دوّم می 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خودش خودش را ایجاد کرد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هم محال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 غیر ، او را ایجاد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دوّم ، یا آن غیر هم خودش دارای اجزاء و 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آن هم محال است ، و یا آن غیر ، دارای اجزاء و مقدار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بخلاف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می شود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تعطیل و لا 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می شود یعنی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که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متجزّی نیست یعنی جزء عدمی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اینکه اجزاء ندارد ، چگونه مقصودشان نفی اجزاء خارجيّه باشد با اینکه خدا را عین اشیاء می دانند ؟ و ارجاع عینیّت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ماهیّت فسادش واضح تر از بیان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جزء عدمی مثل اینکه می 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عدمی دارد ؛ چون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اجزای عدمی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خداوند آن اجزاء عدمی را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از ترکیب که در خدا نیست غیر از آن اقسام ترکیب است ، و ملاهادی سبزواری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شرّ التراکیب را ندارد که همان ترکیب از وجود و عدم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263/98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این تعبیر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نیاز به زمان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مسامحی است ، مثل اینکه می گوییم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نیاز به مکان و زمان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زید چیزی است و مکان و زمان چیز دیگر و او در زمان و مکان محقّق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هر وقت بگوییم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نیاز به زمان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ذاتی که در آن قبل و بعد وجود ندارد ، نه اینکه زمان هست ولی نیازی به آن ندارد ، چون ذات قدّوس او فراتر از زمان و مکان است ، و مقصود از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الآن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 معدوم نیست و متعالی از زمان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تقدّم رتبی که فلاسفه می گویند و بین علّت و معلول قائلند ، باطل و نادرست است ، چون معنای تقدّم رتبی در فلسفه یعنی تلازم وجودی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و مایع بودن که آب جوهر است و مایع بودن عرض است و اینها انفکاک وجودی ندارند ، اما تا جوهر آب نباشد ، عرض مایع بودن نیست ، لذا بینشان تقدّم رتبی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بگوییم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رتبه خلق نیست ؛ زیرا حقیقتی که فراتر از زمان و مکان و تصوّر و توهّم و تجزیه و ترکیب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در رتبۀ اعلی و اشرف از حقیقتی است که زمانی و مکانی و متجزّی و مقداری و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بی نهایت نیست و هرگز زمان دو جور نیست که یک قسم آن محدود و یک قسم دیگر آن نامحدود و بی نهایت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او زمان ازلی بگویند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زیرا زمان ، حقیقت متجزّی و عددی و مخلوق و متناهی و ذاتاً قابل زیاده و نقصان است و همیشه زمان ملازم با محدودیّت است ، و هیچ گاه زمان بی نهایت نداریم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طوری که هر حقیقت متجزّی و مقداری با محدودیّت و تناهی ملازم هستند و اصلاً بی نهایت نیست بلکه قابل زیاده و نقصان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این بیان دانسته می شود که ازلیّت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وقتی می 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ازلی است یعنی خداوند زمان و قبل و بعد و گذشته و حال و آینده ندارد ، نه اینکه خداوند در همه زمان ها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بیان معلوم می شود که ازلیّت در مقابل زمان متناهی نیست بلکه در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و ملاصدرا تصریح به این سخن نموده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فصوص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فكلّ ما تدركه فهو وجود الحقّ فى أعيان الممكنات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فالعالَم متوهّم ما له وجود حقیقی و هذا معنى الخيال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اسفار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فالعالم متوهّم ما له وجود حقيقى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رجعت علية المسمّى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تطوّره بطور و تحيّثه بحيثيّة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امیرالمؤمنین عَلیهِ السَّلام نقل شده که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عزّ و جلّ الموجود بنفسه لا بأداته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مقابل موجود بنفسه ، موجود به أدات واقع شده مانند وجود این کتاب که به اداتش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به ورق و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وجود این خانه که به آجر و آهک و ماسه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بغیره که ما می 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خداوند عالم را ایجاد و احداث لا من شيء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مقصود فلاسفه از موجود بغیره یعنی مثل مایع بودن آب که قائم به آب است و دیوار ساختمان موجود به این ساختمان است ، و این همان جزء و کلّ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عالم نسبت به خداوند وجود ربطی دارد یعنی لیس بخارج عن الله تعالى والا این مقدار از خداوند کم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الموجود الرابط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موجود 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ماليس بخارج</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در اصطلاح روایات درون شیعی به عامه مسلمانان که امامت اهل بیت را نپذیرفتند ، اطلاق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ها و شواهد متعدد در این باره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اهوازی ، حسین بن سعيد ،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قمی ، علی بن ابراهیم ،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فخار بن معد ، ایمان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نعماني ، ابن ابی زینب ،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تاریخ الطبري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دوم منصور به نفس زکیه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نعماني ، ابن ابی زینب ،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 حسن بن موسى ،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بیرونی ، ابوریحان ، آثار الباقية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بیرونی در تقسیم بندی حاکمیت ها ، دولت عباسی را دولت امامان می نامد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تاریخ الطبری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 قاضی نورالله ، مجالس المؤمنين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تاریخ الطبری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 الامامه والسياسه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 الامامه و السیاسه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يبق فى الناس افقه منی و منک و قد شغلنى الخلافه وضع للناس كتاباً ينتفعون وتجنب رخص ابن عباس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 تاریخ ابن خلدون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 تاریخ مذاهب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 ، عبدالحسین ، موقف الخلفاء العباسيين من ائمه اهل السنه الاربعه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ليت ان الله زیّن حرمنا بمثله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 تاریخ مذاهب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 تاریخ 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اخرج عن مالک ابن انس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ابی جعفر منصور فقال من افضل الناس بعد رسول الله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ابابکر 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اصبت و ذلک رأی امیرالمؤمنین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 الخطط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پاکتچی ، احمد ، جوامع حدیثی اهل سنت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الطالبيين ، ع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 الامام الصادق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 مقالات الاسلاميين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 الخطط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 عبدالحسین ، موقف الخلفاء العباسيين من ائمه اهل السنه الاربعه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w:t>
      </w:r>
      <w:r>
        <w:rPr>
          <w:rFonts w:eastAsia="IRNazanin" w:cs="IRNazanin"/>
          <w:b w:val="false"/>
          <w:bCs w:val="false"/>
          <w:i w:val="false"/>
          <w:iCs w:val="false"/>
          <w:color w:val="333333"/>
          <w:sz w:val="20"/>
          <w:szCs w:val="20"/>
        </w:rPr>
        <w:t>355/36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الفاطمی النجفی ، عبدالامیر ، الاسرار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تفاسیر روایی ذیل کریمه و الشُّعَراءُ يَتَّبِعُهُمُ الْغَاوُونَ ؛ 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 علی ابن ابراهیم ، تفسیر قمی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 ابن فهد ، عده الداعى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الغاوون هم الّذين عرفوا الحقّ و عملوا بخلافه</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 البرهان في تفسیر القرآن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همچنین در خصوص بدعت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 بحارالانوار</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هُدِمَ حَائِطُ مَسْجِدِ الْكُوفَةِ مِمَّا يَلِى دَارَ عَبْدِ اللَّهِ بْنِ مَسْعُودٍ فَعِنْدَ ذَلِكَ زَوَالُ مُلْكِ الْقَوْمِ وَ عِنْدَ زَوَالِهِ خُرُوجُ الْقَائِمِ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 تاریخ یعقوبی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 تاریخ بغداد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درمقابل در احادیث ائمه همواره به فضیلت و محوریت کوفه حتی در حکومت موعود نیز تأکید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 مقدمه ابن خلدون ، ترجمه محمد پروین گنابادی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گوتاس ، دیمتری ، فرهنگ یونانی اندیشه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 مقدمه ابن خلدون ، ترجمه محمد پروین گنابادی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گوتاس ، دیمتری ، فرهنگ یونانی اندیشه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شَرِّقا و غَرِّبا لَن تَجِدا عِلما صَحيحا إلّا شَيئا يَخْرُجُ مِن عِندِنا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عنوان نمونه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 حمیدرضا ، مجموعه مقالات همایش سیره و زمانه امام جواد عَلیهِ السَّلام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ابعاد علمی ، فرهنگی مبارزات امام جواد عَلیهِ السَّلام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منسوب به جابرابن حیان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مددی ، سیداحمد موسوی ، نگاهی به دریا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كَذَّبَتْ ثَمُودُ بِطَغْواها قَالَ ثَمُودُ رَهْطٌ مِنَ الشِّيعَةِ فَإِنَّ الله سُبْحَانَه يَقُولُ وَأَمَّا ثَمُودُ فَهَدَيْنَاهُمْ فَاسْتَحَبُّوا الْعَمى عَلَى الْهُدى فَأَخَذَتْهُمْ صاعِقَةُ الْعَذَابِ الْهُونِ فَهُوَ السَّيْفُ إِذَا قَامَ الْقَائِمُ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 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يحيى بن خالد البرمكي قد وجد على هشام بن الحكم شيئا من طعنه على الفلاسفة ، وأحب أن يغري به هارون ويضربه على القتل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 کتاب الطهارة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والسيرة المستمرة من الأصحاب في تكفير الحكماء المنكرين لبعض الضروريات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 سرشت و سرنوشت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دینانی ، ماجرای فکر فلسفی در جهان 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 زندگانی زعیم بزرگ عالم تشیع آیت الله بروجردی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استاد دوانی آورده اند که مرحوم علامه طباطبایی با نهایت تأثر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آقای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بر آقایان دیگر نجف اضافه شده ، بگو برادر آقای امینی شما دیگر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 همان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فاضل ، آقای علی ملکی میانجی 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آیت الله سید موسی شبیری زنجانی شنیدم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شاهرودی فتوای تحریم ادامه حاشیه بحارالانوار را صادر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میانجی ، علامه مجلسی اخباری یا اصولی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از استاد حسین حقانی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مواردی از تصریحات بزرگان به تسلط آیت الله بروجردی بر فلسفه در ادامه اشاره خواهد شد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 سرشت و سرنوشت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 همان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دین از نگاه محدث و حکیم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و دیگران ، چشم و چراغ مرجعیت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و دیگران ،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حائری یزدی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درباره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که در آن هنگام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بودند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از این که به کلی بی نیاز شدم از تحصیلات اسلامی ، حتی احساس کردم که دیگر احتیاجی به هیچ یک از مراجع ندارم ، احتیاجی به اساتید بزرگ ندارم و خودم را از نظر قدرت علمی در همان هنگام برتر از تمام مدرسین و تمام مراجع و اساتید فن فقه و اصول و حتی معقول می دانستم ، چون از تحصیلات حوزه سلب احتیاجم شده بود آمدم به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 خاطرات دکتر مهدی حائری 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 کاوش های عقل عملی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تأکید در عبارات از خود استاد حائری است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یزدی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تأملاتی گذرا درباره امام خمینی زعامت دینی و حکمت اسلامی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 جرعه ای از دریا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و دیگران ، چشم و چراغ مرجعیت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 همان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و دیگران ،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صدرای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 فخر دوران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صافی گلپایگانی ، مجله حوزه ،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میانجی ، علامه مجلسی اخباری یا اصولی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جزئیات این واقعه را دانشمند معظم علامه سید مجتبی بحرینی از مرحوم حاج سید رضا رضوی طوسی و ایشان از حضرت آیت الله العظمی صافی گلپایگانی نقل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صدرای 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صدرای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کاملان همچنین مطالب دیگری نیز درباره تعطیلی درس علامه طباطبایی بیان کرده اند که هنگام بررسی سخنان استاد آشتیانی به آنها خواهیم پرداخت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 احیاگر حوزه خراسان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آقای علی اکبر غفاری که خود در این سخنرانی های مرحوم حلبی حضور داشته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 همان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 چی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آیینه های آگاهی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کوثری ، شناخت نامه میرزا مهدی اصفهانی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کوثری ،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 علامه حلی ذیل مبحث اعتقادی ، پس از بیان نظری که عقیده فیلسوفان است می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هو الكفر الصريح ، إذ الفارق بين الإسلام والفلسفة هو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 نهج الحق و 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کتاب شریف تذكرة الفقهاء فرموده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یجب جهادهم قسمان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مسلمون خرجوا عن طاعة الإمام وبغوا عليه ، وكفار ، وهم قسمان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كتاب أو شبهة كتاب ، كاليهود والنصارى والمجوس وغيرهم من أصناف الكفار ، كالدهرية وعباد الأوثان والنيران ، و منكري ما يعلم ثبوته من الدين ضرورة ، كالفلاسفة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 تذكرة الفقهاء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نوشتار ایشان فاقد ابتدایی ترین مشخصات یک مقاله تحقیقی روشمند است و صرفاً مطالبی است که با تقطیعات و اشتباهاتی فراوان جمع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برخی اشتباهات ایشان در بررسی ادعای آقای لاله زاری اشاره خواهد شد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وکیلی ، آیت الله بروجردی و فلسفه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جلالى ، المنهج الرجالي والعمل الرائد في الموسوعة الرجالية لسيد الطائفة آية الله العظمى البروجردی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 بخشایشی ، فقهای نامدار 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استادی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 تألیفات آیة الله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حوزه ،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اساتید و عالمان بزرگوار ، بر اساس حروف الفبا تنظیم شده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 سرشت و سرنوشت ، گفتگو با دکتر غلامحسین ابراهیمی دینانی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 آینه های فیلسوف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دینانی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عقل و عشق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خبرآنلاین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108296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فایل صوتی سخنان استاد دینانی نیز در همین سایت موجود است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ملی ، ش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رجوع کنید به گفتگوی ایشان با ماهنامه بشری در آبان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سایت تبیان در </w:t>
      </w:r>
      <w:r>
        <w:rPr>
          <w:rFonts w:eastAsia="IRNazanin" w:cs="IRNazanin"/>
          <w:b w:val="false"/>
          <w:bCs w:val="false"/>
          <w:i w:val="false"/>
          <w:iCs w:val="false"/>
          <w:color w:val="333333"/>
          <w:sz w:val="20"/>
          <w:szCs w:val="20"/>
        </w:rPr>
        <w:t>1387/10/29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آن را منتشر نموده است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 خاطرات آیت الله ابراهیم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www.ahmadbeheshti.ir</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وحی و 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سازمان اسناد و کتابخانه ملی ایران با آیت الله آقای دکتر احمد بهشتی در 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رديف مصاحبه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مصاحبه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نورایی نژاد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 شمس الوحی تبریزی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کرباسچی ، تاریخ شفاهی انقلاب اسلامی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حقانی ، شرح نهاية الحكمة ، مقدمه جلد اول ، صفحه ح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 شرح اسم ، صص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خسروشاهی ، خاطرات مستند سیدهادی خسروشاهی درباره علامه سید محمد حسین طباطبایی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 زندگانی زعیم بزرگ عالم تشیع آیت الله بروجردی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 جرعه ای از دریا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کرباسچی ، تاریخ شفاهی انقلاب اسلامی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عراقچی ، پرتو آفتاب ، خاطرات حضرت آیت الله حاج شیخ علی عراقچی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 خاطرات آیت الله محمد علی گرامی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کرباسچی ، تاریخ شفاهی انقلاب اسلامی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اینترنتی مدرسه فقاهت ، متن کامل درس ایشان موجود و قابل دسترسی است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سبک استنباط آیت الله بروجردی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 بخشی از خاطرات آیت الله العظمی منتظری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کرمانی ، خاطرات آیت الله سید حسین موسوی کرمانی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 الهيات الهى والهيات بشری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نظرها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غیاثی کرمانی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اقیانوس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مرزبان وحی و خرد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فیضی ، سرشت و سرنوشت ، گفتگو با دکتر غلامحسین ابراهیمی دینانی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استاد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 اسلامی به روایت دکتر احمد بهشتی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شادروان استاد علی دوانی اگرچه در ملحقات کتاب زندگی آیت الله بروجردی تاریخ واقعه را با تردید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 اما در گزارشی دیگر از همین داستان ، به صراحت تاریخ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ذکر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موی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دوران تدریس 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در خانه زیر کرسی نشسته بودند اتفاقاً چند روز هم بود مریض بودند ، اواخر ماه رجب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 بخشی از خاطرات حضرت آیت الله العظمی منتظری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سخن آیت الله جوادی آملی که واقعه را در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بدون تردید سهو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داستان تعطیلی اسفار مربوط به پس از داستان تعلیقات بر بحارالانوار است ، و قضیه تعلیقات به پس از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می شود ؛ چرا که مجلدات اول بحار با تعلیقات علامه طباطبایی ، همه در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ققمری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یافته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پیشتر نیز گفته شد که آیت الله خامنه ای که درس اسفار علامه را درک کرده ، در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قم رفته اند و واقعه تعطیلی درس اسفار مربوط به پس از این سال است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 آینه های فیلسوف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استاد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 علل گرایش به مادیگری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عراقچی ، پرتو آفتاب ، خاطرات حضرت آیت الله حاج شیخ علی عراقچی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عراقچی ،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اول از آیت الله صافی و تعبیر دوم از آیت الله فاضل لنکرانی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و دیگران ، چشم و چراغ مرجعیت ،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جالب توجه است که آیت الله شبیری زنجانی پس از نقل کلام آیت الله صافی ، فرموده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جای دیگر دیدم که آقای فاضل برخلاف این نقل ، نقل کرده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شبیری زنجانی ، جرعه ای از دریا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آن که چنان که نقل شد ، تعبیر آیت الله فاضل هرگز برخلاف آیت الله صافی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آیت الله شبیری مطلب را در منبعی خوانده اند که در آنجا به نادرست نقل شده است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منتظری که آن فرد را می شناخت درباره او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شیخ مقدسی بود و اتفاقاً مرحوم امام هم از او خوشش می آمد و می فرمود من از این آقا خوشم می آید چون از روی عقیده اش حرف می زند ، فرد حقه بازی نیست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منتظری ، بخشی از خاطرات حضرت آیت الله العظمى منتظری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مدرسه فیضیه فرزند خردسالم ، مرحوم مصطفی از کوزه ای آب نوشید ، کوزه را آب کشیدند ، چرا که من فلسفه می گفتم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Pr>
        <w:t>279/21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عراقچی ،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بحث تدریس اسفار ، مرحوم بهبهانی در داستان تعطیلی تعلیقات علامه بر بحار نیز وساطت کرده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ملکی میانجی در این زمینه نوشته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یکی از افاضل درگذشته ، که از تلامذه مرحوم میرزا محمد علی سرابی در نجف بود شنیدم که آقای بهبهانی و دستگاه حکومتی و سلطنتی وقت ، از تهران به تعدیل مخالفت آیت الله العظمی بروجردی با علامه طباطبایی همت گماشتند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میانجی ، علامه مجلسی اخباری یا اصولی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علی صافی گلپایگانی نقل کرده اند که آیت الله بروجردی پس از یک بی اعتنایی به شاه ، فرموده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پدرش که قدرتمندتر از این بود و آن وقت ها من هم این قدرت را نداشتم ، همین طور برخورد می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جای خود را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و دیگران ، چشم و چراغ مرجعیت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استاد حکیمی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ایشان سال ها علیه تفکیک و بزرگان شلتاق کردند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الهیات الهی و الهیات بشری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رجوع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ایرادهایی که به علامه مجلسی 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 رضا مختاری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پریشان ، دفتر اول ،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 علی ملکی میانجی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اندیشه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ملاحظه این مقالات نشان می دهد که استاد آشتیانی در نسبت ها و سخنان ناصواب علیه دیگر اصحاب فکر و اندیشه ، در برخی موارد هیچ امکانی برای حمل بر صحت نیز باقی نگذاشته اند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معرفت در سپهر معنویت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آشتیانی و سنت فلسفه ستیزی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جلال حکمت و 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لازم به ذکر است که آقای اسلامی در بازنشر همین مقاله در یکی از آثار اخیر خود ، فقره مورد نظر را احتمالاً به احترام استاد آشتیانی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کلی حذف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 سودای تفکیک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گفتنی است که منظور از نقدهای استاد آشتیانی در سخن آقای اسلامی ، مطالب ایشان در نقد تهافت غزالی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اثری که به تعبیر بجای آقای اسلامی ، غزالی در آن بستری است تا استاد نقدهای خود را متوجه مخالفان گوناگون فلسفه از گذشته و حال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روگاه همزمان به نقد غزالی ، مجلسی ، معتزله و میرزا مهدی اصفهانی می پردازد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 همان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درباره فلسفه و 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 سرشت و سرنوشت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صدرای 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دلداده حکمت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معرفت در سپهر معنویت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صدرای زمان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 محمد حسین مهرتابان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 محسن ، حریم 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محسن طهرانی همچنین درباره پدرش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علامه طهرانی از اساتید خود به پیامبران الهی تعبیر می کردند ؛ شخصیتی که بدون جنبه تشریع و وحی ، در همان مرتبه اشراف و احاطه بر نفوس و ضمائر قرار دارد ، و امر او امر خدای تعالی و دستور او مانند دستور پیامبر الهی واجب الاتباع می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برخی از تعبیرات خود آقای محمد حسین طهرانی در این باره نیز رجوع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 روح مجرد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 محسن متن سخنرانیهای شرح حدیث عنوان بصری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این سخنرانی به صورت گسترده در شبکه های مختلف پخش شد و عمیقاً موجبات وهن مقام روحانیت و حمله اسلام ستیزان به دین و متدینان را فراهم آورد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این موارد و مشابه آن که فاقد ارجاع دقیق کتابشناختی هستند ، اساساً از خود نویسنده آن دو یادداشت نیست بلکه برگرفته از نوشته های دیگران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آقای وکیلی در این خصوص مهارت قابل توجهی دارند و تنها به عنوان یک نمونه ، می توان به کتاب اخیر ایشان درباره حديقة الشيعة اشاره کرد که از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این کتاب ، تقریباً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کپی برداری از نوشته های جناب آقای عادل زاده در وبلاگ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مصداق روشن سرقت علمی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عادل زاده در اسفندماه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وبلاگ خود به تفصیل به این امر پرداخته و با ذکر جزئیات ، سرقت های مختلف آقای وکیلی را خاطرنشان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خامنه ای و دیگران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اندیشه های صدرالمتألهین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سید حسین نصر در این باره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دکتر حائری یزدی اسفار اربعه را نزد مرحوم آیت الله خمینی خوانده بودند و همیشه می گفتند که ایشان در تدریس اسفار به جنبه های عرفانی بیش از جنبه های استدلالی توجه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حکمت در سپهر سنت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موی دوست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آیت الله امینی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حجت الاسلام اسد الله خادمی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کنی ، خاطرات آیت الله مهدوی کنی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 آینه های فیلسوف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دینانی درباره سال های دهه سی خورشیدی و حضور در درس مرحوم رفیعی قزوینی 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را به حد اجتهاد خوانده بودیم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 سرشت و سرنوشت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در همایش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اندیشه های فلسفی و عرفانی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روز سه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مؤسسه پژوهشی حکمت و فلسفه ایران برگزار شد نیز 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طبیعی است که یک مجتهد نباید تقلید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ای که معانی روایات و قرآن را می فهمند نباید تقلید کند بلکه باید زحمت بکشد و خود حکم خدا را بفهمد و فرمودند طلبه ای که مراحلی را طی کرده حق ندارد دیگر تقلید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به تبعیت از حرف ایشان دیگر از آن زمان تا کنون از کسی تقلید نکردم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خبرآنلاین ، دکتر دینانی از خط امامی هایی می گوید که مخالف عرفان بودند و جلسه تفسیر سوره حمد را تعطیل کردند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معرفت در سپهر معنویت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خامنه ای و دیگران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اندیشه های صدرالمتألهین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صاحب اسفار پس از آن که در برخی مباحث ، بوعلی را به عجز از درک نسبت می دهد می 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هذه الدقيقة وأمثالها من احكام الموجودات لا يمكن الوصول إليها الا بمكاشفات باطنية و مشاهدات سرية ومعاينات وجودية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دینانی نیز از محمد علی حکیم شیرازی ، صوفی ژولیده ای که استاد دینانی یک دوره فصوص الحکم را در خانقاه نزد او خوانده بود نقل کرده که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من شب ها مطالبی گفته می شود که با آنچه در کتابها آمده متفاوت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 سرشت و سرنوشت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آشتیانی درباره مکاشفات ابن عربی که پیشوای ملاصدرا است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مکاشفات او نیز مانند واردات قلبی او متنوع و القائات او گاهي مضطرب است و خالی از تشویش نیست و حتی در مکاشفاتش تناقض هست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شرح 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شهید مطهری فرموده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گرایش مادی از دوران های باستان هم در طبقات دانشمند بوده و هم در طبقات 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جدید نیز همینطور ، در تمام طبقات افرادی مادی پیدا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 علل گرایش به مادیگری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المعبود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ودائع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 محمد تقی 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image" Target="media/image4.jpeg"/><Relationship Id="rId187" Type="http://schemas.openxmlformats.org/officeDocument/2006/relationships/image" Target="media/image4.jpeg"/><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image" Target="media/image5.jpeg"/><Relationship Id="rId191" Type="http://schemas.openxmlformats.org/officeDocument/2006/relationships/image" Target="media/image5.jpeg"/><Relationship Id="rId192" Type="http://schemas.openxmlformats.org/officeDocument/2006/relationships/footer" Target="footer181.xml"/><Relationship Id="rId193" Type="http://schemas.openxmlformats.org/officeDocument/2006/relationships/image" Target="media/image6.jpeg"/><Relationship Id="rId194" Type="http://schemas.openxmlformats.org/officeDocument/2006/relationships/image" Target="media/image6.jpeg"/><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85.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62377</Words>
  <Characters>218450</Characters>
  <CharactersWithSpaces>279459</CharactersWithSpaces>
  <Paragraphs>1536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2026-08-20T11:31:43Z</dcterms:created>
  <dc:creator>ghaemiyeh.com</dc:creator>
  <dc:description/>
  <dc:language>en-US</dc:language>
  <cp:lastModifiedBy/>
  <dcterms:modified xsi:type="dcterms:W3CDTF">2026-08-20T15:01:51Z</dcterms:modified>
  <cp:revision>1</cp:revision>
  <dc:subject/>
  <dc:title>نورالصادق 51 و 52</dc:title>
</cp:coreProperties>
</file>

<file path=docProps/custom.xml><?xml version="1.0" encoding="utf-8"?>
<Properties xmlns="http://schemas.openxmlformats.org/officeDocument/2006/custom-properties" xmlns:vt="http://schemas.openxmlformats.org/officeDocument/2006/docPropsVTypes"/>
</file>