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البیع تقریراً لبحث السید المجدد الشیرازی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21609_2870459653">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921611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921613_2870459653">
            <w:r>
              <w:rPr>
                <w:webHidden/>
                <w:rStyle w:val="IndexLink"/>
                <w:rtl w:val="true"/>
              </w:rPr>
              <w:t>مقدمة المرکز</w:t>
            </w:r>
            <w:r>
              <w:rPr>
                <w:rStyle w:val="IndexLink"/>
                <w:rtl w:val="true"/>
              </w:rPr>
              <w:tab/>
            </w:r>
            <w:r>
              <w:rPr>
                <w:rStyle w:val="IndexLink"/>
              </w:rPr>
              <w:t>10</w:t>
            </w:r>
          </w:hyperlink>
        </w:p>
        <w:p>
          <w:pPr>
            <w:pStyle w:val="Contents2"/>
            <w:tabs>
              <w:tab w:val="clear" w:pos="8743"/>
              <w:tab w:val="right" w:pos="9026" w:leader="dot"/>
            </w:tabs>
            <w:rPr/>
          </w:pPr>
          <w:hyperlink w:anchor="__RefHeading___Toc3921615_2870459653">
            <w:r>
              <w:rPr>
                <w:webHidden/>
                <w:rStyle w:val="IndexLink"/>
                <w:rtl w:val="true"/>
              </w:rPr>
              <w:t>مقدمة التحقیق</w:t>
            </w:r>
            <w:r>
              <w:rPr>
                <w:rStyle w:val="IndexLink"/>
                <w:rtl w:val="true"/>
              </w:rPr>
              <w:tab/>
            </w:r>
            <w:r>
              <w:rPr>
                <w:rStyle w:val="IndexLink"/>
              </w:rPr>
              <w:t>16</w:t>
            </w:r>
          </w:hyperlink>
        </w:p>
        <w:p>
          <w:pPr>
            <w:pStyle w:val="Contents2"/>
            <w:tabs>
              <w:tab w:val="clear" w:pos="8743"/>
              <w:tab w:val="right" w:pos="9026" w:leader="dot"/>
            </w:tabs>
            <w:rPr/>
          </w:pPr>
          <w:hyperlink w:anchor="__RefHeading___Toc3921617_2870459653">
            <w:r>
              <w:rPr>
                <w:webHidden/>
                <w:rStyle w:val="IndexLink"/>
                <w:rtl w:val="true"/>
              </w:rPr>
              <w:t>کتاب البیع</w:t>
            </w:r>
            <w:r>
              <w:rPr>
                <w:rStyle w:val="IndexLink"/>
                <w:rtl w:val="true"/>
              </w:rPr>
              <w:tab/>
            </w:r>
            <w:r>
              <w:rPr>
                <w:rStyle w:val="IndexLink"/>
              </w:rPr>
              <w:t>32</w:t>
            </w:r>
          </w:hyperlink>
        </w:p>
        <w:p>
          <w:pPr>
            <w:pStyle w:val="Contents3"/>
            <w:tabs>
              <w:tab w:val="clear" w:pos="8459"/>
              <w:tab w:val="right" w:pos="9026" w:leader="dot"/>
            </w:tabs>
            <w:rPr/>
          </w:pPr>
          <w:hyperlink w:anchor="__RefHeading___Toc3921619_2870459653">
            <w:r>
              <w:rPr>
                <w:webHidden/>
                <w:rStyle w:val="IndexLink"/>
                <w:rtl w:val="true"/>
              </w:rPr>
              <w:t>إشارة</w:t>
            </w:r>
            <w:r>
              <w:rPr>
                <w:rStyle w:val="IndexLink"/>
                <w:rtl w:val="true"/>
              </w:rPr>
              <w:tab/>
            </w:r>
            <w:r>
              <w:rPr>
                <w:rStyle w:val="IndexLink"/>
              </w:rPr>
              <w:t>32</w:t>
            </w:r>
          </w:hyperlink>
        </w:p>
        <w:p>
          <w:pPr>
            <w:pStyle w:val="Contents3"/>
            <w:tabs>
              <w:tab w:val="clear" w:pos="8459"/>
              <w:tab w:val="right" w:pos="9026" w:leader="dot"/>
            </w:tabs>
            <w:rPr/>
          </w:pPr>
          <w:hyperlink w:anchor="__RefHeading___Toc3921621_2870459653">
            <w:r>
              <w:rPr>
                <w:webHidden/>
                <w:rStyle w:val="IndexLink"/>
                <w:rtl w:val="true"/>
              </w:rPr>
              <w:t xml:space="preserve">[ </w:t>
            </w:r>
            <w:r>
              <w:rPr>
                <w:rStyle w:val="IndexLink"/>
                <w:rtl w:val="true"/>
              </w:rPr>
              <w:t>تعريف البيع</w:t>
            </w:r>
            <w:r>
              <w:rPr>
                <w:rStyle w:val="IndexLink"/>
                <w:rtl w:val="true"/>
              </w:rPr>
              <w:t>]</w:t>
              <w:tab/>
            </w:r>
            <w:r>
              <w:rPr>
                <w:rStyle w:val="IndexLink"/>
              </w:rPr>
              <w:t>33</w:t>
            </w:r>
          </w:hyperlink>
        </w:p>
        <w:p>
          <w:pPr>
            <w:pStyle w:val="Contents3"/>
            <w:tabs>
              <w:tab w:val="clear" w:pos="8459"/>
              <w:tab w:val="right" w:pos="9026" w:leader="dot"/>
            </w:tabs>
            <w:rPr/>
          </w:pPr>
          <w:hyperlink w:anchor="__RefHeading___Toc3921623_2870459653">
            <w:r>
              <w:rPr>
                <w:webHidden/>
                <w:rStyle w:val="IndexLink"/>
                <w:rtl w:val="true"/>
              </w:rPr>
              <w:t xml:space="preserve">[ </w:t>
            </w:r>
            <w:r>
              <w:rPr>
                <w:rStyle w:val="IndexLink"/>
                <w:rtl w:val="true"/>
              </w:rPr>
              <w:t xml:space="preserve">الحقيقية الشرعيّة أو المتشرعيّة للبيع </w:t>
            </w:r>
            <w:r>
              <w:rPr>
                <w:rStyle w:val="IndexLink"/>
                <w:rtl w:val="true"/>
              </w:rPr>
              <w:t>]</w:t>
              <w:tab/>
            </w:r>
            <w:r>
              <w:rPr>
                <w:rStyle w:val="IndexLink"/>
              </w:rPr>
              <w:t>35</w:t>
            </w:r>
          </w:hyperlink>
        </w:p>
        <w:p>
          <w:pPr>
            <w:pStyle w:val="Contents3"/>
            <w:tabs>
              <w:tab w:val="clear" w:pos="8459"/>
              <w:tab w:val="right" w:pos="9026" w:leader="dot"/>
            </w:tabs>
            <w:rPr/>
          </w:pPr>
          <w:hyperlink w:anchor="__RefHeading___Toc3921625_2870459653">
            <w:r>
              <w:rPr>
                <w:webHidden/>
                <w:rStyle w:val="IndexLink"/>
                <w:rtl w:val="true"/>
              </w:rPr>
              <w:t xml:space="preserve">[ </w:t>
            </w:r>
            <w:r>
              <w:rPr>
                <w:rStyle w:val="IndexLink"/>
                <w:rtl w:val="true"/>
              </w:rPr>
              <w:t>شرح المعنى الاسمي للبيع</w:t>
            </w:r>
            <w:r>
              <w:rPr>
                <w:rStyle w:val="IndexLink"/>
                <w:rtl w:val="true"/>
              </w:rPr>
              <w:t>]</w:t>
              <w:tab/>
            </w:r>
            <w:r>
              <w:rPr>
                <w:rStyle w:val="IndexLink"/>
              </w:rPr>
              <w:t>35</w:t>
            </w:r>
          </w:hyperlink>
        </w:p>
        <w:p>
          <w:pPr>
            <w:pStyle w:val="Contents3"/>
            <w:tabs>
              <w:tab w:val="clear" w:pos="8459"/>
              <w:tab w:val="right" w:pos="9026" w:leader="dot"/>
            </w:tabs>
            <w:rPr/>
          </w:pPr>
          <w:hyperlink w:anchor="__RefHeading___Toc3921627_2870459653">
            <w:r>
              <w:rPr>
                <w:webHidden/>
                <w:rStyle w:val="IndexLink"/>
                <w:rtl w:val="true"/>
              </w:rPr>
              <w:t>[</w:t>
            </w:r>
            <w:r>
              <w:rPr>
                <w:rStyle w:val="IndexLink"/>
                <w:rtl w:val="true"/>
              </w:rPr>
              <w:t>إيرادات على تعريف البيع</w:t>
            </w:r>
            <w:r>
              <w:rPr>
                <w:rStyle w:val="IndexLink"/>
                <w:rtl w:val="true"/>
              </w:rPr>
              <w:t>]</w:t>
              <w:tab/>
            </w:r>
            <w:r>
              <w:rPr>
                <w:rStyle w:val="IndexLink"/>
              </w:rPr>
              <w:t>35</w:t>
            </w:r>
          </w:hyperlink>
        </w:p>
        <w:p>
          <w:pPr>
            <w:pStyle w:val="Contents3"/>
            <w:tabs>
              <w:tab w:val="clear" w:pos="8459"/>
              <w:tab w:val="right" w:pos="9026" w:leader="dot"/>
            </w:tabs>
            <w:rPr/>
          </w:pPr>
          <w:hyperlink w:anchor="__RefHeading___Toc3921629_2870459653">
            <w:r>
              <w:rPr>
                <w:webHidden/>
                <w:rStyle w:val="IndexLink"/>
                <w:rtl w:val="true"/>
              </w:rPr>
              <w:t xml:space="preserve">[ </w:t>
            </w:r>
            <w:r>
              <w:rPr>
                <w:rStyle w:val="IndexLink"/>
                <w:rtl w:val="true"/>
              </w:rPr>
              <w:t>تعريف البيع عند المصنّف</w:t>
            </w:r>
            <w:r>
              <w:rPr>
                <w:rStyle w:val="IndexLink"/>
                <w:rtl w:val="true"/>
              </w:rPr>
              <w:t>]</w:t>
              <w:tab/>
            </w:r>
            <w:r>
              <w:rPr>
                <w:rStyle w:val="IndexLink"/>
              </w:rPr>
              <w:t>37</w:t>
            </w:r>
          </w:hyperlink>
        </w:p>
        <w:p>
          <w:pPr>
            <w:pStyle w:val="Contents3"/>
            <w:tabs>
              <w:tab w:val="clear" w:pos="8459"/>
              <w:tab w:val="right" w:pos="9026" w:leader="dot"/>
            </w:tabs>
            <w:rPr/>
          </w:pPr>
          <w:hyperlink w:anchor="__RefHeading___Toc3921631_2870459653">
            <w:r>
              <w:rPr>
                <w:webHidden/>
                <w:rStyle w:val="IndexLink"/>
                <w:rtl w:val="true"/>
              </w:rPr>
              <w:t xml:space="preserve">[ </w:t>
            </w:r>
            <w:r>
              <w:rPr>
                <w:rStyle w:val="IndexLink"/>
                <w:rtl w:val="true"/>
              </w:rPr>
              <w:t>معنى المال في تعريف البيع</w:t>
            </w:r>
            <w:r>
              <w:rPr>
                <w:rStyle w:val="IndexLink"/>
                <w:rtl w:val="true"/>
              </w:rPr>
              <w:t>]</w:t>
              <w:tab/>
            </w:r>
            <w:r>
              <w:rPr>
                <w:rStyle w:val="IndexLink"/>
              </w:rPr>
              <w:t>37</w:t>
            </w:r>
          </w:hyperlink>
        </w:p>
        <w:p>
          <w:pPr>
            <w:pStyle w:val="Contents3"/>
            <w:tabs>
              <w:tab w:val="clear" w:pos="8459"/>
              <w:tab w:val="right" w:pos="9026" w:leader="dot"/>
            </w:tabs>
            <w:rPr/>
          </w:pPr>
          <w:hyperlink w:anchor="__RefHeading___Toc3921633_2870459653">
            <w:r>
              <w:rPr>
                <w:webHidden/>
                <w:rStyle w:val="IndexLink"/>
                <w:rtl w:val="true"/>
              </w:rPr>
              <w:t>(</w:t>
            </w:r>
            <w:r>
              <w:rPr>
                <w:rStyle w:val="IndexLink"/>
                <w:rtl w:val="true"/>
              </w:rPr>
              <w:t>في أنه هل يعتبر في البيع صيغة خاصة أم لا؟</w:t>
            </w:r>
            <w:r>
              <w:rPr>
                <w:rStyle w:val="IndexLink"/>
                <w:rtl w:val="true"/>
              </w:rPr>
              <w:t>)</w:t>
              <w:tab/>
            </w:r>
            <w:r>
              <w:rPr>
                <w:rStyle w:val="IndexLink"/>
              </w:rPr>
              <w:t>38</w:t>
            </w:r>
          </w:hyperlink>
        </w:p>
        <w:p>
          <w:pPr>
            <w:pStyle w:val="Contents3"/>
            <w:tabs>
              <w:tab w:val="clear" w:pos="8459"/>
              <w:tab w:val="right" w:pos="9026" w:leader="dot"/>
            </w:tabs>
            <w:rPr/>
          </w:pPr>
          <w:hyperlink w:anchor="__RefHeading___Toc3921635_2870459653">
            <w:r>
              <w:rPr>
                <w:webHidden/>
                <w:rStyle w:val="IndexLink"/>
                <w:rtl w:val="true"/>
              </w:rPr>
              <w:t xml:space="preserve">( </w:t>
            </w:r>
            <w:r>
              <w:rPr>
                <w:rStyle w:val="IndexLink"/>
                <w:rtl w:val="true"/>
              </w:rPr>
              <w:t>فی عقد الأخرس</w:t>
            </w:r>
            <w:r>
              <w:rPr>
                <w:rStyle w:val="IndexLink"/>
                <w:rtl w:val="true"/>
              </w:rPr>
              <w:t>)</w:t>
              <w:tab/>
            </w:r>
            <w:r>
              <w:rPr>
                <w:rStyle w:val="IndexLink"/>
              </w:rPr>
              <w:t>40</w:t>
            </w:r>
          </w:hyperlink>
        </w:p>
        <w:p>
          <w:pPr>
            <w:pStyle w:val="Contents3"/>
            <w:tabs>
              <w:tab w:val="clear" w:pos="8459"/>
              <w:tab w:val="right" w:pos="9026" w:leader="dot"/>
            </w:tabs>
            <w:rPr/>
          </w:pPr>
          <w:hyperlink w:anchor="__RefHeading___Toc3921637_2870459653">
            <w:r>
              <w:rPr>
                <w:webHidden/>
                <w:rStyle w:val="IndexLink"/>
                <w:rtl w:val="true"/>
              </w:rPr>
              <w:t>(</w:t>
            </w:r>
            <w:r>
              <w:rPr>
                <w:rStyle w:val="IndexLink"/>
                <w:rtl w:val="true"/>
              </w:rPr>
              <w:t>الكلام الثاني</w:t>
            </w:r>
            <w:r>
              <w:rPr>
                <w:rStyle w:val="IndexLink"/>
                <w:rtl w:val="true"/>
              </w:rPr>
              <w:t xml:space="preserve">: </w:t>
            </w:r>
            <w:r>
              <w:rPr>
                <w:rStyle w:val="IndexLink"/>
                <w:rtl w:val="true"/>
              </w:rPr>
              <w:t xml:space="preserve">في صور إشارة الأخرس </w:t>
            </w:r>
            <w:r>
              <w:rPr>
                <w:rStyle w:val="IndexLink"/>
                <w:rtl w:val="true"/>
              </w:rPr>
              <w:t>)</w:t>
              <w:tab/>
            </w:r>
            <w:r>
              <w:rPr>
                <w:rStyle w:val="IndexLink"/>
              </w:rPr>
              <w:t>41</w:t>
            </w:r>
          </w:hyperlink>
        </w:p>
        <w:p>
          <w:pPr>
            <w:pStyle w:val="Contents3"/>
            <w:tabs>
              <w:tab w:val="clear" w:pos="8459"/>
              <w:tab w:val="right" w:pos="9026" w:leader="dot"/>
            </w:tabs>
            <w:rPr/>
          </w:pPr>
          <w:hyperlink w:anchor="__RefHeading___Toc3921639_2870459653">
            <w:r>
              <w:rPr>
                <w:webHidden/>
                <w:rStyle w:val="IndexLink"/>
                <w:rtl w:val="true"/>
              </w:rPr>
              <w:t>[</w:t>
            </w:r>
            <w:r>
              <w:rPr>
                <w:rStyle w:val="IndexLink"/>
                <w:rtl w:val="true"/>
              </w:rPr>
              <w:t>المختار في المسألة</w:t>
            </w:r>
            <w:r>
              <w:rPr>
                <w:rStyle w:val="IndexLink"/>
                <w:rtl w:val="true"/>
              </w:rPr>
              <w:t>]</w:t>
              <w:tab/>
            </w:r>
            <w:r>
              <w:rPr>
                <w:rStyle w:val="IndexLink"/>
              </w:rPr>
              <w:t>41</w:t>
            </w:r>
          </w:hyperlink>
        </w:p>
        <w:p>
          <w:pPr>
            <w:pStyle w:val="Contents3"/>
            <w:tabs>
              <w:tab w:val="clear" w:pos="8459"/>
              <w:tab w:val="right" w:pos="9026" w:leader="dot"/>
            </w:tabs>
            <w:rPr/>
          </w:pPr>
          <w:hyperlink w:anchor="__RefHeading___Toc3921641_2870459653">
            <w:r>
              <w:rPr>
                <w:webHidden/>
                <w:rStyle w:val="IndexLink"/>
                <w:rtl w:val="true"/>
              </w:rPr>
              <w:t xml:space="preserve">[ </w:t>
            </w:r>
            <w:r>
              <w:rPr>
                <w:rStyle w:val="IndexLink"/>
                <w:rtl w:val="true"/>
              </w:rPr>
              <w:t>في اعتبار المادة والهيئة ونحوهما في الصيغة</w:t>
            </w:r>
            <w:r>
              <w:rPr>
                <w:rStyle w:val="IndexLink"/>
                <w:rtl w:val="true"/>
              </w:rPr>
              <w:t>]</w:t>
              <w:tab/>
            </w:r>
            <w:r>
              <w:rPr>
                <w:rStyle w:val="IndexLink"/>
              </w:rPr>
              <w:t>42</w:t>
            </w:r>
          </w:hyperlink>
        </w:p>
        <w:p>
          <w:pPr>
            <w:pStyle w:val="Contents3"/>
            <w:tabs>
              <w:tab w:val="clear" w:pos="8459"/>
              <w:tab w:val="right" w:pos="9026" w:leader="dot"/>
            </w:tabs>
            <w:rPr/>
          </w:pPr>
          <w:hyperlink w:anchor="__RefHeading___Toc3921643_2870459653">
            <w:r>
              <w:rPr>
                <w:webHidden/>
                <w:rStyle w:val="IndexLink"/>
                <w:rtl w:val="true"/>
              </w:rPr>
              <w:t>(</w:t>
            </w:r>
            <w:r>
              <w:rPr>
                <w:rStyle w:val="IndexLink"/>
                <w:rtl w:val="true"/>
              </w:rPr>
              <w:t xml:space="preserve">حكم ما لو وقع العقد بالكناية والمجاز ونحو ذلك </w:t>
            </w:r>
            <w:r>
              <w:rPr>
                <w:rStyle w:val="IndexLink"/>
                <w:rtl w:val="true"/>
              </w:rPr>
              <w:t>)</w:t>
              <w:tab/>
            </w:r>
            <w:r>
              <w:rPr>
                <w:rStyle w:val="IndexLink"/>
              </w:rPr>
              <w:t>42</w:t>
            </w:r>
          </w:hyperlink>
        </w:p>
        <w:p>
          <w:pPr>
            <w:pStyle w:val="Contents3"/>
            <w:tabs>
              <w:tab w:val="clear" w:pos="8459"/>
              <w:tab w:val="right" w:pos="9026" w:leader="dot"/>
            </w:tabs>
            <w:rPr/>
          </w:pPr>
          <w:hyperlink w:anchor="__RefHeading___Toc3921645_2870459653">
            <w:r>
              <w:rPr>
                <w:webHidden/>
                <w:rStyle w:val="IndexLink"/>
                <w:rtl w:val="true"/>
              </w:rPr>
              <w:t>(</w:t>
            </w:r>
            <w:r>
              <w:rPr>
                <w:rStyle w:val="IndexLink"/>
                <w:rtl w:val="true"/>
              </w:rPr>
              <w:t>في لفظ الإيجاب</w:t>
            </w:r>
            <w:r>
              <w:rPr>
                <w:rStyle w:val="IndexLink"/>
                <w:rtl w:val="true"/>
              </w:rPr>
              <w:t>)</w:t>
              <w:tab/>
            </w:r>
            <w:r>
              <w:rPr>
                <w:rStyle w:val="IndexLink"/>
              </w:rPr>
              <w:t>44</w:t>
            </w:r>
          </w:hyperlink>
        </w:p>
        <w:p>
          <w:pPr>
            <w:pStyle w:val="Contents3"/>
            <w:tabs>
              <w:tab w:val="clear" w:pos="8459"/>
              <w:tab w:val="right" w:pos="9026" w:leader="dot"/>
            </w:tabs>
            <w:rPr/>
          </w:pPr>
          <w:hyperlink w:anchor="__RefHeading___Toc3921647_2870459653">
            <w:r>
              <w:rPr>
                <w:webHidden/>
                <w:rStyle w:val="IndexLink"/>
                <w:rtl w:val="true"/>
              </w:rPr>
              <w:t>(</w:t>
            </w:r>
            <w:r>
              <w:rPr>
                <w:rStyle w:val="IndexLink"/>
                <w:rtl w:val="true"/>
              </w:rPr>
              <w:t xml:space="preserve">في لفظ القبول </w:t>
            </w:r>
            <w:r>
              <w:rPr>
                <w:rStyle w:val="IndexLink"/>
                <w:rtl w:val="true"/>
              </w:rPr>
              <w:t>)</w:t>
              <w:tab/>
            </w:r>
            <w:r>
              <w:rPr>
                <w:rStyle w:val="IndexLink"/>
              </w:rPr>
              <w:t>45</w:t>
            </w:r>
          </w:hyperlink>
        </w:p>
        <w:p>
          <w:pPr>
            <w:pStyle w:val="Contents3"/>
            <w:tabs>
              <w:tab w:val="clear" w:pos="8459"/>
              <w:tab w:val="right" w:pos="9026" w:leader="dot"/>
            </w:tabs>
            <w:rPr/>
          </w:pPr>
          <w:hyperlink w:anchor="__RefHeading___Toc3921649_2870459653">
            <w:r>
              <w:rPr>
                <w:webHidden/>
                <w:rStyle w:val="IndexLink"/>
                <w:rtl w:val="true"/>
              </w:rPr>
              <w:t>(</w:t>
            </w:r>
            <w:r>
              <w:rPr>
                <w:rStyle w:val="IndexLink"/>
                <w:rtl w:val="true"/>
              </w:rPr>
              <w:t xml:space="preserve">في تقديم الإيجاب على القبول </w:t>
            </w:r>
            <w:r>
              <w:rPr>
                <w:rStyle w:val="IndexLink"/>
                <w:rtl w:val="true"/>
              </w:rPr>
              <w:t>)</w:t>
              <w:tab/>
            </w:r>
            <w:r>
              <w:rPr>
                <w:rStyle w:val="IndexLink"/>
              </w:rPr>
              <w:t>46</w:t>
            </w:r>
          </w:hyperlink>
        </w:p>
        <w:p>
          <w:pPr>
            <w:pStyle w:val="Contents3"/>
            <w:tabs>
              <w:tab w:val="clear" w:pos="8459"/>
              <w:tab w:val="right" w:pos="9026" w:leader="dot"/>
            </w:tabs>
            <w:rPr/>
          </w:pPr>
          <w:hyperlink w:anchor="__RefHeading___Toc3921651_2870459653">
            <w:r>
              <w:rPr>
                <w:webHidden/>
                <w:rStyle w:val="IndexLink"/>
                <w:rtl w:val="true"/>
              </w:rPr>
              <w:t xml:space="preserve">[ </w:t>
            </w:r>
            <w:r>
              <w:rPr>
                <w:rStyle w:val="IndexLink"/>
                <w:rtl w:val="true"/>
              </w:rPr>
              <w:t xml:space="preserve">شرطيّة الترتيب بين الإيجاب والقبول في العقد الجائز </w:t>
            </w:r>
            <w:r>
              <w:rPr>
                <w:rStyle w:val="IndexLink"/>
                <w:rtl w:val="true"/>
              </w:rPr>
              <w:t>]</w:t>
              <w:tab/>
            </w:r>
            <w:r>
              <w:rPr>
                <w:rStyle w:val="IndexLink"/>
              </w:rPr>
              <w:t>48</w:t>
            </w:r>
          </w:hyperlink>
        </w:p>
        <w:p>
          <w:pPr>
            <w:pStyle w:val="Contents3"/>
            <w:tabs>
              <w:tab w:val="clear" w:pos="8459"/>
              <w:tab w:val="right" w:pos="9026" w:leader="dot"/>
            </w:tabs>
            <w:rPr/>
          </w:pPr>
          <w:hyperlink w:anchor="__RefHeading___Toc3921653_2870459653">
            <w:r>
              <w:rPr>
                <w:webHidden/>
                <w:rStyle w:val="IndexLink"/>
                <w:rtl w:val="true"/>
              </w:rPr>
              <w:t xml:space="preserve">( </w:t>
            </w:r>
            <w:r>
              <w:rPr>
                <w:rStyle w:val="IndexLink"/>
                <w:rtl w:val="true"/>
              </w:rPr>
              <w:t>في اعتبار الموالاة في العقد</w:t>
            </w:r>
            <w:r>
              <w:rPr>
                <w:rStyle w:val="IndexLink"/>
                <w:rtl w:val="true"/>
              </w:rPr>
              <w:t>)</w:t>
              <w:tab/>
            </w:r>
            <w:r>
              <w:rPr>
                <w:rStyle w:val="IndexLink"/>
              </w:rPr>
              <w:t>50</w:t>
            </w:r>
          </w:hyperlink>
        </w:p>
        <w:p>
          <w:pPr>
            <w:pStyle w:val="Contents3"/>
            <w:tabs>
              <w:tab w:val="clear" w:pos="8459"/>
              <w:tab w:val="right" w:pos="9026" w:leader="dot"/>
            </w:tabs>
            <w:rPr/>
          </w:pPr>
          <w:hyperlink w:anchor="__RefHeading___Toc3921655_2870459653">
            <w:r>
              <w:rPr>
                <w:webHidden/>
                <w:rStyle w:val="IndexLink"/>
                <w:rtl w:val="true"/>
              </w:rPr>
              <w:t>(</w:t>
            </w:r>
            <w:r>
              <w:rPr>
                <w:rStyle w:val="IndexLink"/>
                <w:rtl w:val="true"/>
              </w:rPr>
              <w:t>في اعتبار الموالاة في ردِّ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3921657_2870459653">
            <w:r>
              <w:rPr>
                <w:webHidden/>
                <w:rStyle w:val="IndexLink"/>
                <w:rtl w:val="true"/>
              </w:rPr>
              <w:t xml:space="preserve">( </w:t>
            </w:r>
            <w:r>
              <w:rPr>
                <w:rStyle w:val="IndexLink"/>
                <w:rtl w:val="true"/>
              </w:rPr>
              <w:t xml:space="preserve">في اعتبار التنجيز في العقد </w:t>
            </w:r>
            <w:r>
              <w:rPr>
                <w:rStyle w:val="IndexLink"/>
                <w:rtl w:val="true"/>
              </w:rPr>
              <w:t>)</w:t>
              <w:tab/>
            </w:r>
            <w:r>
              <w:rPr>
                <w:rStyle w:val="IndexLink"/>
              </w:rPr>
              <w:t>51</w:t>
            </w:r>
          </w:hyperlink>
        </w:p>
        <w:p>
          <w:pPr>
            <w:pStyle w:val="Contents3"/>
            <w:tabs>
              <w:tab w:val="clear" w:pos="8459"/>
              <w:tab w:val="right" w:pos="9026" w:leader="dot"/>
            </w:tabs>
            <w:rPr/>
          </w:pPr>
          <w:hyperlink w:anchor="__RefHeading___Toc3921659_2870459653">
            <w:r>
              <w:rPr>
                <w:webHidden/>
                <w:rStyle w:val="IndexLink"/>
                <w:rtl w:val="true"/>
              </w:rPr>
              <w:t xml:space="preserve">[ </w:t>
            </w:r>
            <w:r>
              <w:rPr>
                <w:rStyle w:val="IndexLink"/>
                <w:rtl w:val="true"/>
              </w:rPr>
              <w:t xml:space="preserve">الكلام في التعليق على ما يكون مصحّحاً في العقد </w:t>
            </w:r>
            <w:r>
              <w:rPr>
                <w:rStyle w:val="IndexLink"/>
                <w:rtl w:val="true"/>
              </w:rPr>
              <w:t>]</w:t>
              <w:tab/>
            </w:r>
            <w:r>
              <w:rPr>
                <w:rStyle w:val="IndexLink"/>
              </w:rPr>
              <w:t>54</w:t>
            </w:r>
          </w:hyperlink>
        </w:p>
        <w:p>
          <w:pPr>
            <w:pStyle w:val="Contents3"/>
            <w:tabs>
              <w:tab w:val="clear" w:pos="8459"/>
              <w:tab w:val="right" w:pos="9026" w:leader="dot"/>
            </w:tabs>
            <w:rPr/>
          </w:pPr>
          <w:hyperlink w:anchor="__RefHeading___Toc3921661_2870459653">
            <w:r>
              <w:rPr>
                <w:webHidden/>
                <w:rStyle w:val="IndexLink"/>
                <w:rtl w:val="true"/>
              </w:rPr>
              <w:t xml:space="preserve">[ </w:t>
            </w:r>
            <w:r>
              <w:rPr>
                <w:rStyle w:val="IndexLink"/>
                <w:rtl w:val="true"/>
              </w:rPr>
              <w:t xml:space="preserve">في التعليق اللّازم من الكلام والتعليق على المشيئة </w:t>
            </w:r>
            <w:r>
              <w:rPr>
                <w:rStyle w:val="IndexLink"/>
                <w:rtl w:val="true"/>
              </w:rPr>
              <w:t>]</w:t>
              <w:tab/>
            </w:r>
            <w:r>
              <w:rPr>
                <w:rStyle w:val="IndexLink"/>
              </w:rPr>
              <w:t>54</w:t>
            </w:r>
          </w:hyperlink>
        </w:p>
        <w:p>
          <w:pPr>
            <w:pStyle w:val="Contents3"/>
            <w:tabs>
              <w:tab w:val="clear" w:pos="8459"/>
              <w:tab w:val="right" w:pos="9026" w:leader="dot"/>
            </w:tabs>
            <w:rPr/>
          </w:pPr>
          <w:hyperlink w:anchor="__RefHeading___Toc3921663_2870459653">
            <w:r>
              <w:rPr>
                <w:webHidden/>
                <w:rStyle w:val="IndexLink"/>
                <w:rtl w:val="true"/>
              </w:rPr>
              <w:t>[</w:t>
            </w:r>
            <w:r>
              <w:rPr>
                <w:rStyle w:val="IndexLink"/>
                <w:rtl w:val="true"/>
              </w:rPr>
              <w:t>التحقيق في المسألة</w:t>
            </w:r>
            <w:r>
              <w:rPr>
                <w:rStyle w:val="IndexLink"/>
                <w:rtl w:val="true"/>
              </w:rPr>
              <w:t>]</w:t>
              <w:tab/>
            </w:r>
            <w:r>
              <w:rPr>
                <w:rStyle w:val="IndexLink"/>
              </w:rPr>
              <w:t>55</w:t>
            </w:r>
          </w:hyperlink>
        </w:p>
        <w:p>
          <w:pPr>
            <w:pStyle w:val="Contents3"/>
            <w:tabs>
              <w:tab w:val="clear" w:pos="8459"/>
              <w:tab w:val="right" w:pos="9026" w:leader="dot"/>
            </w:tabs>
            <w:rPr/>
          </w:pPr>
          <w:hyperlink w:anchor="__RefHeading___Toc3921665_2870459653">
            <w:r>
              <w:rPr>
                <w:webHidden/>
                <w:rStyle w:val="IndexLink"/>
                <w:rtl w:val="true"/>
              </w:rPr>
              <w:t>[</w:t>
            </w:r>
            <w:r>
              <w:rPr>
                <w:rStyle w:val="IndexLink"/>
                <w:rtl w:val="true"/>
              </w:rPr>
              <w:t xml:space="preserve">إيرادات على مانعيّة التعليق </w:t>
            </w:r>
            <w:r>
              <w:rPr>
                <w:rStyle w:val="IndexLink"/>
                <w:rtl w:val="true"/>
              </w:rPr>
              <w:t>]</w:t>
              <w:tab/>
            </w:r>
            <w:r>
              <w:rPr>
                <w:rStyle w:val="IndexLink"/>
              </w:rPr>
              <w:t>55</w:t>
            </w:r>
          </w:hyperlink>
        </w:p>
        <w:p>
          <w:pPr>
            <w:pStyle w:val="Contents3"/>
            <w:tabs>
              <w:tab w:val="clear" w:pos="8459"/>
              <w:tab w:val="right" w:pos="9026" w:leader="dot"/>
            </w:tabs>
            <w:rPr/>
          </w:pPr>
          <w:hyperlink w:anchor="__RefHeading___Toc3921667_2870459653">
            <w:r>
              <w:rPr>
                <w:webHidden/>
                <w:rStyle w:val="IndexLink"/>
                <w:rtl w:val="true"/>
              </w:rPr>
              <w:t xml:space="preserve">[ </w:t>
            </w:r>
            <w:r>
              <w:rPr>
                <w:rStyle w:val="IndexLink"/>
                <w:rtl w:val="true"/>
              </w:rPr>
              <w:t>شرطيّة التطابق بين الإيجاب والقبول في العقد</w:t>
            </w:r>
            <w:r>
              <w:rPr>
                <w:rStyle w:val="IndexLink"/>
                <w:rtl w:val="true"/>
              </w:rPr>
              <w:t>]</w:t>
              <w:tab/>
            </w:r>
            <w:r>
              <w:rPr>
                <w:rStyle w:val="IndexLink"/>
              </w:rPr>
              <w:t>55</w:t>
            </w:r>
          </w:hyperlink>
        </w:p>
        <w:p>
          <w:pPr>
            <w:pStyle w:val="Contents3"/>
            <w:tabs>
              <w:tab w:val="clear" w:pos="8459"/>
              <w:tab w:val="right" w:pos="9026" w:leader="dot"/>
            </w:tabs>
            <w:rPr/>
          </w:pPr>
          <w:hyperlink w:anchor="__RefHeading___Toc3921669_2870459653">
            <w:r>
              <w:rPr>
                <w:webHidden/>
                <w:rStyle w:val="IndexLink"/>
                <w:rtl w:val="true"/>
              </w:rPr>
              <w:t>(</w:t>
            </w:r>
            <w:r>
              <w:rPr>
                <w:rStyle w:val="IndexLink"/>
                <w:rtl w:val="true"/>
              </w:rPr>
              <w:t>في أوصاف المتعاقدين</w:t>
            </w:r>
            <w:r>
              <w:rPr>
                <w:rStyle w:val="IndexLink"/>
                <w:rtl w:val="true"/>
              </w:rPr>
              <w:t>)</w:t>
              <w:tab/>
            </w:r>
            <w:r>
              <w:rPr>
                <w:rStyle w:val="IndexLink"/>
              </w:rPr>
              <w:t>56</w:t>
            </w:r>
          </w:hyperlink>
        </w:p>
        <w:p>
          <w:pPr>
            <w:pStyle w:val="Contents3"/>
            <w:tabs>
              <w:tab w:val="clear" w:pos="8459"/>
              <w:tab w:val="right" w:pos="9026" w:leader="dot"/>
            </w:tabs>
            <w:rPr/>
          </w:pPr>
          <w:hyperlink w:anchor="__RefHeading___Toc3921671_2870459653">
            <w:r>
              <w:rPr>
                <w:webHidden/>
                <w:rStyle w:val="IndexLink"/>
                <w:rtl w:val="true"/>
              </w:rPr>
              <w:t xml:space="preserve">( </w:t>
            </w:r>
            <w:r>
              <w:rPr>
                <w:rStyle w:val="IndexLink"/>
                <w:rtl w:val="true"/>
              </w:rPr>
              <w:t>في اختلاف المتعاقدين في الاجتهاد والتقليد</w:t>
            </w:r>
            <w:r>
              <w:rPr>
                <w:rStyle w:val="IndexLink"/>
                <w:rtl w:val="true"/>
              </w:rPr>
              <w:t>)</w:t>
              <w:tab/>
            </w:r>
            <w:r>
              <w:rPr>
                <w:rStyle w:val="IndexLink"/>
              </w:rPr>
              <w:t>58</w:t>
            </w:r>
          </w:hyperlink>
        </w:p>
        <w:p>
          <w:pPr>
            <w:pStyle w:val="Contents3"/>
            <w:tabs>
              <w:tab w:val="clear" w:pos="8459"/>
              <w:tab w:val="right" w:pos="9026" w:leader="dot"/>
            </w:tabs>
            <w:rPr/>
          </w:pPr>
          <w:hyperlink w:anchor="__RefHeading___Toc3921673_2870459653">
            <w:r>
              <w:rPr>
                <w:webHidden/>
                <w:rStyle w:val="IndexLink"/>
                <w:rtl w:val="true"/>
              </w:rPr>
              <w:t xml:space="preserve">[ </w:t>
            </w:r>
            <w:r>
              <w:rPr>
                <w:rStyle w:val="IndexLink"/>
                <w:rtl w:val="true"/>
              </w:rPr>
              <w:t>مختار المصنف من الوجوه المتقدّمة</w:t>
            </w:r>
            <w:r>
              <w:rPr>
                <w:rStyle w:val="IndexLink"/>
                <w:rtl w:val="true"/>
              </w:rPr>
              <w:t>]</w:t>
              <w:tab/>
            </w:r>
            <w:r>
              <w:rPr>
                <w:rStyle w:val="IndexLink"/>
              </w:rPr>
              <w:t>60</w:t>
            </w:r>
          </w:hyperlink>
        </w:p>
        <w:p>
          <w:pPr>
            <w:pStyle w:val="Contents3"/>
            <w:tabs>
              <w:tab w:val="clear" w:pos="8459"/>
              <w:tab w:val="right" w:pos="9026" w:leader="dot"/>
            </w:tabs>
            <w:rPr/>
          </w:pPr>
          <w:hyperlink w:anchor="__RefHeading___Toc3921675_2870459653">
            <w:r>
              <w:rPr>
                <w:webHidden/>
                <w:rStyle w:val="IndexLink"/>
                <w:rtl w:val="true"/>
              </w:rPr>
              <w:t>[</w:t>
            </w:r>
            <w:r>
              <w:rPr>
                <w:rStyle w:val="IndexLink"/>
                <w:rtl w:val="true"/>
              </w:rPr>
              <w:t>شرطيّة تعقيب الإيجاب بالقبول في العقد</w:t>
            </w:r>
            <w:r>
              <w:rPr>
                <w:rStyle w:val="IndexLink"/>
                <w:rtl w:val="true"/>
              </w:rPr>
              <w:t>]</w:t>
              <w:tab/>
            </w:r>
            <w:r>
              <w:rPr>
                <w:rStyle w:val="IndexLink"/>
              </w:rPr>
              <w:t>60</w:t>
            </w:r>
          </w:hyperlink>
        </w:p>
        <w:p>
          <w:pPr>
            <w:pStyle w:val="Contents3"/>
            <w:tabs>
              <w:tab w:val="clear" w:pos="8459"/>
              <w:tab w:val="right" w:pos="9026" w:leader="dot"/>
            </w:tabs>
            <w:rPr/>
          </w:pPr>
          <w:hyperlink w:anchor="__RefHeading___Toc3921677_2870459653">
            <w:r>
              <w:rPr>
                <w:webHidden/>
                <w:rStyle w:val="IndexLink"/>
                <w:rtl w:val="true"/>
              </w:rPr>
              <w:t xml:space="preserve">( </w:t>
            </w:r>
            <w:r>
              <w:rPr>
                <w:rStyle w:val="IndexLink"/>
                <w:rtl w:val="true"/>
              </w:rPr>
              <w:t xml:space="preserve">في حكم المقبوض بالبيع الفاسد وأدلة الضمان </w:t>
            </w:r>
            <w:r>
              <w:rPr>
                <w:rStyle w:val="IndexLink"/>
                <w:rtl w:val="true"/>
              </w:rPr>
              <w:t>)</w:t>
              <w:tab/>
            </w:r>
            <w:r>
              <w:rPr>
                <w:rStyle w:val="IndexLink"/>
              </w:rPr>
              <w:t>61</w:t>
            </w:r>
          </w:hyperlink>
        </w:p>
        <w:p>
          <w:pPr>
            <w:pStyle w:val="Contents3"/>
            <w:tabs>
              <w:tab w:val="clear" w:pos="8459"/>
              <w:tab w:val="right" w:pos="9026" w:leader="dot"/>
            </w:tabs>
            <w:rPr/>
          </w:pPr>
          <w:hyperlink w:anchor="__RefHeading___Toc3921679_2870459653">
            <w:r>
              <w:rPr>
                <w:webHidden/>
                <w:rStyle w:val="IndexLink"/>
                <w:rtl w:val="true"/>
              </w:rPr>
              <w:t>(</w:t>
            </w:r>
            <w:r>
              <w:rPr>
                <w:rStyle w:val="IndexLink"/>
                <w:rtl w:val="true"/>
              </w:rPr>
              <w:t xml:space="preserve">في معنى حديث على اليد </w:t>
            </w:r>
            <w:r>
              <w:rPr>
                <w:rStyle w:val="IndexLink"/>
                <w:rtl w:val="true"/>
              </w:rPr>
              <w:t>...)</w:t>
              <w:tab/>
            </w:r>
            <w:r>
              <w:rPr>
                <w:rStyle w:val="IndexLink"/>
              </w:rPr>
              <w:t>62</w:t>
            </w:r>
          </w:hyperlink>
        </w:p>
        <w:p>
          <w:pPr>
            <w:pStyle w:val="Contents3"/>
            <w:tabs>
              <w:tab w:val="clear" w:pos="8459"/>
              <w:tab w:val="right" w:pos="9026" w:leader="dot"/>
            </w:tabs>
            <w:rPr/>
          </w:pPr>
          <w:hyperlink w:anchor="__RefHeading___Toc3921681_2870459653">
            <w:r>
              <w:rPr>
                <w:webHidden/>
                <w:rStyle w:val="IndexLink"/>
                <w:rtl w:val="true"/>
              </w:rPr>
              <w:t xml:space="preserve">( </w:t>
            </w:r>
            <w:r>
              <w:rPr>
                <w:rStyle w:val="IndexLink"/>
                <w:rtl w:val="true"/>
              </w:rPr>
              <w:t>في قاعدة كل عقد يضمن بصحيحه يضمنُ بفاسده</w:t>
            </w:r>
            <w:r>
              <w:rPr>
                <w:rStyle w:val="IndexLink"/>
                <w:rtl w:val="true"/>
              </w:rPr>
              <w:t>)</w:t>
              <w:tab/>
            </w:r>
            <w:r>
              <w:rPr>
                <w:rStyle w:val="IndexLink"/>
              </w:rPr>
              <w:t>63</w:t>
            </w:r>
          </w:hyperlink>
        </w:p>
        <w:p>
          <w:pPr>
            <w:pStyle w:val="Contents3"/>
            <w:tabs>
              <w:tab w:val="clear" w:pos="8459"/>
              <w:tab w:val="right" w:pos="9026" w:leader="dot"/>
            </w:tabs>
            <w:rPr/>
          </w:pPr>
          <w:hyperlink w:anchor="__RefHeading___Toc3921683_2870459653">
            <w:r>
              <w:rPr>
                <w:webHidden/>
                <w:rStyle w:val="IndexLink"/>
                <w:rtl w:val="true"/>
              </w:rPr>
              <w:t>(</w:t>
            </w:r>
            <w:r>
              <w:rPr>
                <w:rStyle w:val="IndexLink"/>
                <w:rtl w:val="true"/>
              </w:rPr>
              <w:t xml:space="preserve">في بيان المراد من العقد </w:t>
            </w:r>
            <w:r>
              <w:rPr>
                <w:rStyle w:val="IndexLink"/>
                <w:rtl w:val="true"/>
              </w:rPr>
              <w:t>)</w:t>
              <w:tab/>
            </w:r>
            <w:r>
              <w:rPr>
                <w:rStyle w:val="IndexLink"/>
              </w:rPr>
              <w:t>64</w:t>
            </w:r>
          </w:hyperlink>
        </w:p>
        <w:p>
          <w:pPr>
            <w:pStyle w:val="Contents3"/>
            <w:tabs>
              <w:tab w:val="clear" w:pos="8459"/>
              <w:tab w:val="right" w:pos="9026" w:leader="dot"/>
            </w:tabs>
            <w:rPr/>
          </w:pPr>
          <w:hyperlink w:anchor="__RefHeading___Toc3921685_2870459653">
            <w:r>
              <w:rPr>
                <w:webHidden/>
                <w:rStyle w:val="IndexLink"/>
                <w:rtl w:val="true"/>
              </w:rPr>
              <w:t>(</w:t>
            </w:r>
            <w:r>
              <w:rPr>
                <w:rStyle w:val="IndexLink"/>
                <w:rtl w:val="true"/>
              </w:rPr>
              <w:t xml:space="preserve">في معنى لفظ الضمان </w:t>
            </w:r>
            <w:r>
              <w:rPr>
                <w:rStyle w:val="IndexLink"/>
                <w:rtl w:val="true"/>
              </w:rPr>
              <w:t>)</w:t>
              <w:tab/>
            </w:r>
            <w:r>
              <w:rPr>
                <w:rStyle w:val="IndexLink"/>
              </w:rPr>
              <w:t>66</w:t>
            </w:r>
          </w:hyperlink>
        </w:p>
        <w:p>
          <w:pPr>
            <w:pStyle w:val="Contents3"/>
            <w:tabs>
              <w:tab w:val="clear" w:pos="8459"/>
              <w:tab w:val="right" w:pos="9026" w:leader="dot"/>
            </w:tabs>
            <w:rPr/>
          </w:pPr>
          <w:hyperlink w:anchor="__RefHeading___Toc3921687_2870459653">
            <w:r>
              <w:rPr>
                <w:webHidden/>
                <w:rStyle w:val="IndexLink"/>
                <w:rtl w:val="true"/>
              </w:rPr>
              <w:t>(</w:t>
            </w:r>
            <w:r>
              <w:rPr>
                <w:rStyle w:val="IndexLink"/>
                <w:rtl w:val="true"/>
              </w:rPr>
              <w:t>في معنى الباء في بصحيحه</w:t>
            </w:r>
            <w:r>
              <w:rPr>
                <w:rStyle w:val="IndexLink"/>
                <w:rtl w:val="true"/>
              </w:rPr>
              <w:t>)</w:t>
              <w:tab/>
            </w:r>
            <w:r>
              <w:rPr>
                <w:rStyle w:val="IndexLink"/>
              </w:rPr>
              <w:t>66</w:t>
            </w:r>
          </w:hyperlink>
        </w:p>
        <w:p>
          <w:pPr>
            <w:pStyle w:val="Contents3"/>
            <w:tabs>
              <w:tab w:val="clear" w:pos="8459"/>
              <w:tab w:val="right" w:pos="9026" w:leader="dot"/>
            </w:tabs>
            <w:rPr/>
          </w:pPr>
          <w:hyperlink w:anchor="__RefHeading___Toc3921689_2870459653">
            <w:r>
              <w:rPr>
                <w:webHidden/>
                <w:rStyle w:val="IndexLink"/>
                <w:rtl w:val="true"/>
              </w:rPr>
              <w:t>(</w:t>
            </w:r>
            <w:r>
              <w:rPr>
                <w:rStyle w:val="IndexLink"/>
                <w:rtl w:val="true"/>
              </w:rPr>
              <w:t>الكلامُ في مَدْرَكِ القاعدة</w:t>
            </w:r>
            <w:r>
              <w:rPr>
                <w:rStyle w:val="IndexLink"/>
                <w:rtl w:val="true"/>
              </w:rPr>
              <w:t>)</w:t>
              <w:tab/>
            </w:r>
            <w:r>
              <w:rPr>
                <w:rStyle w:val="IndexLink"/>
              </w:rPr>
              <w:t>67</w:t>
            </w:r>
          </w:hyperlink>
        </w:p>
        <w:p>
          <w:pPr>
            <w:pStyle w:val="Contents3"/>
            <w:tabs>
              <w:tab w:val="clear" w:pos="8459"/>
              <w:tab w:val="right" w:pos="9026" w:leader="dot"/>
            </w:tabs>
            <w:rPr/>
          </w:pPr>
          <w:hyperlink w:anchor="__RefHeading___Toc3921691_2870459653">
            <w:r>
              <w:rPr>
                <w:webHidden/>
                <w:rStyle w:val="IndexLink"/>
                <w:rtl w:val="true"/>
              </w:rPr>
              <w:t>[</w:t>
            </w:r>
            <w:r>
              <w:rPr>
                <w:rStyle w:val="IndexLink"/>
                <w:rtl w:val="true"/>
              </w:rPr>
              <w:t>إيرادات على دليل الإقدام</w:t>
            </w:r>
            <w:r>
              <w:rPr>
                <w:rStyle w:val="IndexLink"/>
                <w:rtl w:val="true"/>
              </w:rPr>
              <w:t>]</w:t>
              <w:tab/>
            </w:r>
            <w:r>
              <w:rPr>
                <w:rStyle w:val="IndexLink"/>
              </w:rPr>
              <w:t>69</w:t>
            </w:r>
          </w:hyperlink>
        </w:p>
        <w:p>
          <w:pPr>
            <w:pStyle w:val="Contents3"/>
            <w:tabs>
              <w:tab w:val="clear" w:pos="8459"/>
              <w:tab w:val="right" w:pos="9026" w:leader="dot"/>
            </w:tabs>
            <w:rPr/>
          </w:pPr>
          <w:hyperlink w:anchor="__RefHeading___Toc3921693_2870459653">
            <w:r>
              <w:rPr>
                <w:webHidden/>
                <w:rStyle w:val="IndexLink"/>
                <w:rtl w:val="true"/>
              </w:rPr>
              <w:t xml:space="preserve">[ </w:t>
            </w:r>
            <w:r>
              <w:rPr>
                <w:rStyle w:val="IndexLink"/>
                <w:rtl w:val="true"/>
              </w:rPr>
              <w:t xml:space="preserve">الكلام في الاستدلال بحديث </w:t>
            </w:r>
            <w:r>
              <w:rPr>
                <w:rStyle w:val="IndexLink"/>
                <w:rtl w:val="true"/>
              </w:rPr>
              <w:t>: «</w:t>
            </w:r>
            <w:r>
              <w:rPr>
                <w:rStyle w:val="IndexLink"/>
                <w:rtl w:val="true"/>
              </w:rPr>
              <w:t>حرمة مال المسلم</w:t>
            </w:r>
            <w:r>
              <w:rPr>
                <w:rStyle w:val="IndexLink"/>
                <w:rtl w:val="true"/>
              </w:rPr>
              <w:t xml:space="preserve">» </w:t>
            </w:r>
            <w:r>
              <w:rPr>
                <w:rStyle w:val="IndexLink"/>
                <w:rtl w:val="true"/>
              </w:rPr>
              <w:t>على المطلوب</w:t>
            </w:r>
            <w:r>
              <w:rPr>
                <w:rStyle w:val="IndexLink"/>
                <w:rtl w:val="true"/>
              </w:rPr>
              <w:t>]</w:t>
              <w:tab/>
            </w:r>
            <w:r>
              <w:rPr>
                <w:rStyle w:val="IndexLink"/>
              </w:rPr>
              <w:t>70</w:t>
            </w:r>
          </w:hyperlink>
        </w:p>
        <w:p>
          <w:pPr>
            <w:pStyle w:val="Contents3"/>
            <w:tabs>
              <w:tab w:val="clear" w:pos="8459"/>
              <w:tab w:val="right" w:pos="9026" w:leader="dot"/>
            </w:tabs>
            <w:rPr/>
          </w:pPr>
          <w:hyperlink w:anchor="__RefHeading___Toc3921695_2870459653">
            <w:r>
              <w:rPr>
                <w:webHidden/>
                <w:rStyle w:val="IndexLink"/>
                <w:rtl w:val="true"/>
              </w:rPr>
              <w:t>[</w:t>
            </w:r>
            <w:r>
              <w:rPr>
                <w:rStyle w:val="IndexLink"/>
                <w:rtl w:val="true"/>
              </w:rPr>
              <w:t xml:space="preserve">إيرادٌ على دليليّة الرواية </w:t>
            </w:r>
            <w:r>
              <w:rPr>
                <w:rStyle w:val="IndexLink"/>
                <w:rtl w:val="true"/>
              </w:rPr>
              <w:t>]</w:t>
              <w:tab/>
            </w:r>
            <w:r>
              <w:rPr>
                <w:rStyle w:val="IndexLink"/>
              </w:rPr>
              <w:t>71</w:t>
            </w:r>
          </w:hyperlink>
        </w:p>
        <w:p>
          <w:pPr>
            <w:pStyle w:val="Contents3"/>
            <w:tabs>
              <w:tab w:val="clear" w:pos="8459"/>
              <w:tab w:val="right" w:pos="9026" w:leader="dot"/>
            </w:tabs>
            <w:rPr/>
          </w:pPr>
          <w:hyperlink w:anchor="__RefHeading___Toc3921697_2870459653">
            <w:r>
              <w:rPr>
                <w:webHidden/>
                <w:rStyle w:val="IndexLink"/>
                <w:rtl w:val="true"/>
              </w:rPr>
              <w:t>[</w:t>
            </w:r>
            <w:r>
              <w:rPr>
                <w:rStyle w:val="IndexLink"/>
                <w:rtl w:val="true"/>
              </w:rPr>
              <w:t>الكلام في دلالة حديث</w:t>
            </w:r>
            <w:r>
              <w:rPr>
                <w:rStyle w:val="IndexLink"/>
                <w:rtl w:val="true"/>
              </w:rPr>
              <w:t>: «</w:t>
            </w:r>
            <w:r>
              <w:rPr>
                <w:rStyle w:val="IndexLink"/>
                <w:rtl w:val="true"/>
              </w:rPr>
              <w:t>لا يحلّ مال امرئ</w:t>
            </w:r>
            <w:r>
              <w:rPr>
                <w:rStyle w:val="IndexLink"/>
                <w:rtl w:val="true"/>
              </w:rPr>
              <w:t xml:space="preserve">» </w:t>
            </w:r>
            <w:r>
              <w:rPr>
                <w:rStyle w:val="IndexLink"/>
                <w:rtl w:val="true"/>
              </w:rPr>
              <w:t>على المطلوب</w:t>
            </w:r>
            <w:r>
              <w:rPr>
                <w:rStyle w:val="IndexLink"/>
                <w:rtl w:val="true"/>
              </w:rPr>
              <w:t>]</w:t>
              <w:tab/>
            </w:r>
            <w:r>
              <w:rPr>
                <w:rStyle w:val="IndexLink"/>
              </w:rPr>
              <w:t>72</w:t>
            </w:r>
          </w:hyperlink>
        </w:p>
        <w:p>
          <w:pPr>
            <w:pStyle w:val="Contents3"/>
            <w:tabs>
              <w:tab w:val="clear" w:pos="8459"/>
              <w:tab w:val="right" w:pos="9026" w:leader="dot"/>
            </w:tabs>
            <w:rPr/>
          </w:pPr>
          <w:hyperlink w:anchor="__RefHeading___Toc3921699_2870459653">
            <w:r>
              <w:rPr>
                <w:webHidden/>
                <w:rStyle w:val="IndexLink"/>
                <w:rtl w:val="true"/>
              </w:rPr>
              <w:t>[</w:t>
            </w:r>
            <w:r>
              <w:rPr>
                <w:rStyle w:val="IndexLink"/>
                <w:rtl w:val="true"/>
              </w:rPr>
              <w:t xml:space="preserve">الكلام في الاستدلال بالآيات الشريفة على المطلوب </w:t>
            </w:r>
            <w:r>
              <w:rPr>
                <w:rStyle w:val="IndexLink"/>
                <w:rtl w:val="true"/>
              </w:rPr>
              <w:t>]</w:t>
              <w:tab/>
            </w:r>
            <w:r>
              <w:rPr>
                <w:rStyle w:val="IndexLink"/>
              </w:rPr>
              <w:t>73</w:t>
            </w:r>
          </w:hyperlink>
        </w:p>
        <w:p>
          <w:pPr>
            <w:pStyle w:val="Contents3"/>
            <w:tabs>
              <w:tab w:val="clear" w:pos="8459"/>
              <w:tab w:val="right" w:pos="9026" w:leader="dot"/>
            </w:tabs>
            <w:rPr/>
          </w:pPr>
          <w:hyperlink w:anchor="__RefHeading___Toc3921701_2870459653">
            <w:r>
              <w:rPr>
                <w:webHidden/>
                <w:rStyle w:val="IndexLink"/>
                <w:rtl w:val="true"/>
              </w:rPr>
              <w:t xml:space="preserve">[ </w:t>
            </w:r>
            <w:r>
              <w:rPr>
                <w:rStyle w:val="IndexLink"/>
                <w:rtl w:val="true"/>
              </w:rPr>
              <w:t xml:space="preserve">الكلام في دلالة حديث </w:t>
            </w:r>
            <w:r>
              <w:rPr>
                <w:rStyle w:val="IndexLink"/>
                <w:rtl w:val="true"/>
              </w:rPr>
              <w:t>«</w:t>
            </w:r>
            <w:r>
              <w:rPr>
                <w:rStyle w:val="IndexLink"/>
                <w:rtl w:val="true"/>
              </w:rPr>
              <w:t>لا ضرر</w:t>
            </w:r>
            <w:r>
              <w:rPr>
                <w:rStyle w:val="IndexLink"/>
                <w:rtl w:val="true"/>
              </w:rPr>
              <w:t xml:space="preserve">» </w:t>
            </w:r>
            <w:r>
              <w:rPr>
                <w:rStyle w:val="IndexLink"/>
                <w:rtl w:val="true"/>
              </w:rPr>
              <w:t>على المطلوب</w:t>
            </w:r>
            <w:r>
              <w:rPr>
                <w:rStyle w:val="IndexLink"/>
                <w:rtl w:val="true"/>
              </w:rPr>
              <w:t>]</w:t>
              <w:tab/>
            </w:r>
            <w:r>
              <w:rPr>
                <w:rStyle w:val="IndexLink"/>
              </w:rPr>
              <w:t>73</w:t>
            </w:r>
          </w:hyperlink>
        </w:p>
        <w:p>
          <w:pPr>
            <w:pStyle w:val="Contents3"/>
            <w:tabs>
              <w:tab w:val="clear" w:pos="8459"/>
              <w:tab w:val="right" w:pos="9026" w:leader="dot"/>
            </w:tabs>
            <w:rPr/>
          </w:pPr>
          <w:hyperlink w:anchor="__RefHeading___Toc3921703_2870459653">
            <w:r>
              <w:rPr>
                <w:webHidden/>
                <w:rStyle w:val="IndexLink"/>
                <w:rtl w:val="true"/>
              </w:rPr>
              <w:t xml:space="preserve">( </w:t>
            </w:r>
            <w:r>
              <w:rPr>
                <w:rStyle w:val="IndexLink"/>
                <w:rtl w:val="true"/>
              </w:rPr>
              <w:t>في تحقق الضمان في أنواع متعلّق العقد</w:t>
            </w:r>
            <w:r>
              <w:rPr>
                <w:rStyle w:val="IndexLink"/>
                <w:rtl w:val="true"/>
              </w:rPr>
              <w:t>)</w:t>
              <w:tab/>
            </w:r>
            <w:r>
              <w:rPr>
                <w:rStyle w:val="IndexLink"/>
              </w:rPr>
              <w:t>74</w:t>
            </w:r>
          </w:hyperlink>
        </w:p>
        <w:p>
          <w:pPr>
            <w:pStyle w:val="Contents3"/>
            <w:tabs>
              <w:tab w:val="clear" w:pos="8459"/>
              <w:tab w:val="right" w:pos="9026" w:leader="dot"/>
            </w:tabs>
            <w:rPr/>
          </w:pPr>
          <w:hyperlink w:anchor="__RefHeading___Toc3921705_2870459653">
            <w:r>
              <w:rPr>
                <w:webHidden/>
                <w:rStyle w:val="IndexLink"/>
                <w:rtl w:val="true"/>
              </w:rPr>
              <w:t xml:space="preserve">( </w:t>
            </w:r>
            <w:r>
              <w:rPr>
                <w:rStyle w:val="IndexLink"/>
                <w:rtl w:val="true"/>
              </w:rPr>
              <w:t>في بيان عكس القاعدة</w:t>
            </w:r>
            <w:r>
              <w:rPr>
                <w:rStyle w:val="IndexLink"/>
                <w:rtl w:val="true"/>
              </w:rPr>
              <w:t>)</w:t>
              <w:tab/>
            </w:r>
            <w:r>
              <w:rPr>
                <w:rStyle w:val="IndexLink"/>
              </w:rPr>
              <w:t>76</w:t>
            </w:r>
          </w:hyperlink>
        </w:p>
        <w:p>
          <w:pPr>
            <w:pStyle w:val="Contents3"/>
            <w:tabs>
              <w:tab w:val="clear" w:pos="8459"/>
              <w:tab w:val="right" w:pos="9026" w:leader="dot"/>
            </w:tabs>
            <w:rPr/>
          </w:pPr>
          <w:hyperlink w:anchor="__RefHeading___Toc3921707_2870459653">
            <w:r>
              <w:rPr>
                <w:webHidden/>
                <w:rStyle w:val="IndexLink"/>
                <w:rtl w:val="true"/>
              </w:rPr>
              <w:t>(</w:t>
            </w:r>
            <w:r>
              <w:rPr>
                <w:rStyle w:val="IndexLink"/>
                <w:rtl w:val="true"/>
              </w:rPr>
              <w:t xml:space="preserve">بعض النقوض على القاعدة وعلى عكسها </w:t>
            </w:r>
            <w:r>
              <w:rPr>
                <w:rStyle w:val="IndexLink"/>
                <w:rtl w:val="true"/>
              </w:rPr>
              <w:t>)</w:t>
              <w:tab/>
            </w:r>
            <w:r>
              <w:rPr>
                <w:rStyle w:val="IndexLink"/>
              </w:rPr>
              <w:t>82</w:t>
            </w:r>
          </w:hyperlink>
        </w:p>
        <w:p>
          <w:pPr>
            <w:pStyle w:val="Contents3"/>
            <w:tabs>
              <w:tab w:val="clear" w:pos="8459"/>
              <w:tab w:val="right" w:pos="9026" w:leader="dot"/>
            </w:tabs>
            <w:rPr/>
          </w:pPr>
          <w:hyperlink w:anchor="__RefHeading___Toc3921709_2870459653">
            <w:r>
              <w:rPr>
                <w:webHidden/>
                <w:rStyle w:val="IndexLink"/>
                <w:rtl w:val="true"/>
              </w:rPr>
              <w:t>(</w:t>
            </w:r>
            <w:r>
              <w:rPr>
                <w:rStyle w:val="IndexLink"/>
                <w:rtl w:val="true"/>
              </w:rPr>
              <w:t>إشكالٌ والجواب عنه</w:t>
            </w:r>
            <w:r>
              <w:rPr>
                <w:rStyle w:val="IndexLink"/>
                <w:rtl w:val="true"/>
              </w:rPr>
              <w:t>)</w:t>
              <w:tab/>
            </w:r>
            <w:r>
              <w:rPr>
                <w:rStyle w:val="IndexLink"/>
              </w:rPr>
              <w:t>88</w:t>
            </w:r>
          </w:hyperlink>
        </w:p>
        <w:p>
          <w:pPr>
            <w:pStyle w:val="Contents3"/>
            <w:tabs>
              <w:tab w:val="clear" w:pos="8459"/>
              <w:tab w:val="right" w:pos="9026" w:leader="dot"/>
            </w:tabs>
            <w:rPr/>
          </w:pPr>
          <w:hyperlink w:anchor="__RefHeading___Toc3921711_2870459653">
            <w:r>
              <w:rPr>
                <w:webHidden/>
                <w:rStyle w:val="IndexLink"/>
                <w:rtl w:val="true"/>
              </w:rPr>
              <w:t>(</w:t>
            </w:r>
            <w:r>
              <w:rPr>
                <w:rStyle w:val="IndexLink"/>
                <w:rtl w:val="true"/>
              </w:rPr>
              <w:t xml:space="preserve">في تعاقب الأيدي </w:t>
            </w:r>
            <w:r>
              <w:rPr>
                <w:rStyle w:val="IndexLink"/>
                <w:rtl w:val="true"/>
              </w:rPr>
              <w:t>)</w:t>
              <w:tab/>
            </w:r>
            <w:r>
              <w:rPr>
                <w:rStyle w:val="IndexLink"/>
              </w:rPr>
              <w:t>89</w:t>
            </w:r>
          </w:hyperlink>
        </w:p>
        <w:p>
          <w:pPr>
            <w:pStyle w:val="Contents3"/>
            <w:tabs>
              <w:tab w:val="clear" w:pos="8459"/>
              <w:tab w:val="right" w:pos="9026" w:leader="dot"/>
            </w:tabs>
            <w:rPr/>
          </w:pPr>
          <w:hyperlink w:anchor="__RefHeading___Toc3921713_2870459653">
            <w:r>
              <w:rPr>
                <w:webHidden/>
                <w:rStyle w:val="IndexLink"/>
                <w:rtl w:val="true"/>
              </w:rPr>
              <w:t xml:space="preserve">[ </w:t>
            </w:r>
            <w:r>
              <w:rPr>
                <w:rStyle w:val="IndexLink"/>
                <w:rtl w:val="true"/>
              </w:rPr>
              <w:t xml:space="preserve">الكلامُ في دخول بعض العقود تحت قاعدة ما يضمن </w:t>
            </w:r>
            <w:r>
              <w:rPr>
                <w:rStyle w:val="IndexLink"/>
                <w:rtl w:val="true"/>
              </w:rPr>
              <w:t>]</w:t>
              <w:tab/>
            </w:r>
            <w:r>
              <w:rPr>
                <w:rStyle w:val="IndexLink"/>
              </w:rPr>
              <w:t>90</w:t>
            </w:r>
          </w:hyperlink>
        </w:p>
        <w:p>
          <w:pPr>
            <w:pStyle w:val="Contents3"/>
            <w:tabs>
              <w:tab w:val="clear" w:pos="8459"/>
              <w:tab w:val="right" w:pos="9026" w:leader="dot"/>
            </w:tabs>
            <w:rPr/>
          </w:pPr>
          <w:hyperlink w:anchor="__RefHeading___Toc3921715_2870459653">
            <w:r>
              <w:rPr>
                <w:webHidden/>
                <w:rStyle w:val="IndexLink"/>
                <w:rtl w:val="true"/>
              </w:rPr>
              <w:t xml:space="preserve">المقام الثالث </w:t>
            </w:r>
            <w:r>
              <w:rPr>
                <w:rStyle w:val="IndexLink"/>
                <w:rtl w:val="true"/>
              </w:rPr>
              <w:t>-</w:t>
            </w:r>
            <w:r>
              <w:rPr>
                <w:rStyle w:val="IndexLink"/>
                <w:rtl w:val="true"/>
              </w:rPr>
              <w:t>في بعض الأمور المتفرّعة على المقبوض بالبيع الفاسد</w:t>
            </w:r>
            <w:r>
              <w:rPr>
                <w:rStyle w:val="IndexLink"/>
                <w:rtl w:val="true"/>
              </w:rPr>
              <w:tab/>
            </w:r>
            <w:r>
              <w:rPr>
                <w:rStyle w:val="IndexLink"/>
              </w:rPr>
              <w:t>92</w:t>
            </w:r>
          </w:hyperlink>
        </w:p>
        <w:p>
          <w:pPr>
            <w:pStyle w:val="Contents3"/>
            <w:tabs>
              <w:tab w:val="clear" w:pos="8459"/>
              <w:tab w:val="right" w:pos="9026" w:leader="dot"/>
            </w:tabs>
            <w:rPr/>
          </w:pPr>
          <w:hyperlink w:anchor="__RefHeading___Toc3921717_2870459653">
            <w:r>
              <w:rPr>
                <w:webHidden/>
                <w:rStyle w:val="IndexLink"/>
                <w:rtl w:val="true"/>
              </w:rPr>
              <w:t>(</w:t>
            </w:r>
            <w:r>
              <w:rPr>
                <w:rStyle w:val="IndexLink"/>
                <w:rtl w:val="true"/>
              </w:rPr>
              <w:t>في تأسيس الأصل في المثلي وضابطه</w:t>
            </w:r>
            <w:r>
              <w:rPr>
                <w:rStyle w:val="IndexLink"/>
                <w:rtl w:val="true"/>
              </w:rPr>
              <w:t>)</w:t>
              <w:tab/>
            </w:r>
            <w:r>
              <w:rPr>
                <w:rStyle w:val="IndexLink"/>
              </w:rPr>
              <w:t>99</w:t>
            </w:r>
          </w:hyperlink>
        </w:p>
        <w:p>
          <w:pPr>
            <w:pStyle w:val="Contents3"/>
            <w:tabs>
              <w:tab w:val="clear" w:pos="8459"/>
              <w:tab w:val="right" w:pos="9026" w:leader="dot"/>
            </w:tabs>
            <w:rPr/>
          </w:pPr>
          <w:hyperlink w:anchor="__RefHeading___Toc3921719_2870459653">
            <w:r>
              <w:rPr>
                <w:webHidden/>
                <w:rStyle w:val="IndexLink"/>
                <w:rtl w:val="true"/>
              </w:rPr>
              <w:t>(</w:t>
            </w:r>
            <w:r>
              <w:rPr>
                <w:rStyle w:val="IndexLink"/>
                <w:rtl w:val="true"/>
              </w:rPr>
              <w:t>في الأصل اللفظي في المثلي</w:t>
            </w:r>
            <w:r>
              <w:rPr>
                <w:rStyle w:val="IndexLink"/>
                <w:rtl w:val="true"/>
              </w:rPr>
              <w:t>)</w:t>
              <w:tab/>
            </w:r>
            <w:r>
              <w:rPr>
                <w:rStyle w:val="IndexLink"/>
              </w:rPr>
              <w:t>104</w:t>
            </w:r>
          </w:hyperlink>
        </w:p>
        <w:p>
          <w:pPr>
            <w:pStyle w:val="Contents3"/>
            <w:tabs>
              <w:tab w:val="clear" w:pos="8459"/>
              <w:tab w:val="right" w:pos="9026" w:leader="dot"/>
            </w:tabs>
            <w:rPr/>
          </w:pPr>
          <w:hyperlink w:anchor="__RefHeading___Toc3921721_2870459653">
            <w:r>
              <w:rPr>
                <w:webHidden/>
                <w:rStyle w:val="IndexLink"/>
                <w:rtl w:val="true"/>
              </w:rPr>
              <w:t>(</w:t>
            </w:r>
            <w:r>
              <w:rPr>
                <w:rStyle w:val="IndexLink"/>
                <w:rtl w:val="true"/>
              </w:rPr>
              <w:t>في شواهد كون الغاية غايةً للعهدة</w:t>
            </w:r>
            <w:r>
              <w:rPr>
                <w:rStyle w:val="IndexLink"/>
                <w:rtl w:val="true"/>
              </w:rPr>
              <w:t>)</w:t>
              <w:tab/>
            </w:r>
            <w:r>
              <w:rPr>
                <w:rStyle w:val="IndexLink"/>
              </w:rPr>
              <w:t>105</w:t>
            </w:r>
          </w:hyperlink>
        </w:p>
        <w:p>
          <w:pPr>
            <w:pStyle w:val="Contents3"/>
            <w:tabs>
              <w:tab w:val="clear" w:pos="8459"/>
              <w:tab w:val="right" w:pos="9026" w:leader="dot"/>
            </w:tabs>
            <w:rPr/>
          </w:pPr>
          <w:hyperlink w:anchor="__RefHeading___Toc3921723_2870459653">
            <w:r>
              <w:rPr>
                <w:webHidden/>
                <w:rStyle w:val="IndexLink"/>
                <w:rtl w:val="true"/>
              </w:rPr>
              <w:t>(</w:t>
            </w:r>
            <w:r>
              <w:rPr>
                <w:rStyle w:val="IndexLink"/>
                <w:rtl w:val="true"/>
              </w:rPr>
              <w:t>في طريقة العرف وأنها المماثلة من جميع الجهات</w:t>
            </w:r>
            <w:r>
              <w:rPr>
                <w:rStyle w:val="IndexLink"/>
                <w:rtl w:val="true"/>
              </w:rPr>
              <w:t>)</w:t>
              <w:tab/>
            </w:r>
            <w:r>
              <w:rPr>
                <w:rStyle w:val="IndexLink"/>
              </w:rPr>
              <w:t>105</w:t>
            </w:r>
          </w:hyperlink>
        </w:p>
        <w:p>
          <w:pPr>
            <w:pStyle w:val="Contents3"/>
            <w:tabs>
              <w:tab w:val="clear" w:pos="8459"/>
              <w:tab w:val="right" w:pos="9026" w:leader="dot"/>
            </w:tabs>
            <w:rPr/>
          </w:pPr>
          <w:hyperlink w:anchor="__RefHeading___Toc3921725_2870459653">
            <w:r>
              <w:rPr>
                <w:webHidden/>
                <w:rStyle w:val="IndexLink"/>
                <w:rtl w:val="true"/>
              </w:rPr>
              <w:t>(</w:t>
            </w:r>
            <w:r>
              <w:rPr>
                <w:rStyle w:val="IndexLink"/>
                <w:rtl w:val="true"/>
              </w:rPr>
              <w:t xml:space="preserve">حاصل طريقة العرف في الضمان </w:t>
            </w:r>
            <w:r>
              <w:rPr>
                <w:rStyle w:val="IndexLink"/>
                <w:rtl w:val="true"/>
              </w:rPr>
              <w:t>)</w:t>
              <w:tab/>
            </w:r>
            <w:r>
              <w:rPr>
                <w:rStyle w:val="IndexLink"/>
              </w:rPr>
              <w:t>107</w:t>
            </w:r>
          </w:hyperlink>
        </w:p>
        <w:p>
          <w:pPr>
            <w:pStyle w:val="Contents3"/>
            <w:tabs>
              <w:tab w:val="clear" w:pos="8459"/>
              <w:tab w:val="right" w:pos="9026" w:leader="dot"/>
            </w:tabs>
            <w:rPr/>
          </w:pPr>
          <w:hyperlink w:anchor="__RefHeading___Toc3921727_2870459653">
            <w:r>
              <w:rPr>
                <w:webHidden/>
                <w:rStyle w:val="IndexLink"/>
                <w:rtl w:val="true"/>
              </w:rPr>
              <w:t>[</w:t>
            </w:r>
            <w:r>
              <w:rPr>
                <w:rStyle w:val="IndexLink"/>
                <w:rtl w:val="true"/>
              </w:rPr>
              <w:t>إيراد ودفع</w:t>
            </w:r>
            <w:r>
              <w:rPr>
                <w:rStyle w:val="IndexLink"/>
                <w:rtl w:val="true"/>
              </w:rPr>
              <w:t>]</w:t>
              <w:tab/>
            </w:r>
            <w:r>
              <w:rPr>
                <w:rStyle w:val="IndexLink"/>
              </w:rPr>
              <w:t>109</w:t>
            </w:r>
          </w:hyperlink>
        </w:p>
        <w:p>
          <w:pPr>
            <w:pStyle w:val="Contents3"/>
            <w:tabs>
              <w:tab w:val="clear" w:pos="8459"/>
              <w:tab w:val="right" w:pos="9026" w:leader="dot"/>
            </w:tabs>
            <w:rPr/>
          </w:pPr>
          <w:hyperlink w:anchor="__RefHeading___Toc3921729_2870459653">
            <w:r>
              <w:rPr>
                <w:webHidden/>
                <w:rStyle w:val="IndexLink"/>
                <w:rtl w:val="true"/>
              </w:rPr>
              <w:t>(</w:t>
            </w:r>
            <w:r>
              <w:rPr>
                <w:rStyle w:val="IndexLink"/>
                <w:rtl w:val="true"/>
              </w:rPr>
              <w:t xml:space="preserve">التحقيق في المقام </w:t>
            </w:r>
            <w:r>
              <w:rPr>
                <w:rStyle w:val="IndexLink"/>
                <w:rtl w:val="true"/>
              </w:rPr>
              <w:t>)</w:t>
              <w:tab/>
            </w:r>
            <w:r>
              <w:rPr>
                <w:rStyle w:val="IndexLink"/>
              </w:rPr>
              <w:t>111</w:t>
            </w:r>
          </w:hyperlink>
        </w:p>
        <w:p>
          <w:pPr>
            <w:pStyle w:val="Contents3"/>
            <w:tabs>
              <w:tab w:val="clear" w:pos="8459"/>
              <w:tab w:val="right" w:pos="9026" w:leader="dot"/>
            </w:tabs>
            <w:rPr/>
          </w:pPr>
          <w:hyperlink w:anchor="__RefHeading___Toc3921731_2870459653">
            <w:r>
              <w:rPr>
                <w:webHidden/>
                <w:rStyle w:val="IndexLink"/>
                <w:rtl w:val="true"/>
              </w:rPr>
              <w:t>[</w:t>
            </w:r>
            <w:r>
              <w:rPr>
                <w:rStyle w:val="IndexLink"/>
                <w:rtl w:val="true"/>
              </w:rPr>
              <w:t xml:space="preserve">بيان في عدّ المنسوجات والعملات النقدية من المثليات </w:t>
            </w:r>
            <w:r>
              <w:rPr>
                <w:rStyle w:val="IndexLink"/>
                <w:rtl w:val="true"/>
              </w:rPr>
              <w:t>]</w:t>
              <w:tab/>
            </w:r>
            <w:r>
              <w:rPr>
                <w:rStyle w:val="IndexLink"/>
              </w:rPr>
              <w:t>112</w:t>
            </w:r>
          </w:hyperlink>
        </w:p>
        <w:p>
          <w:pPr>
            <w:pStyle w:val="Contents3"/>
            <w:tabs>
              <w:tab w:val="clear" w:pos="8459"/>
              <w:tab w:val="right" w:pos="9026" w:leader="dot"/>
            </w:tabs>
            <w:rPr/>
          </w:pPr>
          <w:hyperlink w:anchor="__RefHeading___Toc3921733_2870459653">
            <w:r>
              <w:rPr>
                <w:webHidden/>
                <w:rStyle w:val="IndexLink"/>
                <w:rtl w:val="true"/>
              </w:rPr>
              <w:t>[</w:t>
            </w:r>
            <w:r>
              <w:rPr>
                <w:rStyle w:val="IndexLink"/>
                <w:rtl w:val="true"/>
              </w:rPr>
              <w:t>الإشكال على البيان المتقدم</w:t>
            </w:r>
            <w:r>
              <w:rPr>
                <w:rStyle w:val="IndexLink"/>
                <w:rtl w:val="true"/>
              </w:rPr>
              <w:t>]</w:t>
              <w:tab/>
            </w:r>
            <w:r>
              <w:rPr>
                <w:rStyle w:val="IndexLink"/>
              </w:rPr>
              <w:t>113</w:t>
            </w:r>
          </w:hyperlink>
        </w:p>
        <w:p>
          <w:pPr>
            <w:pStyle w:val="Contents3"/>
            <w:tabs>
              <w:tab w:val="clear" w:pos="8459"/>
              <w:tab w:val="right" w:pos="9026" w:leader="dot"/>
            </w:tabs>
            <w:rPr/>
          </w:pPr>
          <w:hyperlink w:anchor="__RefHeading___Toc3921735_2870459653">
            <w:r>
              <w:rPr>
                <w:webHidden/>
                <w:rStyle w:val="IndexLink"/>
                <w:rtl w:val="true"/>
              </w:rPr>
              <w:t xml:space="preserve">[ </w:t>
            </w:r>
            <w:r>
              <w:rPr>
                <w:rStyle w:val="IndexLink"/>
                <w:rtl w:val="true"/>
              </w:rPr>
              <w:t>الكلام في تعذّر المثل في المثلي</w:t>
            </w:r>
            <w:r>
              <w:rPr>
                <w:rStyle w:val="IndexLink"/>
                <w:rtl w:val="true"/>
              </w:rPr>
              <w:t>]</w:t>
              <w:tab/>
            </w:r>
            <w:r>
              <w:rPr>
                <w:rStyle w:val="IndexLink"/>
              </w:rPr>
              <w:t>113</w:t>
            </w:r>
          </w:hyperlink>
        </w:p>
        <w:p>
          <w:pPr>
            <w:pStyle w:val="Contents3"/>
            <w:tabs>
              <w:tab w:val="clear" w:pos="8459"/>
              <w:tab w:val="right" w:pos="9026" w:leader="dot"/>
            </w:tabs>
            <w:rPr/>
          </w:pPr>
          <w:hyperlink w:anchor="__RefHeading___Toc3921737_2870459653">
            <w:r>
              <w:rPr>
                <w:webHidden/>
                <w:rStyle w:val="IndexLink"/>
                <w:rtl w:val="true"/>
              </w:rPr>
              <w:t>(</w:t>
            </w:r>
            <w:r>
              <w:rPr>
                <w:rStyle w:val="IndexLink"/>
                <w:rtl w:val="true"/>
              </w:rPr>
              <w:t>في معارضة قاعدة الضرر لقاعدة السلطنة</w:t>
            </w:r>
            <w:r>
              <w:rPr>
                <w:rStyle w:val="IndexLink"/>
                <w:rtl w:val="true"/>
              </w:rPr>
              <w:t>)</w:t>
              <w:tab/>
            </w:r>
            <w:r>
              <w:rPr>
                <w:rStyle w:val="IndexLink"/>
              </w:rPr>
              <w:t>114</w:t>
            </w:r>
          </w:hyperlink>
        </w:p>
        <w:p>
          <w:pPr>
            <w:pStyle w:val="Contents3"/>
            <w:tabs>
              <w:tab w:val="clear" w:pos="8459"/>
              <w:tab w:val="right" w:pos="9026" w:leader="dot"/>
            </w:tabs>
            <w:rPr/>
          </w:pPr>
          <w:hyperlink w:anchor="__RefHeading___Toc3921739_2870459653">
            <w:r>
              <w:rPr>
                <w:webHidden/>
                <w:rStyle w:val="IndexLink"/>
                <w:rtl w:val="true"/>
              </w:rPr>
              <w:t>(</w:t>
            </w:r>
            <w:r>
              <w:rPr>
                <w:rStyle w:val="IndexLink"/>
                <w:rtl w:val="true"/>
              </w:rPr>
              <w:t xml:space="preserve">صور تعذّر المثل </w:t>
            </w:r>
            <w:r>
              <w:rPr>
                <w:rStyle w:val="IndexLink"/>
                <w:rtl w:val="true"/>
              </w:rPr>
              <w:t>)</w:t>
              <w:tab/>
            </w:r>
            <w:r>
              <w:rPr>
                <w:rStyle w:val="IndexLink"/>
              </w:rPr>
              <w:t>116</w:t>
            </w:r>
          </w:hyperlink>
        </w:p>
        <w:p>
          <w:pPr>
            <w:pStyle w:val="Contents3"/>
            <w:tabs>
              <w:tab w:val="clear" w:pos="8459"/>
              <w:tab w:val="right" w:pos="9026" w:leader="dot"/>
            </w:tabs>
            <w:rPr/>
          </w:pPr>
          <w:hyperlink w:anchor="__RefHeading___Toc3921741_2870459653">
            <w:r>
              <w:rPr>
                <w:webHidden/>
                <w:rStyle w:val="IndexLink"/>
                <w:rtl w:val="true"/>
              </w:rPr>
              <w:t>(</w:t>
            </w:r>
            <w:r>
              <w:rPr>
                <w:rStyle w:val="IndexLink"/>
                <w:rtl w:val="true"/>
              </w:rPr>
              <w:t>في أنَّه هل الانتقال إلى القيمة بمجرد التعذّر أم لا؟</w:t>
            </w:r>
            <w:r>
              <w:rPr>
                <w:rStyle w:val="IndexLink"/>
                <w:rtl w:val="true"/>
              </w:rPr>
              <w:t>)</w:t>
              <w:tab/>
            </w:r>
            <w:r>
              <w:rPr>
                <w:rStyle w:val="IndexLink"/>
              </w:rPr>
              <w:t>117</w:t>
            </w:r>
          </w:hyperlink>
        </w:p>
        <w:p>
          <w:pPr>
            <w:pStyle w:val="Contents3"/>
            <w:tabs>
              <w:tab w:val="clear" w:pos="8459"/>
              <w:tab w:val="right" w:pos="9026" w:leader="dot"/>
            </w:tabs>
            <w:rPr/>
          </w:pPr>
          <w:hyperlink w:anchor="__RefHeading___Toc3921743_2870459653">
            <w:r>
              <w:rPr>
                <w:webHidden/>
                <w:rStyle w:val="IndexLink"/>
                <w:rtl w:val="true"/>
              </w:rPr>
              <w:t>[</w:t>
            </w:r>
            <w:r>
              <w:rPr>
                <w:rStyle w:val="IndexLink"/>
                <w:rtl w:val="true"/>
              </w:rPr>
              <w:t>حكم الاحتمالات في المسألة</w:t>
            </w:r>
            <w:r>
              <w:rPr>
                <w:rStyle w:val="IndexLink"/>
                <w:rtl w:val="true"/>
              </w:rPr>
              <w:t>]</w:t>
              <w:tab/>
            </w:r>
            <w:r>
              <w:rPr>
                <w:rStyle w:val="IndexLink"/>
              </w:rPr>
              <w:t>122</w:t>
            </w:r>
          </w:hyperlink>
        </w:p>
        <w:p>
          <w:pPr>
            <w:pStyle w:val="Contents3"/>
            <w:tabs>
              <w:tab w:val="clear" w:pos="8459"/>
              <w:tab w:val="right" w:pos="9026" w:leader="dot"/>
            </w:tabs>
            <w:rPr/>
          </w:pPr>
          <w:hyperlink w:anchor="__RefHeading___Toc3921745_2870459653">
            <w:r>
              <w:rPr>
                <w:webHidden/>
                <w:rStyle w:val="IndexLink"/>
                <w:rtl w:val="true"/>
              </w:rPr>
              <w:t>ف</w:t>
            </w:r>
            <w:r>
              <w:rPr>
                <w:rStyle w:val="IndexLink"/>
                <w:rtl w:val="true"/>
              </w:rPr>
              <w:t>-(</w:t>
            </w:r>
            <w:r>
              <w:rPr>
                <w:rStyle w:val="IndexLink"/>
                <w:rtl w:val="true"/>
              </w:rPr>
              <w:t>المحصّل من هذه الاحتمالات سبعة</w:t>
            </w:r>
            <w:r>
              <w:rPr>
                <w:rStyle w:val="IndexLink"/>
                <w:rtl w:val="true"/>
              </w:rPr>
              <w:t>)</w:t>
              <w:tab/>
            </w:r>
            <w:r>
              <w:rPr>
                <w:rStyle w:val="IndexLink"/>
              </w:rPr>
              <w:t>125</w:t>
            </w:r>
          </w:hyperlink>
        </w:p>
        <w:p>
          <w:pPr>
            <w:pStyle w:val="Contents3"/>
            <w:tabs>
              <w:tab w:val="clear" w:pos="8459"/>
              <w:tab w:val="right" w:pos="9026" w:leader="dot"/>
            </w:tabs>
            <w:rPr/>
          </w:pPr>
          <w:hyperlink w:anchor="__RefHeading___Toc3921747_2870459653">
            <w:r>
              <w:rPr>
                <w:webHidden/>
                <w:rStyle w:val="IndexLink"/>
                <w:rtl w:val="true"/>
              </w:rPr>
              <w:t xml:space="preserve">( </w:t>
            </w:r>
            <w:r>
              <w:rPr>
                <w:rStyle w:val="IndexLink"/>
                <w:rtl w:val="true"/>
              </w:rPr>
              <w:t xml:space="preserve">فيما لو تعذّر المثل ابتداءً لا بعد وجوده </w:t>
            </w:r>
            <w:r>
              <w:rPr>
                <w:rStyle w:val="IndexLink"/>
                <w:rtl w:val="true"/>
              </w:rPr>
              <w:t>)</w:t>
              <w:tab/>
            </w:r>
            <w:r>
              <w:rPr>
                <w:rStyle w:val="IndexLink"/>
              </w:rPr>
              <w:t>125</w:t>
            </w:r>
          </w:hyperlink>
        </w:p>
        <w:p>
          <w:pPr>
            <w:pStyle w:val="Contents3"/>
            <w:tabs>
              <w:tab w:val="clear" w:pos="8459"/>
              <w:tab w:val="right" w:pos="9026" w:leader="dot"/>
            </w:tabs>
            <w:rPr/>
          </w:pPr>
          <w:hyperlink w:anchor="__RefHeading___Toc3921749_2870459653">
            <w:r>
              <w:rPr>
                <w:webHidden/>
                <w:rStyle w:val="IndexLink"/>
                <w:rtl w:val="true"/>
              </w:rPr>
              <w:t xml:space="preserve">[ </w:t>
            </w:r>
            <w:r>
              <w:rPr>
                <w:rStyle w:val="IndexLink"/>
                <w:rtl w:val="true"/>
              </w:rPr>
              <w:t xml:space="preserve">الآراء في معنى الإعواز والتوفيق بينها </w:t>
            </w:r>
            <w:r>
              <w:rPr>
                <w:rStyle w:val="IndexLink"/>
                <w:rtl w:val="true"/>
              </w:rPr>
              <w:t>]</w:t>
              <w:tab/>
            </w:r>
            <w:r>
              <w:rPr>
                <w:rStyle w:val="IndexLink"/>
              </w:rPr>
              <w:t>127</w:t>
            </w:r>
          </w:hyperlink>
        </w:p>
        <w:p>
          <w:pPr>
            <w:pStyle w:val="Contents3"/>
            <w:tabs>
              <w:tab w:val="clear" w:pos="8459"/>
              <w:tab w:val="right" w:pos="9026" w:leader="dot"/>
            </w:tabs>
            <w:rPr/>
          </w:pPr>
          <w:hyperlink w:anchor="__RefHeading___Toc3921751_2870459653">
            <w:r>
              <w:rPr>
                <w:webHidden/>
                <w:rStyle w:val="IndexLink"/>
                <w:rtl w:val="true"/>
              </w:rPr>
              <w:t xml:space="preserve">[ </w:t>
            </w:r>
            <w:r>
              <w:rPr>
                <w:rStyle w:val="IndexLink"/>
                <w:rtl w:val="true"/>
              </w:rPr>
              <w:t xml:space="preserve">المطالبة بالمثل مع التعذّر؛ لقاعدة السلطنة </w:t>
            </w:r>
            <w:r>
              <w:rPr>
                <w:rStyle w:val="IndexLink"/>
                <w:rtl w:val="true"/>
              </w:rPr>
              <w:t>]</w:t>
              <w:tab/>
            </w:r>
            <w:r>
              <w:rPr>
                <w:rStyle w:val="IndexLink"/>
              </w:rPr>
              <w:t>127</w:t>
            </w:r>
          </w:hyperlink>
        </w:p>
        <w:p>
          <w:pPr>
            <w:pStyle w:val="Contents3"/>
            <w:tabs>
              <w:tab w:val="clear" w:pos="8459"/>
              <w:tab w:val="right" w:pos="9026" w:leader="dot"/>
            </w:tabs>
            <w:rPr/>
          </w:pPr>
          <w:hyperlink w:anchor="__RefHeading___Toc3921753_2870459653">
            <w:r>
              <w:rPr>
                <w:webHidden/>
                <w:rStyle w:val="IndexLink"/>
                <w:rtl w:val="true"/>
              </w:rPr>
              <w:t xml:space="preserve">[ </w:t>
            </w:r>
            <w:r>
              <w:rPr>
                <w:rStyle w:val="IndexLink"/>
                <w:rtl w:val="true"/>
              </w:rPr>
              <w:t>المدرك في كفاية التعذّر العرفي</w:t>
            </w:r>
            <w:r>
              <w:rPr>
                <w:rStyle w:val="IndexLink"/>
                <w:rtl w:val="true"/>
              </w:rPr>
              <w:t>]</w:t>
              <w:tab/>
            </w:r>
            <w:r>
              <w:rPr>
                <w:rStyle w:val="IndexLink"/>
              </w:rPr>
              <w:t>128</w:t>
            </w:r>
          </w:hyperlink>
        </w:p>
        <w:p>
          <w:pPr>
            <w:pStyle w:val="Contents3"/>
            <w:tabs>
              <w:tab w:val="clear" w:pos="8459"/>
              <w:tab w:val="right" w:pos="9026" w:leader="dot"/>
            </w:tabs>
            <w:rPr/>
          </w:pPr>
          <w:hyperlink w:anchor="__RefHeading___Toc3921755_2870459653">
            <w:r>
              <w:rPr>
                <w:webHidden/>
                <w:rStyle w:val="IndexLink"/>
                <w:rtl w:val="true"/>
              </w:rPr>
              <w:t xml:space="preserve">[ </w:t>
            </w:r>
            <w:r>
              <w:rPr>
                <w:rStyle w:val="IndexLink"/>
                <w:rtl w:val="true"/>
              </w:rPr>
              <w:t>المدرك على ثبوت القيمة حال تعذّر المثل</w:t>
            </w:r>
            <w:r>
              <w:rPr>
                <w:rStyle w:val="IndexLink"/>
                <w:rtl w:val="true"/>
              </w:rPr>
              <w:t>]</w:t>
              <w:tab/>
            </w:r>
            <w:r>
              <w:rPr>
                <w:rStyle w:val="IndexLink"/>
              </w:rPr>
              <w:t>128</w:t>
            </w:r>
          </w:hyperlink>
        </w:p>
        <w:p>
          <w:pPr>
            <w:pStyle w:val="Contents3"/>
            <w:tabs>
              <w:tab w:val="clear" w:pos="8459"/>
              <w:tab w:val="right" w:pos="9026" w:leader="dot"/>
            </w:tabs>
            <w:rPr/>
          </w:pPr>
          <w:hyperlink w:anchor="__RefHeading___Toc3921757_2870459653">
            <w:r>
              <w:rPr>
                <w:webHidden/>
                <w:rStyle w:val="IndexLink"/>
                <w:rtl w:val="true"/>
              </w:rPr>
              <w:t>إشارة</w:t>
            </w:r>
            <w:r>
              <w:rPr>
                <w:rStyle w:val="IndexLink"/>
                <w:rtl w:val="true"/>
              </w:rPr>
              <w:tab/>
            </w:r>
            <w:r>
              <w:rPr>
                <w:rStyle w:val="IndexLink"/>
              </w:rPr>
              <w:t>130</w:t>
            </w:r>
          </w:hyperlink>
        </w:p>
        <w:p>
          <w:pPr>
            <w:pStyle w:val="Contents3"/>
            <w:tabs>
              <w:tab w:val="clear" w:pos="8459"/>
              <w:tab w:val="right" w:pos="9026" w:leader="dot"/>
            </w:tabs>
            <w:rPr/>
          </w:pPr>
          <w:hyperlink w:anchor="__RefHeading___Toc3921759_2870459653">
            <w:r>
              <w:rPr>
                <w:webHidden/>
                <w:rStyle w:val="IndexLink"/>
                <w:rtl w:val="true"/>
              </w:rPr>
              <w:t xml:space="preserve">[ </w:t>
            </w:r>
            <w:r>
              <w:rPr>
                <w:rStyle w:val="IndexLink"/>
                <w:rtl w:val="true"/>
              </w:rPr>
              <w:t xml:space="preserve">الأوجَه من الوجوه، والإشكال عليه، وردَّه </w:t>
            </w:r>
            <w:r>
              <w:rPr>
                <w:rStyle w:val="IndexLink"/>
                <w:rtl w:val="true"/>
              </w:rPr>
              <w:t>]</w:t>
              <w:tab/>
            </w:r>
            <w:r>
              <w:rPr>
                <w:rStyle w:val="IndexLink"/>
              </w:rPr>
              <w:t>132</w:t>
            </w:r>
          </w:hyperlink>
        </w:p>
        <w:p>
          <w:pPr>
            <w:pStyle w:val="Contents3"/>
            <w:tabs>
              <w:tab w:val="clear" w:pos="8459"/>
              <w:tab w:val="right" w:pos="9026" w:leader="dot"/>
            </w:tabs>
            <w:rPr/>
          </w:pPr>
          <w:hyperlink w:anchor="__RefHeading___Toc3921761_2870459653">
            <w:r>
              <w:rPr>
                <w:webHidden/>
                <w:rStyle w:val="IndexLink"/>
                <w:rtl w:val="true"/>
              </w:rPr>
              <w:t xml:space="preserve">( </w:t>
            </w:r>
            <w:r>
              <w:rPr>
                <w:rStyle w:val="IndexLink"/>
                <w:rtl w:val="true"/>
              </w:rPr>
              <w:t xml:space="preserve">من الحِيَل للفرار عن الرِّبا </w:t>
            </w:r>
            <w:r>
              <w:rPr>
                <w:rStyle w:val="IndexLink"/>
                <w:rtl w:val="true"/>
              </w:rPr>
              <w:t>)</w:t>
              <w:tab/>
            </w:r>
            <w:r>
              <w:rPr>
                <w:rStyle w:val="IndexLink"/>
              </w:rPr>
              <w:t>134</w:t>
            </w:r>
          </w:hyperlink>
        </w:p>
        <w:p>
          <w:pPr>
            <w:pStyle w:val="Contents3"/>
            <w:tabs>
              <w:tab w:val="clear" w:pos="8459"/>
              <w:tab w:val="right" w:pos="9026" w:leader="dot"/>
            </w:tabs>
            <w:rPr/>
          </w:pPr>
          <w:hyperlink w:anchor="__RefHeading___Toc3921763_2870459653">
            <w:r>
              <w:rPr>
                <w:webHidden/>
                <w:rStyle w:val="IndexLink"/>
                <w:rtl w:val="true"/>
              </w:rPr>
              <w:t>(</w:t>
            </w:r>
            <w:r>
              <w:rPr>
                <w:rStyle w:val="IndexLink"/>
                <w:rtl w:val="true"/>
              </w:rPr>
              <w:t>مسألة ذكرها الفقهاء</w:t>
            </w:r>
            <w:r>
              <w:rPr>
                <w:rStyle w:val="IndexLink"/>
                <w:rtl w:val="true"/>
              </w:rPr>
              <w:t>)</w:t>
              <w:tab/>
            </w:r>
            <w:r>
              <w:rPr>
                <w:rStyle w:val="IndexLink"/>
              </w:rPr>
              <w:t>136</w:t>
            </w:r>
          </w:hyperlink>
        </w:p>
        <w:p>
          <w:pPr>
            <w:pStyle w:val="Contents3"/>
            <w:tabs>
              <w:tab w:val="clear" w:pos="8459"/>
              <w:tab w:val="right" w:pos="9026" w:leader="dot"/>
            </w:tabs>
            <w:rPr/>
          </w:pPr>
          <w:hyperlink w:anchor="__RefHeading___Toc3921765_2870459653">
            <w:r>
              <w:rPr>
                <w:webHidden/>
                <w:rStyle w:val="IndexLink"/>
                <w:rtl w:val="true"/>
              </w:rPr>
              <w:t>[</w:t>
            </w:r>
            <w:r>
              <w:rPr>
                <w:rStyle w:val="IndexLink"/>
                <w:rtl w:val="true"/>
              </w:rPr>
              <w:t xml:space="preserve">قولان آخران في شرطية عدم الزيادة </w:t>
            </w:r>
            <w:r>
              <w:rPr>
                <w:rStyle w:val="IndexLink"/>
                <w:rtl w:val="true"/>
              </w:rPr>
              <w:t>]</w:t>
              <w:tab/>
            </w:r>
            <w:r>
              <w:rPr>
                <w:rStyle w:val="IndexLink"/>
              </w:rPr>
              <w:t>138</w:t>
            </w:r>
          </w:hyperlink>
        </w:p>
        <w:p>
          <w:pPr>
            <w:pStyle w:val="Contents3"/>
            <w:tabs>
              <w:tab w:val="clear" w:pos="8459"/>
              <w:tab w:val="right" w:pos="9026" w:leader="dot"/>
            </w:tabs>
            <w:rPr/>
          </w:pPr>
          <w:hyperlink w:anchor="__RefHeading___Toc3921767_2870459653">
            <w:r>
              <w:rPr>
                <w:webHidden/>
                <w:rStyle w:val="IndexLink"/>
                <w:rtl w:val="true"/>
              </w:rPr>
              <w:t>(</w:t>
            </w:r>
            <w:r>
              <w:rPr>
                <w:rStyle w:val="IndexLink"/>
                <w:rtl w:val="true"/>
              </w:rPr>
              <w:t xml:space="preserve">مسألة في بيع الصرف </w:t>
            </w:r>
            <w:r>
              <w:rPr>
                <w:rStyle w:val="IndexLink"/>
                <w:rtl w:val="true"/>
              </w:rPr>
              <w:t>)</w:t>
              <w:tab/>
            </w:r>
            <w:r>
              <w:rPr>
                <w:rStyle w:val="IndexLink"/>
              </w:rPr>
              <w:t>142</w:t>
            </w:r>
          </w:hyperlink>
        </w:p>
        <w:p>
          <w:pPr>
            <w:pStyle w:val="Contents3"/>
            <w:tabs>
              <w:tab w:val="clear" w:pos="8459"/>
              <w:tab w:val="right" w:pos="9026" w:leader="dot"/>
            </w:tabs>
            <w:rPr/>
          </w:pPr>
          <w:hyperlink w:anchor="__RefHeading___Toc3921769_2870459653">
            <w:r>
              <w:rPr>
                <w:webHidden/>
                <w:rStyle w:val="IndexLink"/>
                <w:rtl w:val="true"/>
              </w:rPr>
              <w:t xml:space="preserve">( </w:t>
            </w:r>
            <w:r>
              <w:rPr>
                <w:rStyle w:val="IndexLink"/>
                <w:rtl w:val="true"/>
              </w:rPr>
              <w:t>في شرطية التقابض</w:t>
            </w:r>
            <w:r>
              <w:rPr>
                <w:rStyle w:val="IndexLink"/>
                <w:rtl w:val="true"/>
              </w:rPr>
              <w:t>)</w:t>
              <w:tab/>
            </w:r>
            <w:r>
              <w:rPr>
                <w:rStyle w:val="IndexLink"/>
              </w:rPr>
              <w:t>145</w:t>
            </w:r>
          </w:hyperlink>
        </w:p>
        <w:p>
          <w:pPr>
            <w:pStyle w:val="Contents3"/>
            <w:tabs>
              <w:tab w:val="clear" w:pos="8459"/>
              <w:tab w:val="right" w:pos="9026" w:leader="dot"/>
            </w:tabs>
            <w:rPr/>
          </w:pPr>
          <w:hyperlink w:anchor="__RefHeading___Toc3921771_2870459653">
            <w:r>
              <w:rPr>
                <w:webHidden/>
                <w:rStyle w:val="IndexLink"/>
                <w:rtl w:val="true"/>
              </w:rPr>
              <w:t>[</w:t>
            </w:r>
            <w:r>
              <w:rPr>
                <w:rStyle w:val="IndexLink"/>
                <w:rtl w:val="true"/>
              </w:rPr>
              <w:t>بيانٌ لشيئين</w:t>
            </w:r>
            <w:r>
              <w:rPr>
                <w:rStyle w:val="IndexLink"/>
                <w:rtl w:val="true"/>
              </w:rPr>
              <w:t>]</w:t>
              <w:tab/>
            </w:r>
            <w:r>
              <w:rPr>
                <w:rStyle w:val="IndexLink"/>
              </w:rPr>
              <w:t>150</w:t>
            </w:r>
          </w:hyperlink>
        </w:p>
        <w:p>
          <w:pPr>
            <w:pStyle w:val="Contents3"/>
            <w:tabs>
              <w:tab w:val="clear" w:pos="8459"/>
              <w:tab w:val="right" w:pos="9026" w:leader="dot"/>
            </w:tabs>
            <w:rPr/>
          </w:pPr>
          <w:hyperlink w:anchor="__RefHeading___Toc3921773_2870459653">
            <w:r>
              <w:rPr>
                <w:webHidden/>
                <w:rStyle w:val="IndexLink"/>
                <w:rtl w:val="true"/>
              </w:rPr>
              <w:t xml:space="preserve">[ </w:t>
            </w:r>
            <w:r>
              <w:rPr>
                <w:rStyle w:val="IndexLink"/>
                <w:rtl w:val="true"/>
              </w:rPr>
              <w:t>الكلام في بعض ما يتعلق ببيع الصرف</w:t>
            </w:r>
            <w:r>
              <w:rPr>
                <w:rStyle w:val="IndexLink"/>
                <w:rtl w:val="true"/>
              </w:rPr>
              <w:t>]</w:t>
              <w:tab/>
            </w:r>
            <w:r>
              <w:rPr>
                <w:rStyle w:val="IndexLink"/>
              </w:rPr>
              <w:t>151</w:t>
            </w:r>
          </w:hyperlink>
        </w:p>
        <w:p>
          <w:pPr>
            <w:pStyle w:val="Contents4"/>
            <w:tabs>
              <w:tab w:val="clear" w:pos="8176"/>
              <w:tab w:val="right" w:pos="9026" w:leader="dot"/>
            </w:tabs>
            <w:rPr/>
          </w:pPr>
          <w:hyperlink w:anchor="__RefHeading___Toc3921775_2870459653">
            <w:r>
              <w:rPr>
                <w:webHidden/>
                <w:rStyle w:val="IndexLink"/>
                <w:rtl w:val="true"/>
              </w:rPr>
              <w:t xml:space="preserve">[ </w:t>
            </w:r>
            <w:r>
              <w:rPr>
                <w:rStyle w:val="IndexLink"/>
                <w:rtl w:val="true"/>
              </w:rPr>
              <w:t xml:space="preserve">أولاً </w:t>
            </w:r>
            <w:r>
              <w:rPr>
                <w:rStyle w:val="IndexLink"/>
                <w:rtl w:val="true"/>
              </w:rPr>
              <w:t>: ]</w:t>
              <w:tab/>
            </w:r>
            <w:r>
              <w:rPr>
                <w:rStyle w:val="IndexLink"/>
              </w:rPr>
              <w:t>151</w:t>
            </w:r>
          </w:hyperlink>
        </w:p>
        <w:p>
          <w:pPr>
            <w:pStyle w:val="Contents4"/>
            <w:tabs>
              <w:tab w:val="clear" w:pos="8176"/>
              <w:tab w:val="right" w:pos="9026" w:leader="dot"/>
            </w:tabs>
            <w:rPr/>
          </w:pPr>
          <w:hyperlink w:anchor="__RefHeading___Toc3921777_2870459653">
            <w:r>
              <w:rPr>
                <w:webHidden/>
                <w:rStyle w:val="IndexLink"/>
                <w:rtl w:val="true"/>
              </w:rPr>
              <w:t>[</w:t>
            </w:r>
            <w:r>
              <w:rPr>
                <w:rStyle w:val="IndexLink"/>
                <w:rtl w:val="true"/>
              </w:rPr>
              <w:t xml:space="preserve">ثانياً </w:t>
            </w:r>
            <w:r>
              <w:rPr>
                <w:rStyle w:val="IndexLink"/>
                <w:rtl w:val="true"/>
              </w:rPr>
              <w:t>:]</w:t>
              <w:tab/>
            </w:r>
            <w:r>
              <w:rPr>
                <w:rStyle w:val="IndexLink"/>
              </w:rPr>
              <w:t>152</w:t>
            </w:r>
          </w:hyperlink>
        </w:p>
        <w:p>
          <w:pPr>
            <w:pStyle w:val="Contents4"/>
            <w:tabs>
              <w:tab w:val="clear" w:pos="8176"/>
              <w:tab w:val="right" w:pos="9026" w:leader="dot"/>
            </w:tabs>
            <w:rPr/>
          </w:pPr>
          <w:hyperlink w:anchor="__RefHeading___Toc3921779_2870459653">
            <w:r>
              <w:rPr>
                <w:webHidden/>
                <w:rStyle w:val="IndexLink"/>
                <w:rtl w:val="true"/>
              </w:rPr>
              <w:t xml:space="preserve">[ </w:t>
            </w:r>
            <w:r>
              <w:rPr>
                <w:rStyle w:val="IndexLink"/>
                <w:rtl w:val="true"/>
              </w:rPr>
              <w:t>ثالثاً</w:t>
            </w:r>
            <w:r>
              <w:rPr>
                <w:rStyle w:val="IndexLink"/>
                <w:rtl w:val="true"/>
              </w:rPr>
              <w:t xml:space="preserve">: ] </w:t>
            </w:r>
            <w:r>
              <w:rPr>
                <w:rStyle w:val="IndexLink"/>
                <w:rtl w:val="true"/>
              </w:rPr>
              <w:t>ومما يتعلّق ببيع الصرف هو</w:t>
            </w:r>
            <w:r>
              <w:rPr>
                <w:rStyle w:val="IndexLink"/>
                <w:rtl w:val="true"/>
              </w:rPr>
              <w:t xml:space="preserve">: </w:t>
            </w:r>
            <w:r>
              <w:rPr>
                <w:rStyle w:val="IndexLink"/>
                <w:rtl w:val="true"/>
              </w:rPr>
              <w:t>إنّ عدم الافتراق هل يعتبر بالنسبة إلى الوزن والنقد أيضاً أم لا؟</w:t>
            </w:r>
            <w:r>
              <w:rPr>
                <w:rStyle w:val="IndexLink"/>
                <w:rtl w:val="true"/>
              </w:rPr>
              <w:tab/>
            </w:r>
            <w:r>
              <w:rPr>
                <w:rStyle w:val="IndexLink"/>
              </w:rPr>
              <w:t>153</w:t>
            </w:r>
          </w:hyperlink>
        </w:p>
        <w:p>
          <w:pPr>
            <w:pStyle w:val="Contents4"/>
            <w:tabs>
              <w:tab w:val="clear" w:pos="8176"/>
              <w:tab w:val="right" w:pos="9026" w:leader="dot"/>
            </w:tabs>
            <w:rPr/>
          </w:pPr>
          <w:hyperlink w:anchor="__RefHeading___Toc3921781_2870459653">
            <w:r>
              <w:rPr>
                <w:webHidden/>
                <w:rStyle w:val="IndexLink"/>
                <w:rtl w:val="true"/>
              </w:rPr>
              <w:t xml:space="preserve">[ </w:t>
            </w:r>
            <w:r>
              <w:rPr>
                <w:rStyle w:val="IndexLink"/>
                <w:rtl w:val="true"/>
              </w:rPr>
              <w:t>رابعاً</w:t>
            </w:r>
            <w:r>
              <w:rPr>
                <w:rStyle w:val="IndexLink"/>
                <w:rtl w:val="true"/>
              </w:rPr>
              <w:t>: ]</w:t>
              <w:tab/>
            </w:r>
            <w:r>
              <w:rPr>
                <w:rStyle w:val="IndexLink"/>
              </w:rPr>
              <w:t>154</w:t>
            </w:r>
          </w:hyperlink>
        </w:p>
        <w:p>
          <w:pPr>
            <w:pStyle w:val="Contents4"/>
            <w:tabs>
              <w:tab w:val="clear" w:pos="8176"/>
              <w:tab w:val="right" w:pos="9026" w:leader="dot"/>
            </w:tabs>
            <w:rPr/>
          </w:pPr>
          <w:hyperlink w:anchor="__RefHeading___Toc3921783_2870459653">
            <w:r>
              <w:rPr>
                <w:webHidden/>
                <w:rStyle w:val="IndexLink"/>
                <w:rtl w:val="true"/>
              </w:rPr>
              <w:t xml:space="preserve">[ </w:t>
            </w:r>
            <w:r>
              <w:rPr>
                <w:rStyle w:val="IndexLink"/>
                <w:rtl w:val="true"/>
              </w:rPr>
              <w:t>خامساً</w:t>
            </w:r>
            <w:r>
              <w:rPr>
                <w:rStyle w:val="IndexLink"/>
                <w:rtl w:val="true"/>
              </w:rPr>
              <w:t>: ]</w:t>
              <w:tab/>
            </w:r>
            <w:r>
              <w:rPr>
                <w:rStyle w:val="IndexLink"/>
              </w:rPr>
              <w:t>155</w:t>
            </w:r>
          </w:hyperlink>
        </w:p>
        <w:p>
          <w:pPr>
            <w:pStyle w:val="Contents3"/>
            <w:tabs>
              <w:tab w:val="clear" w:pos="8459"/>
              <w:tab w:val="right" w:pos="9026" w:leader="dot"/>
            </w:tabs>
            <w:rPr/>
          </w:pPr>
          <w:hyperlink w:anchor="__RefHeading___Toc3921785_2870459653">
            <w:r>
              <w:rPr>
                <w:webHidden/>
                <w:rStyle w:val="IndexLink"/>
                <w:rtl w:val="true"/>
              </w:rPr>
              <w:t>مسائلُ عشرون</w:t>
            </w:r>
            <w:r>
              <w:rPr>
                <w:rStyle w:val="IndexLink"/>
                <w:rtl w:val="true"/>
              </w:rPr>
              <w:tab/>
            </w:r>
            <w:r>
              <w:rPr>
                <w:rStyle w:val="IndexLink"/>
              </w:rPr>
              <w:t>158</w:t>
            </w:r>
          </w:hyperlink>
        </w:p>
        <w:p>
          <w:pPr>
            <w:pStyle w:val="Contents4"/>
            <w:tabs>
              <w:tab w:val="clear" w:pos="8176"/>
              <w:tab w:val="right" w:pos="9026" w:leader="dot"/>
            </w:tabs>
            <w:rPr/>
          </w:pPr>
          <w:hyperlink w:anchor="__RefHeading___Toc3921787_2870459653">
            <w:r>
              <w:rPr>
                <w:webHidden/>
                <w:rStyle w:val="IndexLink"/>
                <w:rtl w:val="true"/>
              </w:rPr>
              <w:t>إشارة</w:t>
            </w:r>
            <w:r>
              <w:rPr>
                <w:rStyle w:val="IndexLink"/>
                <w:rtl w:val="true"/>
              </w:rPr>
              <w:tab/>
            </w:r>
            <w:r>
              <w:rPr>
                <w:rStyle w:val="IndexLink"/>
              </w:rPr>
              <w:t>158</w:t>
            </w:r>
          </w:hyperlink>
        </w:p>
        <w:p>
          <w:pPr>
            <w:pStyle w:val="Contents4"/>
            <w:tabs>
              <w:tab w:val="clear" w:pos="8176"/>
              <w:tab w:val="right" w:pos="9026" w:leader="dot"/>
            </w:tabs>
            <w:rPr/>
          </w:pPr>
          <w:hyperlink w:anchor="__RefHeading___Toc3921789_2870459653">
            <w:r>
              <w:rPr>
                <w:webHidden/>
                <w:rStyle w:val="IndexLink"/>
                <w:rtl w:val="true"/>
              </w:rPr>
              <w:t>[</w:t>
            </w:r>
            <w:r>
              <w:rPr>
                <w:rStyle w:val="IndexLink"/>
                <w:rtl w:val="true"/>
              </w:rPr>
              <w:t>المسألة</w:t>
            </w:r>
            <w:r>
              <w:rPr>
                <w:rStyle w:val="IndexLink"/>
                <w:rtl w:val="true"/>
              </w:rPr>
              <w:t xml:space="preserve">] </w:t>
            </w:r>
            <w:r>
              <w:rPr>
                <w:rStyle w:val="IndexLink"/>
                <w:rtl w:val="true"/>
              </w:rPr>
              <w:t>الأولى</w:t>
            </w:r>
            <w:r>
              <w:rPr>
                <w:rStyle w:val="IndexLink"/>
                <w:rtl w:val="true"/>
              </w:rPr>
              <w:t>:</w:t>
              <w:tab/>
            </w:r>
            <w:r>
              <w:rPr>
                <w:rStyle w:val="IndexLink"/>
              </w:rPr>
              <w:t>158</w:t>
            </w:r>
          </w:hyperlink>
        </w:p>
        <w:p>
          <w:pPr>
            <w:pStyle w:val="Contents4"/>
            <w:tabs>
              <w:tab w:val="clear" w:pos="8176"/>
              <w:tab w:val="right" w:pos="9026" w:leader="dot"/>
            </w:tabs>
            <w:rPr/>
          </w:pPr>
          <w:hyperlink w:anchor="__RefHeading___Toc3921791_2870459653">
            <w:r>
              <w:rPr>
                <w:webHidden/>
                <w:rStyle w:val="IndexLink"/>
                <w:rtl w:val="true"/>
              </w:rPr>
              <w:t>[</w:t>
            </w:r>
            <w:r>
              <w:rPr>
                <w:rStyle w:val="IndexLink"/>
                <w:rtl w:val="true"/>
              </w:rPr>
              <w:t>المسألة</w:t>
            </w:r>
            <w:r>
              <w:rPr>
                <w:rStyle w:val="IndexLink"/>
                <w:rtl w:val="true"/>
              </w:rPr>
              <w:t xml:space="preserve">] </w:t>
            </w:r>
            <w:r>
              <w:rPr>
                <w:rStyle w:val="IndexLink"/>
                <w:rtl w:val="true"/>
              </w:rPr>
              <w:t>الثانية</w:t>
            </w:r>
            <w:r>
              <w:rPr>
                <w:rStyle w:val="IndexLink"/>
                <w:rtl w:val="true"/>
              </w:rPr>
              <w:t>:</w:t>
              <w:tab/>
            </w:r>
            <w:r>
              <w:rPr>
                <w:rStyle w:val="IndexLink"/>
              </w:rPr>
              <w:t>158</w:t>
            </w:r>
          </w:hyperlink>
        </w:p>
        <w:p>
          <w:pPr>
            <w:pStyle w:val="Contents4"/>
            <w:tabs>
              <w:tab w:val="clear" w:pos="8176"/>
              <w:tab w:val="right" w:pos="9026" w:leader="dot"/>
            </w:tabs>
            <w:rPr/>
          </w:pPr>
          <w:hyperlink w:anchor="__RefHeading___Toc3921793_2870459653">
            <w:r>
              <w:rPr>
                <w:webHidden/>
                <w:rStyle w:val="IndexLink"/>
                <w:rtl w:val="true"/>
              </w:rPr>
              <w:t>(</w:t>
            </w:r>
            <w:r>
              <w:rPr>
                <w:rStyle w:val="IndexLink"/>
                <w:rtl w:val="true"/>
              </w:rPr>
              <w:t>في تعارض الاسم والإشارة</w:t>
            </w:r>
            <w:r>
              <w:rPr>
                <w:rStyle w:val="IndexLink"/>
                <w:rtl w:val="true"/>
              </w:rPr>
              <w:t>)</w:t>
              <w:tab/>
            </w:r>
            <w:r>
              <w:rPr>
                <w:rStyle w:val="IndexLink"/>
              </w:rPr>
              <w:t>159</w:t>
            </w:r>
          </w:hyperlink>
        </w:p>
        <w:p>
          <w:pPr>
            <w:pStyle w:val="Contents4"/>
            <w:tabs>
              <w:tab w:val="clear" w:pos="8176"/>
              <w:tab w:val="right" w:pos="9026" w:leader="dot"/>
            </w:tabs>
            <w:rPr/>
          </w:pPr>
          <w:hyperlink w:anchor="__RefHeading___Toc3921795_2870459653">
            <w:r>
              <w:rPr>
                <w:webHidden/>
                <w:rStyle w:val="IndexLink"/>
                <w:rtl w:val="true"/>
              </w:rPr>
              <w:t xml:space="preserve">[ </w:t>
            </w:r>
            <w:r>
              <w:rPr>
                <w:rStyle w:val="IndexLink"/>
                <w:rtl w:val="true"/>
              </w:rPr>
              <w:t xml:space="preserve">وثالثاً </w:t>
            </w:r>
            <w:r>
              <w:rPr>
                <w:rStyle w:val="IndexLink"/>
                <w:rtl w:val="true"/>
              </w:rPr>
              <w:t>]</w:t>
              <w:tab/>
            </w:r>
            <w:r>
              <w:rPr>
                <w:rStyle w:val="IndexLink"/>
              </w:rPr>
              <w:t>160</w:t>
            </w:r>
          </w:hyperlink>
        </w:p>
        <w:p>
          <w:pPr>
            <w:pStyle w:val="Contents4"/>
            <w:tabs>
              <w:tab w:val="clear" w:pos="8176"/>
              <w:tab w:val="right" w:pos="9026" w:leader="dot"/>
            </w:tabs>
            <w:rPr/>
          </w:pPr>
          <w:hyperlink w:anchor="__RefHeading___Toc3921797_2870459653">
            <w:r>
              <w:rPr>
                <w:webHidden/>
                <w:rStyle w:val="IndexLink"/>
                <w:rtl w:val="true"/>
              </w:rPr>
              <w:t>المسألة الثالثة</w:t>
            </w:r>
            <w:r>
              <w:rPr>
                <w:rStyle w:val="IndexLink"/>
                <w:rtl w:val="true"/>
              </w:rPr>
              <w:t>:</w:t>
              <w:tab/>
            </w:r>
            <w:r>
              <w:rPr>
                <w:rStyle w:val="IndexLink"/>
              </w:rPr>
              <w:t>161</w:t>
            </w:r>
          </w:hyperlink>
        </w:p>
        <w:p>
          <w:pPr>
            <w:pStyle w:val="Contents4"/>
            <w:tabs>
              <w:tab w:val="clear" w:pos="8176"/>
              <w:tab w:val="right" w:pos="9026" w:leader="dot"/>
            </w:tabs>
            <w:rPr/>
          </w:pPr>
          <w:hyperlink w:anchor="__RefHeading___Toc3921799_2870459653">
            <w:r>
              <w:rPr>
                <w:webHidden/>
                <w:rStyle w:val="IndexLink"/>
                <w:rtl w:val="true"/>
              </w:rPr>
              <w:t xml:space="preserve">[ </w:t>
            </w:r>
            <w:r>
              <w:rPr>
                <w:rStyle w:val="IndexLink"/>
                <w:rtl w:val="true"/>
              </w:rPr>
              <w:t>والمسألة الرابعة</w:t>
            </w:r>
            <w:r>
              <w:rPr>
                <w:rStyle w:val="IndexLink"/>
                <w:rtl w:val="true"/>
              </w:rPr>
              <w:t>]:</w:t>
              <w:tab/>
            </w:r>
            <w:r>
              <w:rPr>
                <w:rStyle w:val="IndexLink"/>
              </w:rPr>
              <w:t>162</w:t>
            </w:r>
          </w:hyperlink>
        </w:p>
        <w:p>
          <w:pPr>
            <w:pStyle w:val="Contents3"/>
            <w:tabs>
              <w:tab w:val="clear" w:pos="8459"/>
              <w:tab w:val="right" w:pos="9026" w:leader="dot"/>
            </w:tabs>
            <w:rPr/>
          </w:pPr>
          <w:hyperlink w:anchor="__RefHeading___Toc3921801_2870459653">
            <w:r>
              <w:rPr>
                <w:webHidden/>
                <w:rStyle w:val="IndexLink"/>
                <w:rtl w:val="true"/>
              </w:rPr>
              <w:t xml:space="preserve">( </w:t>
            </w:r>
            <w:r>
              <w:rPr>
                <w:rStyle w:val="IndexLink"/>
                <w:rtl w:val="true"/>
              </w:rPr>
              <w:t xml:space="preserve">في خيار العيب وأحكامه وفروعه </w:t>
            </w:r>
            <w:r>
              <w:rPr>
                <w:rStyle w:val="IndexLink"/>
                <w:rtl w:val="true"/>
              </w:rPr>
              <w:t>)</w:t>
              <w:tab/>
            </w:r>
            <w:r>
              <w:rPr>
                <w:rStyle w:val="IndexLink"/>
              </w:rPr>
              <w:t>164</w:t>
            </w:r>
          </w:hyperlink>
        </w:p>
        <w:p>
          <w:pPr>
            <w:pStyle w:val="Contents4"/>
            <w:tabs>
              <w:tab w:val="clear" w:pos="8176"/>
              <w:tab w:val="right" w:pos="9026" w:leader="dot"/>
            </w:tabs>
            <w:rPr/>
          </w:pPr>
          <w:hyperlink w:anchor="__RefHeading___Toc3921803_2870459653">
            <w:r>
              <w:rPr>
                <w:webHidden/>
                <w:rStyle w:val="IndexLink"/>
                <w:rtl w:val="true"/>
              </w:rPr>
              <w:t>إشارة</w:t>
            </w:r>
            <w:r>
              <w:rPr>
                <w:rStyle w:val="IndexLink"/>
                <w:rtl w:val="true"/>
              </w:rPr>
              <w:tab/>
            </w:r>
            <w:r>
              <w:rPr>
                <w:rStyle w:val="IndexLink"/>
              </w:rPr>
              <w:t>164</w:t>
            </w:r>
          </w:hyperlink>
        </w:p>
        <w:p>
          <w:pPr>
            <w:pStyle w:val="Contents4"/>
            <w:tabs>
              <w:tab w:val="clear" w:pos="8176"/>
              <w:tab w:val="right" w:pos="9026" w:leader="dot"/>
            </w:tabs>
            <w:rPr/>
          </w:pPr>
          <w:hyperlink w:anchor="__RefHeading___Toc3921805_2870459653">
            <w:r>
              <w:rPr>
                <w:webHidden/>
                <w:rStyle w:val="IndexLink"/>
                <w:rtl w:val="true"/>
              </w:rPr>
              <w:t xml:space="preserve">( </w:t>
            </w:r>
            <w:r>
              <w:rPr>
                <w:rStyle w:val="IndexLink"/>
                <w:rtl w:val="true"/>
              </w:rPr>
              <w:t>في مسقطات خيار العيب</w:t>
            </w:r>
            <w:r>
              <w:rPr>
                <w:rStyle w:val="IndexLink"/>
                <w:rtl w:val="true"/>
              </w:rPr>
              <w:t>)</w:t>
              <w:tab/>
            </w:r>
            <w:r>
              <w:rPr>
                <w:rStyle w:val="IndexLink"/>
              </w:rPr>
              <w:t>167</w:t>
            </w:r>
          </w:hyperlink>
        </w:p>
        <w:p>
          <w:pPr>
            <w:pStyle w:val="Contents5"/>
            <w:tabs>
              <w:tab w:val="clear" w:pos="7892"/>
              <w:tab w:val="right" w:pos="9026" w:leader="dot"/>
            </w:tabs>
            <w:rPr/>
          </w:pPr>
          <w:hyperlink w:anchor="__RefHeading___Toc3921807_2870459653">
            <w:r>
              <w:rPr>
                <w:webHidden/>
                <w:rStyle w:val="IndexLink"/>
                <w:rtl w:val="true"/>
              </w:rPr>
              <w:t>إشارة</w:t>
            </w:r>
            <w:r>
              <w:rPr>
                <w:rStyle w:val="IndexLink"/>
                <w:rtl w:val="true"/>
              </w:rPr>
              <w:tab/>
            </w:r>
            <w:r>
              <w:rPr>
                <w:rStyle w:val="IndexLink"/>
              </w:rPr>
              <w:t>167</w:t>
            </w:r>
          </w:hyperlink>
        </w:p>
        <w:p>
          <w:pPr>
            <w:pStyle w:val="Contents5"/>
            <w:tabs>
              <w:tab w:val="clear" w:pos="7892"/>
              <w:tab w:val="right" w:pos="9026" w:leader="dot"/>
            </w:tabs>
            <w:rPr/>
          </w:pPr>
          <w:hyperlink w:anchor="__RefHeading___Toc3921809_2870459653">
            <w:r>
              <w:rPr>
                <w:webHidden/>
                <w:rStyle w:val="IndexLink"/>
                <w:rtl w:val="true"/>
              </w:rPr>
              <w:t>[</w:t>
            </w:r>
            <w:r>
              <w:rPr>
                <w:rStyle w:val="IndexLink"/>
                <w:rtl w:val="true"/>
              </w:rPr>
              <w:t xml:space="preserve">ما يسقط به الأرش والردّ </w:t>
            </w:r>
            <w:r>
              <w:rPr>
                <w:rStyle w:val="IndexLink"/>
                <w:rtl w:val="true"/>
              </w:rPr>
              <w:t>]</w:t>
              <w:tab/>
            </w:r>
            <w:r>
              <w:rPr>
                <w:rStyle w:val="IndexLink"/>
              </w:rPr>
              <w:t>167</w:t>
            </w:r>
          </w:hyperlink>
        </w:p>
        <w:p>
          <w:pPr>
            <w:pStyle w:val="Contents5"/>
            <w:tabs>
              <w:tab w:val="clear" w:pos="7892"/>
              <w:tab w:val="right" w:pos="9026" w:leader="dot"/>
            </w:tabs>
            <w:rPr/>
          </w:pPr>
          <w:hyperlink w:anchor="__RefHeading___Toc3921811_2870459653">
            <w:r>
              <w:rPr>
                <w:webHidden/>
                <w:rStyle w:val="IndexLink"/>
                <w:rtl w:val="true"/>
              </w:rPr>
              <w:t>[</w:t>
            </w:r>
            <w:r>
              <w:rPr>
                <w:rStyle w:val="IndexLink"/>
                <w:rtl w:val="true"/>
              </w:rPr>
              <w:t>الكلام في ما يسقط به الردّ دون الأرش</w:t>
            </w:r>
            <w:r>
              <w:rPr>
                <w:rStyle w:val="IndexLink"/>
                <w:rtl w:val="true"/>
              </w:rPr>
              <w:t>]</w:t>
              <w:tab/>
            </w:r>
            <w:r>
              <w:rPr>
                <w:rStyle w:val="IndexLink"/>
              </w:rPr>
              <w:t>176</w:t>
            </w:r>
          </w:hyperlink>
        </w:p>
        <w:p>
          <w:pPr>
            <w:pStyle w:val="Contents5"/>
            <w:tabs>
              <w:tab w:val="clear" w:pos="7892"/>
              <w:tab w:val="right" w:pos="9026" w:leader="dot"/>
            </w:tabs>
            <w:rPr/>
          </w:pPr>
          <w:hyperlink w:anchor="__RefHeading___Toc3921813_2870459653">
            <w:r>
              <w:rPr>
                <w:webHidden/>
                <w:rStyle w:val="IndexLink"/>
                <w:rtl w:val="true"/>
              </w:rPr>
              <w:t>(</w:t>
            </w:r>
            <w:r>
              <w:rPr>
                <w:rStyle w:val="IndexLink"/>
                <w:rtl w:val="true"/>
              </w:rPr>
              <w:t xml:space="preserve">ما يُسقط الأرش دون الردّ </w:t>
            </w:r>
            <w:r>
              <w:rPr>
                <w:rStyle w:val="IndexLink"/>
                <w:rtl w:val="true"/>
              </w:rPr>
              <w:t>)</w:t>
              <w:tab/>
            </w:r>
            <w:r>
              <w:rPr>
                <w:rStyle w:val="IndexLink"/>
              </w:rPr>
              <w:t>182</w:t>
            </w:r>
          </w:hyperlink>
        </w:p>
        <w:p>
          <w:pPr>
            <w:pStyle w:val="Contents3"/>
            <w:tabs>
              <w:tab w:val="clear" w:pos="8459"/>
              <w:tab w:val="right" w:pos="9026" w:leader="dot"/>
            </w:tabs>
            <w:rPr/>
          </w:pPr>
          <w:hyperlink w:anchor="__RefHeading___Toc3921815_2870459653">
            <w:r>
              <w:rPr>
                <w:webHidden/>
                <w:rStyle w:val="IndexLink"/>
                <w:rtl w:val="true"/>
              </w:rPr>
              <w:t>(</w:t>
            </w:r>
            <w:r>
              <w:rPr>
                <w:rStyle w:val="IndexLink"/>
                <w:rtl w:val="true"/>
              </w:rPr>
              <w:t>الكلام في أصل مسألة خيار العيب</w:t>
            </w:r>
            <w:r>
              <w:rPr>
                <w:rStyle w:val="IndexLink"/>
                <w:rtl w:val="true"/>
              </w:rPr>
              <w:t>)</w:t>
              <w:tab/>
            </w:r>
            <w:r>
              <w:rPr>
                <w:rStyle w:val="IndexLink"/>
              </w:rPr>
              <w:t>188</w:t>
            </w:r>
          </w:hyperlink>
        </w:p>
        <w:p>
          <w:pPr>
            <w:pStyle w:val="Contents3"/>
            <w:tabs>
              <w:tab w:val="clear" w:pos="8459"/>
              <w:tab w:val="right" w:pos="9026" w:leader="dot"/>
            </w:tabs>
            <w:rPr/>
          </w:pPr>
          <w:hyperlink w:anchor="__RefHeading___Toc3921817_2870459653">
            <w:r>
              <w:rPr>
                <w:webHidden/>
                <w:rStyle w:val="IndexLink"/>
                <w:rtl w:val="true"/>
              </w:rPr>
              <w:t xml:space="preserve">( </w:t>
            </w:r>
            <w:r>
              <w:rPr>
                <w:rStyle w:val="IndexLink"/>
                <w:rtl w:val="true"/>
              </w:rPr>
              <w:t xml:space="preserve">فيما لو حدث العيب أو التلف عند المشتري </w:t>
            </w:r>
            <w:r>
              <w:rPr>
                <w:rStyle w:val="IndexLink"/>
                <w:rtl w:val="true"/>
              </w:rPr>
              <w:t>)</w:t>
              <w:tab/>
            </w:r>
            <w:r>
              <w:rPr>
                <w:rStyle w:val="IndexLink"/>
              </w:rPr>
              <w:t>192</w:t>
            </w:r>
          </w:hyperlink>
        </w:p>
        <w:p>
          <w:pPr>
            <w:pStyle w:val="Contents3"/>
            <w:tabs>
              <w:tab w:val="clear" w:pos="8459"/>
              <w:tab w:val="right" w:pos="9026" w:leader="dot"/>
            </w:tabs>
            <w:rPr/>
          </w:pPr>
          <w:hyperlink w:anchor="__RefHeading___Toc3921819_2870459653">
            <w:r>
              <w:rPr>
                <w:webHidden/>
                <w:rStyle w:val="IndexLink"/>
                <w:rtl w:val="true"/>
              </w:rPr>
              <w:t>[</w:t>
            </w:r>
            <w:r>
              <w:rPr>
                <w:rStyle w:val="IndexLink"/>
                <w:rtl w:val="true"/>
              </w:rPr>
              <w:t>مسألة</w:t>
            </w:r>
            <w:r>
              <w:rPr>
                <w:rStyle w:val="IndexLink"/>
                <w:rtl w:val="true"/>
              </w:rPr>
              <w:t xml:space="preserve">: </w:t>
            </w:r>
            <w:r>
              <w:rPr>
                <w:rStyle w:val="IndexLink"/>
                <w:rtl w:val="true"/>
              </w:rPr>
              <w:t>في بيع الدرهم بدرهم مع اشتراط الصياغة</w:t>
            </w:r>
            <w:r>
              <w:rPr>
                <w:rStyle w:val="IndexLink"/>
                <w:rtl w:val="true"/>
              </w:rPr>
              <w:t>]</w:t>
              <w:tab/>
            </w:r>
            <w:r>
              <w:rPr>
                <w:rStyle w:val="IndexLink"/>
              </w:rPr>
              <w:t>200</w:t>
            </w:r>
          </w:hyperlink>
        </w:p>
        <w:p>
          <w:pPr>
            <w:pStyle w:val="Contents3"/>
            <w:tabs>
              <w:tab w:val="clear" w:pos="8459"/>
              <w:tab w:val="right" w:pos="9026" w:leader="dot"/>
            </w:tabs>
            <w:rPr/>
          </w:pPr>
          <w:hyperlink w:anchor="__RefHeading___Toc3921821_2870459653">
            <w:r>
              <w:rPr>
                <w:webHidden/>
                <w:rStyle w:val="IndexLink"/>
                <w:rtl w:val="true"/>
              </w:rPr>
              <w:t xml:space="preserve">[ </w:t>
            </w:r>
            <w:r>
              <w:rPr>
                <w:rStyle w:val="IndexLink"/>
                <w:rtl w:val="true"/>
              </w:rPr>
              <w:t xml:space="preserve">الكلام في بيع الأواني الذهبية والفضيّة </w:t>
            </w:r>
            <w:r>
              <w:rPr>
                <w:rStyle w:val="IndexLink"/>
                <w:rtl w:val="true"/>
              </w:rPr>
              <w:t>]</w:t>
              <w:tab/>
            </w:r>
            <w:r>
              <w:rPr>
                <w:rStyle w:val="IndexLink"/>
              </w:rPr>
              <w:t>204</w:t>
            </w:r>
          </w:hyperlink>
        </w:p>
        <w:p>
          <w:pPr>
            <w:pStyle w:val="Contents3"/>
            <w:tabs>
              <w:tab w:val="clear" w:pos="8459"/>
              <w:tab w:val="right" w:pos="9026" w:leader="dot"/>
            </w:tabs>
            <w:rPr/>
          </w:pPr>
          <w:hyperlink w:anchor="__RefHeading___Toc3921823_2870459653">
            <w:r>
              <w:rPr>
                <w:webHidden/>
                <w:rStyle w:val="IndexLink"/>
                <w:rtl w:val="true"/>
              </w:rPr>
              <w:t>(</w:t>
            </w:r>
            <w:r>
              <w:rPr>
                <w:rStyle w:val="IndexLink"/>
                <w:rtl w:val="true"/>
              </w:rPr>
              <w:t xml:space="preserve">في مشكلات خيار المجلس </w:t>
            </w:r>
            <w:r>
              <w:rPr>
                <w:rStyle w:val="IndexLink"/>
                <w:rtl w:val="true"/>
              </w:rPr>
              <w:t xml:space="preserve">: </w:t>
            </w:r>
            <w:r>
              <w:rPr>
                <w:rStyle w:val="IndexLink"/>
                <w:rtl w:val="true"/>
              </w:rPr>
              <w:t xml:space="preserve">فيما لو أُكره كلٌّ منهما </w:t>
            </w:r>
            <w:r>
              <w:rPr>
                <w:rStyle w:val="IndexLink"/>
                <w:rtl w:val="true"/>
              </w:rPr>
              <w:t>)</w:t>
              <w:tab/>
            </w:r>
            <w:r>
              <w:rPr>
                <w:rStyle w:val="IndexLink"/>
              </w:rPr>
              <w:t>208</w:t>
            </w:r>
          </w:hyperlink>
        </w:p>
        <w:p>
          <w:pPr>
            <w:pStyle w:val="Contents3"/>
            <w:tabs>
              <w:tab w:val="clear" w:pos="8459"/>
              <w:tab w:val="right" w:pos="9026" w:leader="dot"/>
            </w:tabs>
            <w:rPr/>
          </w:pPr>
          <w:hyperlink w:anchor="__RefHeading___Toc3921825_2870459653">
            <w:r>
              <w:rPr>
                <w:webHidden/>
                <w:rStyle w:val="IndexLink"/>
                <w:rtl w:val="true"/>
              </w:rPr>
              <w:t>(</w:t>
            </w:r>
            <w:r>
              <w:rPr>
                <w:rStyle w:val="IndexLink"/>
                <w:rtl w:val="true"/>
              </w:rPr>
              <w:t>فيما لو أكره أحدهما</w:t>
            </w:r>
            <w:r>
              <w:rPr>
                <w:rStyle w:val="IndexLink"/>
                <w:rtl w:val="true"/>
              </w:rPr>
              <w:t>)</w:t>
              <w:tab/>
            </w:r>
            <w:r>
              <w:rPr>
                <w:rStyle w:val="IndexLink"/>
              </w:rPr>
              <w:t>211</w:t>
            </w:r>
          </w:hyperlink>
        </w:p>
        <w:p>
          <w:pPr>
            <w:pStyle w:val="Contents3"/>
            <w:tabs>
              <w:tab w:val="clear" w:pos="8459"/>
              <w:tab w:val="right" w:pos="9026" w:leader="dot"/>
            </w:tabs>
            <w:rPr/>
          </w:pPr>
          <w:hyperlink w:anchor="__RefHeading___Toc3921827_2870459653">
            <w:r>
              <w:rPr>
                <w:webHidden/>
                <w:rStyle w:val="IndexLink"/>
                <w:rtl w:val="true"/>
              </w:rPr>
              <w:t>(</w:t>
            </w:r>
            <w:r>
              <w:rPr>
                <w:rStyle w:val="IndexLink"/>
                <w:rtl w:val="true"/>
              </w:rPr>
              <w:t>صورة ما لو مات أحدهما في المجلس</w:t>
            </w:r>
            <w:r>
              <w:rPr>
                <w:rStyle w:val="IndexLink"/>
                <w:rtl w:val="true"/>
              </w:rPr>
              <w:t>)</w:t>
              <w:tab/>
            </w:r>
            <w:r>
              <w:rPr>
                <w:rStyle w:val="IndexLink"/>
              </w:rPr>
              <w:t>214</w:t>
            </w:r>
          </w:hyperlink>
        </w:p>
        <w:p>
          <w:pPr>
            <w:pStyle w:val="Contents3"/>
            <w:tabs>
              <w:tab w:val="clear" w:pos="8459"/>
              <w:tab w:val="right" w:pos="9026" w:leader="dot"/>
            </w:tabs>
            <w:rPr/>
          </w:pPr>
          <w:hyperlink w:anchor="__RefHeading___Toc3921829_2870459653">
            <w:r>
              <w:rPr>
                <w:webHidden/>
                <w:rStyle w:val="IndexLink"/>
                <w:rtl w:val="true"/>
              </w:rPr>
              <w:t xml:space="preserve">( </w:t>
            </w:r>
            <w:r>
              <w:rPr>
                <w:rStyle w:val="IndexLink"/>
                <w:rtl w:val="true"/>
              </w:rPr>
              <w:t>في خيار الحيوان</w:t>
            </w:r>
            <w:r>
              <w:rPr>
                <w:rStyle w:val="IndexLink"/>
                <w:rtl w:val="true"/>
              </w:rPr>
              <w:t>)</w:t>
              <w:tab/>
            </w:r>
            <w:r>
              <w:rPr>
                <w:rStyle w:val="IndexLink"/>
              </w:rPr>
              <w:t>216</w:t>
            </w:r>
          </w:hyperlink>
        </w:p>
        <w:p>
          <w:pPr>
            <w:pStyle w:val="Contents4"/>
            <w:tabs>
              <w:tab w:val="clear" w:pos="8176"/>
              <w:tab w:val="right" w:pos="9026" w:leader="dot"/>
            </w:tabs>
            <w:rPr/>
          </w:pPr>
          <w:hyperlink w:anchor="__RefHeading___Toc3921831_2870459653">
            <w:r>
              <w:rPr>
                <w:webHidden/>
                <w:rStyle w:val="IndexLink"/>
                <w:rtl w:val="true"/>
              </w:rPr>
              <w:t>إشارة</w:t>
            </w:r>
            <w:r>
              <w:rPr>
                <w:rStyle w:val="IndexLink"/>
                <w:rtl w:val="true"/>
              </w:rPr>
              <w:tab/>
            </w:r>
            <w:r>
              <w:rPr>
                <w:rStyle w:val="IndexLink"/>
              </w:rPr>
              <w:t>216</w:t>
            </w:r>
          </w:hyperlink>
        </w:p>
        <w:p>
          <w:pPr>
            <w:pStyle w:val="Contents4"/>
            <w:tabs>
              <w:tab w:val="clear" w:pos="8176"/>
              <w:tab w:val="right" w:pos="9026" w:leader="dot"/>
            </w:tabs>
            <w:rPr/>
          </w:pPr>
          <w:hyperlink w:anchor="__RefHeading___Toc3921833_2870459653">
            <w:r>
              <w:rPr>
                <w:webHidden/>
                <w:rStyle w:val="IndexLink"/>
                <w:rtl w:val="true"/>
              </w:rPr>
              <w:t xml:space="preserve">[ </w:t>
            </w:r>
            <w:r>
              <w:rPr>
                <w:rStyle w:val="IndexLink"/>
                <w:rtl w:val="true"/>
              </w:rPr>
              <w:t xml:space="preserve">الكلام في من له الخيار </w:t>
            </w:r>
            <w:r>
              <w:rPr>
                <w:rStyle w:val="IndexLink"/>
                <w:rtl w:val="true"/>
              </w:rPr>
              <w:t>]</w:t>
              <w:tab/>
            </w:r>
            <w:r>
              <w:rPr>
                <w:rStyle w:val="IndexLink"/>
              </w:rPr>
              <w:t>217</w:t>
            </w:r>
          </w:hyperlink>
        </w:p>
        <w:p>
          <w:pPr>
            <w:pStyle w:val="Contents4"/>
            <w:tabs>
              <w:tab w:val="clear" w:pos="8176"/>
              <w:tab w:val="right" w:pos="9026" w:leader="dot"/>
            </w:tabs>
            <w:rPr/>
          </w:pPr>
          <w:hyperlink w:anchor="__RefHeading___Toc3921835_2870459653">
            <w:r>
              <w:rPr>
                <w:webHidden/>
                <w:rStyle w:val="IndexLink"/>
                <w:rtl w:val="true"/>
              </w:rPr>
              <w:t xml:space="preserve">[ </w:t>
            </w:r>
            <w:r>
              <w:rPr>
                <w:rStyle w:val="IndexLink"/>
                <w:rtl w:val="true"/>
              </w:rPr>
              <w:t xml:space="preserve">الكلام في مبدأ الخيار </w:t>
            </w:r>
            <w:r>
              <w:rPr>
                <w:rStyle w:val="IndexLink"/>
                <w:rtl w:val="true"/>
              </w:rPr>
              <w:t>]</w:t>
              <w:tab/>
            </w:r>
            <w:r>
              <w:rPr>
                <w:rStyle w:val="IndexLink"/>
              </w:rPr>
              <w:t>221</w:t>
            </w:r>
          </w:hyperlink>
        </w:p>
        <w:p>
          <w:pPr>
            <w:pStyle w:val="Contents4"/>
            <w:tabs>
              <w:tab w:val="clear" w:pos="8176"/>
              <w:tab w:val="right" w:pos="9026" w:leader="dot"/>
            </w:tabs>
            <w:rPr/>
          </w:pPr>
          <w:hyperlink w:anchor="__RefHeading___Toc3921837_2870459653">
            <w:r>
              <w:rPr>
                <w:webHidden/>
                <w:rStyle w:val="IndexLink"/>
                <w:rtl w:val="true"/>
              </w:rPr>
              <w:t xml:space="preserve">[ </w:t>
            </w:r>
            <w:r>
              <w:rPr>
                <w:rStyle w:val="IndexLink"/>
                <w:rtl w:val="true"/>
              </w:rPr>
              <w:t>الكلام في مسقطات خيار الحيوان</w:t>
            </w:r>
            <w:r>
              <w:rPr>
                <w:rStyle w:val="IndexLink"/>
                <w:rtl w:val="true"/>
              </w:rPr>
              <w:t>]</w:t>
              <w:tab/>
            </w:r>
            <w:r>
              <w:rPr>
                <w:rStyle w:val="IndexLink"/>
              </w:rPr>
              <w:t>223</w:t>
            </w:r>
          </w:hyperlink>
        </w:p>
        <w:p>
          <w:pPr>
            <w:pStyle w:val="Contents3"/>
            <w:tabs>
              <w:tab w:val="clear" w:pos="8459"/>
              <w:tab w:val="right" w:pos="9026" w:leader="dot"/>
            </w:tabs>
            <w:rPr/>
          </w:pPr>
          <w:hyperlink w:anchor="__RefHeading___Toc3921839_2870459653">
            <w:r>
              <w:rPr>
                <w:webHidden/>
                <w:rStyle w:val="IndexLink"/>
                <w:rtl w:val="true"/>
              </w:rPr>
              <w:t>(</w:t>
            </w:r>
            <w:r>
              <w:rPr>
                <w:rStyle w:val="IndexLink"/>
                <w:rtl w:val="true"/>
              </w:rPr>
              <w:t xml:space="preserve">الكلام في ولاية عدول المؤمنين </w:t>
            </w:r>
            <w:r>
              <w:rPr>
                <w:rStyle w:val="IndexLink"/>
                <w:rtl w:val="true"/>
              </w:rPr>
              <w:t>)</w:t>
              <w:tab/>
            </w:r>
            <w:r>
              <w:rPr>
                <w:rStyle w:val="IndexLink"/>
              </w:rPr>
              <w:t>228</w:t>
            </w:r>
          </w:hyperlink>
        </w:p>
        <w:p>
          <w:pPr>
            <w:pStyle w:val="Contents3"/>
            <w:tabs>
              <w:tab w:val="clear" w:pos="8459"/>
              <w:tab w:val="right" w:pos="9026" w:leader="dot"/>
            </w:tabs>
            <w:rPr/>
          </w:pPr>
          <w:hyperlink w:anchor="__RefHeading___Toc3921841_2870459653">
            <w:r>
              <w:rPr>
                <w:webHidden/>
                <w:rStyle w:val="IndexLink"/>
                <w:rtl w:val="true"/>
              </w:rPr>
              <w:t xml:space="preserve">( </w:t>
            </w:r>
            <w:r>
              <w:rPr>
                <w:rStyle w:val="IndexLink"/>
                <w:rtl w:val="true"/>
              </w:rPr>
              <w:t>في موارد أصالة الصحة والضابط فيها</w:t>
            </w:r>
            <w:r>
              <w:rPr>
                <w:rStyle w:val="IndexLink"/>
                <w:rtl w:val="true"/>
              </w:rPr>
              <w:t>)</w:t>
              <w:tab/>
            </w:r>
            <w:r>
              <w:rPr>
                <w:rStyle w:val="IndexLink"/>
              </w:rPr>
              <w:t>231</w:t>
            </w:r>
          </w:hyperlink>
        </w:p>
        <w:p>
          <w:pPr>
            <w:pStyle w:val="Contents3"/>
            <w:tabs>
              <w:tab w:val="clear" w:pos="8459"/>
              <w:tab w:val="right" w:pos="9026" w:leader="dot"/>
            </w:tabs>
            <w:rPr/>
          </w:pPr>
          <w:hyperlink w:anchor="__RefHeading___Toc3921843_2870459653">
            <w:r>
              <w:rPr>
                <w:webHidden/>
                <w:rStyle w:val="IndexLink"/>
                <w:rtl w:val="true"/>
              </w:rPr>
              <w:t>(</w:t>
            </w:r>
            <w:r>
              <w:rPr>
                <w:rStyle w:val="IndexLink"/>
                <w:rtl w:val="true"/>
              </w:rPr>
              <w:t>مسألة في شرائط العوضين</w:t>
            </w:r>
            <w:r>
              <w:rPr>
                <w:rStyle w:val="IndexLink"/>
                <w:rtl w:val="true"/>
              </w:rPr>
              <w:t>)</w:t>
              <w:tab/>
            </w:r>
            <w:r>
              <w:rPr>
                <w:rStyle w:val="IndexLink"/>
              </w:rPr>
              <w:t>234</w:t>
            </w:r>
          </w:hyperlink>
        </w:p>
        <w:p>
          <w:pPr>
            <w:pStyle w:val="Contents3"/>
            <w:tabs>
              <w:tab w:val="clear" w:pos="8459"/>
              <w:tab w:val="right" w:pos="9026" w:leader="dot"/>
            </w:tabs>
            <w:rPr/>
          </w:pPr>
          <w:hyperlink w:anchor="__RefHeading___Toc3921845_2870459653">
            <w:r>
              <w:rPr>
                <w:webHidden/>
                <w:rStyle w:val="IndexLink"/>
                <w:rtl w:val="true"/>
              </w:rPr>
              <w:t xml:space="preserve">( </w:t>
            </w:r>
            <w:r>
              <w:rPr>
                <w:rStyle w:val="IndexLink"/>
                <w:rtl w:val="true"/>
              </w:rPr>
              <w:t xml:space="preserve">في أقسام الأراضي وأحكامها </w:t>
            </w:r>
            <w:r>
              <w:rPr>
                <w:rStyle w:val="IndexLink"/>
                <w:rtl w:val="true"/>
              </w:rPr>
              <w:t>)</w:t>
              <w:tab/>
            </w:r>
            <w:r>
              <w:rPr>
                <w:rStyle w:val="IndexLink"/>
              </w:rPr>
              <w:t>236</w:t>
            </w:r>
          </w:hyperlink>
        </w:p>
        <w:p>
          <w:pPr>
            <w:pStyle w:val="Contents4"/>
            <w:tabs>
              <w:tab w:val="clear" w:pos="8176"/>
              <w:tab w:val="right" w:pos="9026" w:leader="dot"/>
            </w:tabs>
            <w:rPr/>
          </w:pPr>
          <w:hyperlink w:anchor="__RefHeading___Toc3921847_2870459653">
            <w:r>
              <w:rPr>
                <w:webHidden/>
                <w:rStyle w:val="IndexLink"/>
                <w:rtl w:val="true"/>
              </w:rPr>
              <w:t>[</w:t>
            </w:r>
            <w:r>
              <w:rPr>
                <w:rStyle w:val="IndexLink"/>
                <w:rtl w:val="true"/>
              </w:rPr>
              <w:t>أولاً</w:t>
            </w:r>
            <w:r>
              <w:rPr>
                <w:rStyle w:val="IndexLink"/>
                <w:rtl w:val="true"/>
              </w:rPr>
              <w:t xml:space="preserve">:] ( </w:t>
            </w:r>
            <w:r>
              <w:rPr>
                <w:rStyle w:val="IndexLink"/>
                <w:rtl w:val="true"/>
              </w:rPr>
              <w:t xml:space="preserve">في الموات وأنها ملكُ الإمام </w:t>
            </w:r>
            <w:r>
              <w:rPr>
                <w:rStyle w:val="IndexLink"/>
                <w:rtl w:val="true"/>
              </w:rPr>
              <w:t>)</w:t>
              <w:tab/>
            </w:r>
            <w:r>
              <w:rPr>
                <w:rStyle w:val="IndexLink"/>
              </w:rPr>
              <w:t>236</w:t>
            </w:r>
          </w:hyperlink>
        </w:p>
        <w:p>
          <w:pPr>
            <w:pStyle w:val="Contents4"/>
            <w:tabs>
              <w:tab w:val="clear" w:pos="8176"/>
              <w:tab w:val="right" w:pos="9026" w:leader="dot"/>
            </w:tabs>
            <w:rPr/>
          </w:pPr>
          <w:hyperlink w:anchor="__RefHeading___Toc3921849_2870459653">
            <w:r>
              <w:rPr>
                <w:webHidden/>
                <w:rStyle w:val="IndexLink"/>
                <w:rtl w:val="true"/>
              </w:rPr>
              <w:t>[</w:t>
            </w:r>
            <w:r>
              <w:rPr>
                <w:rStyle w:val="IndexLink"/>
                <w:rtl w:val="true"/>
              </w:rPr>
              <w:t xml:space="preserve">ثانياً </w:t>
            </w:r>
            <w:r>
              <w:rPr>
                <w:rStyle w:val="IndexLink"/>
                <w:rtl w:val="true"/>
              </w:rPr>
              <w:t xml:space="preserve">: </w:t>
            </w:r>
            <w:r>
              <w:rPr>
                <w:rStyle w:val="IndexLink"/>
                <w:rtl w:val="true"/>
              </w:rPr>
              <w:t>الأرضُ الموات التي سبق إليها ملْك أحد</w:t>
            </w:r>
            <w:r>
              <w:rPr>
                <w:rStyle w:val="IndexLink"/>
                <w:rtl w:val="true"/>
              </w:rPr>
              <w:t>]</w:t>
              <w:tab/>
            </w:r>
            <w:r>
              <w:rPr>
                <w:rStyle w:val="IndexLink"/>
              </w:rPr>
              <w:t>246</w:t>
            </w:r>
          </w:hyperlink>
        </w:p>
        <w:p>
          <w:pPr>
            <w:pStyle w:val="Contents3"/>
            <w:tabs>
              <w:tab w:val="clear" w:pos="8459"/>
              <w:tab w:val="right" w:pos="9026" w:leader="dot"/>
            </w:tabs>
            <w:rPr/>
          </w:pPr>
          <w:hyperlink w:anchor="__RefHeading___Toc3921851_2870459653">
            <w:r>
              <w:rPr>
                <w:webHidden/>
                <w:rStyle w:val="IndexLink"/>
                <w:rtl w:val="true"/>
              </w:rPr>
              <w:t>[</w:t>
            </w:r>
            <w:r>
              <w:rPr>
                <w:rStyle w:val="IndexLink"/>
                <w:rtl w:val="true"/>
              </w:rPr>
              <w:t>الكلام في أحكام الأرض المفتوحة عنوةً</w:t>
            </w:r>
            <w:r>
              <w:rPr>
                <w:rStyle w:val="IndexLink"/>
                <w:rtl w:val="true"/>
              </w:rPr>
              <w:t>]</w:t>
              <w:tab/>
            </w:r>
            <w:r>
              <w:rPr>
                <w:rStyle w:val="IndexLink"/>
              </w:rPr>
              <w:t>248</w:t>
            </w:r>
          </w:hyperlink>
        </w:p>
        <w:p>
          <w:pPr>
            <w:pStyle w:val="Contents3"/>
            <w:tabs>
              <w:tab w:val="clear" w:pos="8459"/>
              <w:tab w:val="right" w:pos="9026" w:leader="dot"/>
            </w:tabs>
            <w:rPr/>
          </w:pPr>
          <w:hyperlink w:anchor="__RefHeading___Toc3921853_2870459653">
            <w:r>
              <w:rPr>
                <w:webHidden/>
                <w:rStyle w:val="IndexLink"/>
                <w:rtl w:val="true"/>
              </w:rPr>
              <w:t>[</w:t>
            </w:r>
            <w:r>
              <w:rPr>
                <w:rStyle w:val="IndexLink"/>
                <w:rtl w:val="true"/>
              </w:rPr>
              <w:t>الكلام في حكم بقيّة أقسام الأرضين</w:t>
            </w:r>
            <w:r>
              <w:rPr>
                <w:rStyle w:val="IndexLink"/>
                <w:rtl w:val="true"/>
              </w:rPr>
              <w:t>]</w:t>
              <w:tab/>
            </w:r>
            <w:r>
              <w:rPr>
                <w:rStyle w:val="IndexLink"/>
              </w:rPr>
              <w:t>253</w:t>
            </w:r>
          </w:hyperlink>
        </w:p>
        <w:p>
          <w:pPr>
            <w:pStyle w:val="Contents3"/>
            <w:tabs>
              <w:tab w:val="clear" w:pos="8459"/>
              <w:tab w:val="right" w:pos="9026" w:leader="dot"/>
            </w:tabs>
            <w:rPr/>
          </w:pPr>
          <w:hyperlink w:anchor="__RefHeading___Toc3921855_2870459653">
            <w:r>
              <w:rPr>
                <w:webHidden/>
                <w:rStyle w:val="IndexLink"/>
                <w:rtl w:val="true"/>
              </w:rPr>
              <w:t>[</w:t>
            </w:r>
            <w:r>
              <w:rPr>
                <w:rStyle w:val="IndexLink"/>
                <w:rtl w:val="true"/>
              </w:rPr>
              <w:t xml:space="preserve">الكلام في التصرّف </w:t>
            </w:r>
            <w:r>
              <w:rPr>
                <w:rStyle w:val="IndexLink"/>
                <w:rtl w:val="true"/>
              </w:rPr>
              <w:t xml:space="preserve">- </w:t>
            </w:r>
            <w:r>
              <w:rPr>
                <w:rStyle w:val="IndexLink"/>
                <w:rtl w:val="true"/>
              </w:rPr>
              <w:t xml:space="preserve">غير البيع </w:t>
            </w:r>
            <w:r>
              <w:rPr>
                <w:rStyle w:val="IndexLink"/>
                <w:rtl w:val="true"/>
              </w:rPr>
              <w:t xml:space="preserve">- </w:t>
            </w:r>
            <w:r>
              <w:rPr>
                <w:rStyle w:val="IndexLink"/>
                <w:rtl w:val="true"/>
              </w:rPr>
              <w:t xml:space="preserve">في الأرض الخراجيّة زمن الحضور </w:t>
            </w:r>
            <w:r>
              <w:rPr>
                <w:rStyle w:val="IndexLink"/>
                <w:rtl w:val="true"/>
              </w:rPr>
              <w:t>]</w:t>
              <w:tab/>
            </w:r>
            <w:r>
              <w:rPr>
                <w:rStyle w:val="IndexLink"/>
              </w:rPr>
              <w:t>260</w:t>
            </w:r>
          </w:hyperlink>
        </w:p>
        <w:p>
          <w:pPr>
            <w:pStyle w:val="Contents3"/>
            <w:tabs>
              <w:tab w:val="clear" w:pos="8459"/>
              <w:tab w:val="right" w:pos="9026" w:leader="dot"/>
            </w:tabs>
            <w:rPr/>
          </w:pPr>
          <w:hyperlink w:anchor="__RefHeading___Toc3921857_2870459653">
            <w:r>
              <w:rPr>
                <w:webHidden/>
                <w:rStyle w:val="IndexLink"/>
                <w:rtl w:val="true"/>
              </w:rPr>
              <w:t>[</w:t>
            </w:r>
            <w:r>
              <w:rPr>
                <w:rStyle w:val="IndexLink"/>
                <w:rtl w:val="true"/>
              </w:rPr>
              <w:t xml:space="preserve">الكلام في التصرّفات </w:t>
            </w:r>
            <w:r>
              <w:rPr>
                <w:rStyle w:val="IndexLink"/>
                <w:rtl w:val="true"/>
              </w:rPr>
              <w:t xml:space="preserve">- </w:t>
            </w:r>
            <w:r>
              <w:rPr>
                <w:rStyle w:val="IndexLink"/>
                <w:rtl w:val="true"/>
              </w:rPr>
              <w:t xml:space="preserve">غير البيع </w:t>
            </w:r>
            <w:r>
              <w:rPr>
                <w:rStyle w:val="IndexLink"/>
                <w:rtl w:val="true"/>
              </w:rPr>
              <w:t xml:space="preserve">- </w:t>
            </w:r>
            <w:r>
              <w:rPr>
                <w:rStyle w:val="IndexLink"/>
                <w:rtl w:val="true"/>
              </w:rPr>
              <w:t xml:space="preserve">في الأرض الخراجيّة زمان الغيبة </w:t>
            </w:r>
            <w:r>
              <w:rPr>
                <w:rStyle w:val="IndexLink"/>
                <w:rtl w:val="true"/>
              </w:rPr>
              <w:t>]</w:t>
              <w:tab/>
            </w:r>
            <w:r>
              <w:rPr>
                <w:rStyle w:val="IndexLink"/>
              </w:rPr>
              <w:t>264</w:t>
            </w:r>
          </w:hyperlink>
        </w:p>
        <w:p>
          <w:pPr>
            <w:pStyle w:val="Contents3"/>
            <w:tabs>
              <w:tab w:val="clear" w:pos="8459"/>
              <w:tab w:val="right" w:pos="9026" w:leader="dot"/>
            </w:tabs>
            <w:rPr/>
          </w:pPr>
          <w:hyperlink w:anchor="__RefHeading___Toc3921859_2870459653">
            <w:r>
              <w:rPr>
                <w:webHidden/>
                <w:rStyle w:val="IndexLink"/>
                <w:rtl w:val="true"/>
              </w:rPr>
              <w:t>(</w:t>
            </w:r>
            <w:r>
              <w:rPr>
                <w:rStyle w:val="IndexLink"/>
                <w:rtl w:val="true"/>
              </w:rPr>
              <w:t>وجوه صحة التصرّف في هذه الأراضي</w:t>
            </w:r>
            <w:r>
              <w:rPr>
                <w:rStyle w:val="IndexLink"/>
                <w:rtl w:val="true"/>
              </w:rPr>
              <w:t>)</w:t>
              <w:tab/>
            </w:r>
            <w:r>
              <w:rPr>
                <w:rStyle w:val="IndexLink"/>
              </w:rPr>
              <w:t>265</w:t>
            </w:r>
          </w:hyperlink>
        </w:p>
        <w:p>
          <w:pPr>
            <w:pStyle w:val="Contents3"/>
            <w:tabs>
              <w:tab w:val="clear" w:pos="8459"/>
              <w:tab w:val="right" w:pos="9026" w:leader="dot"/>
            </w:tabs>
            <w:rPr/>
          </w:pPr>
          <w:hyperlink w:anchor="__RefHeading___Toc3921861_2870459653">
            <w:r>
              <w:rPr>
                <w:webHidden/>
                <w:rStyle w:val="IndexLink"/>
                <w:rtl w:val="true"/>
              </w:rPr>
              <w:t>(</w:t>
            </w:r>
            <w:r>
              <w:rPr>
                <w:rStyle w:val="IndexLink"/>
                <w:rtl w:val="true"/>
              </w:rPr>
              <w:t>أدلة الوجه الأول</w:t>
            </w:r>
            <w:r>
              <w:rPr>
                <w:rStyle w:val="IndexLink"/>
                <w:rtl w:val="true"/>
              </w:rPr>
              <w:t>)</w:t>
              <w:tab/>
            </w:r>
            <w:r>
              <w:rPr>
                <w:rStyle w:val="IndexLink"/>
              </w:rPr>
              <w:t>266</w:t>
            </w:r>
          </w:hyperlink>
        </w:p>
        <w:p>
          <w:pPr>
            <w:pStyle w:val="Contents3"/>
            <w:tabs>
              <w:tab w:val="clear" w:pos="8459"/>
              <w:tab w:val="right" w:pos="9026" w:leader="dot"/>
            </w:tabs>
            <w:rPr/>
          </w:pPr>
          <w:hyperlink w:anchor="__RefHeading___Toc3921863_2870459653">
            <w:r>
              <w:rPr>
                <w:webHidden/>
                <w:rStyle w:val="IndexLink"/>
                <w:rtl w:val="true"/>
              </w:rPr>
              <w:t xml:space="preserve">[ </w:t>
            </w:r>
            <w:r>
              <w:rPr>
                <w:rStyle w:val="IndexLink"/>
                <w:rtl w:val="true"/>
              </w:rPr>
              <w:t xml:space="preserve">الكلام في حليّة جوائز السلطان لنفوذ التقبّل منه </w:t>
            </w:r>
            <w:r>
              <w:rPr>
                <w:rStyle w:val="IndexLink"/>
                <w:rtl w:val="true"/>
              </w:rPr>
              <w:t>]</w:t>
              <w:tab/>
            </w:r>
            <w:r>
              <w:rPr>
                <w:rStyle w:val="IndexLink"/>
              </w:rPr>
              <w:t>272</w:t>
            </w:r>
          </w:hyperlink>
        </w:p>
        <w:p>
          <w:pPr>
            <w:pStyle w:val="Contents3"/>
            <w:tabs>
              <w:tab w:val="clear" w:pos="8459"/>
              <w:tab w:val="right" w:pos="9026" w:leader="dot"/>
            </w:tabs>
            <w:rPr/>
          </w:pPr>
          <w:hyperlink w:anchor="__RefHeading___Toc3921865_2870459653">
            <w:r>
              <w:rPr>
                <w:webHidden/>
                <w:rStyle w:val="IndexLink"/>
                <w:rtl w:val="true"/>
              </w:rPr>
              <w:t>[</w:t>
            </w:r>
            <w:r>
              <w:rPr>
                <w:rStyle w:val="IndexLink"/>
                <w:rtl w:val="true"/>
              </w:rPr>
              <w:t>الكلام فيما ينفصل من الأراضي</w:t>
            </w:r>
            <w:r>
              <w:rPr>
                <w:rStyle w:val="IndexLink"/>
                <w:rtl w:val="true"/>
              </w:rPr>
              <w:t>]</w:t>
              <w:tab/>
            </w:r>
            <w:r>
              <w:rPr>
                <w:rStyle w:val="IndexLink"/>
              </w:rPr>
              <w:t>278</w:t>
            </w:r>
          </w:hyperlink>
        </w:p>
        <w:p>
          <w:pPr>
            <w:pStyle w:val="Contents3"/>
            <w:tabs>
              <w:tab w:val="clear" w:pos="8459"/>
              <w:tab w:val="right" w:pos="9026" w:leader="dot"/>
            </w:tabs>
            <w:rPr/>
          </w:pPr>
          <w:hyperlink w:anchor="__RefHeading___Toc3921867_2870459653">
            <w:r>
              <w:rPr>
                <w:webHidden/>
                <w:rStyle w:val="IndexLink"/>
                <w:rtl w:val="true"/>
              </w:rPr>
              <w:t xml:space="preserve">[ </w:t>
            </w:r>
            <w:r>
              <w:rPr>
                <w:rStyle w:val="IndexLink"/>
                <w:rtl w:val="true"/>
              </w:rPr>
              <w:t>الكلام في تحديد الأرض الخراجيّة، وما العمل حال الشك</w:t>
            </w:r>
            <w:r>
              <w:rPr>
                <w:rStyle w:val="IndexLink"/>
                <w:rtl w:val="true"/>
              </w:rPr>
              <w:t>]</w:t>
              <w:tab/>
            </w:r>
            <w:r>
              <w:rPr>
                <w:rStyle w:val="IndexLink"/>
              </w:rPr>
              <w:t>280</w:t>
            </w:r>
          </w:hyperlink>
        </w:p>
        <w:p>
          <w:pPr>
            <w:pStyle w:val="Contents3"/>
            <w:tabs>
              <w:tab w:val="clear" w:pos="8459"/>
              <w:tab w:val="right" w:pos="9026" w:leader="dot"/>
            </w:tabs>
            <w:rPr/>
          </w:pPr>
          <w:hyperlink w:anchor="__RefHeading___Toc3921869_2870459653">
            <w:r>
              <w:rPr>
                <w:webHidden/>
                <w:rStyle w:val="IndexLink"/>
                <w:rtl w:val="true"/>
              </w:rPr>
              <w:t>(</w:t>
            </w:r>
            <w:r>
              <w:rPr>
                <w:rStyle w:val="IndexLink"/>
                <w:rtl w:val="true"/>
              </w:rPr>
              <w:t>في مسألة بيع الوقف</w:t>
            </w:r>
            <w:r>
              <w:rPr>
                <w:rStyle w:val="IndexLink"/>
                <w:rtl w:val="true"/>
              </w:rPr>
              <w:t>)</w:t>
              <w:tab/>
            </w:r>
            <w:r>
              <w:rPr>
                <w:rStyle w:val="IndexLink"/>
              </w:rPr>
              <w:t>282</w:t>
            </w:r>
          </w:hyperlink>
        </w:p>
        <w:p>
          <w:pPr>
            <w:pStyle w:val="Contents3"/>
            <w:tabs>
              <w:tab w:val="clear" w:pos="8459"/>
              <w:tab w:val="right" w:pos="9026" w:leader="dot"/>
            </w:tabs>
            <w:rPr/>
          </w:pPr>
          <w:hyperlink w:anchor="__RefHeading___Toc3921871_2870459653">
            <w:r>
              <w:rPr>
                <w:webHidden/>
                <w:rStyle w:val="IndexLink"/>
                <w:rtl w:val="true"/>
              </w:rPr>
              <w:t>(</w:t>
            </w:r>
            <w:r>
              <w:rPr>
                <w:rStyle w:val="IndexLink"/>
                <w:rtl w:val="true"/>
              </w:rPr>
              <w:t xml:space="preserve">عدم جواز بیع الوقف </w:t>
            </w:r>
            <w:r>
              <w:rPr>
                <w:rStyle w:val="IndexLink"/>
                <w:rtl w:val="true"/>
              </w:rPr>
              <w:t>)</w:t>
              <w:tab/>
            </w:r>
            <w:r>
              <w:rPr>
                <w:rStyle w:val="IndexLink"/>
              </w:rPr>
              <w:t>283</w:t>
            </w:r>
          </w:hyperlink>
        </w:p>
        <w:p>
          <w:pPr>
            <w:pStyle w:val="Contents3"/>
            <w:tabs>
              <w:tab w:val="clear" w:pos="8459"/>
              <w:tab w:val="right" w:pos="9026" w:leader="dot"/>
            </w:tabs>
            <w:rPr/>
          </w:pPr>
          <w:hyperlink w:anchor="__RefHeading___Toc3921873_2870459653">
            <w:r>
              <w:rPr>
                <w:webHidden/>
                <w:rStyle w:val="IndexLink"/>
                <w:rtl w:val="true"/>
              </w:rPr>
              <w:t>(</w:t>
            </w:r>
            <w:r>
              <w:rPr>
                <w:rStyle w:val="IndexLink"/>
                <w:rtl w:val="true"/>
              </w:rPr>
              <w:t xml:space="preserve">صورُ ما خَرَجَ عن أصالة منع بيع الوَقف </w:t>
            </w:r>
            <w:r>
              <w:rPr>
                <w:rStyle w:val="IndexLink"/>
                <w:rtl w:val="true"/>
              </w:rPr>
              <w:t>)</w:t>
              <w:tab/>
            </w:r>
            <w:r>
              <w:rPr>
                <w:rStyle w:val="IndexLink"/>
              </w:rPr>
              <w:t>286</w:t>
            </w:r>
          </w:hyperlink>
        </w:p>
        <w:p>
          <w:pPr>
            <w:pStyle w:val="Contents3"/>
            <w:tabs>
              <w:tab w:val="clear" w:pos="8459"/>
              <w:tab w:val="right" w:pos="9026" w:leader="dot"/>
            </w:tabs>
            <w:rPr/>
          </w:pPr>
          <w:hyperlink w:anchor="__RefHeading___Toc3921875_2870459653">
            <w:r>
              <w:rPr>
                <w:webHidden/>
                <w:rStyle w:val="IndexLink"/>
                <w:rtl w:val="true"/>
              </w:rPr>
              <w:t xml:space="preserve">[ </w:t>
            </w:r>
            <w:r>
              <w:rPr>
                <w:rStyle w:val="IndexLink"/>
                <w:rtl w:val="true"/>
              </w:rPr>
              <w:t>الكلام في ثمن الموقوف هل ينحصر بالموجودين أم يتعداهم</w:t>
            </w:r>
            <w:r>
              <w:rPr>
                <w:rStyle w:val="IndexLink"/>
                <w:rtl w:val="true"/>
              </w:rPr>
              <w:t>]</w:t>
              <w:tab/>
            </w:r>
            <w:r>
              <w:rPr>
                <w:rStyle w:val="IndexLink"/>
              </w:rPr>
              <w:t>295</w:t>
            </w:r>
          </w:hyperlink>
        </w:p>
        <w:p>
          <w:pPr>
            <w:pStyle w:val="Contents3"/>
            <w:tabs>
              <w:tab w:val="clear" w:pos="8459"/>
              <w:tab w:val="right" w:pos="9026" w:leader="dot"/>
            </w:tabs>
            <w:rPr/>
          </w:pPr>
          <w:hyperlink w:anchor="__RefHeading___Toc3921877_2870459653">
            <w:r>
              <w:rPr>
                <w:webHidden/>
                <w:rStyle w:val="IndexLink"/>
                <w:rtl w:val="true"/>
              </w:rPr>
              <w:t xml:space="preserve">[ </w:t>
            </w:r>
            <w:r>
              <w:rPr>
                <w:rStyle w:val="IndexLink"/>
                <w:rtl w:val="true"/>
              </w:rPr>
              <w:t>الكلام في لزوم شراء الأقرب فالأقرب إلى الموقوف</w:t>
            </w:r>
            <w:r>
              <w:rPr>
                <w:rStyle w:val="IndexLink"/>
                <w:rtl w:val="true"/>
              </w:rPr>
              <w:t>].</w:t>
              <w:tab/>
            </w:r>
            <w:r>
              <w:rPr>
                <w:rStyle w:val="IndexLink"/>
              </w:rPr>
              <w:t>298</w:t>
            </w:r>
          </w:hyperlink>
        </w:p>
        <w:p>
          <w:pPr>
            <w:pStyle w:val="Contents3"/>
            <w:tabs>
              <w:tab w:val="clear" w:pos="8459"/>
              <w:tab w:val="right" w:pos="9026" w:leader="dot"/>
            </w:tabs>
            <w:rPr/>
          </w:pPr>
          <w:hyperlink w:anchor="__RefHeading___Toc3921879_2870459653">
            <w:r>
              <w:rPr>
                <w:webHidden/>
                <w:rStyle w:val="IndexLink"/>
                <w:rtl w:val="true"/>
              </w:rPr>
              <w:t xml:space="preserve">[ </w:t>
            </w:r>
            <w:r>
              <w:rPr>
                <w:rStyle w:val="IndexLink"/>
                <w:rtl w:val="true"/>
              </w:rPr>
              <w:t>الكلام في متولّي بيع الموقوف</w:t>
            </w:r>
            <w:r>
              <w:rPr>
                <w:rStyle w:val="IndexLink"/>
                <w:rtl w:val="true"/>
              </w:rPr>
              <w:t>]</w:t>
              <w:tab/>
            </w:r>
            <w:r>
              <w:rPr>
                <w:rStyle w:val="IndexLink"/>
              </w:rPr>
              <w:t>302</w:t>
            </w:r>
          </w:hyperlink>
        </w:p>
        <w:p>
          <w:pPr>
            <w:pStyle w:val="Contents2"/>
            <w:tabs>
              <w:tab w:val="clear" w:pos="8743"/>
              <w:tab w:val="right" w:pos="9026" w:leader="dot"/>
            </w:tabs>
            <w:rPr/>
          </w:pPr>
          <w:hyperlink w:anchor="__RefHeading___Toc3921881_2870459653">
            <w:r>
              <w:rPr>
                <w:webHidden/>
                <w:rStyle w:val="IndexLink"/>
                <w:rtl w:val="true"/>
              </w:rPr>
              <w:t>قائمة المصادر والمراجع</w:t>
            </w:r>
            <w:r>
              <w:rPr>
                <w:rStyle w:val="IndexLink"/>
                <w:rtl w:val="true"/>
              </w:rPr>
              <w:tab/>
            </w:r>
            <w:r>
              <w:rPr>
                <w:rStyle w:val="IndexLink"/>
              </w:rPr>
              <w:t>310</w:t>
            </w:r>
          </w:hyperlink>
        </w:p>
        <w:p>
          <w:pPr>
            <w:pStyle w:val="Contents2"/>
            <w:tabs>
              <w:tab w:val="clear" w:pos="8743"/>
              <w:tab w:val="right" w:pos="9026" w:leader="dot"/>
            </w:tabs>
            <w:rPr/>
          </w:pPr>
          <w:hyperlink w:anchor="__RefHeading___Toc3921883_2870459653">
            <w:r>
              <w:rPr>
                <w:webHidden/>
                <w:rStyle w:val="IndexLink"/>
                <w:rtl w:val="true"/>
              </w:rPr>
              <w:t>الفهرس</w:t>
            </w:r>
            <w:r>
              <w:rPr>
                <w:rStyle w:val="IndexLink"/>
                <w:rtl w:val="true"/>
              </w:rPr>
              <w:tab/>
            </w:r>
            <w:r>
              <w:rPr>
                <w:rStyle w:val="IndexLink"/>
              </w:rPr>
              <w:t>328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95_76993"/>
      <w:bookmarkStart w:id="1" w:name="pg9195_76993"/>
      <w:bookmarkEnd w:id="1"/>
    </w:p>
    <w:p>
      <w:pPr>
        <w:pStyle w:val="Heading2"/>
        <w:numPr>
          <w:ilvl w:val="1"/>
          <w:numId w:val="1"/>
        </w:numPr>
        <w:rPr/>
      </w:pPr>
      <w:bookmarkStart w:id="2" w:name="pg9195_76993"/>
      <w:bookmarkStart w:id="3" w:name="__RefHeading___Toc3921609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تقريراً لبحث السيد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إبراهيم الدامغاني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لسنة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جميع الحقوق محفوظة لمركز تراث سامراء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میرزائی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21611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تقريراً لبحث السيد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إبراهيم الدامغاني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لسنة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جميع الحقوق محفوظة لمركز تراث سامراء</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هادی میرزائی </w:t>
      </w:r>
    </w:p>
    <w:p>
      <w:pPr>
        <w:pStyle w:val="BookText"/>
        <w:rPr/>
      </w:pPr>
      <w:r>
        <w:rPr>
          <w:rFonts w:ascii="Amiri" w:hAnsi="Amiri" w:eastAsia="Amiri" w:cs="Amiri"/>
          <w:color w:val="111111"/>
          <w:sz w:val="28"/>
          <w:sz w:val="28"/>
          <w:szCs w:val="28"/>
          <w:rtl w:val="true"/>
          <w:lang w:bidi="ar-SA"/>
        </w:rPr>
        <w:t>ديوان الوقف الشرعي</w:t>
      </w:r>
    </w:p>
    <w:p>
      <w:pPr>
        <w:pStyle w:val="BookText"/>
        <w:rPr/>
      </w:pPr>
      <w:r>
        <w:rPr>
          <w:rFonts w:ascii="Amiri" w:hAnsi="Amiri" w:eastAsia="Amiri" w:cs="Amiri"/>
          <w:color w:val="111111"/>
          <w:sz w:val="28"/>
          <w:sz w:val="28"/>
          <w:szCs w:val="28"/>
          <w:rtl w:val="true"/>
          <w:lang w:bidi="ar-SA"/>
        </w:rPr>
        <w:t>العتبة العسكرية المقدسة</w:t>
      </w:r>
    </w:p>
    <w:p>
      <w:pPr>
        <w:pStyle w:val="BookText"/>
        <w:rPr/>
      </w:pPr>
      <w:r>
        <w:rPr>
          <w:rFonts w:ascii="IRNazanin" w:hAnsi="IRNazanin" w:eastAsia="IRNazanin"/>
          <w:color w:val="111111"/>
          <w:sz w:val="28"/>
          <w:sz w:val="28"/>
          <w:szCs w:val="28"/>
          <w:rtl w:val="true"/>
          <w:lang w:bidi="fa-IR"/>
        </w:rPr>
        <w:t>کتاب البیع</w:t>
      </w:r>
    </w:p>
    <w:p>
      <w:pPr>
        <w:pStyle w:val="BookText"/>
        <w:rPr/>
      </w:pPr>
      <w:r>
        <w:rPr>
          <w:rFonts w:ascii="Amiri" w:hAnsi="Amiri" w:eastAsia="Amiri" w:cs="Amiri"/>
          <w:color w:val="111111"/>
          <w:sz w:val="28"/>
          <w:sz w:val="28"/>
          <w:szCs w:val="28"/>
          <w:rtl w:val="true"/>
          <w:lang w:bidi="ar-SA"/>
        </w:rPr>
        <w:t>المشرفاوي</w:t>
      </w:r>
    </w:p>
    <w:p>
      <w:pPr>
        <w:pStyle w:val="BookText"/>
        <w:rPr/>
      </w:pPr>
      <w:r>
        <w:rPr>
          <w:rFonts w:ascii="Amiri" w:hAnsi="Amiri" w:eastAsia="Amiri" w:cs="Amiri"/>
          <w:color w:val="111111"/>
          <w:sz w:val="28"/>
          <w:sz w:val="28"/>
          <w:szCs w:val="28"/>
          <w:rtl w:val="true"/>
          <w:lang w:bidi="ar-SA"/>
        </w:rPr>
        <w:t xml:space="preserve">تقريرًا لبَحْثِ السَيِّدِ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 xml:space="preserve">العَلَامَة السيد إبراهيم الدامغانيّ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الشَيخ سَلَام مُحمَّد الناصِرِي</w:t>
      </w:r>
    </w:p>
    <w:p>
      <w:pPr>
        <w:pStyle w:val="BookText"/>
        <w:rPr/>
      </w:pPr>
      <w:r>
        <w:rPr>
          <w:rFonts w:ascii="Amiri" w:hAnsi="Amiri" w:eastAsia="Amiri" w:cs="Amiri"/>
          <w:color w:val="111111"/>
          <w:sz w:val="28"/>
          <w:sz w:val="28"/>
          <w:szCs w:val="28"/>
          <w:rtl w:val="true"/>
          <w:lang w:bidi="ar-SA"/>
        </w:rPr>
        <w:t>مُراجَعَة وتَدقِيق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تراث السامراء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95_76997"/>
      <w:bookmarkStart w:id="8" w:name="pg9195_76997"/>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9195_76997"/>
      <w:bookmarkStart w:id="10" w:name="__RefHeading___Toc3921613_2870459653"/>
      <w:bookmarkStart w:id="11" w:name="_Toc3"/>
      <w:bookmarkEnd w:id="9"/>
      <w:bookmarkEnd w:id="10"/>
      <w:r>
        <w:rPr>
          <w:rtl w:val="true"/>
        </w:rPr>
        <w:t>مقدمة المرکز</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قدّم الشيخ الأعظم للمعاهد العلمية، والحوزات الدينية خدمات جليلة، وترك آثاراً عظيمة، وفي طليعتها تراثه العلمي المميز، وخصوصاً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أصبح فيما بعد محوراً للدراسات الحوزوية العليا، ومحطّ أنظار كبار الفقهاء، فقد علّق وكتب عليه الحواشي معظمُ من تأخر عنه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ساهم بعض أساطين تلامذته بترسيخ منهجه في الحوزات العلمية وبثّه بين رواد العلم وطلاب المعرفة، وخصوصاً أولئك النفر الذين كان يصرّح الشيخ المرتضى بأنَّهم محطّ نظره و مورد اهتمامه في بحثه و درسه </w:t>
      </w:r>
      <w:r>
        <w:rPr>
          <w:rStyle w:val="FootnoteAnchor"/>
          <w:rtl w:val="true"/>
        </w:rPr>
        <w:footnoteReference w:id="3"/>
      </w:r>
      <w:r>
        <w:rPr>
          <w:rFonts w:ascii="IRNazanin" w:hAnsi="IRNazanin" w:eastAsia="IRNazanin"/>
          <w:color w:val="111111"/>
          <w:sz w:val="28"/>
          <w:sz w:val="28"/>
          <w:szCs w:val="28"/>
          <w:rtl w:val="true"/>
          <w:lang w:bidi="fa-IR"/>
        </w:rPr>
        <w:t xml:space="preserve">، وعليهم كان يعلّق الآمال، وقد صدّقوا ظنه، وعلى رأسهم مجدّد الدين والمذهب السيد محمد حسن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أصبحت آراء هؤلاء الأساطين وأفكارهم محلّ اعتناء جميع من تأخر عنهم من الفقهاء، وخصوصاً في كتاب البيع والمعاملات؛ بسبب شحّة الأدلة غالباً في هكذا مباحث من جهة، وللأهمية القصوى لآراء الفقهاء من جهة أخرى، ولذا 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أكثر من 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شاهدنا بعض الأعاظم</w:t>
      </w:r>
      <w:r>
        <w:rPr>
          <w:rStyle w:val="FootnoteAnchor"/>
          <w:rtl w:val="true"/>
        </w:rPr>
        <w:footnoteReference w:id="4"/>
      </w:r>
      <w:r>
        <w:rPr>
          <w:rFonts w:ascii="Amiri" w:hAnsi="Amiri" w:eastAsia="Amiri" w:cs="Amiri"/>
          <w:color w:val="111111"/>
          <w:sz w:val="28"/>
          <w:sz w:val="28"/>
          <w:szCs w:val="28"/>
          <w:rtl w:val="true"/>
          <w:lang w:bidi="ar-SA"/>
        </w:rPr>
        <w:t xml:space="preserve">يدعي القطع بالحكم من اتفاق الشيخ الأنصاري والسيد الشيرازي والميرزا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لاعتقاده شدة ورعهم، ودقة فكرهم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وبملاحظة ما ذكره السيد حسن صدر الدين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السيد المجدّد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ورد النجف الأشرف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سيد العلماء على الإطلاق، وتلامذته أفاضل العصر، يضرب به المثل في الدقة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أهل التحقيق أفقه من شيخنا الأنصاري، بل أعلم من عامة العلماء المتأخرين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تناول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البحث، مضافاً لكتاب البيع، بعض ما جرى إلحاقه به من المسائل المتعلقة بالرِّبا وبيع الصرف، ومسائل من خيار العيب، وخيار الحيوان وبيع الوقف، والولاية على اليتيم، وغيرها مما جرت العادة على تناوله ملحقاً بكتاب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كُتبت هذه الأبحاث في النجف الأشرف قبل هجرة السيد المجدّد إلى سامرّاء؛ لأن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توفى في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ويبدو أن هذه المباحث هي آخر ما صدر من منبر السيد في النجف الأشرف وذلك لأن الشيخ هادي الطهراني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في سفري الأول إلى النجف بحث العلّامة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وحضرت بحث العلّامة ملا محمد الفاضل الإيرواني مدة ثمان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والسفر الثاني كان بعد فوت الشيخ فتتلمذت على العلّامة الشيخ عبد الحسين شيخ العراقين، وكنت معه بسامرّاء أيام تعميره للمشهد الشريف</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السفر الثالث اشتغلت في الحائر بالبحث فكتب إليّ السيد الأستاذ الحاج ميرزا محمد حسن الشيرازي بكفايته لأمري؛ فحضرت في النجف بحثه في الخيارات ولاستصحاب إلى أن هاجر إلى سامرّاء</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مما وصف به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حسن التحرير نقي التصنيف ذو غور ونابغية</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 إلَّا أنك تجد موارد عديدة من تقريره لا تخلو من ضعف في السبك أو خلل في الصياغة، ويبدو أن ذلك بسبب أسلوب السيد المجدّد؛ فقد نقل بعض تلامذة السيد الفشاركي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صعوبة في فهم مرادات السيد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ما لم نلمسه في درس أستاذنا السيد </w:t>
      </w:r>
    </w:p>
    <w:p>
      <w:pPr>
        <w:pStyle w:val="BookText"/>
        <w:rPr/>
      </w:pPr>
      <w:r>
        <w:rPr>
          <w:rFonts w:ascii="Amiri" w:hAnsi="Amiri" w:eastAsia="Amiri" w:cs="Amiri"/>
          <w:color w:val="111111"/>
          <w:sz w:val="28"/>
          <w:sz w:val="28"/>
          <w:szCs w:val="28"/>
          <w:rtl w:val="true"/>
          <w:lang w:bidi="ar-SA"/>
        </w:rPr>
        <w:t xml:space="preserve">محمد الطباطبائي الفشاركي، فكل تلميذ يفهم درسه بشكل لو أراد أن يقرره لآخر ، لكان مختلفاً تماماً عما يقرره التلميذ الآخر من نفس الدرس، بحيث لا مجال للجمع بين التقريرين بوجه أصلاً، شأنه شأن أستاذه السيد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فهما سيان في هذه الجهة، ومن هنا فإن المولى علي الروزدري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كتب تقريرات الميرزا المجدّد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خصوص 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الميرزا في الدرس وخارجه، وكان إذا كتب شيئاً عنه عرضه عليه كي يباشره الميرزا ويزيد فيه وينقص ولا يختلف النقل عنه، ومع ذلك كله نجد المولى علي في تقريراته يستعين أحياناً لتوضيح مراد الميرزا بالعبارات الفارسية؛ كل ذلك لأن الميرزا لم يكن ذا بيان واضح بحيث يسهل تناوله وهضمه وفهمه كما هو في مجلس البحث</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عمل المركز على نشر تراث السيد المجدّد سواء منه العسكري أم النجفي، مع مراعاة جودة الاختيار وندرة النسخ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وفقنا الله تعالى لتحقيق وطبع جملة من أبحاثه ورسائله وإفاداته التي دونت بأقلام الأجلّاء من تلامذته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من إفادات 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السيد محمد الأصفهاني الفشاركي، والسيد حسن الصدر الكاظمي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الجبائر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ثقة الإسلام السيد محمد الساروي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الخلل الواقع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الشيخ آقا رضا الهمداني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في دليل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الشيخ محمد كاظم الخراساني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من 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بقلم السيد إبراهيم الدامغاني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وجميع هذه الأبحاث تنشر لأول مرة، وذلك حرصاً من المركز على لفت عناية الفضلاء وأهل العلم إلى تراث حوزة سامرّاء وأعلامها، ولا سيما سيد الطائفة ومؤسس حوزة سامرّاء السيد محمد حسن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ليكون هذا النشر مقدمة للاهتمام بتلك الحوزة المبدعة وبنتاج أعلامها الأفذاذ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الختام، أقدم شكري ووافر تقديري لجناب الأخ المحقق الشيخ سلام الناصري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الشكر للأعزة في شعبة التحقيق على ما بذلوه من جهد ممتاز، كما نجدّد شكرنا لمؤسسة كاشف الغطاء العامة لتعاونها الدائم وتوفير النسخة الوحيدة التي وقع عليها العمل، ونسأل المولى تبارك وتعالى أن يتقبل من الجميع، ويجعله لهم ولنا ذخراً يوم نلقاه ببركة الإمامين المظلومين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الأقل</w:t>
      </w:r>
    </w:p>
    <w:p>
      <w:pPr>
        <w:pStyle w:val="BookText"/>
        <w:rPr/>
      </w:pPr>
      <w:r>
        <w:rPr>
          <w:rFonts w:ascii="Amiri" w:hAnsi="Amiri" w:eastAsia="Amiri" w:cs="Amiri"/>
          <w:color w:val="111111"/>
          <w:sz w:val="28"/>
          <w:sz w:val="28"/>
          <w:szCs w:val="28"/>
          <w:rtl w:val="true"/>
          <w:lang w:bidi="ar-SA"/>
        </w:rPr>
        <w:t>كريم مسير</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ذكرى فاجعة سامراء </w:t>
      </w:r>
      <w:r>
        <w:rPr>
          <w:rFonts w:eastAsia="Amiri" w:cs="Amiri" w:ascii="Amiri" w:hAnsi="Amiri"/>
          <w:color w:val="111111"/>
          <w:sz w:val="28"/>
          <w:szCs w:val="28"/>
          <w:rtl w:val="true"/>
          <w:lang w:bidi="ar-SA"/>
        </w:rPr>
        <w:t xml:space="preserve">) </w:t>
      </w:r>
      <w:bookmarkStart w:id="12" w:name="pg9195_7700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3921615_2870459653"/>
      <w:bookmarkStart w:id="14" w:name="_Toc4"/>
      <w:bookmarkEnd w:id="12"/>
      <w:bookmarkEnd w:id="13"/>
      <w:r>
        <w:rPr>
          <w:rtl w:val="true"/>
        </w:rPr>
        <w:t>مقدمة التحقیق</w:t>
      </w:r>
      <w:bookmarkEnd w:id="1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اللّهُمَ صلَّ على خير الداعين إلى حقّك، وأفضل المنتجبين من أنبيائك، الذي بعثته رحمةً لكافة خلقك، محمد النبي الأمين، أفضل ما صليت على أحد من العالمين، وصلَّ على وصيّه بحقّ، وخليفته بصدق، قاضي دينه، والنائم على فراشه، یوم عزّ الناصر، وقلّ المُعين، علي بن أبي طالب وعلى سيدة نساء العالمين فاطمة الزهراء، التي يرضى الله تعالى لرضاها، ويغضب لغضبها، الموصوفة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فحازت أفضل الشرف، ونالت أرفع الغرف، وعلى الأئمة التسعة المعصومين ، أنوار الدروب الحوالك، والعصمة من كلّ المهالك، المتمسك بنهجهم ناج من الضلالة، والآخذ بسيرتهم فائز برضا رب الجلالة، اللّهمّ وخص بالصلوات الزاكية، والبركات النامية، والتحيات المتوالية على الأمان في الأرض من أن تسيخ بأهلها، الذي نعيش بركات وجوده الشريف، الحجة ابن الحسن المهدي المنتظر، رزقنا الله في الدنيا رؤيته، والشرف بنصرته، والعزّة بخدمته، اللهم عجل له الفرج، وسهل له المخرج، آمين يا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أولت شريعتنا الإسلامية السمحة اهتماماً بالغاً بالحياة الإنسانية، اجتماعيةً، كانت أم فرديةً، وأعطت مساحةً واسعة في التركيز على كيفية معاملة بني البشر بعضهم البعض، فرسمت لهم الحدود، وبينت لهم الطريق؛ لأنَّها الشريعة الكاملة الخاتمة، وتلبي جميع الاحتياجات البشرية، التي طرأت وستطرأ على الحياة الإنسانية، حتّى ورد عن صادق أهل بيت العصمة والنبوة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الحلال والحرام،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محمد حلال أبداً إلى يوم القيامة، وحرامه حرام أبداً إلى يوم القيامة، لا يكون </w:t>
      </w:r>
    </w:p>
    <w:p>
      <w:pPr>
        <w:pStyle w:val="BookText"/>
        <w:rPr/>
      </w:pPr>
      <w:r>
        <w:rPr>
          <w:rFonts w:ascii="Amiri" w:hAnsi="Amiri" w:eastAsia="Amiri" w:cs="Amiri"/>
          <w:color w:val="111111"/>
          <w:sz w:val="28"/>
          <w:sz w:val="28"/>
          <w:szCs w:val="28"/>
          <w:rtl w:val="true"/>
          <w:lang w:bidi="ar-SA"/>
        </w:rPr>
        <w:t xml:space="preserve">غيره، ولا يجيء غيره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وحثت الشريعة الإسلامية على ممارسة التجارة والعمل بها، واكتساب المعايش؛ للغنى عما في أيدي الناس ، والعيش بعزّة وكرامة؛ حيث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اتجروا بارك الله لكم،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الرزق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في التجارة، وواحد في غيرها</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كان هذا الحث الشديد، والترغيب الأكيد في مزاولة التجارة، لم تدع الشريعة موضوعاً إلا وشخّصت له أحكاماً واضحة بيّنة؛ لضرورة أن كلّ واقعة لا بدَّ لها من حكم، وأمرت المسلمين بضرورة التفقه في الدين، وتعلّم أحكام شريعة سيد المرسلين، كي يجتنبوا الحرام وينتهوا عنه، فورد في الفقيه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اتجر بغير علم ارتطم في الرِّبا، ثم ارتطم ، فلا يقعدن في السوق إلّا من يعقل الشراء والبيع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ويُعدُّ البيع واحداً من أهم الممارسات الاجتماعية، التي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العناية والاهتمام بين الأفراد، بل بين الجماعات والدول فكثرت فيه الأسئلة، و دارت حوله النقاشات، قديماً وحديثاً، 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نحتاج إلى هذه التقنينات التي وصلتنا من مشرّعي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فتناول علماؤنا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منهم وحفظ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الواردة في باب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الأبواب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بالبحث والتمحيص، وبالمذاكرة والتدريس، والتفصيل، والاستنباط، والتقسيم، فكتبت البحوث المطوّلة والرسائل الموجزة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وكتابنا هذا يعتبر من أهم هذه المساهمات، التي أدلت بدلوها في معين الشريعة الغراء، وهي بحوث الميرزا الإمام المجدّد السيد محمد حسن الشيرازي نزيل سامراء، المتوفى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ألقاها على تلامذته في النجف الأشرف، فهذا من بركات وجوده، وغيض من فيض جوده، فكانت خير ما كُتب، من غير إطناب ممل، ولا اقتضاب مخلّ، ولم يقتصر </w:t>
      </w:r>
    </w:p>
    <w:p>
      <w:pPr>
        <w:pStyle w:val="BookText"/>
        <w:rPr/>
      </w:pPr>
      <w:r>
        <w:rPr>
          <w:rFonts w:ascii="Amiri" w:hAnsi="Amiri" w:eastAsia="Amiri" w:cs="Amiri"/>
          <w:color w:val="111111"/>
          <w:sz w:val="28"/>
          <w:sz w:val="28"/>
          <w:szCs w:val="28"/>
          <w:rtl w:val="true"/>
          <w:lang w:bidi="ar-SA"/>
        </w:rPr>
        <w:t>هذا الجهد الكبير من السيد المجدّد على كتاب البيع فقط، بل اشتمل على ثلاثة عشر مبحثاً في الأبواب الفقهية المختلفة، ذكرها سيدنا المجدّد في مجلس أبحاثه العلمية الدرسية،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البيع، ويعدّ صاحب الحظ الأوفر من هذه الأبحاث؛ حيث اشتمل على ثلث الكتاب تقريباً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أبحاثٌ في الضميمة التي يتخلّص بها من الرِّبا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أبحاثٌ فيما لو أوقع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عالماً أم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ربويةً، فهل يكون مكلّفاً بردّ المال إلى صاحبه، أو لا يكون مكلّفاً بذلك؟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أبحاثٌ في بيع الصرف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أبحاثٌ في مسائل متفرّقة، عنونَها السيد المجدّد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يُكمل هذه المسائل، أو أن المقرر لم يوفق لتقريرها، والله تعالى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أبحاثٌ في خيار العيب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أبحاثٌ في بيع الأواني الذهبية والفضية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أبحاثٌ فيما لو أُكره المتبايعان أو اضطرا إلى 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أبحاثٌ في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أبحاثٌ في الولاية على 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أبحاثٌ في شرائط العوضين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أبحاثٌ في أقسام الأرضين وأحكامها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أبحاثٌ في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وقُررت هذه المباحث الشريفة من قِبل أحد تلامذته، وهو العالم الجليل السيد إبراهيم الدامغاني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يلحظه القارئ وجود بعض المشاكل في السبك اللغوي تارة، وعدم مراعاة التذكير والتأنيث أخرى، فعمدنا إلى تعديلها مع التنويه والإشارة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يفوتني أن أتقدم بالشكر الجزيل لجناب الأخ الفاضل السيد جواد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له باكورة الاقتراح في الإقدام على هذا العمل، فله مني جزيل الثناء والتقدير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والشكر موصول لجناب الأخ الفاضل الشيخ كريم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على مركز تراث سامراء، الذي أتاح لي هذه الفرصة الكبيرة؛ كي أنال شرف إخراج هذا الجهد </w:t>
      </w:r>
    </w:p>
    <w:p>
      <w:pPr>
        <w:pStyle w:val="BookText"/>
        <w:rPr/>
      </w:pPr>
      <w:r>
        <w:rPr>
          <w:rFonts w:ascii="Amiri" w:hAnsi="Amiri" w:eastAsia="Amiri" w:cs="Amiri"/>
          <w:color w:val="111111"/>
          <w:sz w:val="28"/>
          <w:sz w:val="28"/>
          <w:szCs w:val="28"/>
          <w:rtl w:val="true"/>
          <w:lang w:bidi="ar-SA"/>
        </w:rPr>
        <w:t xml:space="preserve">الكبير للسيد المجدّد بنفض الغبار عن المخطوطات وإخراجها إلى النور، وأشكره ثانياً لمراجعته العلمية، ولما تجشمه من العناء في إطالة النظر ، وإجالة الفكر، ولما أبداه من متابعة العمل التحقيقي، الذي دام قرابة العامين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الانشغال بالدرس، والتدريس، و بعض الأعمال التحقيقية الأخرى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سهل العريكة، لين الجانب، منخفض الجناح، فله مني بالغ التقدير والاحترام، وكذلك أتقدم بالشكر الجزيل لجناب الأخ الشيخ أياد حميد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وجناب الأخ الشيخ جعفر الفتلاوي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لمراجعتها العلمية، وتدقيقها اللغوي لهذا العمل التحقيقي، ولم يقتصر هَمُّ الأول منهما على ذينك، بل كان كثير المتابعة والاهتمام على إخراج هذا العمل وإنجازه، فلهما مني خالص الدعاء والثناء، والشكر أيضاً للإخراج الفني الأخ مسلم المطوري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توفيقاته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وأدعو العلي القدير أن يحفظ القائمين على مركز تراث سامراء المبارك، التابع لعتبة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آلاف السلام والتحية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أخذ على عاتقه إحياء تراث علمائنا الأبرار، الذين كان لهم الدور الفاعل في المجال الفكري، والعقائدي، والتربوي، والروحي، والسياسي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أرجوه من قارئي الكريم أن يقيل بقلم التصحيح عثرتي، ويغفر بالتوجيه زلّتي، فإنّما العصمة لأهلها؛ فهذا مبلغ علمي، وغاية فهمي، مع قلة البضاعة، وتواضع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أحمد الله تعالى حمداً كثيراً، لا ينقطع أبداً على هذه النعم المتوالية، أن وفقنا لخدمة تراث مذهب أهل بيت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محمد الناصري</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في يوم الخميس لأربع مضين من شهر المحرم الحرام لسنة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الموافق 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لسنة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جرت العادة أن تذكر حياة المؤلّف في مقدمات الكتب المحققة، ولكن هناك خصوصية لمؤلّفنا السيد الإمام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كتب عن حياته العالم الشهير، والبحّاثة النحرير، صاحب التأليف النافعة، والإفادات الرائعة، الشيخ محمد محسن،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آقا بزرك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الرازي إلى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بالإضافة إلى الكتابات الكثيرة عن حياته، التي هي من الشهرة بمكان؛ فلأجله أعرضنا عن هذا التفصيل اكتفاءٌ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لم اتعرّض لذكر حياة المقرر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اعتماداً على ما ورد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مباحث من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إفادات السيد المجدّد الشيرازي ، تقرير السيد إبراهيم الدامغاني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هنا أمور،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الكتاب إلى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في التحقيق</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نسبة الكتاب إلى السيد المجدّد فقد ذكر ذلك الآقا بزرك الطهراني في الذريعة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البيع الاستدلالي المبسوط مع بعض العبادات في مجلد كبير، للسيد إبراهيم الدامغاني، المتوفى في النجف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قدماء تلاميذ السيد المجدّد ميرزا محمد حسن الشيرازي في النجف سنين، وألّف هذا الكتاب من تقرير بحث أستاده المذكور</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ما ذكره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المخطوط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،هذا مجلّد من تقرير درس سيدنا الأستاذ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الميرزا، جمعها وألّفها السيد إبراهيم الدامغاني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أمرت بنسخها عن خطه، لكني لم أقابلها</w:t>
      </w:r>
      <w:r>
        <w:rPr>
          <w:rStyle w:val="FootnoteAnchor"/>
          <w:rtl w:val="true"/>
        </w:rPr>
        <w:footnoteReference w:id="17"/>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الأحقر حسن صدر الدين الموسوي العاملي الكاظمي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وصف المخطوط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نسخة وحيدة حصل عليها المركز من مؤسسة كاشف الغطاء محفوظة لديهم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مصورة عن نسخة السيد حسن صدر الدين الكاظمي المرقمة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AS75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وعليها مقابلة، كما أن بعض عناوينها كتبت بخط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جعلناها بين هلالين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يتكون المخطوط من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تقريباً، وكل صفحة تحتوي على ثمانية عشر سطراً تقريباً، وفي كل سطر عشر كلمات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خطها جيد مقروء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خالية من التلف، والتآكل، والخرم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في بعض سطورها بياض لكلمة أو اثنتين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تكمل مباحثَها يدُ ناسخها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عملنا في التحقيق، فهو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مقابلة الكلمات المنضدة مع المخطوط وضبط النص، وتقطيعه، ووضع علامات الترقيم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قمنا بوضع عناوين للمباحث المطروحة، وجعلناها بين قوسين معقوفتين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جعلنا العناوين التي كتبت بخط السيد حسن الصدر بين قوسين هلالين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المباحث المذكورة في الرسالة، كما أن له بعض التعليقات القليلة ادرجناها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تخريج الآيات القرآنية الكريمة والأحاديث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ووضعنا كلام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قوسين محدبين بوضع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فيما لو كان النقل بالنص، ومن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النقل بالمعنى مع كتابة كلمة ينظر في الهامش ؛ إشارة إلى النقل المعنوي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اقتصرنا في تخريج الأحاديث الشريفة على المصادر الأساسية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كالكافي لثقة الإسلام الكليني، ومن لا يحضره الفقيه للصدوق، والتهذيبين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أسرار 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الآراء الفقهية المنسوبة لأصحابها من علماء الفريقين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الكلمات الغريبة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وضعنا الكلمات التي نعتقد كونها الأنسب، أو الصحيح ذكرها، بين قوسين معقوفتين في المتن، وجعلنا كلمة المخطوط في الهامش ؛لاستقامة السياق وسلامته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قائمة بالمصادر والمراجع التي اعتمدنا عليها في التحقيق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ما كتبه السيد حسن صدر الدين الكاظمي على هذه النسخة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المخطوط </w:t>
      </w:r>
    </w:p>
    <w:p>
      <w:pPr>
        <w:pStyle w:val="BookText"/>
        <w:rPr/>
      </w:pPr>
      <w:r>
        <w:rPr>
          <w:rFonts w:ascii="Amiri" w:hAnsi="Amiri" w:eastAsia="Amiri" w:cs="Amiri"/>
          <w:color w:val="111111"/>
          <w:sz w:val="28"/>
          <w:sz w:val="28"/>
          <w:szCs w:val="28"/>
          <w:rtl w:val="true"/>
          <w:lang w:bidi="ar-SA"/>
        </w:rPr>
        <w:t>الصورة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المخطوط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ديوان الوقف الشرعي</w:t>
      </w:r>
    </w:p>
    <w:p>
      <w:pPr>
        <w:pStyle w:val="BookText"/>
        <w:rPr/>
      </w:pPr>
      <w:r>
        <w:rPr>
          <w:rFonts w:ascii="Amiri" w:hAnsi="Amiri" w:eastAsia="Amiri" w:cs="Amiri"/>
          <w:color w:val="111111"/>
          <w:sz w:val="28"/>
          <w:sz w:val="28"/>
          <w:szCs w:val="28"/>
          <w:rtl w:val="true"/>
          <w:lang w:bidi="ar-SA"/>
        </w:rPr>
        <w:t>العتبة العسكرية المقدسة</w:t>
      </w:r>
    </w:p>
    <w:p>
      <w:pPr>
        <w:pStyle w:val="BookText"/>
        <w:rPr/>
      </w:pPr>
      <w:r>
        <w:rPr>
          <w:rFonts w:ascii="IRNazanin" w:hAnsi="IRNazanin" w:eastAsia="IRNazanin"/>
          <w:color w:val="111111"/>
          <w:sz w:val="28"/>
          <w:sz w:val="28"/>
          <w:szCs w:val="28"/>
          <w:rtl w:val="true"/>
          <w:lang w:bidi="fa-IR"/>
        </w:rPr>
        <w:t>کتاب البیع</w:t>
      </w:r>
    </w:p>
    <w:p>
      <w:pPr>
        <w:pStyle w:val="BookText"/>
        <w:rPr/>
      </w:pPr>
      <w:r>
        <w:rPr>
          <w:rFonts w:ascii="Amiri" w:hAnsi="Amiri" w:eastAsia="Amiri" w:cs="Amiri"/>
          <w:color w:val="111111"/>
          <w:sz w:val="28"/>
          <w:sz w:val="28"/>
          <w:szCs w:val="28"/>
          <w:rtl w:val="true"/>
          <w:lang w:bidi="ar-SA"/>
        </w:rPr>
        <w:t>المشرفاوي</w:t>
      </w:r>
    </w:p>
    <w:p>
      <w:pPr>
        <w:pStyle w:val="BookText"/>
        <w:rPr/>
      </w:pPr>
      <w:r>
        <w:rPr>
          <w:rFonts w:ascii="Amiri" w:hAnsi="Amiri" w:eastAsia="Amiri" w:cs="Amiri"/>
          <w:color w:val="111111"/>
          <w:sz w:val="28"/>
          <w:sz w:val="28"/>
          <w:szCs w:val="28"/>
          <w:rtl w:val="true"/>
          <w:lang w:bidi="ar-SA"/>
        </w:rPr>
        <w:t xml:space="preserve">تقريرًا لبَحْثِ السَيِّدِ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 xml:space="preserve">العَلَامَة السيد إبراهيم الدامغانيّ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الشَيخ سَلَام مُحمَّد الناصِرِي</w:t>
      </w:r>
    </w:p>
    <w:p>
      <w:pPr>
        <w:pStyle w:val="BookText"/>
        <w:rPr/>
      </w:pPr>
      <w:r>
        <w:rPr>
          <w:rFonts w:ascii="Amiri" w:hAnsi="Amiri" w:eastAsia="Amiri" w:cs="Amiri"/>
          <w:color w:val="111111"/>
          <w:sz w:val="28"/>
          <w:sz w:val="28"/>
          <w:szCs w:val="28"/>
          <w:rtl w:val="true"/>
          <w:lang w:bidi="ar-SA"/>
        </w:rPr>
        <w:t>مُراجَعَة وتَدقِيق</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تراث السامراء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195_77017"/>
      <w:bookmarkStart w:id="16" w:name="pg9195_77017"/>
      <w:bookmarkEnd w:id="16"/>
    </w:p>
    <w:p>
      <w:pPr>
        <w:pStyle w:val="Heading2"/>
        <w:numPr>
          <w:ilvl w:val="1"/>
          <w:numId w:val="1"/>
        </w:numPr>
        <w:rPr/>
      </w:pPr>
      <w:bookmarkStart w:id="17" w:name="pg9195_77017"/>
      <w:bookmarkStart w:id="18" w:name="__RefHeading___Toc3921617_2870459653"/>
      <w:bookmarkStart w:id="19" w:name="_Toc5"/>
      <w:bookmarkEnd w:id="17"/>
      <w:bookmarkEnd w:id="18"/>
      <w:r>
        <w:rPr>
          <w:rtl w:val="true"/>
        </w:rPr>
        <w:t>کتاب البیع</w:t>
      </w:r>
      <w:bookmarkEnd w:id="19"/>
    </w:p>
    <w:p>
      <w:pPr>
        <w:pStyle w:val="Heading3"/>
        <w:numPr>
          <w:ilvl w:val="2"/>
          <w:numId w:val="1"/>
        </w:numPr>
        <w:rPr/>
      </w:pPr>
      <w:bookmarkStart w:id="20" w:name="__RefHeading___Toc3921619_2870459653"/>
      <w:bookmarkStart w:id="21" w:name="_Toc6"/>
      <w:bookmarkEnd w:id="20"/>
      <w:r>
        <w:rPr>
          <w:rtl w:val="true"/>
        </w:rPr>
        <w:t>إشارة</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کتاب البیع</w:t>
      </w:r>
    </w:p>
    <w:p>
      <w:p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 ولعنة الله على أعدائهم أجمعين، من الآن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البيع</w:t>
      </w:r>
    </w:p>
    <w:p>
      <w:pPr>
        <w:pStyle w:val="BookText"/>
        <w:rPr/>
      </w:pPr>
      <w:r>
        <w:rPr>
          <w:rFonts w:ascii="Amiri" w:hAnsi="Amiri" w:eastAsia="Amiri" w:cs="Amiri"/>
          <w:color w:val="111111"/>
          <w:sz w:val="28"/>
          <w:sz w:val="28"/>
          <w:szCs w:val="28"/>
          <w:rtl w:val="true"/>
          <w:lang w:bidi="ar-SA"/>
        </w:rPr>
        <w:t>ليس المُهم هنا بيان الهيئة التركيبية، ولكن لما كان البيع موضوعاً في الكتاب والسنّة لأحكام كثيرة مترتبة على البيع، فصار اللازم معرفة البيع أولاً، وتعريفه تارةً بذكر خواصه ولوازمه، وهو المعبّر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التعريف بالرسم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وأخرى ببيان مفهومه وحقيقته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بيان الأخير </w:t>
      </w:r>
      <w:r>
        <w:rPr>
          <w:rStyle w:val="FootnoteAnchor"/>
          <w:rtl w:val="true"/>
        </w:rPr>
        <w:footnoteReference w:id="18"/>
      </w:r>
      <w:r>
        <w:rPr>
          <w:rFonts w:ascii="IRNazanin" w:hAnsi="IRNazanin" w:eastAsia="IRNazanin"/>
          <w:color w:val="111111"/>
          <w:sz w:val="28"/>
          <w:sz w:val="28"/>
          <w:szCs w:val="28"/>
          <w:rtl w:val="true"/>
          <w:lang w:bidi="fa-IR"/>
        </w:rPr>
        <w:t xml:space="preserve">لعدم ارتفاع الإجمال عنه بالأول </w:t>
      </w:r>
      <w:r>
        <w:rPr>
          <w:rStyle w:val="FootnoteAnchor"/>
          <w:rtl w:val="true"/>
        </w:rPr>
        <w:footnoteReference w:id="19"/>
      </w:r>
      <w:r>
        <w:rPr>
          <w:rFonts w:ascii="Amiri" w:hAnsi="Amiri" w:eastAsia="Amiri" w:cs="Amiri"/>
          <w:color w:val="111111"/>
          <w:sz w:val="28"/>
          <w:sz w:val="28"/>
          <w:szCs w:val="28"/>
          <w:rtl w:val="true"/>
          <w:lang w:bidi="ar-SA"/>
        </w:rPr>
        <w:t xml:space="preserve">، مع كون المقصود معرفة البيع، والاكتفاء بالأول عند تعذّر الثاني </w:t>
      </w:r>
      <w:r>
        <w:rPr>
          <w:rStyle w:val="FootnoteAnchor"/>
          <w:rtl w:val="true"/>
        </w:rPr>
        <w:footnoteReference w:id="20"/>
      </w:r>
      <w:r>
        <w:rPr>
          <w:rFonts w:ascii="Amiri" w:hAnsi="Amiri" w:eastAsia="Amiri" w:cs="Amiri"/>
          <w:color w:val="111111"/>
          <w:sz w:val="28"/>
          <w:sz w:val="28"/>
          <w:szCs w:val="28"/>
          <w:rtl w:val="true"/>
          <w:lang w:bidi="ar-SA"/>
        </w:rPr>
        <w:t xml:space="preserve">، كالماهيات التي لم يُعلم حقيقتها أصلًا، فنقول حينئذٍ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الظاهر أنّ البيع ثابتٌ على معناه اللغوي، ولم يحصل له نقلٌ أصلاً، لا عند الشَّرْع، ولا عند المتشرعة، بل معناه من الشرع ما هو المعنى من اللغة، وهو معنى واحد، ويعبّر عنه بالفارسية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خريدن</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وليس له تعدّد حتّى يقصد واحدٌ شيئاً، ويُقصد آخر شيئاً آخر، وإنّما زاد له الشارع شرائط ؛ لتأثيره، والشرائط خارجة عن حقيقته، كما أنّ التقييد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داخلاً في مدلول لفظ البيع، حتّى يكون المطلق مستعملاً في المقيّد حتّى يكون مجازاً، بل </w:t>
      </w:r>
      <w:bookmarkStart w:id="22" w:name="pg9195_77018"/>
    </w:p>
    <w:p>
      <w:pPr>
        <w:pStyle w:val="BookText"/>
        <w:rPr/>
      </w:pPr>
      <w:bookmarkEnd w:id="22"/>
      <w:r>
        <w:rPr>
          <w:rFonts w:ascii="Amiri" w:hAnsi="Amiri" w:eastAsia="Amiri" w:cs="Amiri"/>
          <w:color w:val="111111"/>
          <w:sz w:val="28"/>
          <w:sz w:val="28"/>
          <w:szCs w:val="28"/>
          <w:rtl w:val="true"/>
          <w:lang w:bidi="ar-SA"/>
        </w:rPr>
        <w:t>استفيد الشرائط والتقييد بها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يتفاوت فيما ذكرنا كون اللفظ موضوعاً للصحيح أو للأعم؛ إذ يكون له في اللغة والعرف معنى صحيح ومعنى فاسد، وتفصيله يأتي إن شاء الله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3921621_2870459653"/>
      <w:bookmarkStart w:id="24" w:name="_Toc7"/>
      <w:bookmarkEnd w:id="23"/>
      <w:r>
        <w:rPr>
          <w:rtl w:val="true"/>
        </w:rPr>
        <w:t xml:space="preserve">[ </w:t>
      </w:r>
      <w:r>
        <w:rPr>
          <w:rtl w:val="true"/>
        </w:rPr>
        <w:t>تعريف البيع</w:t>
      </w:r>
      <w:r>
        <w:rPr>
          <w:rtl w:val="true"/>
        </w:rPr>
        <w:t>]</w:t>
      </w:r>
      <w:bookmarkEnd w:id="24"/>
    </w:p>
    <w:p>
      <w:pPr>
        <w:pStyle w:val="BookText"/>
        <w:rPr/>
      </w:pPr>
      <w:r>
        <w:rPr>
          <w:rFonts w:ascii="Amiri" w:hAnsi="Amiri" w:eastAsia="Amiri" w:cs="Amiri"/>
          <w:color w:val="111111"/>
          <w:sz w:val="28"/>
          <w:sz w:val="28"/>
          <w:szCs w:val="28"/>
          <w:rtl w:val="true"/>
          <w:lang w:bidi="ar-SA"/>
        </w:rPr>
        <w:t xml:space="preserve">هذا، ولكن يظهرُ من اختلاف العلماء في تعريف البيع، وتعريف كلٍ له بتعريف غير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المبسوط </w:t>
      </w:r>
      <w:r>
        <w:rPr>
          <w:rStyle w:val="FootnoteAnchor"/>
          <w:rtl w:val="true"/>
        </w:rPr>
        <w:footnoteReference w:id="23"/>
      </w:r>
      <w:r>
        <w:rPr>
          <w:rFonts w:ascii="Amiri" w:hAnsi="Amiri" w:eastAsia="Amiri" w:cs="Amiri"/>
          <w:color w:val="111111"/>
          <w:sz w:val="28"/>
          <w:sz w:val="28"/>
          <w:szCs w:val="28"/>
          <w:rtl w:val="true"/>
          <w:lang w:bidi="ar-SA"/>
        </w:rPr>
        <w:t xml:space="preserve">، والتذكرة </w:t>
      </w:r>
      <w:r>
        <w:rPr>
          <w:rStyle w:val="FootnoteAnchor"/>
          <w:rtl w:val="true"/>
        </w:rPr>
        <w:footnoteReference w:id="24"/>
      </w:r>
      <w:r>
        <w:rPr>
          <w:rFonts w:ascii="Amiri" w:hAnsi="Amiri" w:eastAsia="Amiri" w:cs="Amiri"/>
          <w:color w:val="111111"/>
          <w:sz w:val="28"/>
          <w:sz w:val="28"/>
          <w:szCs w:val="28"/>
          <w:rtl w:val="true"/>
          <w:lang w:bidi="ar-SA"/>
        </w:rPr>
        <w:t xml:space="preserve">، وغيرهما </w:t>
      </w:r>
      <w:r>
        <w:rPr>
          <w:rStyle w:val="FootnoteAnchor"/>
          <w:rtl w:val="true"/>
        </w:rPr>
        <w:footnoteReference w:id="25"/>
      </w:r>
      <w:r>
        <w:rPr>
          <w:rFonts w:ascii="Amiri" w:hAnsi="Amiri" w:eastAsia="Amiri" w:cs="Amiri"/>
          <w:color w:val="111111"/>
          <w:sz w:val="28"/>
          <w:sz w:val="28"/>
          <w:szCs w:val="28"/>
          <w:rtl w:val="true"/>
          <w:lang w:bidi="ar-SA"/>
        </w:rPr>
        <w:t xml:space="preserve">عرَّفه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عينٍ من شخص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بعوض مقدّر على وجه التراضي ، وعَدَلَ آخرون </w:t>
      </w:r>
      <w:r>
        <w:rPr>
          <w:rStyle w:val="FootnoteAnchor"/>
          <w:rtl w:val="true"/>
        </w:rPr>
        <w:footnoteReference w:id="26"/>
      </w:r>
      <w:r>
        <w:rPr>
          <w:rFonts w:ascii="Amiri" w:hAnsi="Amiri" w:eastAsia="Amiri" w:cs="Amiri"/>
          <w:color w:val="111111"/>
          <w:sz w:val="28"/>
          <w:sz w:val="28"/>
          <w:szCs w:val="28"/>
          <w:rtl w:val="true"/>
          <w:lang w:bidi="ar-SA"/>
        </w:rPr>
        <w:t xml:space="preserve">إلى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بالإيجاب والقبول الدالين على الانتقال، وبعض آخر </w:t>
      </w:r>
      <w:r>
        <w:rPr>
          <w:rStyle w:val="FootnoteAnchor"/>
          <w:rtl w:val="true"/>
        </w:rPr>
        <w:footnoteReference w:id="27"/>
      </w:r>
      <w:r>
        <w:rPr>
          <w:rFonts w:ascii="Amiri" w:hAnsi="Amiri" w:eastAsia="Amiri" w:cs="Amiri"/>
          <w:color w:val="111111"/>
          <w:sz w:val="28"/>
          <w:sz w:val="28"/>
          <w:szCs w:val="28"/>
          <w:rtl w:val="true"/>
          <w:lang w:bidi="ar-SA"/>
        </w:rPr>
        <w:t xml:space="preserve">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نقل العين بالصيغة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غَرَضَ جميعهم الكشف عن المعنى العرفي، لكن اختلافهم في الكاشف، ويمكن أن يكون غرضهم هو الكشف عن المعنى الحقيقي العرفي، وذِكر بعض الشرائط للتأثير </w:t>
      </w:r>
      <w:r>
        <w:rPr>
          <w:rStyle w:val="FootnoteAnchor"/>
          <w:rtl w:val="true"/>
        </w:rPr>
        <w:footnoteReference w:id="28"/>
      </w:r>
      <w:r>
        <w:rPr>
          <w:rFonts w:ascii="Amiri" w:hAnsi="Amiri" w:eastAsia="Amiri" w:cs="Amiri"/>
          <w:color w:val="111111"/>
          <w:sz w:val="28"/>
          <w:sz w:val="28"/>
          <w:szCs w:val="28"/>
          <w:rtl w:val="true"/>
          <w:lang w:bidi="ar-SA"/>
        </w:rPr>
        <w:t>على أنها داخلة في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لغةً كذا، أو شرعاً كذا، يعني المفهوم المشتمل على الشرائط كذا ، فهو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بعض الأفاضل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وما ذكره الشيخ الأعظم في المكاسب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قريب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تمليك عين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لم يعبّر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سيأتي في مباحث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الأعظم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الأفاضل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إنشاء تمليك مال بمال،</w:t>
      </w:r>
    </w:p>
    <w:p>
      <w:pPr>
        <w:pStyle w:val="BookText"/>
        <w:rPr/>
      </w:pPr>
      <w:r>
        <w:rPr>
          <w:rFonts w:ascii="Amiri" w:hAnsi="Amiri" w:eastAsia="Amiri" w:cs="Amiri"/>
          <w:color w:val="111111"/>
          <w:sz w:val="28"/>
          <w:sz w:val="28"/>
          <w:szCs w:val="28"/>
          <w:rtl w:val="true"/>
          <w:lang w:bidi="ar-SA"/>
        </w:rPr>
        <w:t>على ما يظهر ذلك من كلام بعض أهل اللغة كصاحب المصباح</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الظاهر أنَّ الظاهر </w:t>
      </w:r>
      <w:r>
        <w:rPr>
          <w:rStyle w:val="FootnoteAnchor"/>
          <w:rtl w:val="true"/>
        </w:rPr>
        <w:footnoteReference w:id="31"/>
      </w:r>
      <w:r>
        <w:rPr>
          <w:rFonts w:ascii="Amiri" w:hAnsi="Amiri" w:eastAsia="Amiri" w:cs="Amiri"/>
          <w:color w:val="111111"/>
          <w:sz w:val="28"/>
          <w:sz w:val="28"/>
          <w:szCs w:val="28"/>
          <w:rtl w:val="true"/>
          <w:lang w:bidi="ar-SA"/>
        </w:rPr>
        <w:t>من البيع ليس هو مطلق التمليك بالعوض حتّى يشمل مطلق المعاوضة، بل هو عبارة عن تمليك شيءٍ بشيءٍ آخر على أن يكون الآخر قيمة له، وفرعاً له، ويكون الشيء الأول مأخوذاً على نحو الأصالة، والآخر على وجه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من البيع حقيقةً تقوّم الشيء، وجعل الآخر وأخذه على وجه البيعية والثمنية، كما أنَّ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 لكن على وجه الثمنية والقيميّة، كما هو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التعريف، كما يظهر من قول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تعيين المشتري في بيع الحيوان بالحيوان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المشتري ما يكون مالكاً لما يكون مدخولاً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هل يمكن تعقّل مفهوم عام يشمل البيع وغيره حتّى تكون المعاوضة مطلقة، ولا يتعلّق الغرض بكون أحدها أصلاً والآخر قيمة وفرعاً، بل تعلّق الغرض بمعاوضتهما على حدٍّ سواء، حتّى أنه لو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ولا يكون أحدهما مُقدَّماً في القول على الآخر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التقديم يعيّن كون المدخول فرعاً وغيره أصلاً، فكذا المقدَّم مبيعاً، بأن وكّلا شخصاً آخر بإجراء صيغة المعاوضة بين اثنين، فيقول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التعويض بين الكتاب وكتاب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مشكوكاً في دخوله في إحدى المعاوضات، أو يلحق بالبيع؛ لكونه الأصل في المعاوضات؟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تعقّل ذلك المفهوم المطلق</w:t>
      </w:r>
      <w:r>
        <w:rPr>
          <w:rFonts w:eastAsia="Amiri" w:cs="Amiri" w:ascii="Amiri" w:hAnsi="Amiri"/>
          <w:color w:val="111111"/>
          <w:sz w:val="28"/>
          <w:szCs w:val="28"/>
          <w:rtl w:val="true"/>
          <w:lang w:bidi="ar-SA"/>
        </w:rPr>
        <w:t xml:space="preserve">. </w:t>
      </w:r>
      <w:bookmarkStart w:id="25" w:name="pg9195_77020"/>
    </w:p>
    <w:p>
      <w:pPr>
        <w:pStyle w:val="Heading3"/>
        <w:numPr>
          <w:ilvl w:val="2"/>
          <w:numId w:val="1"/>
        </w:numPr>
        <w:rPr/>
      </w:pPr>
      <w:bookmarkStart w:id="26" w:name="__RefHeading___Toc3921623_2870459653"/>
      <w:bookmarkStart w:id="27" w:name="_Toc8"/>
      <w:bookmarkEnd w:id="25"/>
      <w:bookmarkEnd w:id="26"/>
      <w:r>
        <w:rPr>
          <w:rtl w:val="true"/>
        </w:rPr>
        <w:t xml:space="preserve">[ </w:t>
      </w:r>
      <w:r>
        <w:rPr>
          <w:rtl w:val="true"/>
        </w:rPr>
        <w:t xml:space="preserve">الحقيقية الشرعيّة أو المتشرعيّة للبيع </w:t>
      </w:r>
      <w:r>
        <w:rPr>
          <w:rtl w:val="true"/>
        </w:rPr>
        <w:t>]</w:t>
      </w:r>
      <w:bookmarkEnd w:id="27"/>
    </w:p>
    <w:p>
      <w:pPr>
        <w:pStyle w:val="BookText"/>
        <w:rPr/>
      </w:pPr>
      <w:r>
        <w:rPr>
          <w:rFonts w:ascii="Amiri" w:hAnsi="Amiri" w:eastAsia="Amiri" w:cs="Amiri"/>
          <w:color w:val="111111"/>
          <w:sz w:val="28"/>
          <w:sz w:val="28"/>
          <w:szCs w:val="28"/>
          <w:rtl w:val="true"/>
          <w:lang w:bidi="ar-SA"/>
        </w:rPr>
        <w:t xml:space="preserve">والحاصل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ليس له حقيقة شرعيّة ولا متشرعيّة، بل هو باقٍ على معناه اللغوي؛ لأنا لا نفهم من مفهومه سوى التمليك على وجه مخصوص، مضافاً إلى أصالة عدم النقل، وتصريح المحققين </w:t>
      </w:r>
      <w:r>
        <w:rPr>
          <w:rStyle w:val="FootnoteAnchor"/>
          <w:rtl w:val="true"/>
        </w:rPr>
        <w:footnoteReference w:id="33"/>
      </w:r>
      <w:r>
        <w:rPr>
          <w:rFonts w:ascii="Amiri" w:hAnsi="Amiri" w:eastAsia="Amiri" w:cs="Amiri"/>
          <w:color w:val="111111"/>
          <w:sz w:val="28"/>
          <w:sz w:val="28"/>
          <w:szCs w:val="28"/>
          <w:rtl w:val="true"/>
          <w:lang w:bidi="ar-SA"/>
        </w:rPr>
        <w:t xml:space="preserve">به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العرف العام مع اللغة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921625_2870459653"/>
      <w:bookmarkStart w:id="29" w:name="_Toc9"/>
      <w:bookmarkEnd w:id="28"/>
      <w:r>
        <w:rPr>
          <w:rtl w:val="true"/>
        </w:rPr>
        <w:t xml:space="preserve">[ </w:t>
      </w:r>
      <w:r>
        <w:rPr>
          <w:rtl w:val="true"/>
        </w:rPr>
        <w:t>شرح المعنى الاسمي للبيع</w:t>
      </w:r>
      <w:r>
        <w:rPr>
          <w:rtl w:val="true"/>
        </w:rPr>
        <w:t>]</w:t>
      </w:r>
      <w:bookmarkEnd w:id="29"/>
    </w:p>
    <w:p>
      <w:pPr>
        <w:pStyle w:val="BookText"/>
        <w:rPr/>
      </w:pPr>
      <w:r>
        <w:rPr>
          <w:rFonts w:ascii="Amiri" w:hAnsi="Amiri" w:eastAsia="Amiri" w:cs="Amiri"/>
          <w:color w:val="111111"/>
          <w:sz w:val="28"/>
          <w:sz w:val="28"/>
          <w:szCs w:val="28"/>
          <w:rtl w:val="true"/>
          <w:lang w:bidi="ar-SA"/>
        </w:rPr>
        <w:t xml:space="preserve">وليس المراد بتعريف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ماهية البيع وحقيقته، بل المراد شرحه بحسب المفهوم بألفاظ مرادفة له، ففي الحقيقة بيان ما وضع له لفظ البيع بلفظ آخر، كالتعريف اللفظي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سعدانة 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أنَّ الموضوع له حقيقته أيُّ شيء، فلا يكون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معنى متعلّق بالبائع خاصة، وهو التمليك على نحو مخصوص كما ذكرنا، لا على سبيل الإطلاق المتعلّق بكل من المتعاوضين</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921627_2870459653"/>
      <w:bookmarkStart w:id="31" w:name="_Toc10"/>
      <w:bookmarkEnd w:id="30"/>
      <w:r>
        <w:rPr>
          <w:rtl w:val="true"/>
        </w:rPr>
        <w:t>[</w:t>
      </w:r>
      <w:r>
        <w:rPr>
          <w:rtl w:val="true"/>
        </w:rPr>
        <w:t>إيرادات على تعريف البيع</w:t>
      </w:r>
      <w:r>
        <w:rPr>
          <w:rtl w:val="true"/>
        </w:rPr>
        <w:t>]</w:t>
      </w:r>
      <w:bookmarkEnd w:id="31"/>
    </w:p>
    <w:p>
      <w:pPr>
        <w:pStyle w:val="BookText"/>
        <w:rPr/>
      </w:pPr>
      <w:r>
        <w:rPr>
          <w:rFonts w:ascii="Amiri" w:hAnsi="Amiri" w:eastAsia="Amiri" w:cs="Amiri"/>
          <w:color w:val="111111"/>
          <w:sz w:val="28"/>
          <w:sz w:val="28"/>
          <w:szCs w:val="28"/>
          <w:rtl w:val="true"/>
          <w:lang w:bidi="ar-SA"/>
        </w:rPr>
        <w:t xml:space="preserve">ومن هنا ظهر فساد ما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مبادلة مال بمال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المبادلة قائمةٌ بالطرفين لا بالبائع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ظهر فساد ما ذكره بعضٌ آخر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الإيجاب والقبول الدالان على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وجهين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جعله من مقولة اللفظ، حيث فسّره بالإيجاب والقبول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قائمٌ بشخص واحد، لا متعلّق بشخصين، والإيجاب والقبول قائمان بالبائع </w:t>
      </w:r>
    </w:p>
    <w:p>
      <w:pPr>
        <w:pStyle w:val="BookText"/>
        <w:rPr/>
      </w:pPr>
      <w:r>
        <w:rPr>
          <w:rFonts w:ascii="Amiri" w:hAnsi="Amiri" w:eastAsia="Amiri" w:cs="Amiri"/>
          <w:color w:val="111111"/>
          <w:sz w:val="28"/>
          <w:sz w:val="28"/>
          <w:szCs w:val="28"/>
          <w:rtl w:val="true"/>
          <w:lang w:bidi="ar-SA"/>
        </w:rPr>
        <w:t>والمشتري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كلام من فسّره بالانتقال</w:t>
      </w:r>
      <w:r>
        <w:rPr>
          <w:rStyle w:val="FootnoteAnchor"/>
          <w:rtl w:val="true"/>
        </w:rPr>
        <w:footnoteReference w:id="36"/>
      </w:r>
      <w:r>
        <w:rPr>
          <w:rFonts w:ascii="Amiri" w:hAnsi="Amiri" w:eastAsia="Amiri" w:cs="Amiri"/>
          <w:color w:val="111111"/>
          <w:sz w:val="28"/>
          <w:sz w:val="28"/>
          <w:szCs w:val="28"/>
          <w:rtl w:val="true"/>
          <w:lang w:bidi="ar-SA"/>
        </w:rPr>
        <w:t>، من وجهين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أفعال البائع، وليس الانتقال كذلك، بل هو الأثر الحاصل 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بشخصين،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أثرُ فعلهما، وإلا فليس قائماً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ذكرنا من كونه من مقولة المعنى، وفعلاً متعلّقاً بالبائع، عَدَلَ المحقق الكركي في شرحه على القواعد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الملكِ من مالك إلى غيره بصفة مخصوصة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فالمحقق المذكور وإن أصاب في جعله من مقولة المعنى، الذي يكون متعلّقاً بالبائع، لكن أخطأ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النقل ليس مرادفاً؛ إذ هو نقل الشيء من مكان إلى مكان آخر، وهذا مفهوم غير مفهوم البيع؛ إذ هو التمليك، وإن كان لازمه النقل في نقل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مفهوم النقل في بيع الكلّي، الذي لم يكن البائع مالكاً له بالفعل؛ إذ ليس عند البائع شيء موجود، بل هو معدوم فعلاً، والنقل إنّما هو في الموجود، خصوصاً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هو ظاهر في المالك الفعلي، ولا يرد ذلك على كونه بمعنى التمليك؛ إذ لا يلزم فيه وجود الشيء فعلاً، بل يُمَلِّكُ البائع المشتري ثمن الكلي على عهدته وذمّته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بالنقل، هو النقل على تقدير الوجود مع التمليك فعلاً، فيرد عليه المحذور الأول</w:t>
      </w:r>
      <w:r>
        <w:rPr>
          <w:rFonts w:eastAsia="Amiri" w:cs="Amiri" w:ascii="Amiri" w:hAnsi="Amiri"/>
          <w:color w:val="111111"/>
          <w:sz w:val="28"/>
          <w:szCs w:val="28"/>
          <w:rtl w:val="true"/>
          <w:lang w:bidi="ar-SA"/>
        </w:rPr>
        <w:t xml:space="preserve">. </w:t>
      </w:r>
      <w:bookmarkStart w:id="32" w:name="pg9195_77022"/>
    </w:p>
    <w:p>
      <w:pPr>
        <w:pStyle w:val="Heading3"/>
        <w:numPr>
          <w:ilvl w:val="2"/>
          <w:numId w:val="1"/>
        </w:numPr>
        <w:rPr/>
      </w:pPr>
      <w:bookmarkStart w:id="33" w:name="__RefHeading___Toc3921629_2870459653"/>
      <w:bookmarkStart w:id="34" w:name="_Toc11"/>
      <w:bookmarkEnd w:id="32"/>
      <w:bookmarkEnd w:id="33"/>
      <w:r>
        <w:rPr>
          <w:rtl w:val="true"/>
        </w:rPr>
        <w:t xml:space="preserve">[ </w:t>
      </w:r>
      <w:r>
        <w:rPr>
          <w:rtl w:val="true"/>
        </w:rPr>
        <w:t>تعريف البيع عند المصنّف</w:t>
      </w:r>
      <w:r>
        <w:rPr>
          <w:rtl w:val="true"/>
        </w:rPr>
        <w:t>]</w:t>
      </w:r>
      <w:bookmarkEnd w:id="34"/>
    </w:p>
    <w:p>
      <w:pPr>
        <w:pStyle w:val="BookText"/>
        <w:rPr/>
      </w:pPr>
      <w:r>
        <w:rPr>
          <w:rFonts w:ascii="Amiri" w:hAnsi="Amiri" w:eastAsia="Amiri" w:cs="Amiri"/>
          <w:color w:val="111111"/>
          <w:sz w:val="28"/>
          <w:sz w:val="28"/>
          <w:szCs w:val="28"/>
          <w:rtl w:val="true"/>
          <w:lang w:bidi="ar-SA"/>
        </w:rPr>
        <w:t xml:space="preserve">فالأولى أن يُعَرَّف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مالٍ بعوضٍ على وجه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حاجة إلى زيادة قيد الإنشاء؛ إذ هو ثابت في التمليك، ويكون أعم من أن يكون بالفعل كما في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الحق من كونها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يكون بالقول كما في غيرها</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921631_2870459653"/>
      <w:bookmarkStart w:id="36" w:name="_Toc12"/>
      <w:bookmarkEnd w:id="35"/>
      <w:r>
        <w:rPr>
          <w:rtl w:val="true"/>
        </w:rPr>
        <w:t xml:space="preserve">[ </w:t>
      </w:r>
      <w:r>
        <w:rPr>
          <w:rtl w:val="true"/>
        </w:rPr>
        <w:t>معنى المال في تعريف البيع</w:t>
      </w:r>
      <w:r>
        <w:rPr>
          <w:rtl w:val="true"/>
        </w:rPr>
        <w:t>]</w:t>
      </w:r>
      <w:bookmarkEnd w:id="36"/>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العين المقابلة للمنفعة والحقوق لإجماعهم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الثمن في البيع لا بُدَّ أن يكون عيناً </w:t>
      </w:r>
      <w:r>
        <w:rPr>
          <w:rStyle w:val="FootnoteAnchor"/>
          <w:rtl w:val="true"/>
        </w:rPr>
        <w:footnoteReference w:id="38"/>
      </w:r>
      <w:r>
        <w:rPr>
          <w:rFonts w:ascii="Amiri" w:hAnsi="Amiri" w:eastAsia="Amiri" w:cs="Amiri"/>
          <w:color w:val="111111"/>
          <w:sz w:val="28"/>
          <w:sz w:val="28"/>
          <w:szCs w:val="28"/>
          <w:rtl w:val="true"/>
          <w:lang w:bidi="ar-SA"/>
        </w:rPr>
        <w:t>، ومن هنا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لنقل الأعيان</w:t>
      </w:r>
      <w:r>
        <w:rPr>
          <w:rStyle w:val="FootnoteAnchor"/>
          <w:rtl w:val="true"/>
        </w:rPr>
        <w:footnoteReference w:id="39"/>
      </w:r>
      <w:r>
        <w:rPr>
          <w:rFonts w:ascii="Amiri" w:hAnsi="Amiri" w:eastAsia="Amiri" w:cs="Amiri"/>
          <w:color w:val="111111"/>
          <w:sz w:val="28"/>
          <w:sz w:val="28"/>
          <w:szCs w:val="28"/>
          <w:rtl w:val="true"/>
          <w:lang w:bidi="ar-SA"/>
        </w:rPr>
        <w:t>، لا العين الخارجية الذي يكون في مقابل الكلّي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أن يكون عوضاً في مقام الجعل والتمليك، أو يكون لازم التمليك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 تمليك، لكن لا على سبيل المجانيّة، ولازمه الإغرام عند التلف، فیصدق أنه تمليك مال بعوض، فيخرج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الأخير، وهو أن يكون تمليك المال بالعوض على نحو المعاوضة؛ لأنَّه ليس تمليكاً على وجه المعاوضة، بحيث تكون المعاوضة ملحوظة حين التمليك، بل تمليك خاص لازمه ثبوت العوض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إنا قد ذكرنا قُبيل هذا عدم الحاجة إلى قيد الإنشاء في التعريف؛ لتضمنه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التمليك هو إيجاد الشيء وحصوله في الخارج، نظير الكسر ،ففي الحقيقة هو التمليك من البائع مع حصوله له في الخارج</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يُقال للتمليك الذي لا يتعقبه القبول، أو الشرائط التي لا يتحقق بدونها الملك في الخارج إنّه ملّكَهُ البائع؛ فالتمليك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التسليط مع حصول الملك في الخارج، وهو لا يكون </w:t>
      </w:r>
      <w:bookmarkStart w:id="37" w:name="pg9195_77023"/>
    </w:p>
    <w:p>
      <w:pPr>
        <w:pStyle w:val="BookText"/>
        <w:rPr/>
      </w:pPr>
      <w:bookmarkEnd w:id="37"/>
      <w:r>
        <w:rPr>
          <w:rFonts w:ascii="Amiri" w:hAnsi="Amiri" w:eastAsia="Amiri" w:cs="Amiri"/>
          <w:color w:val="111111"/>
          <w:sz w:val="28"/>
          <w:sz w:val="28"/>
          <w:szCs w:val="28"/>
          <w:rtl w:val="true"/>
          <w:lang w:bidi="ar-SA"/>
        </w:rPr>
        <w:t>إلا في البيع الذي يكون مقترناً بالقبول وجميع الشرائط، وهو ليس معنى البيع، بل البيع عبارة عن نفس إنشاء التمليك، سواء تعقبه القبول والشرائط الأخر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فاللّازم تفسيره بإنشاء التمليك؛ إذ البائع ينشئ التمليك، لكن يترتب عليه الملكيّة في بعض الأوقات</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3921633_2870459653"/>
      <w:bookmarkStart w:id="39" w:name="_Toc13"/>
      <w:bookmarkEnd w:id="38"/>
      <w:r>
        <w:rPr>
          <w:rtl w:val="true"/>
        </w:rPr>
        <w:t>(</w:t>
      </w:r>
      <w:r>
        <w:rPr>
          <w:rtl w:val="true"/>
        </w:rPr>
        <w:t>في أنه هل يعتبر في البيع صيغة خاصة أم لا؟</w:t>
      </w:r>
      <w:r>
        <w:rPr>
          <w:rtl w:val="true"/>
        </w:rPr>
        <w:t>)</w:t>
      </w:r>
      <w:bookmarkEnd w:id="39"/>
    </w:p>
    <w:p>
      <w:pPr>
        <w:pStyle w:val="BookText"/>
        <w:rPr/>
      </w:pPr>
      <w:r>
        <w:rPr>
          <w:rFonts w:ascii="Amiri" w:hAnsi="Amiri" w:eastAsia="Amiri" w:cs="Amiri"/>
          <w:color w:val="111111"/>
          <w:sz w:val="28"/>
          <w:sz w:val="28"/>
          <w:szCs w:val="28"/>
          <w:rtl w:val="true"/>
          <w:lang w:bidi="ar-SA"/>
        </w:rPr>
        <w:t xml:space="preserve">فنقول قبل الخوض في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هو مقتضى القاعدة الأولية المستفادة من الإطلاقات الواردة في المقام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الإغماض عما ذكرنا من الخدشة في أوائل المعاطاة</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حليّة جميع أفراد البيع العرفي، سواء كان بالفعل أو القول، سواء كان القول جامعاً للشرائط أم لا ، وكذلك مقتضى عموم الوفاء بها بكلّ عقد صحةُ جميع العقود ولزومها، سواء كان بالفعل أو القول الخاص، أو غيره من مطلق القول؛ لأنَّ المراد مطلق العهد أولاً، فيشمل جميع العهود، وكذا على تقدير كونه العهد المشدّد؛ لأنَّ تشديده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تأكيده بالقسم، وبإقامة الشاهد عليه، أو تأكيده باعتبار لفظ لا يكون معرضاً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لا يدل على اعتبار الصيغة الخاصة، ويكون مطلقاً من هذه الجهة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وغير ذلك مما ذكرنا سابقاً</w:t>
      </w:r>
      <w:r>
        <w:rPr>
          <w:rStyle w:val="FootnoteAnchor"/>
          <w:rtl w:val="true"/>
        </w:rPr>
        <w:footnoteReference w:id="46"/>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الإطلاقات الدالة على حصول الملكيّة مطلقاً، واللزوم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ما ذكرنا عدم اعتبار شيء في حصول الملكيّة واللزوم من اللفظ المخصوص، بل مطلق اللفظ كما يدل عليه بعضها كالأول ،والثالث، والاحتمال الأول والثاني من الثالث ولا مانع من مقتضى الإطلاق إلا الخبر الذي ذكرنا سابقاً</w:t>
      </w:r>
      <w:r>
        <w:rPr>
          <w:rStyle w:val="FootnoteAnchor"/>
          <w:rtl w:val="true"/>
        </w:rPr>
        <w:footnoteReference w:id="47"/>
      </w:r>
      <w:r>
        <w:rPr>
          <w:rFonts w:ascii="IRNazanin" w:hAnsi="IRNazanin" w:eastAsia="IRNazanin"/>
          <w:color w:val="111111"/>
          <w:sz w:val="28"/>
          <w:sz w:val="28"/>
          <w:szCs w:val="28"/>
          <w:rtl w:val="true"/>
          <w:lang w:bidi="fa-IR"/>
        </w:rPr>
        <w:t>، وقد عرفت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وقيام الإجماع على اعتبار اللفظ المخصوص في اللزوم،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أشدّ المنع، بل لو سلّم الإجماع فإنّما هو على اعتبار مطلق اللفظ في اللزوم؛ لعدم الدليل على رفع اليد عن مقتضى أصالة اللزوم إلا بهذا القدر، فحينئذٍ فلا ثمرة لنا من التكلّم في الصيغة الخاصة وشروطها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ادُّعي إجماع على اعتبار الصيغ الخاصة، فإن كان له قادح فلا يثبت به شيء، وأمّا لو لم يكن له قادحٌ من دعوى خلافه، فيؤخذ به، فحينئذٍ نتكلّم في الصيغ والشروط المعتبرة فيها على سبيل المماشاة إجمالاً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الإجماع على اعتبار اللفظ أو الصيغة الخاصة في اللزوم، إنما هو عند التمكن منه والقدرة عليه، وأمّا في صورة العجز عنه فلا يشترط إجماعاً </w:t>
      </w:r>
      <w:r>
        <w:rPr>
          <w:rStyle w:val="FootnoteAnchor"/>
          <w:rtl w:val="true"/>
        </w:rPr>
        <w:footnoteReference w:id="48"/>
      </w:r>
      <w:r>
        <w:rPr>
          <w:rFonts w:ascii="Amiri" w:hAnsi="Amiri" w:eastAsia="Amiri" w:cs="Amiri"/>
          <w:color w:val="111111"/>
          <w:sz w:val="28"/>
          <w:sz w:val="28"/>
          <w:szCs w:val="28"/>
          <w:rtl w:val="true"/>
          <w:lang w:bidi="ar-SA"/>
        </w:rPr>
        <w:t>، كالأخرس، فتقوم إشارته مقام اللفظ في كونه لازماً</w:t>
      </w:r>
      <w:r>
        <w:rPr>
          <w:rFonts w:eastAsia="Amiri" w:cs="Amiri" w:ascii="Amiri" w:hAnsi="Amiri"/>
          <w:color w:val="111111"/>
          <w:sz w:val="28"/>
          <w:szCs w:val="28"/>
          <w:rtl w:val="true"/>
          <w:lang w:bidi="ar-SA"/>
        </w:rPr>
        <w:t xml:space="preserve">. </w:t>
      </w:r>
      <w:bookmarkStart w:id="40" w:name="pg9195_77025"/>
    </w:p>
    <w:p>
      <w:pPr>
        <w:pStyle w:val="Heading3"/>
        <w:numPr>
          <w:ilvl w:val="2"/>
          <w:numId w:val="1"/>
        </w:numPr>
        <w:rPr/>
      </w:pPr>
      <w:bookmarkStart w:id="41" w:name="__RefHeading___Toc3921635_2870459653"/>
      <w:bookmarkStart w:id="42" w:name="_Toc14"/>
      <w:bookmarkEnd w:id="40"/>
      <w:bookmarkEnd w:id="41"/>
      <w:r>
        <w:rPr>
          <w:rtl w:val="true"/>
        </w:rPr>
        <w:t xml:space="preserve">( </w:t>
      </w:r>
      <w:r>
        <w:rPr>
          <w:rtl w:val="true"/>
        </w:rPr>
        <w:t>فی عقد الأخرس</w:t>
      </w:r>
      <w:r>
        <w:rPr>
          <w:rtl w:val="true"/>
        </w:rPr>
        <w:t>)</w:t>
      </w:r>
      <w:bookmarkEnd w:id="42"/>
    </w:p>
    <w:p>
      <w:pPr>
        <w:pStyle w:val="BookText"/>
        <w:rPr/>
      </w:pPr>
      <w:r>
        <w:rPr>
          <w:rFonts w:ascii="Amiri" w:hAnsi="Amiri" w:eastAsia="Amiri" w:cs="Amiri"/>
          <w:color w:val="111111"/>
          <w:sz w:val="28"/>
          <w:sz w:val="28"/>
          <w:szCs w:val="28"/>
          <w:rtl w:val="true"/>
          <w:lang w:bidi="ar-SA"/>
        </w:rPr>
        <w:t>إلا أنّ هنا كلامين لا بأس بالإشارة إليهما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إشارة الأخرس تقوم مقام اللفظ مطلقاً، حتّى مع التمكّن من التوكيل أو لا، بل يشترط في قيامها مقامه عدم التمكّن من التوكيل ؟</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ما ذكرنا </w:t>
      </w:r>
      <w:r>
        <w:rPr>
          <w:rStyle w:val="FootnoteAnchor"/>
          <w:rtl w:val="true"/>
        </w:rPr>
        <w:footnoteReference w:id="49"/>
      </w:r>
      <w:r>
        <w:rPr>
          <w:rFonts w:ascii="Amiri" w:hAnsi="Amiri" w:eastAsia="Amiri" w:cs="Amiri"/>
          <w:color w:val="111111"/>
          <w:sz w:val="28"/>
          <w:sz w:val="28"/>
          <w:szCs w:val="28"/>
          <w:rtl w:val="true"/>
          <w:lang w:bidi="ar-SA"/>
        </w:rPr>
        <w:t xml:space="preserve">من مقتضى القواعد الأولية هو عدم اعتبار اللفظ مطلقاً، خَرَجَ منه صورة القدرة على مباشرة اللفظ بالإجماع </w:t>
      </w:r>
      <w:r>
        <w:rPr>
          <w:rStyle w:val="FootnoteAnchor"/>
          <w:rtl w:val="true"/>
        </w:rPr>
        <w:footnoteReference w:id="50"/>
      </w:r>
      <w:r>
        <w:rPr>
          <w:rFonts w:ascii="Amiri" w:hAnsi="Amiri" w:eastAsia="Amiri" w:cs="Amiri"/>
          <w:color w:val="111111"/>
          <w:sz w:val="28"/>
          <w:sz w:val="28"/>
          <w:szCs w:val="28"/>
          <w:rtl w:val="true"/>
          <w:lang w:bidi="ar-SA"/>
        </w:rPr>
        <w:t>، ولا دليل على رفع اليد عن مقتضى الإطلاقات في صورة العجز عن اللفظ ، ولا إجماع حتّى في هذا المقام حتّى يقال بعدم قيام الإشارة مقامه إلا مع العجز عنه بالكلية مباشرةً واستنابةً، فتقوم الإشارة مقام اللفظ حتّى مع القدرة على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الاستكشاف من قولهم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 اللفظ إلا مع العجز عنه</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هو ثبوت المقتضي لاعتبار اللفظ عندهم كليّةً حتّى في مورد العجز أيضاً، إلّا أنّ العجز صار سبباً لرفع اليد عن اقتضائه، فإذا كان المقتضي ثابتاً مطلقاً لا بُدَّ في رفع اليد عنه من الاقتصار على القدر المتيقن من كونه مخصصاً ومانعاً، وهو صورة العجز بالكلية، وهي صورة عدم القدرة على الإنشاء باللفظ مطلقاً حتّى بالاستنابة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لم يقم إجماع أو دليل على كفاية الإشارة مطلقاً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يبعد ثبوت الإجماع على ذلك، والدليل أيضاً، وهو فحوى ما ورد من كفاية الإشارة في الطلاق </w:t>
      </w:r>
      <w:r>
        <w:rPr>
          <w:rStyle w:val="FootnoteAnchor"/>
          <w:rtl w:val="true"/>
        </w:rPr>
        <w:footnoteReference w:id="52"/>
      </w:r>
      <w:r>
        <w:rPr>
          <w:rFonts w:ascii="Amiri" w:hAnsi="Amiri" w:eastAsia="Amiri" w:cs="Amiri"/>
          <w:color w:val="111111"/>
          <w:sz w:val="28"/>
          <w:sz w:val="28"/>
          <w:szCs w:val="28"/>
          <w:rtl w:val="true"/>
          <w:lang w:bidi="ar-SA"/>
        </w:rPr>
        <w:t xml:space="preserve">؛ لأنّ حملَه على صورة العجز عن التوكيل حمل على الفرد النادر </w:t>
      </w:r>
      <w:r>
        <w:rPr>
          <w:rFonts w:eastAsia="Amiri" w:cs="Amiri" w:ascii="Amiri" w:hAnsi="Amiri"/>
          <w:color w:val="111111"/>
          <w:sz w:val="28"/>
          <w:szCs w:val="28"/>
          <w:rtl w:val="true"/>
          <w:lang w:bidi="ar-SA"/>
        </w:rPr>
        <w:t xml:space="preserve">. </w:t>
      </w:r>
      <w:bookmarkStart w:id="43" w:name="pg9195_77026"/>
    </w:p>
    <w:p>
      <w:pPr>
        <w:pStyle w:val="Heading3"/>
        <w:numPr>
          <w:ilvl w:val="2"/>
          <w:numId w:val="1"/>
        </w:numPr>
        <w:rPr/>
      </w:pPr>
      <w:bookmarkStart w:id="44" w:name="__RefHeading___Toc3921637_2870459653"/>
      <w:bookmarkStart w:id="45" w:name="_Toc15"/>
      <w:bookmarkEnd w:id="43"/>
      <w:bookmarkEnd w:id="44"/>
      <w:r>
        <w:rPr>
          <w:rtl w:val="true"/>
        </w:rPr>
        <w:t>(</w:t>
      </w:r>
      <w:r>
        <w:rPr>
          <w:rtl w:val="true"/>
        </w:rPr>
        <w:t>الكلام الثاني</w:t>
      </w:r>
      <w:r>
        <w:rPr>
          <w:rtl w:val="true"/>
        </w:rPr>
        <w:t xml:space="preserve">: </w:t>
      </w:r>
      <w:r>
        <w:rPr>
          <w:rtl w:val="true"/>
        </w:rPr>
        <w:t xml:space="preserve">في صور إشارة الأخرس </w:t>
      </w:r>
      <w:r>
        <w:rPr>
          <w:rtl w:val="true"/>
        </w:rPr>
        <w:t>)</w:t>
      </w:r>
      <w:bookmarkEnd w:id="45"/>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إشارة الأخرس تتصور على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يُشير الأخرس إلى ألفاظ الصيغة الخاصة، من دون قصد المعاني بالألفاظ المُشار إليها، كما في إشارته في القراءة، حيث إنّ المطلوب في القراءة ليس إلا إيجاد الألفاظ بدون قصد المعاني، بل يكون مفسداً، فتكون الإشارة قائمةً مقام نفس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يُشير إلى الألفاظ الخاصة مع القصد بها إلى معانيها، فتكون إشارته مثل استعمال الخطوط في الألفاظ المقصود بها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يُشير إلى المعاملة المتداولة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فيشير على طريقة الناس في معاطاتهم، كما أنّه لو أشار القادر في مقام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تكون هذه الأقسام الثلاثة كلّها داخلة في البيع العقدي، بمعنى كون حكمها حكمه في اللزوم؛ بمقتضى إطلاق دليل قيامها مقامه، أو تكون كلّها داخلة في المعاطاة، غاية الأمر ثبوت اللزوم فيها، بخلاف غيرها من أقسام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كل ما لم يكن بالألفاظ الخاصة داخلاً في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عدم ثبوت حكمها لها من جهة الدليل، فيكون مفادُ الدليل مجرّد التنزيل منزلة العقد في الحكم ولو كانت داخلة في المعاطاة موضوعاً، أو التفصيل بين ما تكون الإشارة إلى الألفاظ بقسميها، فاللزوم، وما يكون الإشارة إلى المعاطاة، فتكون جائزة؟</w:t>
      </w:r>
    </w:p>
    <w:p>
      <w:pPr>
        <w:pStyle w:val="Heading3"/>
        <w:numPr>
          <w:ilvl w:val="2"/>
          <w:numId w:val="1"/>
        </w:numPr>
        <w:rPr/>
      </w:pPr>
      <w:bookmarkStart w:id="46" w:name="__RefHeading___Toc3921639_2870459653"/>
      <w:bookmarkStart w:id="47" w:name="_Toc16"/>
      <w:bookmarkEnd w:id="46"/>
      <w:r>
        <w:rPr>
          <w:rtl w:val="true"/>
        </w:rPr>
        <w:t>[</w:t>
      </w:r>
      <w:r>
        <w:rPr>
          <w:rtl w:val="true"/>
        </w:rPr>
        <w:t>المختار في المسألة</w:t>
      </w:r>
      <w:r>
        <w:rPr>
          <w:rtl w:val="true"/>
        </w:rPr>
        <w:t>]</w:t>
      </w:r>
      <w:bookmarkEnd w:id="4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هذه الوجوه هو الأخير، أمّا في الشق الأول؛ فلما عرفت من الدليل، وأمّا في الشق الثاني؛ فلدعوى ظهور دليل التنزيل في غير هذا القسم، وأنه فيما يكون المقصود هو اللزوم، أو لم يعلم القصد، وأمّا في صورة قصده إلى المعاملة المتداولة فبعد شمول الدليل؛ إذ يكون بعيداً غاية البعد الفرقُ بين إشارة الأخرس إلى المعاطاة، فيحكم باللزوم، وإشارة غيره على نحو إشارته، فيحكم بالجواز، مع أنّ الدليل إنّما هو من جهة سعة الأمر عليه، فيثبت في مورد قصده اللزوم، لا في غيره؛ لأنَّه تضيق عليه</w:t>
      </w:r>
      <w:r>
        <w:rPr>
          <w:rFonts w:eastAsia="Amiri" w:cs="Amiri" w:ascii="Amiri" w:hAnsi="Amiri"/>
          <w:color w:val="111111"/>
          <w:sz w:val="28"/>
          <w:szCs w:val="28"/>
          <w:rtl w:val="true"/>
          <w:lang w:bidi="ar-SA"/>
        </w:rPr>
        <w:t xml:space="preserve">. </w:t>
      </w:r>
      <w:bookmarkStart w:id="48" w:name="pg9195_77027"/>
    </w:p>
    <w:p>
      <w:pPr>
        <w:pStyle w:val="Heading3"/>
        <w:numPr>
          <w:ilvl w:val="2"/>
          <w:numId w:val="1"/>
        </w:numPr>
        <w:rPr/>
      </w:pPr>
      <w:bookmarkStart w:id="49" w:name="__RefHeading___Toc3921641_2870459653"/>
      <w:bookmarkStart w:id="50" w:name="_Toc17"/>
      <w:bookmarkEnd w:id="48"/>
      <w:bookmarkEnd w:id="49"/>
      <w:r>
        <w:rPr>
          <w:rtl w:val="true"/>
        </w:rPr>
        <w:t xml:space="preserve">[ </w:t>
      </w:r>
      <w:r>
        <w:rPr>
          <w:rtl w:val="true"/>
        </w:rPr>
        <w:t>في اعتبار المادة والهيئة ونحوهما في الصيغة</w:t>
      </w:r>
      <w:r>
        <w:rPr>
          <w:rtl w:val="true"/>
        </w:rPr>
        <w:t>]</w:t>
      </w:r>
      <w:bookmarkEnd w:id="50"/>
    </w:p>
    <w:p>
      <w:pPr>
        <w:pStyle w:val="BookText"/>
        <w:rPr/>
      </w:pPr>
      <w:r>
        <w:rPr>
          <w:rFonts w:ascii="Amiri" w:hAnsi="Amiri" w:eastAsia="Amiri" w:cs="Amiri"/>
          <w:color w:val="111111"/>
          <w:sz w:val="28"/>
          <w:sz w:val="28"/>
          <w:szCs w:val="28"/>
          <w:rtl w:val="true"/>
          <w:lang w:bidi="ar-SA"/>
        </w:rPr>
        <w:t>ثم إنّ الكلام في الصيغة قد يكون باعتبار مادتها من حيث الصراحة والظهور، وقد يكون من جهة الهيئة، وقد يكون من جهة التركيب من حيث تقديم الإيجاب على القبول وعدمه، والتطابق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مقتضى الأصول اللفظيّة، فقد ذكرنا </w:t>
      </w:r>
      <w:r>
        <w:rPr>
          <w:rStyle w:val="FootnoteAnchor"/>
          <w:rtl w:val="true"/>
        </w:rPr>
        <w:footnoteReference w:id="53"/>
      </w:r>
      <w:r>
        <w:rPr>
          <w:rFonts w:ascii="Amiri" w:hAnsi="Amiri" w:eastAsia="Amiri" w:cs="Amiri"/>
          <w:color w:val="111111"/>
          <w:sz w:val="28"/>
          <w:sz w:val="28"/>
          <w:szCs w:val="28"/>
          <w:rtl w:val="true"/>
          <w:lang w:bidi="ar-SA"/>
        </w:rPr>
        <w:t xml:space="preserve">عدم الحاجة إلى اللفظ أصلاً، غاية الأمر ثبوت الإجماع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ويمكن خرق الإجماع المحصّل بما يظهر من الشيخ المفيد من عدم اشتراطه في حدّ البيع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ينعقد على تراض بين الاثنين، فيما يملكان التبايع له، إذا عرفاه جميعاً، وتراضيا بالبيع، وتقابضا، وافترقا بالأبدان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اشتراط اللفظ، فلا بُدَّ من الاقتصار على مورد الإجماع</w:t>
      </w:r>
      <w:r>
        <w:rPr>
          <w:rFonts w:eastAsia="IRNazanin" w:cs="IRNazanin"/>
          <w:color w:val="111111"/>
          <w:sz w:val="28"/>
          <w:szCs w:val="28"/>
          <w:rtl w:val="true"/>
          <w:lang w:bidi="fa-IR"/>
        </w:rPr>
        <w:t>.</w:t>
      </w:r>
    </w:p>
    <w:p>
      <w:pPr>
        <w:pStyle w:val="Heading3"/>
        <w:numPr>
          <w:ilvl w:val="2"/>
          <w:numId w:val="1"/>
        </w:numPr>
        <w:rPr/>
      </w:pPr>
      <w:bookmarkStart w:id="51" w:name="__RefHeading___Toc3921643_2870459653"/>
      <w:bookmarkStart w:id="52" w:name="_Toc18"/>
      <w:bookmarkEnd w:id="51"/>
      <w:r>
        <w:rPr>
          <w:rtl w:val="true"/>
        </w:rPr>
        <w:t>(</w:t>
      </w:r>
      <w:r>
        <w:rPr>
          <w:rtl w:val="true"/>
        </w:rPr>
        <w:t xml:space="preserve">حكم ما لو وقع العقد بالكناية والمجاز ونحو ذلك </w:t>
      </w:r>
      <w:r>
        <w:rPr>
          <w:rtl w:val="true"/>
        </w:rPr>
        <w:t>)</w:t>
      </w:r>
      <w:bookmarkEnd w:id="52"/>
    </w:p>
    <w:p>
      <w:pPr>
        <w:pStyle w:val="BookText"/>
        <w:rPr/>
      </w:pPr>
      <w:r>
        <w:rPr>
          <w:rFonts w:ascii="Amiri" w:hAnsi="Amiri" w:eastAsia="Amiri" w:cs="Amiri"/>
          <w:color w:val="111111"/>
          <w:sz w:val="28"/>
          <w:sz w:val="28"/>
          <w:szCs w:val="28"/>
          <w:rtl w:val="true"/>
          <w:lang w:bidi="ar-SA"/>
        </w:rPr>
        <w:t>فحينذ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حُكي عن بعض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نُسب إلى المشهور </w:t>
      </w:r>
      <w:r>
        <w:rPr>
          <w:rStyle w:val="FootnoteAnchor"/>
          <w:rtl w:val="true"/>
        </w:rPr>
        <w:footnoteReference w:id="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وقوع العقد بالكنايات والمراد بها ما يدل على لازم المعاملة، واشترطوا كون اللفظ صريحاً، والمراد به ما يدل على نفس المعاملة بالوضع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وبعضهم </w:t>
      </w:r>
      <w:r>
        <w:rPr>
          <w:rStyle w:val="FootnoteAnchor"/>
          <w:rtl w:val="true"/>
        </w:rPr>
        <w:footnoteReference w:id="57"/>
      </w:r>
      <w:r>
        <w:rPr>
          <w:rFonts w:ascii="Amiri" w:hAnsi="Amiri" w:eastAsia="Amiri" w:cs="Amiri"/>
          <w:color w:val="111111"/>
          <w:sz w:val="28"/>
          <w:sz w:val="28"/>
          <w:szCs w:val="28"/>
          <w:rtl w:val="true"/>
          <w:lang w:bidi="ar-SA"/>
        </w:rPr>
        <w:t xml:space="preserve">اشترط الحقيقة، وعدم وقوعه بالألفاظ المجازية ولو كانت من المجازات </w:t>
      </w:r>
    </w:p>
    <w:p>
      <w:pPr>
        <w:pStyle w:val="BookText"/>
        <w:rPr/>
      </w:pPr>
      <w:r>
        <w:rPr>
          <w:rFonts w:ascii="Amiri" w:hAnsi="Amiri" w:eastAsia="Amiri" w:cs="Amiri"/>
          <w:color w:val="111111"/>
          <w:sz w:val="28"/>
          <w:sz w:val="28"/>
          <w:szCs w:val="28"/>
          <w:rtl w:val="true"/>
          <w:lang w:bidi="ar-SA"/>
        </w:rPr>
        <w:t xml:space="preserve">القريبة، لكن الذي يظهر من جماعة </w:t>
      </w:r>
      <w:r>
        <w:rPr>
          <w:rStyle w:val="FootnoteAnchor"/>
          <w:rtl w:val="true"/>
        </w:rPr>
        <w:footnoteReference w:id="58"/>
      </w:r>
      <w:r>
        <w:rPr>
          <w:rFonts w:ascii="Amiri" w:hAnsi="Amiri" w:eastAsia="Amiri" w:cs="Amiri"/>
          <w:color w:val="111111"/>
          <w:sz w:val="28"/>
          <w:sz w:val="28"/>
          <w:szCs w:val="28"/>
          <w:rtl w:val="true"/>
          <w:lang w:bidi="ar-SA"/>
        </w:rPr>
        <w:t xml:space="preserve">وقوعه بالمجازات القريبة، وأمّا المجازات البعيدة التي يكون قرينتها غير اللفظ ، فالظاهر قيام الإجماع </w:t>
      </w:r>
      <w:r>
        <w:rPr>
          <w:rStyle w:val="FootnoteAnchor"/>
          <w:rtl w:val="true"/>
        </w:rPr>
        <w:footnoteReference w:id="59"/>
      </w:r>
      <w:r>
        <w:rPr>
          <w:rFonts w:ascii="IRNazanin" w:hAnsi="IRNazanin" w:eastAsia="IRNazanin"/>
          <w:color w:val="111111"/>
          <w:sz w:val="28"/>
          <w:sz w:val="28"/>
          <w:szCs w:val="28"/>
          <w:rtl w:val="true"/>
          <w:lang w:bidi="fa-IR"/>
        </w:rPr>
        <w:t>على عدم اعتبارها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الألفاظ التي تكون ظاهرة في المعاملة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من الألفاظ المجازيّة، التي يكون قرينتها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وقوع العقد بها، كما يظهر من كلمات العلماء </w:t>
      </w:r>
      <w:r>
        <w:rPr>
          <w:rStyle w:val="FootnoteAnchor"/>
          <w:rtl w:val="true"/>
        </w:rPr>
        <w:footnoteReference w:id="60"/>
      </w:r>
      <w:r>
        <w:rPr>
          <w:rFonts w:ascii="Amiri" w:hAnsi="Amiri" w:eastAsia="Amiri" w:cs="Amiri"/>
          <w:color w:val="111111"/>
          <w:sz w:val="28"/>
          <w:sz w:val="28"/>
          <w:szCs w:val="28"/>
          <w:rtl w:val="true"/>
          <w:lang w:bidi="ar-SA"/>
        </w:rPr>
        <w:t>في أبواب العقود، فاشتراط الحقيقة مطلقاً مُشْكِل</w:t>
      </w:r>
    </w:p>
    <w:p>
      <w:pPr>
        <w:pStyle w:val="BookText"/>
        <w:rPr/>
      </w:pPr>
      <w:r>
        <w:rPr>
          <w:rFonts w:ascii="Amiri" w:hAnsi="Amiri" w:eastAsia="Amiri" w:cs="Amiri"/>
          <w:color w:val="111111"/>
          <w:sz w:val="28"/>
          <w:sz w:val="28"/>
          <w:szCs w:val="28"/>
          <w:rtl w:val="true"/>
          <w:lang w:bidi="ar-SA"/>
        </w:rPr>
        <w:t>نعم، لا بُدَّ من صراحة اللفظ في المعاملة ولو بالقرينة اللفظيّة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اشتراط أن يكون اللفظ من الألفاظ الواردة في الكتاب والسنة، وما استعملت في لسان الشارع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المعاملة الخاصة ؛ لكون الألفاظ توقيفية، لا بُدَّ من ورودها من صاحب الشرع، هو في محلّ المنع؛ إذ الإطلاقات ثابتة، ولم يرد مقيد إلا على اعتبار اللفظ، غاية الأمر عدم كونه من المجازات البعيدة، وما لم يكن له ظهور في المعاملة الخاصة في العرف، وأمّا تقييدها بأزيد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إلى الدليل، مع أنه قد عبّر في الكتاب والسنة عن بعض العقود والإيقاعات بألفاظ لم يقع بها إجماعاً </w:t>
      </w:r>
      <w:r>
        <w:rPr>
          <w:rStyle w:val="FootnoteAnchor"/>
          <w:rtl w:val="true"/>
        </w:rPr>
        <w:footnoteReference w:id="61"/>
      </w:r>
      <w:r>
        <w:rPr>
          <w:rFonts w:ascii="Amiri" w:hAnsi="Amiri" w:eastAsia="Amiri" w:cs="Amiri"/>
          <w:color w:val="111111"/>
          <w:sz w:val="28"/>
          <w:sz w:val="28"/>
          <w:szCs w:val="28"/>
          <w:rtl w:val="true"/>
          <w:lang w:bidi="ar-SA"/>
        </w:rPr>
        <w:t>، مثل التعبير عن الطلاق بالتسريح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ومثل التعبير عن نقل المنفعة بالبيع،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سكنى الدار، وخدمة العبد، مع أنه لم يقع الطلاق والإجارة بهما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عدم اشتراط أزيد مما ذكرنا؛ لعدم الدليل على غيره، وتعليلاتهم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الأزيد</w:t>
      </w:r>
      <w:r>
        <w:rPr>
          <w:rFonts w:eastAsia="Amiri" w:cs="Amiri" w:ascii="Amiri" w:hAnsi="Amiri"/>
          <w:color w:val="111111"/>
          <w:sz w:val="28"/>
          <w:szCs w:val="28"/>
          <w:rtl w:val="true"/>
          <w:lang w:bidi="ar-SA"/>
        </w:rPr>
        <w:t xml:space="preserve">. </w:t>
      </w:r>
      <w:bookmarkStart w:id="53" w:name="pg9195_77029"/>
    </w:p>
    <w:p>
      <w:pPr>
        <w:pStyle w:val="BookText"/>
        <w:rPr/>
      </w:pPr>
      <w:bookmarkEnd w:id="53"/>
      <w:r>
        <w:rPr>
          <w:rFonts w:ascii="Amiri" w:hAnsi="Amiri" w:eastAsia="Amiri" w:cs="Amiri"/>
          <w:color w:val="111111"/>
          <w:sz w:val="28"/>
          <w:sz w:val="28"/>
          <w:szCs w:val="28"/>
          <w:rtl w:val="true"/>
          <w:lang w:bidi="ar-SA"/>
        </w:rPr>
        <w:t>والتمسك بأصالة عدم النقل لإثبات الزائد لا وجه له بعد ما سمعت من الإطلاقات، هذا بالنسبة إلى المادة</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3921645_2870459653"/>
      <w:bookmarkStart w:id="55" w:name="_Toc19"/>
      <w:bookmarkEnd w:id="54"/>
      <w:r>
        <w:rPr>
          <w:rtl w:val="true"/>
        </w:rPr>
        <w:t>(</w:t>
      </w:r>
      <w:r>
        <w:rPr>
          <w:rtl w:val="true"/>
        </w:rPr>
        <w:t>في لفظ الإيجاب</w:t>
      </w:r>
      <w:r>
        <w:rPr>
          <w:rtl w:val="true"/>
        </w:rPr>
        <w:t>)</w:t>
      </w:r>
      <w:bookmarkEnd w:id="55"/>
    </w:p>
    <w:p>
      <w:pPr>
        <w:pStyle w:val="BookText"/>
        <w:rPr/>
      </w:pPr>
      <w:r>
        <w:rPr>
          <w:rFonts w:ascii="Amiri" w:hAnsi="Amiri" w:eastAsia="Amiri" w:cs="Amiri"/>
          <w:color w:val="111111"/>
          <w:sz w:val="28"/>
          <w:sz w:val="28"/>
          <w:szCs w:val="28"/>
          <w:rtl w:val="true"/>
          <w:lang w:bidi="ar-SA"/>
        </w:rPr>
        <w:t xml:space="preserve">وأمّا بالنسبة إلى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الإيجاب والقبول من حيث العربية، و الماضوية، والجملة الفعلية،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وقوع الإيجاب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إجماعي </w:t>
      </w:r>
      <w:r>
        <w:rPr>
          <w:rStyle w:val="FootnoteAnchor"/>
          <w:rtl w:val="true"/>
        </w:rPr>
        <w:footnoteReference w:id="63"/>
      </w:r>
      <w:r>
        <w:rPr>
          <w:rFonts w:ascii="Amiri" w:hAnsi="Amiri" w:eastAsia="Amiri" w:cs="Amiri"/>
          <w:color w:val="111111"/>
          <w:sz w:val="28"/>
          <w:sz w:val="28"/>
          <w:szCs w:val="28"/>
          <w:rtl w:val="true"/>
          <w:lang w:bidi="ar-SA"/>
        </w:rPr>
        <w:t xml:space="preserve">، وكذا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كل منهما من الأضداد بحسب اللغة </w:t>
      </w:r>
      <w:r>
        <w:rPr>
          <w:rStyle w:val="FootnoteAnchor"/>
          <w:rtl w:val="true"/>
        </w:rPr>
        <w:footnoteReference w:id="64"/>
      </w:r>
      <w:r>
        <w:rPr>
          <w:rFonts w:ascii="Amiri" w:hAnsi="Amiri" w:eastAsia="Amiri" w:cs="Amiri"/>
          <w:color w:val="111111"/>
          <w:sz w:val="28"/>
          <w:sz w:val="28"/>
          <w:szCs w:val="28"/>
          <w:rtl w:val="true"/>
          <w:lang w:bidi="ar-SA"/>
        </w:rPr>
        <w:t>، لكن الأول كثر استعماله في العرف في البيع، بحيث لم ينصرف منه إلا البيع ولكن الثاني يمكن الخدشة فيه من هذه الجهة؛ لقلة استعماله في البيع لكن العبرة بالمعنى الحقيقي، واعتبار الظهور العرفي إنّما هو بالنسبة إلى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يقع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دالاً بلفظه على لازم مفهوم البيع،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عين مفهوم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اللغة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التمليك هو مبادلة مال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البيع في العرف واللغة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الدعوى لا تخلو من خفاء، لكن الظاهر وقوع الإيجاب به؛ لكونه ظاهراً في البيع، وعدم كونه من المجازات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 لعدم الظهور في الإيجاب</w:t>
      </w:r>
      <w:r>
        <w:rPr>
          <w:rFonts w:eastAsia="Amiri" w:cs="Amiri" w:ascii="Amiri" w:hAnsi="Amiri"/>
          <w:color w:val="111111"/>
          <w:sz w:val="28"/>
          <w:szCs w:val="28"/>
          <w:rtl w:val="true"/>
          <w:lang w:bidi="ar-SA"/>
        </w:rPr>
        <w:t xml:space="preserve">. </w:t>
      </w:r>
      <w:bookmarkStart w:id="56" w:name="pg9195_77030"/>
    </w:p>
    <w:p>
      <w:pPr>
        <w:pStyle w:val="BookText"/>
        <w:rPr/>
      </w:pPr>
      <w:bookmarkEnd w:id="56"/>
      <w:r>
        <w:rPr>
          <w:rFonts w:eastAsia="Times New Roman" w:cs="Times New Roman" w:ascii="Times New Roman" w:hAnsi="Times New Roman"/>
          <w:color w:val="111111"/>
          <w:sz w:val="28"/>
          <w:szCs w:val="28"/>
          <w:lang w:val="en-US" w:bidi="en-US"/>
        </w:rPr>
        <w:t>38</w:t>
      </w:r>
    </w:p>
    <w:p>
      <w:pPr>
        <w:pStyle w:val="Heading3"/>
        <w:numPr>
          <w:ilvl w:val="2"/>
          <w:numId w:val="1"/>
        </w:numPr>
        <w:rPr/>
      </w:pPr>
      <w:bookmarkStart w:id="57" w:name="__RefHeading___Toc3921647_2870459653"/>
      <w:bookmarkStart w:id="58" w:name="_Toc20"/>
      <w:bookmarkEnd w:id="57"/>
      <w:r>
        <w:rPr>
          <w:rtl w:val="true"/>
        </w:rPr>
        <w:t>(</w:t>
      </w:r>
      <w:r>
        <w:rPr>
          <w:rtl w:val="true"/>
        </w:rPr>
        <w:t xml:space="preserve">في لفظ القبول </w:t>
      </w:r>
      <w:r>
        <w:rPr>
          <w:rtl w:val="true"/>
        </w:rPr>
        <w:t>)</w:t>
      </w:r>
      <w:bookmarkEnd w:id="58"/>
    </w:p>
    <w:p>
      <w:pPr>
        <w:pStyle w:val="BookText"/>
        <w:rPr/>
      </w:pPr>
      <w:r>
        <w:rPr>
          <w:rFonts w:ascii="Amiri" w:hAnsi="Amiri" w:eastAsia="Amiri" w:cs="Amiri"/>
          <w:color w:val="111111"/>
          <w:sz w:val="28"/>
          <w:sz w:val="28"/>
          <w:szCs w:val="28"/>
          <w:rtl w:val="true"/>
          <w:lang w:bidi="ar-SA"/>
        </w:rPr>
        <w:t xml:space="preserve">وأمّا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فيقع بكل ما يدل على القبول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العربية في الصيغة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يدل عليه لا الإجماع ولا غيره، وإن لم يكن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الإجماع، بل يقع البيع بالفارسية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عدم اللحن من حيث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 بعدم الاشتراط؛ لأنَّه متفرّع على لزوم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الماضوية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جماعة </w:t>
      </w:r>
      <w:r>
        <w:rPr>
          <w:rStyle w:val="FootnoteAnchor"/>
          <w:rtl w:val="true"/>
        </w:rPr>
        <w:footnoteReference w:id="67"/>
      </w:r>
      <w:r>
        <w:rPr>
          <w:rFonts w:ascii="Amiri" w:hAnsi="Amiri" w:eastAsia="Amiri" w:cs="Amiri"/>
          <w:color w:val="111111"/>
          <w:sz w:val="28"/>
          <w:sz w:val="28"/>
          <w:szCs w:val="28"/>
          <w:rtl w:val="true"/>
          <w:lang w:bidi="ar-SA"/>
        </w:rPr>
        <w:t>، بل المشهور، بل ادُعي الإجماع</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اشتراطها، فلا يقع بالمستقبل ولا بالحال، ويظهر من بعض آخر </w:t>
      </w:r>
      <w:r>
        <w:rPr>
          <w:rStyle w:val="FootnoteAnchor"/>
          <w:rtl w:val="true"/>
        </w:rPr>
        <w:footnoteReference w:id="69"/>
      </w:r>
      <w:r>
        <w:rPr>
          <w:rFonts w:ascii="IRNazanin" w:hAnsi="IRNazanin" w:eastAsia="IRNazanin"/>
          <w:color w:val="111111"/>
          <w:sz w:val="28"/>
          <w:sz w:val="28"/>
          <w:szCs w:val="28"/>
          <w:rtl w:val="true"/>
          <w:lang w:bidi="fa-IR"/>
        </w:rPr>
        <w:t>عدم اشتراطها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القواعد عدم الاشتراط؛ لإطلاق البيع والتجارة </w:t>
      </w:r>
      <w:r>
        <w:rPr>
          <w:rStyle w:val="FootnoteAnchor"/>
          <w:rtl w:val="true"/>
        </w:rPr>
        <w:footnoteReference w:id="70"/>
      </w:r>
      <w:r>
        <w:rPr>
          <w:rFonts w:ascii="Amiri" w:hAnsi="Amiri" w:eastAsia="Amiri" w:cs="Amiri"/>
          <w:color w:val="111111"/>
          <w:sz w:val="28"/>
          <w:sz w:val="28"/>
          <w:szCs w:val="28"/>
          <w:rtl w:val="true"/>
          <w:lang w:bidi="ar-SA"/>
        </w:rPr>
        <w:t xml:space="preserve">، وكذا فحوى ما ورد في </w:t>
      </w:r>
      <w:bookmarkStart w:id="59" w:name="pg9195_77031"/>
    </w:p>
    <w:p>
      <w:pPr>
        <w:pStyle w:val="BookText"/>
        <w:rPr/>
      </w:pPr>
      <w:bookmarkEnd w:id="59"/>
      <w:r>
        <w:rPr>
          <w:rFonts w:ascii="Amiri" w:hAnsi="Amiri" w:eastAsia="Amiri" w:cs="Amiri"/>
          <w:color w:val="111111"/>
          <w:sz w:val="28"/>
          <w:sz w:val="28"/>
          <w:szCs w:val="28"/>
          <w:rtl w:val="true"/>
          <w:lang w:bidi="ar-SA"/>
        </w:rPr>
        <w:t xml:space="preserve">النكاح من القبول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حكاية سهل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مع ذلك مخالفة المشهور مشكلٌ، خصوصاً مع دعوى العلّامة </w:t>
      </w:r>
      <w:r>
        <w:rPr>
          <w:rStyle w:val="FootnoteAnchor"/>
          <w:rtl w:val="true"/>
        </w:rPr>
        <w:footnoteReference w:id="72"/>
      </w:r>
      <w:r>
        <w:rPr>
          <w:rFonts w:ascii="Amiri" w:hAnsi="Amiri" w:eastAsia="Amiri" w:cs="Amiri"/>
          <w:color w:val="111111"/>
          <w:sz w:val="28"/>
          <w:sz w:val="28"/>
          <w:szCs w:val="28"/>
          <w:rtl w:val="true"/>
          <w:lang w:bidi="ar-SA"/>
        </w:rPr>
        <w:t>الإجماع عليه، وعدم خلاف مُعْتَدٍ به في البين في خصوص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سهل مع عدم تماميته، وقبوله في باب النكاح لا يمكن القياس عليه، مع أنه يمكن دعوى </w:t>
      </w:r>
      <w:r>
        <w:rPr>
          <w:rStyle w:val="FootnoteAnchor"/>
          <w:rtl w:val="true"/>
        </w:rPr>
        <w:footnoteReference w:id="73"/>
      </w:r>
      <w:r>
        <w:rPr>
          <w:rFonts w:ascii="Amiri" w:hAnsi="Amiri" w:eastAsia="Amiri" w:cs="Amiri"/>
          <w:color w:val="111111"/>
          <w:sz w:val="28"/>
          <w:sz w:val="28"/>
          <w:szCs w:val="28"/>
          <w:rtl w:val="true"/>
          <w:lang w:bidi="ar-SA"/>
        </w:rPr>
        <w:t>عدم الصراحة في الإنشاء في المستقبل والحال؛ إذ الأول أشبه بالوعد، والثاني بالاستدعاء</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3921649_2870459653"/>
      <w:bookmarkStart w:id="61" w:name="_Toc21"/>
      <w:bookmarkEnd w:id="60"/>
      <w:r>
        <w:rPr>
          <w:rtl w:val="true"/>
        </w:rPr>
        <w:t>(</w:t>
      </w:r>
      <w:r>
        <w:rPr>
          <w:rtl w:val="true"/>
        </w:rPr>
        <w:t xml:space="preserve">في تقديم الإيجاب على القبول </w:t>
      </w:r>
      <w:r>
        <w:rPr>
          <w:rtl w:val="true"/>
        </w:rPr>
        <w:t>)</w:t>
      </w:r>
      <w:bookmarkEnd w:id="61"/>
    </w:p>
    <w:p>
      <w:pPr>
        <w:pStyle w:val="BookText"/>
        <w:rPr/>
      </w:pPr>
      <w:r>
        <w:rPr>
          <w:rFonts w:ascii="Amiri" w:hAnsi="Amiri" w:eastAsia="Amiri" w:cs="Amiri"/>
          <w:color w:val="111111"/>
          <w:sz w:val="28"/>
          <w:sz w:val="28"/>
          <w:szCs w:val="28"/>
          <w:rtl w:val="true"/>
          <w:lang w:bidi="ar-SA"/>
        </w:rPr>
        <w:t xml:space="preserve">وأمّا الكلام في الترتيب بين الإيجاب والقبول،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Style w:val="FootnoteAnchor"/>
          <w:rtl w:val="true"/>
        </w:rPr>
        <w:footnoteReference w:id="74"/>
      </w:r>
      <w:r>
        <w:rPr>
          <w:rFonts w:ascii="Amiri" w:hAnsi="Amiri" w:eastAsia="Amiri" w:cs="Amiri"/>
          <w:color w:val="111111"/>
          <w:sz w:val="28"/>
          <w:sz w:val="28"/>
          <w:szCs w:val="28"/>
          <w:rtl w:val="true"/>
          <w:lang w:bidi="ar-SA"/>
        </w:rPr>
        <w:t xml:space="preserve">لزوم تقديم الإيجاب على القبول بقول مطلق، حتّى أنه حكي عليه الإجماع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اعتبرناه مجمع على ثبوت العقد به وبهذا يندفع ما استشكله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الخلاف في هذه المسألة إلا أن البيع مع تقديم الإيجاب متفق عليه، فيؤخذ به</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وعُلّل تارةً بأنّ القبول لا يتحقق مع</w:t>
      </w:r>
    </w:p>
    <w:p>
      <w:pPr>
        <w:pStyle w:val="BookText"/>
        <w:rPr/>
      </w:pPr>
      <w:r>
        <w:rPr>
          <w:rFonts w:ascii="Amiri" w:hAnsi="Amiri" w:eastAsia="Amiri" w:cs="Amiri"/>
          <w:color w:val="111111"/>
          <w:sz w:val="28"/>
          <w:sz w:val="28"/>
          <w:szCs w:val="28"/>
          <w:rtl w:val="true"/>
          <w:lang w:bidi="ar-SA"/>
        </w:rPr>
        <w:t>تأخر الإيجاب؛ لأنّ القبول تابع للإيجاب، وتارةً أخرى بأنّ الأصل عدم النقل، وعدم الدليل على حصول النقل مع التأخر ؛ لأنّ المتعارف هو تقديم الإيجاب، فينصرف إليه، وكذا إطلاق البيع والتجارة ينصرف إليه، وتارةً أخرى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المحكي عن جماعة عدم اللزوم، حتّى أنّه يظهر من الشيخ في المبسوط في باب نکاحه عدم الخلاف في صحة البيع مع تقديم القبول </w:t>
      </w:r>
      <w:r>
        <w:rPr>
          <w:rStyle w:val="FootnoteAnchor"/>
          <w:rtl w:val="true"/>
        </w:rPr>
        <w:footnoteReference w:id="76"/>
      </w:r>
      <w:r>
        <w:rPr>
          <w:rFonts w:ascii="Amiri" w:hAnsi="Amiri" w:eastAsia="Amiri" w:cs="Amiri"/>
          <w:color w:val="111111"/>
          <w:sz w:val="28"/>
          <w:sz w:val="28"/>
          <w:szCs w:val="28"/>
          <w:rtl w:val="true"/>
          <w:lang w:bidi="ar-SA"/>
        </w:rPr>
        <w:t xml:space="preserve">، ولعلّه؛ للإطلاقات، وفحوى الأخبار الواردة في باب النكاح، فدعوى الإجماع على لزوم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موهونة بمصير جماعة كثيرة على الخلاف كالعلّامة</w:t>
      </w:r>
      <w:r>
        <w:rPr>
          <w:rStyle w:val="FootnoteAnchor"/>
          <w:rtl w:val="true"/>
        </w:rPr>
        <w:footnoteReference w:id="77"/>
      </w:r>
      <w:r>
        <w:rPr>
          <w:rFonts w:ascii="Amiri" w:hAnsi="Amiri" w:eastAsia="Amiri" w:cs="Amiri"/>
          <w:color w:val="111111"/>
          <w:sz w:val="28"/>
          <w:sz w:val="28"/>
          <w:szCs w:val="28"/>
          <w:rtl w:val="true"/>
          <w:lang w:bidi="ar-SA"/>
        </w:rPr>
        <w:t xml:space="preserve">، والشهيدين </w:t>
      </w:r>
      <w:r>
        <w:rPr>
          <w:rStyle w:val="FootnoteAnchor"/>
          <w:rtl w:val="true"/>
        </w:rPr>
        <w:footnoteReference w:id="78"/>
      </w:r>
      <w:r>
        <w:rPr>
          <w:rFonts w:ascii="Amiri" w:hAnsi="Amiri" w:eastAsia="Amiri" w:cs="Amiri"/>
          <w:color w:val="111111"/>
          <w:sz w:val="28"/>
          <w:sz w:val="28"/>
          <w:szCs w:val="28"/>
          <w:rtl w:val="true"/>
          <w:lang w:bidi="ar-SA"/>
        </w:rPr>
        <w:t xml:space="preserve">، وغيرهما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التعليل بعدم تعقّل القبول إلا بعد تحقّق الإيجاب لا يظهر له وجه؛ لأنّ القبول هو الرِّضا بالفعل الصادر من الآخر، أو ما يصدر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دعوى الانصراف موهونة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بعدم التعارف، الذي يكون موجباً للانصراف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إنّما هو في الإطلاق والعموم الحكمي، لا في العموم الوضعي، كما هو الحال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إذ العقود جمع معرف باللام يفيد العموم فدعوى الانصراف إنّما تَحْسُن في الإطلاق، حيث إنّه لا يفيد العموم بنفسه، بل بضميمة المقدمات التي أحدها عدم البيان، وبَعد الانصراف والغلبة يكون بمنزلة البيان، فينصرف الإطلاق إليه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التحقيق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القبول تارةً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أشبهما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من قبيل الأول ، فالظاهر لزوم تقديم الإيجاب؛ </w:t>
      </w:r>
      <w:bookmarkStart w:id="62" w:name="pg9195_77033"/>
    </w:p>
    <w:p>
      <w:pPr>
        <w:pStyle w:val="BookText"/>
        <w:rPr/>
      </w:pPr>
      <w:bookmarkEnd w:id="62"/>
      <w:r>
        <w:rPr>
          <w:rFonts w:ascii="Amiri" w:hAnsi="Amiri" w:eastAsia="Amiri" w:cs="Amiri"/>
          <w:color w:val="111111"/>
          <w:sz w:val="28"/>
          <w:sz w:val="28"/>
          <w:szCs w:val="28"/>
          <w:rtl w:val="true"/>
          <w:lang w:bidi="ar-SA"/>
        </w:rPr>
        <w:t xml:space="preserve">لأنَّ البيع لا بُدَّ فيه من الإنشاء من الطرفين؛ إذ هو مبادلة مال بمال، فكلّ منهما ينقل ماله إلى الآخر مع العوض، فالقابل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إنشاء نقل ماله إلى الآخر، ولفظ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فيهما إنشاء للنقل، ولا يكون فيهما إلا المعنى الآلي الربطي، وهو الرضا بفعل الآخر ، فهما إذا قدما ليس فيهما إلا الرِّضا، ولم يحصل ما يكون المناط في البيع، وهو إنشاء نقل المال إلى الآخر في الحال، بخلافه إذا أُخّرا، فإنّهما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ينطبقان على الإيجاب، فيحصل فيهما، ويكون مفهومهما حينئذٍ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انتقال المال مع نقل ماله إليه بعوضه؛ لأنَّه ليس معنى قبول إنشاء النقل مع العوض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من المعاوضات والقبول فيها لا بُدَّ أنْ يكون على وجهٍ يتضمن نقل ماله إلى الآخر ولو بالتبع، ولا يكفي فيه مجرّد الرِّضا بفعل الآخر بدون إنشاء النقل، والقبولُ إذا تقدّم لا يفيد إلا مجرّد الرِّضا بالفعل المستقبل، وليس نقل المال، بخلافه إذا تأخر، فإنَّ قبول نقل البائع مع العوض يتضمن ذلك؛ لانطباق المعنى الآلي عليه، فيتضمن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بغير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جوار تقديمه؛ لأنَّه يتضمن إنشاء النقل بمفهومه، وليس مثل لفظ القبول، كما أن في البيع إنشاء النقل، غاية الأمر إنَّ الفرق بين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معناه نقل المال إلى الآخر بالعوض، فإنشاء النقل إنّما يكون بالأصالة، وإنشاء الإدخال بالتبع، والاشتراء على العكس، فإنشاء الإدخال بالأصالة، وإنشاء النقل على وجه التبعية، ففيه إنشاء النقل سواء تقدّم أو تأخر، فيتضمن ما هو ركن المعاوضة على كل تقدير، وأمّا إذا تأخر فيكون لازمه المطاوعة، وقبول الأثر، بخلافه إذا تقدم ، ولا يلزم في القبول تضمنه المطاوعة وقبول الأثر، ولا يلزم في قبول المعاوضة إلا الرضا بالإيجاب على وجه يتحقق ركن المعاوضة، وهو حاصل مع التقدّم، والإجماع على اعتبار القبول لم يثبت به أزيد من ذلك</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921651_2870459653"/>
      <w:bookmarkStart w:id="64" w:name="_Toc22"/>
      <w:bookmarkEnd w:id="63"/>
      <w:r>
        <w:rPr>
          <w:rtl w:val="true"/>
        </w:rPr>
        <w:t xml:space="preserve">[ </w:t>
      </w:r>
      <w:r>
        <w:rPr>
          <w:rtl w:val="true"/>
        </w:rPr>
        <w:t xml:space="preserve">شرطيّة الترتيب بين الإيجاب والقبول في العقد الجائز </w:t>
      </w:r>
      <w:r>
        <w:rPr>
          <w:rtl w:val="true"/>
        </w:rPr>
        <w:t>]</w:t>
      </w:r>
      <w:bookmarkEnd w:id="6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العقود التي لا بُدَّ من التزام القابل على نفسه شيئاً، مثل البيع، والإجارة، وكان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مغايراً للإيجاب، وأمّا العقود التي لا التزام في قبولها، </w:t>
      </w:r>
    </w:p>
    <w:p>
      <w:pPr>
        <w:pStyle w:val="BookText"/>
        <w:rPr/>
      </w:pPr>
      <w:r>
        <w:rPr>
          <w:rFonts w:ascii="Amiri" w:hAnsi="Amiri" w:eastAsia="Amiri" w:cs="Amiri"/>
          <w:color w:val="111111"/>
          <w:sz w:val="28"/>
          <w:sz w:val="28"/>
          <w:szCs w:val="28"/>
          <w:rtl w:val="true"/>
          <w:lang w:bidi="ar-SA"/>
        </w:rPr>
        <w:t>بل اعتبار القبول فيها من جهة تحقق العنوان المترتب عليه الأحكام في الشريعة، كالقبول في الرهن، والقرض، والهبة، حيث إنّه لم يكن في قبولها الالتزام بشيء زائد على التزام الموجب؛ لأنّ الالتزام فيها ليس إلا من جهة الموجب؛ لأنَّه ليس في الرهن شيء إلا جعل الراهن المال وثيقةً عند المرتهن، وليس من طرف المرتهن شيء آخر ، ولا التزام على نفسه في قبوله، وكذا في القرض؛ لأنَّه ليس فيه إلا مجرّد الإدخال في الملك، وكذا في الهبة، فاعتبار القبول فيها بتحقق عنوان الارتهان من المرتهن وكذا الاقتراض، والاتهاب في القرض والمتهب؛ إذ من الواضح عدم هذه الأمور مع عدم القبول مؤخراً؛ إذ لا يصدق الارتهان مع عدم الرهن</w:t>
      </w:r>
      <w:r>
        <w:rPr>
          <w:rStyle w:val="FootnoteAnchor"/>
          <w:rtl w:val="true"/>
        </w:rPr>
        <w:footnoteReference w:id="81"/>
      </w:r>
      <w:r>
        <w:rPr>
          <w:rFonts w:ascii="Amiri" w:hAnsi="Amiri" w:eastAsia="Amiri" w:cs="Amiri"/>
          <w:color w:val="111111"/>
          <w:sz w:val="28"/>
          <w:sz w:val="28"/>
          <w:szCs w:val="28"/>
          <w:rtl w:val="true"/>
          <w:lang w:bidi="ar-SA"/>
        </w:rPr>
        <w:t xml:space="preserve">إذ الارتهان قبول الرهن، وهو من الإنفعال، ولا بُدَّ في الحقيقة من تحقق الفعل، فلا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حيئنذ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القبول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في الصلح المتضمن للإسقاط والتمليك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بأنَّه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الأمور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التزاماً زائداً على التزام الموجب، مثلاً في الرهن الموجب يجعل بإنشائه المال وثيقة، والقابل ينشأ الاستيثاق، وكذا في الاقتراض ينشأ الاقتراض والإدخال في الملك، فيمكن من هذه الجهة الفرق بين القبول في الرهن إذا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التقديم، بخلافه إذا كان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ارتهنتُ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لتضمنه الإنشاء سواء تقدّم أو 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الإشراء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ما كان في قبول الرهن؛ لأنَّ البائع ينشأ نقلَ ماله إلى صاحبه، ونقلَ مال صاحبه إليه، فالمشتري يقبل ذلك بمعنى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الإدخال في الملك، وقبول الإخراج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ليس بسديد؛ إذ ليس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نقل المال مع العوض، لا أنَّه نقلان، نقلٌ لماله إلى المشتري، ونقلُ مال المشتري إلى نفسه، وإلا لصار فضولياً بالنسبة إلى نقل مال المشتري، فيحتاج إلى الإجازة لا النقل من المشتري، والحال أنَّه يحتاج في القبول إلى إنشاء الإدخال والنقل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التقديم؛ لأن </w:t>
      </w:r>
      <w:bookmarkStart w:id="65" w:name="pg9195_77035"/>
    </w:p>
    <w:p>
      <w:pPr>
        <w:pStyle w:val="BookText"/>
        <w:rPr/>
      </w:pPr>
      <w:bookmarkEnd w:id="65"/>
      <w:r>
        <w:rPr>
          <w:rFonts w:ascii="Amiri" w:hAnsi="Amiri" w:eastAsia="Amiri" w:cs="Amiri"/>
          <w:color w:val="111111"/>
          <w:sz w:val="28"/>
          <w:sz w:val="28"/>
          <w:szCs w:val="28"/>
          <w:rtl w:val="true"/>
          <w:lang w:bidi="ar-SA"/>
        </w:rPr>
        <w:t>مفهومه القبول، وقبول الرهن لا يمكن إلا بعد تحقق الرهن ، وإلا لم يتحقق الارتهان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مثل الصلح المتضمن للعوض، فالظاهر عدم جواز التقديم مطلقاً؛ لعدم كون القبول فيه إلا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لو كان غيره، لكان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يستلزم تركّب العقد من الجانبين، وهو باطل بالإجماع</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3921653_2870459653"/>
      <w:bookmarkStart w:id="67" w:name="_Toc23"/>
      <w:bookmarkEnd w:id="66"/>
      <w:r>
        <w:rPr>
          <w:rtl w:val="true"/>
        </w:rPr>
        <w:t xml:space="preserve">( </w:t>
      </w:r>
      <w:r>
        <w:rPr>
          <w:rtl w:val="true"/>
        </w:rPr>
        <w:t>في اعتبار الموالاة في العقد</w:t>
      </w:r>
      <w:r>
        <w:rPr>
          <w:rtl w:val="true"/>
        </w:rPr>
        <w:t>)</w:t>
      </w:r>
      <w:bookmarkEnd w:id="67"/>
    </w:p>
    <w:p>
      <w:pPr>
        <w:pStyle w:val="BookText"/>
        <w:rPr/>
      </w:pPr>
      <w:r>
        <w:rPr>
          <w:rFonts w:ascii="Amiri" w:hAnsi="Amiri" w:eastAsia="Amiri" w:cs="Amiri"/>
          <w:color w:val="111111"/>
          <w:sz w:val="28"/>
          <w:sz w:val="28"/>
          <w:szCs w:val="28"/>
          <w:rtl w:val="true"/>
          <w:lang w:bidi="ar-SA"/>
        </w:rPr>
        <w:t>ومن جملة الشروط المعتبرة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ومقتضى الأصل الثانوي عدم الاعتبار إلا أن يخرج عن حدّ العقد بحيث لا يصدق العقد عليه عرفاً، فلا يضر الفصل القليل الذي لا يضر بالصدق عرفاً بين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فاعتبارُ بعضٍ </w:t>
      </w:r>
      <w:r>
        <w:rPr>
          <w:rStyle w:val="FootnoteAnchor"/>
          <w:rtl w:val="true"/>
        </w:rPr>
        <w:footnoteReference w:id="82"/>
      </w:r>
      <w:r>
        <w:rPr>
          <w:rFonts w:ascii="IRNazanin" w:hAnsi="IRNazanin" w:eastAsia="IRNazanin"/>
          <w:color w:val="111111"/>
          <w:sz w:val="28"/>
          <w:sz w:val="28"/>
          <w:szCs w:val="28"/>
          <w:rtl w:val="true"/>
          <w:lang w:bidi="fa-IR"/>
        </w:rPr>
        <w:t xml:space="preserve">الاتصال، حتّى احتاط بعضٌ </w:t>
      </w:r>
      <w:r>
        <w:rPr>
          <w:rStyle w:val="FootnoteAnchor"/>
          <w:rtl w:val="true"/>
        </w:rPr>
        <w:footnoteReference w:id="83"/>
      </w:r>
      <w:r>
        <w:rPr>
          <w:rFonts w:ascii="Amiri" w:hAnsi="Amiri" w:eastAsia="Amiri" w:cs="Amiri"/>
          <w:color w:val="111111"/>
          <w:sz w:val="28"/>
          <w:sz w:val="28"/>
          <w:szCs w:val="28"/>
          <w:rtl w:val="true"/>
          <w:lang w:bidi="ar-SA"/>
        </w:rPr>
        <w:t>في عقد النكاح بقول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الصداق المعيّن قبلتُ التزويج؛ لحصول الفصل بالمتعلّق، وأمثاله من المداقّة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والتمسكُ لاعتبار الموالاة الحقيقية بأنَّ العقد من المخاطبة، وبمنزلة السلام والجواب، والمخاطبة لا يتحقق مع الفصل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العقد من المخاطبة، ومتضمناً للمخاطبة ومفهومه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صدق المخاطبة بالفصل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أغمضنا عن ذلك، يكون إطلاق البيع والتجارة سليماً عن المعارض، ولم يكن مخصصاً ومقيّداً لذلك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بعض المصاديق يكون بحيث لا يصدق العقد والبيع عرفاً، فيكون ذلك مضرّاً، وأمّا غيره، فلا دليل على التقييد بالنسبة إليه</w:t>
      </w:r>
      <w:r>
        <w:rPr>
          <w:rFonts w:eastAsia="Amiri" w:cs="Amiri" w:ascii="Amiri" w:hAnsi="Amiri"/>
          <w:color w:val="111111"/>
          <w:sz w:val="28"/>
          <w:szCs w:val="28"/>
          <w:rtl w:val="true"/>
          <w:lang w:bidi="ar-SA"/>
        </w:rPr>
        <w:t xml:space="preserve">. </w:t>
      </w:r>
      <w:bookmarkStart w:id="68" w:name="pg9195_77036"/>
    </w:p>
    <w:p>
      <w:pPr>
        <w:pStyle w:val="Heading3"/>
        <w:numPr>
          <w:ilvl w:val="2"/>
          <w:numId w:val="1"/>
        </w:numPr>
        <w:rPr/>
      </w:pPr>
      <w:bookmarkStart w:id="69" w:name="__RefHeading___Toc3921655_2870459653"/>
      <w:bookmarkStart w:id="70" w:name="_Toc24"/>
      <w:bookmarkEnd w:id="68"/>
      <w:bookmarkEnd w:id="69"/>
      <w:r>
        <w:rPr>
          <w:rtl w:val="true"/>
        </w:rPr>
        <w:t>(</w:t>
      </w:r>
      <w:r>
        <w:rPr>
          <w:rtl w:val="true"/>
        </w:rPr>
        <w:t>في اعتبار الموالاة في ردِّ السلام</w:t>
      </w:r>
      <w:r>
        <w:rPr>
          <w:rtl w:val="true"/>
        </w:rPr>
        <w:t>)</w:t>
      </w:r>
      <w:bookmarkEnd w:id="70"/>
    </w:p>
    <w:p>
      <w:pPr>
        <w:pStyle w:val="BookText"/>
        <w:rPr/>
      </w:pPr>
      <w:r>
        <w:rPr>
          <w:rFonts w:ascii="Amiri" w:hAnsi="Amiri" w:eastAsia="Amiri" w:cs="Amiri"/>
          <w:color w:val="111111"/>
          <w:sz w:val="28"/>
          <w:sz w:val="28"/>
          <w:szCs w:val="28"/>
          <w:rtl w:val="true"/>
          <w:lang w:bidi="ar-SA"/>
        </w:rPr>
        <w:t>ومن فروع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السلام وردّ الجواب، وذكروا اعتبار الموالاة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الموالاة المعتبرة فيه من جهة أنّ الجواب تحيّة، والتحيةُ لا تتحقق إلا مع الاتصال، بحيث يكون مع الفصل الكثير من الاستهزاء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الموالاة الحقيقية</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921657_2870459653"/>
      <w:bookmarkStart w:id="72" w:name="_Toc25"/>
      <w:bookmarkEnd w:id="71"/>
      <w:r>
        <w:rPr>
          <w:rtl w:val="true"/>
        </w:rPr>
        <w:t xml:space="preserve">( </w:t>
      </w:r>
      <w:r>
        <w:rPr>
          <w:rtl w:val="true"/>
        </w:rPr>
        <w:t xml:space="preserve">في اعتبار التنجيز في العقد </w:t>
      </w:r>
      <w:r>
        <w:rPr>
          <w:rtl w:val="true"/>
        </w:rPr>
        <w:t>)</w:t>
      </w:r>
      <w:bookmarkEnd w:id="72"/>
    </w:p>
    <w:p>
      <w:pPr>
        <w:pStyle w:val="BookText"/>
        <w:rPr/>
      </w:pPr>
      <w:r>
        <w:rPr>
          <w:rFonts w:ascii="Amiri" w:hAnsi="Amiri" w:eastAsia="Amiri" w:cs="Amiri"/>
          <w:color w:val="111111"/>
          <w:sz w:val="28"/>
          <w:sz w:val="28"/>
          <w:szCs w:val="28"/>
          <w:rtl w:val="true"/>
          <w:lang w:bidi="ar-SA"/>
        </w:rPr>
        <w:t>ومن جملة الشرائط المعتبرة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التنجيز في العقد بأن لا يكون العقد معلّقاً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بعضٌ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منافٍ للجزم المعتبر في الإنشاء؛ لاعتبار كون العاقد جازماً في الإنشاء، وهو لا يتحقق مع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تارةً أخرى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باستلزامه كون العقد موقوفاً، وإيقاف العقد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يقصد الملك على كل تقدير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وادعى عليه الشهيد في تمهيد القواعد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المسالك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عليه، ويظهر ذلك من فحوى فتاويهم باشتراط التنجيز في الوكالة مع كونها من العقود الجائزة، </w:t>
      </w:r>
    </w:p>
    <w:p>
      <w:pPr>
        <w:pStyle w:val="BookText"/>
        <w:rPr/>
      </w:pPr>
      <w:r>
        <w:rPr>
          <w:rFonts w:ascii="Amiri" w:hAnsi="Amiri" w:eastAsia="Amiri" w:cs="Amiri"/>
          <w:color w:val="111111"/>
          <w:sz w:val="28"/>
          <w:sz w:val="28"/>
          <w:szCs w:val="28"/>
          <w:rtl w:val="true"/>
          <w:lang w:bidi="ar-SA"/>
        </w:rPr>
        <w:t xml:space="preserve">ويظهر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Style w:val="FootnoteAnchor"/>
          <w:rtl w:val="true"/>
        </w:rPr>
        <w:footnoteReference w:id="89"/>
      </w:r>
      <w:r>
        <w:rPr>
          <w:rFonts w:ascii="Amiri" w:hAnsi="Amiri" w:eastAsia="Amiri" w:cs="Amiri"/>
          <w:color w:val="111111"/>
          <w:sz w:val="28"/>
          <w:sz w:val="28"/>
          <w:szCs w:val="28"/>
          <w:rtl w:val="true"/>
          <w:lang w:bidi="ar-SA"/>
        </w:rPr>
        <w:t xml:space="preserve">، والشهيدين </w:t>
      </w:r>
      <w:r>
        <w:rPr>
          <w:rStyle w:val="FootnoteAnchor"/>
          <w:rtl w:val="true"/>
        </w:rPr>
        <w:footnoteReference w:id="90"/>
      </w:r>
      <w:r>
        <w:rPr>
          <w:rFonts w:ascii="Amiri" w:hAnsi="Amiri" w:eastAsia="Amiri" w:cs="Amiri"/>
          <w:color w:val="111111"/>
          <w:sz w:val="28"/>
          <w:sz w:val="28"/>
          <w:szCs w:val="28"/>
          <w:rtl w:val="true"/>
          <w:lang w:bidi="ar-SA"/>
        </w:rPr>
        <w:t xml:space="preserve">، وغيرهما </w:t>
      </w:r>
      <w:r>
        <w:rPr>
          <w:rStyle w:val="FootnoteAnchor"/>
          <w:rtl w:val="true"/>
        </w:rPr>
        <w:footnoteReference w:id="91"/>
      </w:r>
      <w:r>
        <w:rPr>
          <w:rFonts w:ascii="Amiri" w:hAnsi="Amiri" w:eastAsia="Amiri" w:cs="Amiri"/>
          <w:color w:val="111111"/>
          <w:sz w:val="28"/>
          <w:sz w:val="28"/>
          <w:szCs w:val="28"/>
          <w:rtl w:val="true"/>
          <w:lang w:bidi="ar-SA"/>
        </w:rPr>
        <w:t>، والظاهر وقوع الإجماع على ذلك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المعلّق عليه إمّا أن يكون معلوم التحقق، أو محتمل التحقق، وعلى كل من التقديرين، إمّا أن يكون في الحال، أو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كان معلوم التحقق في الحال، فالمصرح به في كلام جماعة </w:t>
      </w:r>
      <w:r>
        <w:rPr>
          <w:rStyle w:val="FootnoteAnchor"/>
          <w:rtl w:val="true"/>
        </w:rPr>
        <w:footnoteReference w:id="92"/>
      </w:r>
      <w:r>
        <w:rPr>
          <w:rFonts w:ascii="Amiri" w:hAnsi="Amiri" w:eastAsia="Amiri" w:cs="Amiri"/>
          <w:color w:val="111111"/>
          <w:sz w:val="28"/>
          <w:sz w:val="28"/>
          <w:szCs w:val="28"/>
          <w:rtl w:val="true"/>
          <w:lang w:bidi="ar-SA"/>
        </w:rPr>
        <w:t xml:space="preserve">جوازه، إلا أنّه يظهر من بعض العبائر </w:t>
      </w:r>
      <w:r>
        <w:rPr>
          <w:rStyle w:val="FootnoteAnchor"/>
          <w:rtl w:val="true"/>
        </w:rPr>
        <w:footnoteReference w:id="93"/>
      </w:r>
      <w:r>
        <w:rPr>
          <w:rFonts w:ascii="Amiri" w:hAnsi="Amiri" w:eastAsia="Amiri" w:cs="Amiri"/>
          <w:color w:val="111111"/>
          <w:sz w:val="28"/>
          <w:sz w:val="28"/>
          <w:szCs w:val="28"/>
          <w:rtl w:val="true"/>
          <w:lang w:bidi="ar-SA"/>
        </w:rPr>
        <w:t>كونه مضراً، مثل اشتراط إطلاق عدم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التمسك بالإطلاقات، مع ورود المخصّص اليقيني، وهو الإجماع؛ لعدم غيره في المقام، فلا بُدَّ أن يكون دائراً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الصورة المذكورة تعليقٌ حقيقة؛ لأنّ معنى التعليق هو الإيقاف حقيقة، فلو علّق على طلوع الشمس في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بالطلوع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توقيفاً، ولا ترديداً، بل مجرد تعليق في الصورة، ولا يُعلم تحقق الإجماع على مجرّد التعليق اللفظي، ومن هنا قال جماعة </w:t>
      </w:r>
      <w:r>
        <w:rPr>
          <w:rStyle w:val="FootnoteAnchor"/>
          <w:rtl w:val="true"/>
        </w:rPr>
        <w:footnoteReference w:id="94"/>
      </w:r>
      <w:r>
        <w:rPr>
          <w:rFonts w:ascii="Amiri" w:hAnsi="Amiri" w:eastAsia="Amiri" w:cs="Amiri"/>
          <w:color w:val="111111"/>
          <w:sz w:val="28"/>
          <w:sz w:val="28"/>
          <w:szCs w:val="28"/>
          <w:rtl w:val="true"/>
          <w:lang w:bidi="ar-SA"/>
        </w:rPr>
        <w:t xml:space="preserve">بالصحة فيما لو عُلّق العقد على 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مشيّة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يضر؛ لأنَّه معلوم الحصول؛ لأنَّه لو لم يشأ لم يشترِ، وكذا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إن قبلتَ، قالوا</w:t>
      </w:r>
      <w:r>
        <w:rPr>
          <w:rStyle w:val="FootnoteAnchor"/>
          <w:rtl w:val="true"/>
        </w:rPr>
        <w:footnoteReference w:id="95"/>
      </w:r>
      <w:r>
        <w:rPr>
          <w:rFonts w:ascii="Amiri" w:hAnsi="Amiri" w:eastAsia="Amiri" w:cs="Amiri"/>
          <w:color w:val="111111"/>
          <w:sz w:val="28"/>
          <w:sz w:val="28"/>
          <w:szCs w:val="28"/>
          <w:rtl w:val="true"/>
          <w:lang w:bidi="ar-SA"/>
        </w:rPr>
        <w:t>بالصحة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رفع اليد عما هو مقتضى الأصل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الإطلاقات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تصريح جماعة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التي يكون معلوم التحقق في الاستقبال، وهو المعبّر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إن جاء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دخوله في معقد الإجماع، وحصول الإيقاف فيه أيضاً، وصرح بذلك الشهيد </w:t>
      </w:r>
      <w:r>
        <w:rPr>
          <w:rStyle w:val="FootnoteAnchor"/>
          <w:rtl w:val="true"/>
        </w:rPr>
        <w:footnoteReference w:id="9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والتعليل بالجزم لأجل الغالب، وهي حكمة لا علّة حتّى يدور الأمر مداره، والظاهر من الشهيد </w:t>
      </w:r>
      <w:r>
        <w:rPr>
          <w:rStyle w:val="FootnoteAnchor"/>
          <w:rtl w:val="true"/>
        </w:rPr>
        <w:footnoteReference w:id="97"/>
      </w:r>
      <w:r>
        <w:rPr>
          <w:rFonts w:ascii="Amiri" w:hAnsi="Amiri" w:eastAsia="Amiri" w:cs="Amiri"/>
          <w:color w:val="111111"/>
          <w:sz w:val="28"/>
          <w:sz w:val="28"/>
          <w:szCs w:val="28"/>
          <w:rtl w:val="true"/>
          <w:lang w:bidi="ar-SA"/>
        </w:rPr>
        <w:t xml:space="preserve">كونه إجماعياً ، وذكر </w:t>
      </w:r>
      <w:r>
        <w:rPr>
          <w:rStyle w:val="FootnoteAnchor"/>
          <w:rtl w:val="true"/>
        </w:rPr>
        <w:footnoteReference w:id="98"/>
      </w:r>
      <w:r>
        <w:rPr>
          <w:rFonts w:ascii="Amiri" w:hAnsi="Amiri" w:eastAsia="Amiri" w:cs="Amiri"/>
          <w:color w:val="111111"/>
          <w:sz w:val="28"/>
          <w:sz w:val="28"/>
          <w:szCs w:val="28"/>
          <w:rtl w:val="true"/>
          <w:lang w:bidi="ar-SA"/>
        </w:rPr>
        <w:t>أنّه وإنْ كان الجزم حاصلًا إلا أنّ العبرة بجنس الشرط دون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اعترض </w:t>
      </w:r>
      <w:r>
        <w:rPr>
          <w:rStyle w:val="FootnoteAnchor"/>
          <w:rtl w:val="true"/>
        </w:rPr>
        <w:footnoteReference w:id="99"/>
      </w:r>
      <w:r>
        <w:rPr>
          <w:rFonts w:ascii="Amiri" w:hAnsi="Amiri" w:eastAsia="Amiri" w:cs="Amiri"/>
          <w:color w:val="111111"/>
          <w:sz w:val="28"/>
          <w:sz w:val="28"/>
          <w:szCs w:val="28"/>
          <w:rtl w:val="true"/>
          <w:lang w:bidi="ar-SA"/>
        </w:rPr>
        <w:t xml:space="preserve">على نفسه بمثل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لي فقد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إنكار الوكيل، ثم أجاب بأنَّه تعليق على واقع، لا على متوقع الحصول، ويظهر من هذا الكلام أنّ في الصورة السابقة يجوز التعليق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التي يكون محتمل الوقوع في الاستقبال، فلا إشكال في كونه مورد الإجماع لحصول التعليق اللفظي، والإيقاف، وعدم الجزم،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بعثُك إنْ قدِم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المتيقن من مورد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التي لا يكون الجزم، ولا يكون التوقيف،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إن كان اليوم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العلم به حين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يحصل الجزم بالإنشاء؛ للترديد في نظر المنشئ، لكن لا يكون العقد موقوفاً؛ لكونه منجزاً عدمه لو لم يكن اليوم يوم الجمعة، ووجوده في الواقع لو كان يوم الجمعة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جماعة عدم جوازه؛ لمنافاته للجزم المعتبر في العقد، فالمنشئ لا بُدَّ أن يكون حين الإنشاء جازماً على الإنشاء</w:t>
      </w:r>
      <w:r>
        <w:rPr>
          <w:rFonts w:eastAsia="Amiri" w:cs="Amiri" w:ascii="Amiri" w:hAnsi="Amiri"/>
          <w:color w:val="111111"/>
          <w:sz w:val="28"/>
          <w:szCs w:val="28"/>
          <w:rtl w:val="true"/>
          <w:lang w:bidi="ar-SA"/>
        </w:rPr>
        <w:t xml:space="preserve">. </w:t>
      </w:r>
      <w:bookmarkStart w:id="73" w:name="pg9195_77039"/>
    </w:p>
    <w:p>
      <w:pPr>
        <w:pStyle w:val="BookText"/>
        <w:rPr/>
      </w:pPr>
      <w:bookmarkEnd w:id="73"/>
      <w:r>
        <w:rPr>
          <w:rFonts w:ascii="Amiri" w:hAnsi="Amiri" w:eastAsia="Amiri" w:cs="Amiri"/>
          <w:color w:val="111111"/>
          <w:sz w:val="28"/>
          <w:sz w:val="28"/>
          <w:szCs w:val="28"/>
          <w:rtl w:val="true"/>
          <w:lang w:bidi="ar-SA"/>
        </w:rPr>
        <w:t>لكن الإنصاف إنّه لم يظهر لنا المخصّص اليقيني في غير الصورة السابقة، بحيث يلزم رفع اليد عن مقتضى القواعد</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3921659_2870459653"/>
      <w:bookmarkStart w:id="75" w:name="_Toc26"/>
      <w:bookmarkEnd w:id="74"/>
      <w:r>
        <w:rPr>
          <w:rtl w:val="true"/>
        </w:rPr>
        <w:t xml:space="preserve">[ </w:t>
      </w:r>
      <w:r>
        <w:rPr>
          <w:rtl w:val="true"/>
        </w:rPr>
        <w:t xml:space="preserve">الكلام في التعليق على ما يكون مصحّحاً في العقد </w:t>
      </w:r>
      <w:r>
        <w:rPr>
          <w:rtl w:val="true"/>
        </w:rPr>
        <w:t>]</w:t>
      </w:r>
      <w:bookmarkEnd w:id="75"/>
    </w:p>
    <w:p>
      <w:pPr>
        <w:pStyle w:val="BookText"/>
        <w:rPr/>
      </w:pPr>
      <w:r>
        <w:rPr>
          <w:rFonts w:ascii="Amiri" w:hAnsi="Amiri" w:eastAsia="Amiri" w:cs="Amiri"/>
          <w:color w:val="111111"/>
          <w:sz w:val="28"/>
          <w:sz w:val="28"/>
          <w:szCs w:val="28"/>
          <w:rtl w:val="true"/>
          <w:lang w:bidi="ar-SA"/>
        </w:rPr>
        <w:t>هذا كله فيما لا يكون المعلّق عليه مصحّحاً للعقد، وأمّا ما كان مصحّحاً للعقد،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على كونه وكيلاً، أو على القبول، وأمثال ذلك، فيظهر من جماعة </w:t>
      </w:r>
      <w:r>
        <w:rPr>
          <w:rStyle w:val="FootnoteAnchor"/>
          <w:rtl w:val="true"/>
        </w:rPr>
        <w:footnoteReference w:id="100"/>
      </w:r>
      <w:r>
        <w:rPr>
          <w:rFonts w:ascii="Amiri" w:hAnsi="Amiri" w:eastAsia="Amiri" w:cs="Amiri"/>
          <w:color w:val="111111"/>
          <w:sz w:val="28"/>
          <w:sz w:val="28"/>
          <w:szCs w:val="28"/>
          <w:rtl w:val="true"/>
          <w:lang w:bidi="ar-SA"/>
        </w:rPr>
        <w:t xml:space="preserve">عدم مضرّيته؛ لأنَّه تعليق ثابت في الواقع، وليس تعليقاً زائداً على ما يكون في العقد، وحكي ذلك عن الشيخ </w:t>
      </w:r>
      <w:r>
        <w:rPr>
          <w:rStyle w:val="FootnoteAnchor"/>
          <w:rtl w:val="true"/>
        </w:rPr>
        <w:footnoteReference w:id="101"/>
      </w:r>
      <w:r>
        <w:rPr>
          <w:rFonts w:ascii="Amiri" w:hAnsi="Amiri" w:eastAsia="Amiri" w:cs="Amiri"/>
          <w:color w:val="111111"/>
          <w:sz w:val="28"/>
          <w:sz w:val="28"/>
          <w:szCs w:val="28"/>
          <w:rtl w:val="true"/>
          <w:lang w:bidi="ar-SA"/>
        </w:rPr>
        <w:t xml:space="preserve">، حاكياً له عن بعض العامة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لي فقد بعته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المثال وإن كان خارجاً عما ذكرنا؛ لأنَّ هذا التعليق لم يكن ثابتاً فيما يكون صادراً عن المنشئ، بل المعلّق عليه هو الأثر المترتب على العقد، لكن يظهر من حكاية الشيخ ذلك عنه ارتضاؤه له، وهو يكشف عن عدم تحقق الإجماع عليه، وعدم المخصّص للعمومات</w:t>
      </w:r>
    </w:p>
    <w:p>
      <w:pPr>
        <w:pStyle w:val="BookText"/>
        <w:rPr/>
      </w:pPr>
      <w:r>
        <w:rPr>
          <w:rFonts w:ascii="IRNazanin" w:hAnsi="IRNazanin" w:eastAsia="IRNazanin"/>
          <w:color w:val="111111"/>
          <w:sz w:val="28"/>
          <w:sz w:val="28"/>
          <w:szCs w:val="28"/>
          <w:rtl w:val="true"/>
          <w:lang w:bidi="fa-IR"/>
        </w:rPr>
        <w:t>والإطلاقات</w:t>
      </w:r>
      <w:r>
        <w:rPr>
          <w:rFonts w:eastAsia="IRNazanin" w:cs="IRNazanin"/>
          <w:color w:val="111111"/>
          <w:sz w:val="28"/>
          <w:szCs w:val="28"/>
          <w:rtl w:val="true"/>
          <w:lang w:bidi="fa-IR"/>
        </w:rPr>
        <w:t>.</w:t>
      </w:r>
    </w:p>
    <w:p>
      <w:pPr>
        <w:pStyle w:val="Heading3"/>
        <w:numPr>
          <w:ilvl w:val="2"/>
          <w:numId w:val="1"/>
        </w:numPr>
        <w:rPr/>
      </w:pPr>
      <w:bookmarkStart w:id="76" w:name="__RefHeading___Toc3921661_2870459653"/>
      <w:bookmarkStart w:id="77" w:name="_Toc27"/>
      <w:bookmarkEnd w:id="76"/>
      <w:r>
        <w:rPr>
          <w:rtl w:val="true"/>
        </w:rPr>
        <w:t xml:space="preserve">[ </w:t>
      </w:r>
      <w:r>
        <w:rPr>
          <w:rtl w:val="true"/>
        </w:rPr>
        <w:t xml:space="preserve">في التعليق اللّازم من الكلام والتعليق على المشيئة </w:t>
      </w:r>
      <w:r>
        <w:rPr>
          <w:rtl w:val="true"/>
        </w:rPr>
        <w:t>]</w:t>
      </w:r>
      <w:bookmarkEnd w:id="7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التعليق اللّازم من الكلام لا المصرح به مثل بعتُكَ في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جماعة كالعلّامة</w:t>
      </w:r>
      <w:r>
        <w:rPr>
          <w:rStyle w:val="FootnoteAnchor"/>
          <w:rtl w:val="true"/>
        </w:rPr>
        <w:footnoteReference w:id="102"/>
      </w:r>
      <w:r>
        <w:rPr>
          <w:rFonts w:ascii="Amiri" w:hAnsi="Amiri" w:eastAsia="Amiri" w:cs="Amiri"/>
          <w:color w:val="111111"/>
          <w:sz w:val="28"/>
          <w:sz w:val="28"/>
          <w:szCs w:val="28"/>
          <w:rtl w:val="true"/>
          <w:lang w:bidi="ar-SA"/>
        </w:rPr>
        <w:t xml:space="preserve">، وولده في الإيضاح </w:t>
      </w:r>
      <w:r>
        <w:rPr>
          <w:rStyle w:val="FootnoteAnchor"/>
          <w:rtl w:val="true"/>
        </w:rPr>
        <w:footnoteReference w:id="103"/>
      </w:r>
      <w:r>
        <w:rPr>
          <w:rFonts w:ascii="Amiri" w:hAnsi="Amiri" w:eastAsia="Amiri" w:cs="Amiri"/>
          <w:color w:val="111111"/>
          <w:sz w:val="28"/>
          <w:sz w:val="28"/>
          <w:szCs w:val="28"/>
          <w:rtl w:val="true"/>
          <w:lang w:bidi="ar-SA"/>
        </w:rPr>
        <w:t xml:space="preserve">كونه مضرّاً؛ لأنَّه بمنزلة التعليق اللفظي، كما صرّح بذلك في مسألة بيع مال المورث بظن الحياة، وذكر فخر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إن مات مورثي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78" w:name="pg9195_77040"/>
    </w:p>
    <w:p>
      <w:pPr>
        <w:pStyle w:val="BookText"/>
        <w:rPr/>
      </w:pPr>
      <w:bookmarkEnd w:id="78"/>
      <w:r>
        <w:rPr>
          <w:rFonts w:ascii="Amiri" w:hAnsi="Amiri" w:eastAsia="Amiri" w:cs="Amiri"/>
          <w:color w:val="111111"/>
          <w:sz w:val="28"/>
          <w:sz w:val="28"/>
          <w:szCs w:val="28"/>
          <w:rtl w:val="true"/>
          <w:lang w:bidi="ar-SA"/>
        </w:rPr>
        <w:t xml:space="preserve">وأمّا التعليق على مشية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أنه ليس تعليقاً، ولم يكن التعليق مقصوداً، بل جيء به لمجرّد التبرك</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3921663_2870459653"/>
      <w:bookmarkStart w:id="80" w:name="_Toc28"/>
      <w:bookmarkEnd w:id="79"/>
      <w:r>
        <w:rPr>
          <w:rtl w:val="true"/>
        </w:rPr>
        <w:t>[</w:t>
      </w:r>
      <w:r>
        <w:rPr>
          <w:rtl w:val="true"/>
        </w:rPr>
        <w:t>التحقيق في المسألة</w:t>
      </w:r>
      <w:r>
        <w:rPr>
          <w:rtl w:val="true"/>
        </w:rPr>
        <w:t>]</w:t>
      </w:r>
      <w:bookmarkEnd w:id="80"/>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العلماء في هذا المقام مشوشة ومضطربة ، لكن الإنصاف عدم الجرأة على المخالفة في صورة التعليق على ما يوجب الترديد، مع عدم التوقيف أيضاً، كما أنَّ الصورة التي قد ذكرناها أنها 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كونها محلّ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فالمعتمد في إثبات هذا الشرط هو الإجماع محققاً أو منقولاً، فيقتصر على مورده</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3921665_2870459653"/>
      <w:bookmarkStart w:id="82" w:name="_Toc29"/>
      <w:bookmarkEnd w:id="81"/>
      <w:r>
        <w:rPr>
          <w:rtl w:val="true"/>
        </w:rPr>
        <w:t>[</w:t>
      </w:r>
      <w:r>
        <w:rPr>
          <w:rtl w:val="true"/>
        </w:rPr>
        <w:t xml:space="preserve">إيرادات على مانعيّة التعليق </w:t>
      </w:r>
      <w:r>
        <w:rPr>
          <w:rtl w:val="true"/>
        </w:rPr>
        <w:t>]</w:t>
      </w:r>
      <w:bookmarkEnd w:id="82"/>
    </w:p>
    <w:p>
      <w:pPr>
        <w:pStyle w:val="BookText"/>
        <w:rPr/>
      </w:pPr>
      <w:r>
        <w:rPr>
          <w:rFonts w:ascii="Amiri" w:hAnsi="Amiri" w:eastAsia="Amiri" w:cs="Amiri"/>
          <w:color w:val="111111"/>
          <w:sz w:val="28"/>
          <w:sz w:val="28"/>
          <w:szCs w:val="28"/>
          <w:rtl w:val="true"/>
          <w:lang w:bidi="ar-SA"/>
        </w:rPr>
        <w:t xml:space="preserve">وأمّا التمسك فيه بعدم إمكان الإنشاء مع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كما أنّ التمسك فيه بأن ظاهر ما دلّ على وجوب الوفاء بالعقد، وسببيّة العقد لمسببه، وترتب الأثر عليه حين صدور السبب وإيجاده، فتعليقه على الشرط منافٍ لذلك، ضعيفٌ، وكذلك التمسك فيه بتوقيفية الأسباب الشرعية، فيجب الاقتصار على المتيقّن، وهو العاري عن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إنْ أُريد عدم إمكان تعليق مدلول العقد فهو واضح، ولا كلام فيه، وإنْ أُريد عدم إمكان إنشاء الملكيّة ولو معلّقة، وهو ممكن ، وواقعٌ كثيراً في الأوامر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فلعدم انحصار الدليل في وجوب الوفاء، مع أن مدلوله ليس إلا وجوب الوفاء بالعقد على حسب مقتضاه، مع وقوع التخلّف في كثير من المواضع، مع أنّ الدليل واحد في الجميع، وهو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فلأنَّه لو سلّم التوقيفية يكفي فيها إطلاق حلّية البيع والتجارة</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3921667_2870459653"/>
      <w:bookmarkStart w:id="84" w:name="_Toc30"/>
      <w:bookmarkEnd w:id="83"/>
      <w:r>
        <w:rPr>
          <w:rtl w:val="true"/>
        </w:rPr>
        <w:t xml:space="preserve">[ </w:t>
      </w:r>
      <w:r>
        <w:rPr>
          <w:rtl w:val="true"/>
        </w:rPr>
        <w:t>شرطيّة التطابق بين الإيجاب والقبول في العقد</w:t>
      </w:r>
      <w:r>
        <w:rPr>
          <w:rtl w:val="true"/>
        </w:rPr>
        <w:t>]</w:t>
      </w:r>
      <w:bookmarkEnd w:id="8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الشروط المعتبرة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التطابق بين الإيجاب والقبول من حيث البائع والمشتري، والثمن والمثمن وتوابع العقد</w:t>
      </w:r>
      <w:r>
        <w:rPr>
          <w:rFonts w:eastAsia="Amiri" w:cs="Amiri" w:ascii="Amiri" w:hAnsi="Amiri"/>
          <w:color w:val="111111"/>
          <w:sz w:val="28"/>
          <w:szCs w:val="28"/>
          <w:rtl w:val="true"/>
          <w:lang w:bidi="ar-SA"/>
        </w:rPr>
        <w:t xml:space="preserve">. </w:t>
      </w:r>
      <w:bookmarkStart w:id="85" w:name="pg9195_77041"/>
    </w:p>
    <w:p>
      <w:pPr>
        <w:pStyle w:val="BookText"/>
        <w:rPr/>
      </w:pPr>
      <w:bookmarkEnd w:id="85"/>
      <w:r>
        <w:rPr>
          <w:rFonts w:ascii="Amiri" w:hAnsi="Amiri" w:eastAsia="Amiri" w:cs="Amiri"/>
          <w:color w:val="111111"/>
          <w:sz w:val="28"/>
          <w:sz w:val="28"/>
          <w:szCs w:val="28"/>
          <w:rtl w:val="true"/>
          <w:lang w:bidi="ar-SA"/>
        </w:rPr>
        <w:t>ووجه الاشتراط واضحٌ؛ لأنَّ الدليل هو صدق المعاملة والمعاقدة، وهي لا تتحقق مع الاختلاف قطعاً</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3921669_2870459653"/>
      <w:bookmarkStart w:id="87" w:name="_Toc31"/>
      <w:bookmarkEnd w:id="86"/>
      <w:r>
        <w:rPr>
          <w:rtl w:val="true"/>
        </w:rPr>
        <w:t>(</w:t>
      </w:r>
      <w:r>
        <w:rPr>
          <w:rtl w:val="true"/>
        </w:rPr>
        <w:t>في أوصاف المتعاقدين</w:t>
      </w:r>
      <w:r>
        <w:rPr>
          <w:rtl w:val="true"/>
        </w:rPr>
        <w:t>)</w:t>
      </w:r>
      <w:bookmarkEnd w:id="87"/>
    </w:p>
    <w:p>
      <w:pPr>
        <w:pStyle w:val="BookText"/>
        <w:rPr/>
      </w:pPr>
      <w:r>
        <w:rPr>
          <w:rFonts w:ascii="Amiri" w:hAnsi="Amiri" w:eastAsia="Amiri" w:cs="Amiri"/>
          <w:color w:val="111111"/>
          <w:sz w:val="28"/>
          <w:sz w:val="28"/>
          <w:szCs w:val="28"/>
          <w:rtl w:val="true"/>
          <w:lang w:bidi="ar-SA"/>
        </w:rPr>
        <w:t xml:space="preserve">ومن جملة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المتعاقدين على صفات صحة الإنشاء من أوّل العقد إلى آخره وعدم خروجهما عن القابلية في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عدم القابلية تارةً لعدم قابليتهما للتخاطب معه كالجنون، والإغماء، والموت، وأمثال ذلك، وتارةً أخرى؛ لأجل الحجر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 والسفه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منهما إمّا أنْ يكون عدم القابلية في حال صدور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حال التشاغل بالصيغة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يوجب البائع أولاً، ثم يصير مجنوناً، فيقبل الآخر حال جنونه، أو إغمائه، أو يكون في أثناء الإيجاب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مضرّيّة الفصل القليل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أنه أوجب البائع ثم صار مجنوناً في نصف ساعة أو أقلّ، ثم صار عاقلاً، فيقبل الآخر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عدم القابلية لأجل الخروج عن قابليّة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تشاغل الآخر بالقبول أو بالإيجاب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الصحة واضح؛ لعدم تحقق المعاقدة؛ لأنَّها المعاهدة من الطرفين، ولا معنى للمعاهدة مع المجنون والميّت، وكذا لا يصدق البيع والتجارة عرفاً، ويُعَدُّ ما وقع حال الصحة باطلاً؛ لعدم تحقق القبول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عرض المذكورات في الأثناء آناً ما، ثم ارتفع، فالاشتراط يمكن أن يكون من جهة أنه إذا صار الشخص مجنوناً ، فقد خَرَجَ عن الأهلية مطلقاً؛ فكأنَّه صار جداراً، فيبطل ما وقع منه في حال الصحة، ويبطل عهده في نظر العرف؛ ولذا حكموا </w:t>
      </w:r>
      <w:r>
        <w:rPr>
          <w:rStyle w:val="FootnoteAnchor"/>
          <w:rtl w:val="true"/>
        </w:rPr>
        <w:footnoteReference w:id="105"/>
      </w:r>
      <w:r>
        <w:rPr>
          <w:rFonts w:ascii="Amiri" w:hAnsi="Amiri" w:eastAsia="Amiri" w:cs="Amiri"/>
          <w:color w:val="111111"/>
          <w:sz w:val="28"/>
          <w:sz w:val="28"/>
          <w:szCs w:val="28"/>
          <w:rtl w:val="true"/>
          <w:lang w:bidi="ar-SA"/>
        </w:rPr>
        <w:t>في باب الوكالة ببطلانها بجنون الموكّل ولو آناً ما ، فقد خَرَجَ ما وقع منه عن قابلية الانضمام والتأثير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مع هذا يشكل إثباته ولو في بعض الفروض،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أغمي آناً ما ثم أفاق، والظاهر عدم بطلان العقد،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قابليّة الانضمام خصوصاً في مثل الحجر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كان عدم القابلية لأجل عدم الاعتبار برضاهما وفعلهما شرعاً، كالحجر لفَلَس ، أو سفه، أو 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رقيّة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مرض موت،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النظر إلى دليل الحجر في المذكورات وإنْ كان يحتمل أن يكون مثل السابق؛ لعدم تحقق المعاقدة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ولسبب حجر الشارع، والمنع الشرعي كالعرفي والعقلي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وقع ذلك في الأثناء، فالظاهر عدم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لو لم يكن الرِّضا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وجود الرِّضا في حال إنشاء الآخر، بل يكفي رضاؤه في حال إنشائه،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لم يكن المشتري راضياً حين إنشاء البائع، ثم صار راضياً في حال إنشاء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يضُرُّ لو لم يكن راضياً في حال إنشائه؛ لعدم صدق المعاهدة، لكن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في هذا المقام لم يفرّق بين الصور كلّها، وقال باعتبار البقاء من أول الإنشاء إلى آخره، من غير فرق بين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قابلية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الاعتبار بالرِّضا أو عدم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صدق المعاقدة مع العقد وعدم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انحصار الدليل في وجوب 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صدق المعاقدة، خصوصاً في بعضها الذي قد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والأصل في جميع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لو فسخ قبل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السابق</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فالمرادُ فيه غيرُ واضح</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أراد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المُوجّب لو لم يبقَ على صفة صحة الإنشاء، فقد بطل إيجابه، </w:t>
      </w:r>
      <w:bookmarkStart w:id="88" w:name="pg9195_77043"/>
    </w:p>
    <w:p>
      <w:pPr>
        <w:pStyle w:val="BookText"/>
        <w:rPr/>
      </w:pPr>
      <w:bookmarkEnd w:id="88"/>
      <w:r>
        <w:rPr>
          <w:rFonts w:ascii="Amiri" w:hAnsi="Amiri" w:eastAsia="Amiri" w:cs="Amiri"/>
          <w:color w:val="111111"/>
          <w:sz w:val="28"/>
          <w:sz w:val="28"/>
          <w:szCs w:val="28"/>
          <w:rtl w:val="true"/>
          <w:lang w:bidi="ar-SA"/>
        </w:rPr>
        <w:t>وخرَجَ عن قابلية الانضمام كالفسخ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يستكشف من بطلان الإيجاب بالفسخ ، أنّه يعتبر بقاء الموجب على صفة صحة الإيجاب من أوّل العقد إلى آخره، وبقاء رضائِهِ من أول الأمر إلى آخره، وكل منهما خلاف الظاهر ، لكن الأول أوفق بمراده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فاعتبار كون كل منهما على صفة صحة الإنشاء حال إنشائه لا شبهة فيه، وإنّما الكلام في بقائه على الصفات حال إنشاء الآخر، وقد ذكرنا أنه يختلف بالنسبة إلى الصفات، ومن هنا كان صحة عقد المُكره بعد حصول الرِّضا خارجاً عن القاعدة؛ لأنّ مقتضى القاعدة هو البطلان من رأسه، فافهم</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3921671_2870459653"/>
      <w:bookmarkStart w:id="90" w:name="_Toc32"/>
      <w:bookmarkEnd w:id="89"/>
      <w:r>
        <w:rPr>
          <w:rtl w:val="true"/>
        </w:rPr>
        <w:t xml:space="preserve">( </w:t>
      </w:r>
      <w:r>
        <w:rPr>
          <w:rtl w:val="true"/>
        </w:rPr>
        <w:t>في اختلاف المتعاقدين في الاجتهاد والتقليد</w:t>
      </w:r>
      <w:r>
        <w:rPr>
          <w:rtl w:val="true"/>
        </w:rPr>
        <w:t>)</w:t>
      </w:r>
      <w:bookmarkEnd w:id="90"/>
    </w:p>
    <w:p>
      <w:pPr>
        <w:pStyle w:val="BookText"/>
        <w:rPr/>
      </w:pPr>
      <w:r>
        <w:rPr>
          <w:rFonts w:ascii="Amiri" w:hAnsi="Amiri" w:eastAsia="Amiri" w:cs="Amiri"/>
          <w:color w:val="111111"/>
          <w:sz w:val="28"/>
          <w:sz w:val="28"/>
          <w:szCs w:val="28"/>
          <w:rtl w:val="true"/>
          <w:lang w:bidi="ar-SA"/>
        </w:rPr>
        <w:t>ومن جملة الفروع المتعلّقة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لو اختلف المتعاقدان اجتهاداً وتقليداً، في بعض الشرائط، وفعَلَ كلّ على ما يقتضيه مذهبه، بحيث يكون ذلك باطلاً عند الآخر ، فهل يجوز أن يكتفي كل واحد منهما على ما يقتضيه مذهبه،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أحدهما صحة العقد بالفارسية، فأوجب بالفارسي، فهل يجوز للآخر الحكم بالصحة، وتعقّب القبول به، بحمله على الصحة، أو لا يجوز ذلك، بل يكون باعتقاد الآخر معيّناً في حقه لا في حق الآخر، فيحكم بالبطلان، وعدم جواز ترتب الأثر عليه؟</w:t>
      </w:r>
    </w:p>
    <w:p>
      <w:pPr>
        <w:pStyle w:val="BookText"/>
        <w:rPr/>
      </w:pPr>
      <w:r>
        <w:rPr>
          <w:rFonts w:ascii="IRNazanin" w:hAnsi="IRNazanin" w:eastAsia="IRNazanin"/>
          <w:color w:val="111111"/>
          <w:sz w:val="28"/>
          <w:sz w:val="28"/>
          <w:szCs w:val="28"/>
          <w:rtl w:val="true"/>
          <w:lang w:bidi="fa-IR"/>
        </w:rPr>
        <w:t>وجوه</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مطلقاً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بشرط عدم كون العقد المركب منهما مما لا قائل بكونه سبباً في النقل،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قائل بكونه سبباً من المتعاقدين، وعدم قول كل منهما بذلك من جهة فعل الآخر على خلاف مذهبه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 يكون عدم القول من جهتين لا أنّه لا قائل بكونه سبباً في النقل،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الإجماع على بطلانه من حيث كونه مسألة واحدة، لا من حيث الاختلاف في الجهة؛ لأنَّه إذا كان الإجماع واقعاً 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إنّها مسألة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وقع الإجماع </w:t>
      </w:r>
      <w:r>
        <w:rPr>
          <w:rStyle w:val="FootnoteAnchor"/>
          <w:rtl w:val="true"/>
        </w:rPr>
        <w:footnoteReference w:id="109"/>
      </w:r>
      <w:r>
        <w:rPr>
          <w:rFonts w:ascii="Amiri" w:hAnsi="Amiri" w:eastAsia="Amiri" w:cs="Amiri"/>
          <w:color w:val="111111"/>
          <w:sz w:val="28"/>
          <w:sz w:val="28"/>
          <w:szCs w:val="28"/>
          <w:rtl w:val="true"/>
          <w:lang w:bidi="ar-SA"/>
        </w:rPr>
        <w:t xml:space="preserve">على عدم صحة العقد الملفّق من العربي والفارسي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فعلا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باطل جزماً؛ لكونه مخالفاً للإجماع، ولا ربط له بالمسألة المذكورة، لكن إذا لم يكن كذلك، بل عدم قول كل واحد من جهة فعل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المثال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أحدهما 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اشتراط العربية، وعدم وقوع الطرف الآخر بالعربي، والثاني لا يقول به من جهة لزوم تقديم الإيجاب على القبول، وقد قدَّم الآخر القبول على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والمثال الواضح إنّه لو فرضنا عدم القائل بجواز العقد بالفارسي، وجواز تقديم القبول على الإيجاب، وأوقع أحدهما بالفارسي، وأوقع أحدهما القبول مقدّماً على الإيجاب، فهذا العقد باطل عندهما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 أحدهما؛ فلوقوعه بالفارسي، وعند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يجوّز التقديم ؛ لتقديم القبول، فالمراد بالتفصيل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يكون ذلك أردئ الوجوه؛ لأنَّه 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فعل الآخر حكماً ظاهراً بالنسبة إليه وإلى الآخر، فيلزم ترتب الآثار عليه فحينئذٍ لا فرق في ذلك بين فعل واحد منهما على خلاف مذهب الآخر ، أو فعل كلّ منهما على خلاف مذهب الآخر؛ لكون كلّ من الفعلين حكماً ظاهرياً يلزم ترتب الآثار عليه، سواءٌ في ذلك نفسه أو غيره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لا يُقال بذلك،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ما اعتقده الآخر حكماً عذرياً لا يُعذر فيه إلا المعتقد، نظير الجهل المركب،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ما ذكر؛ لأنَّه إذا أوقع أحد الطرفين على خلاف مذهب الآخر، فيكون فاسداً في نظر الآخر وفي اعتقاده، ويخرج عن قابلية انضمام الآخر إليه، فلا يؤثر ضمُّ الآخر إليه، وهذا واضحٌ</w:t>
      </w:r>
      <w:r>
        <w:rPr>
          <w:rFonts w:eastAsia="Amiri" w:cs="Amiri" w:ascii="Amiri" w:hAnsi="Amiri"/>
          <w:color w:val="111111"/>
          <w:sz w:val="28"/>
          <w:szCs w:val="28"/>
          <w:rtl w:val="true"/>
          <w:lang w:bidi="ar-SA"/>
        </w:rPr>
        <w:t xml:space="preserve">. </w:t>
      </w:r>
      <w:bookmarkStart w:id="91" w:name="pg9195_77045"/>
    </w:p>
    <w:p>
      <w:pPr>
        <w:pStyle w:val="Heading3"/>
        <w:numPr>
          <w:ilvl w:val="2"/>
          <w:numId w:val="1"/>
        </w:numPr>
        <w:rPr/>
      </w:pPr>
      <w:bookmarkStart w:id="92" w:name="__RefHeading___Toc3921673_2870459653"/>
      <w:bookmarkStart w:id="93" w:name="_Toc33"/>
      <w:bookmarkEnd w:id="91"/>
      <w:bookmarkEnd w:id="92"/>
      <w:r>
        <w:rPr>
          <w:rtl w:val="true"/>
        </w:rPr>
        <w:t xml:space="preserve">[ </w:t>
      </w:r>
      <w:r>
        <w:rPr>
          <w:rtl w:val="true"/>
        </w:rPr>
        <w:t>مختار المصنف من الوجوه المتقدّمة</w:t>
      </w:r>
      <w:r>
        <w:rPr>
          <w:rtl w:val="true"/>
        </w:rPr>
        <w:t>]</w:t>
      </w:r>
      <w:bookmarkEnd w:id="93"/>
    </w:p>
    <w:p>
      <w:pPr>
        <w:pStyle w:val="BookText"/>
        <w:rPr/>
      </w:pPr>
      <w:r>
        <w:rPr>
          <w:rFonts w:ascii="Amiri" w:hAnsi="Amiri" w:eastAsia="Amiri" w:cs="Amiri"/>
          <w:color w:val="111111"/>
          <w:sz w:val="28"/>
          <w:sz w:val="28"/>
          <w:szCs w:val="28"/>
          <w:rtl w:val="true"/>
          <w:lang w:bidi="ar-SA"/>
        </w:rPr>
        <w:t xml:space="preserve">لكن الحقّ من هذه الوجوه هو الثاني؛ للأدلة الدالة من الإجماع والأخبار على حجيّة ظن المجتهد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تدريه خير من عشر ترويه، إنَّ لكل حق حقيقةً، ولكل صواب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لا نعدُّ الرجل من شيعتنا فقيهاً حتّى يلحن له فيعرف اللحن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 الغيبة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وللمزيد من البيان يُراجع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الساطع في الفقه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علي آل كاشف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بمعنى كون مظنونه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غاية الأمر كونه ظاهرياً لا واقعيّاً، فلا يتفاوت فيه بين الظانّ وغيره؛ لحرمة الردّ عليه؛ لأن الظانّ يكون معذوراً في ذلك، فالظنّ إذا كان حكماً من جانب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ترتب الآثار الشرعيّة عليه</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3921675_2870459653"/>
      <w:bookmarkStart w:id="95" w:name="_Toc34"/>
      <w:bookmarkEnd w:id="94"/>
      <w:r>
        <w:rPr>
          <w:rtl w:val="true"/>
        </w:rPr>
        <w:t>[</w:t>
      </w:r>
      <w:r>
        <w:rPr>
          <w:rtl w:val="true"/>
        </w:rPr>
        <w:t>شرطيّة تعقيب الإيجاب بالقبول في العقد</w:t>
      </w:r>
      <w:r>
        <w:rPr>
          <w:rtl w:val="true"/>
        </w:rPr>
        <w:t>]</w:t>
      </w:r>
      <w:bookmarkEnd w:id="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جملتها، تعقيب إيجابه بالقبول، والحكم عليه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ذكرنا إنّما هو بالنسبة إلى بعض الشروط القائم على أحد الطرفين، بحيث لا يكون المتخلّف إلا الشرط القائم على أحد الطرفين، مثل الترتب بين الإيجاب والقبول، فإنّه يجب أن يكون القبول واقعاً عقيب الإيجاب، لا أنه قائم على الإيجاب، بمعنى أنه لا بُدَّ من تقدّم الإيجاب كما أن القبول يلزم تأخره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فحينئذٍ إذا وقع القبول من أحدهما مقدّماً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باعتقاد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انتفى شرط الصحة فی القبول في نظر الموجب، ولا يلزم من ذلك تخلّف الشرط في الإيجاب، وكذلك الماضوية والعربيّة، بخلاف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،والتنجيز، وبقاء المتعاقدين على صفة صحة الإنشاء، فإنَّ الموالاة شرطٌ في الإيجاب والقبول، بمعنى لزوم الاتصال بينهما، ولا بُدَّ من كون الإيجاب متصلاً بالقبول، وكذلك القبول متصلاً بالإيجاب، فإذا أوجب البائع ، ثم بعد مضيّ زمان </w:t>
      </w:r>
      <w:bookmarkStart w:id="96" w:name="pg9195_77046"/>
    </w:p>
    <w:p>
      <w:pPr>
        <w:pStyle w:val="BookText"/>
        <w:rPr/>
      </w:pPr>
      <w:bookmarkEnd w:id="96"/>
      <w:r>
        <w:rPr>
          <w:rFonts w:ascii="Amiri" w:hAnsi="Amiri" w:eastAsia="Amiri" w:cs="Amiri"/>
          <w:color w:val="111111"/>
          <w:sz w:val="28"/>
          <w:sz w:val="28"/>
          <w:szCs w:val="28"/>
          <w:rtl w:val="true"/>
          <w:lang w:bidi="ar-SA"/>
        </w:rPr>
        <w:t xml:space="preserve">يخلّ بالموالاة أوجد المشتري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 الصحة ، فحينئذٍ بطل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عند الآخر ، والدليل قام على ترتيب الآثار على ما نقل الآخر، والحكم بصحة فعله، لا ترتيب الآثار على فعل نفس الشخص الفاسد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بقاء المتعاقدين؛ لأنَّه إذا أوجب البائع ثم صار مجنوناً، واعتقد عدم لزوم البقاء مطلقاً، فحينئذٍ لم يكن فعل الآخر صحيحاً في نظره أيضاً؛ لعدم تحقق معنى العهد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في هذا الشرط بقاء المتعاقدين على صفة صحة الإنشاء إلى الآخر، بأن يقع كل من الإنشائين في حال سلامة كلّ منهما، فحينئذٍ إذا لم يحصل هذا الشرط في أحدهما باعتقاد عدم الاشتراط ، فقد صار فاسداً فعل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باعتقاده، والأدلّة الدالة على حجيّة الظن تصحّح فعل الآخر لا فعل نفسه، الذي يكون باطلاً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التنجيز ، فإنَّه إذا علّق الأول على الشرط، فإن علّق الآخر يكون باطلاً على مذهبه، وإن لم يعلّق لم يحصل التطابق المجمع عليه، هذا كلُّهُ في الشروط المعتبرة في الصيغة وبعض فروعها</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3921677_2870459653"/>
      <w:bookmarkStart w:id="98" w:name="_Toc35"/>
      <w:bookmarkEnd w:id="97"/>
      <w:r>
        <w:rPr>
          <w:rtl w:val="true"/>
        </w:rPr>
        <w:t xml:space="preserve">( </w:t>
      </w:r>
      <w:r>
        <w:rPr>
          <w:rtl w:val="true"/>
        </w:rPr>
        <w:t xml:space="preserve">في حكم المقبوض بالبيع الفاسد وأدلة الضمان </w:t>
      </w:r>
      <w:r>
        <w:rPr>
          <w:rtl w:val="true"/>
        </w:rPr>
        <w:t>)</w:t>
      </w:r>
      <w:bookmarkEnd w:id="9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انتفى شرط من الشروط في الصيغة، تكون فاسدة ، فحينئذٍ لو قبض ما ابتاعه بالعقد الفاسد يكون مضموناً عليه بمعنى وجوب ردّه إلى المالك على تقدير الوجود، وردّ مثله وقيمته على تقدير التلف، وادعي </w:t>
      </w:r>
      <w:r>
        <w:rPr>
          <w:rStyle w:val="FootnoteAnchor"/>
          <w:rtl w:val="true"/>
        </w:rPr>
        <w:footnoteReference w:id="111"/>
      </w:r>
      <w:r>
        <w:rPr>
          <w:rFonts w:ascii="Amiri" w:hAnsi="Amiri" w:eastAsia="Amiri" w:cs="Amiri"/>
          <w:color w:val="111111"/>
          <w:sz w:val="28"/>
          <w:sz w:val="28"/>
          <w:szCs w:val="28"/>
          <w:rtl w:val="true"/>
          <w:lang w:bidi="ar-SA"/>
        </w:rPr>
        <w:t>عليه الإجماع</w:t>
      </w:r>
      <w:r>
        <w:rPr>
          <w:rFonts w:eastAsia="Amiri" w:cs="Amiri" w:ascii="Amiri" w:hAnsi="Amiri"/>
          <w:color w:val="111111"/>
          <w:sz w:val="28"/>
          <w:szCs w:val="28"/>
          <w:rtl w:val="true"/>
          <w:lang w:bidi="ar-SA"/>
        </w:rPr>
        <w:t xml:space="preserve">. </w:t>
      </w:r>
      <w:bookmarkStart w:id="99" w:name="pg9195_77047"/>
    </w:p>
    <w:p>
      <w:pPr>
        <w:pStyle w:val="Heading3"/>
        <w:numPr>
          <w:ilvl w:val="2"/>
          <w:numId w:val="1"/>
        </w:numPr>
        <w:rPr/>
      </w:pPr>
      <w:bookmarkStart w:id="100" w:name="__RefHeading___Toc3921679_2870459653"/>
      <w:bookmarkStart w:id="101" w:name="_Toc36"/>
      <w:bookmarkEnd w:id="99"/>
      <w:bookmarkEnd w:id="100"/>
      <w:r>
        <w:rPr>
          <w:rtl w:val="true"/>
        </w:rPr>
        <w:t>(</w:t>
      </w:r>
      <w:r>
        <w:rPr>
          <w:rtl w:val="true"/>
        </w:rPr>
        <w:t xml:space="preserve">في معنى حديث على اليد </w:t>
      </w:r>
      <w:r>
        <w:rPr>
          <w:rtl w:val="true"/>
        </w:rPr>
        <w:t>...)</w:t>
      </w:r>
      <w:bookmarkEnd w:id="101"/>
    </w:p>
    <w:p>
      <w:pPr>
        <w:pStyle w:val="BookText"/>
        <w:rPr/>
      </w:pPr>
      <w:r>
        <w:rPr>
          <w:rFonts w:ascii="Amiri" w:hAnsi="Amiri" w:eastAsia="Amiri" w:cs="Amiri"/>
          <w:color w:val="111111"/>
          <w:sz w:val="28"/>
          <w:sz w:val="28"/>
          <w:szCs w:val="28"/>
          <w:rtl w:val="true"/>
          <w:lang w:bidi="ar-SA"/>
        </w:rPr>
        <w:t>ويدل عليه عموم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ولا بُدَّ أولًا من تحقيق معنى الحديث حتّى يتبيّن دلالته ،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للاستعلاء، والاستعلاء الحقيقي لا يمكن إرادته، سواء كان المتعلّق عيناً، أو دَيناً، أو فعلاً، لكن هل يكون فرق بين كون المتعلّق أحد المذكورات؟</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المتعلّق فعلاً من الأفعال، مثل عليه الصلاة والصوم وغير ذلك، فحينئذٍ يكون ظاهراً في ثبوت الحكم التكليفي على العهدة،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ذمته مشغولة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يكون المتعلّق كليّاً،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الدَّين ومثله عليه ألف دينار، فحينئذٍ يكون ظاهراً في اشتغال الذّمة به، وثبوته على الذّمة بمناسبة كون نقل الدَّين على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يكون المتعلّق عيناً خارجياً، وحينئذٍ لا يمكن أن يكون المراد أنه ثابت في الذِّمة؛ لأنّ العين الخارجية لا يمكن استقرارها في الذِّمة؛ لأنّ ظرفها الخارج المقابل للذِّمة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لا بُدَّ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تعهده والتزامه على الذِّمة،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تلف يجب عليه ردُّ مثله أو قيمته إلى صاحبه، والمناسبة من جهة أنّ تعهد الشخص والتزاماته كلّها محمولة على الشخص، كما أنّ ثقل الحمل على الشخص،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عهدة هذا الشيء على الشخص،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باقياً يجب ردّه، وإن كان تالفاً يجب ردّ مثله أو قيمته، وليس المراد من العهدة لزوم ردّ عينه ؛ لأنَّ العهدة ظاهرة في الأعم من ردّ نفس الشيء، ومثله، وقيمته، مع أنّ الغاية في الكلام غير مناسبة لجعل المراد لزوم الردّ خاصة؛ لأنَّه بمنزلة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 العين وأداؤه إلى حين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ممتنع جداً،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المجموع المركب من ردّه على تقدير الوجود، وردّ مثله أو قيمته إن تلف، والجامع بينهما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الشيء على العهدة، فيفهم من ذلك عرفاً هذا المجموع المركب، فظهر دلالته على لزوم دفع المثل أو القيمة</w:t>
      </w:r>
      <w:r>
        <w:rPr>
          <w:rFonts w:eastAsia="Amiri" w:cs="Amiri" w:ascii="Amiri" w:hAnsi="Amiri"/>
          <w:color w:val="111111"/>
          <w:sz w:val="28"/>
          <w:szCs w:val="28"/>
          <w:rtl w:val="true"/>
          <w:lang w:bidi="ar-SA"/>
        </w:rPr>
        <w:t xml:space="preserve">. </w:t>
      </w:r>
      <w:bookmarkStart w:id="102" w:name="pg9195_77048"/>
    </w:p>
    <w:p>
      <w:pPr>
        <w:pStyle w:val="BookText"/>
        <w:rPr/>
      </w:pPr>
      <w:bookmarkEnd w:id="102"/>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إنَّ الشيء المأخوذ بعد الأخذ يكون على عهدة الشخص إلى حين الأداء، فما لم يؤدَّ يكون باقياً على الذِّمة، ولو تلف الشيء إلى الأبد فلا يرتفع بغير الأداء، ولو ثبت في موضع رفعه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الدليل الخارجي، وإلا فمقتضى استقرار الشيء وأخذ الشيء بقاؤه إلى الأداء، فيكون إفراغ الذّمة ممتنعاً على تقدير التلف، وهو بعيدٌ مخالفٌ لظاهر العهدة عند العرف، مع أنه يستلزم التكليف بالمحال، فيكون المراد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الشخص كنايةً ؛ لكون الأخذ غالباً باليد، 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فمنجبر بشهرتها روايةً </w:t>
      </w:r>
      <w:r>
        <w:rPr>
          <w:rStyle w:val="FootnoteAnchor"/>
          <w:rtl w:val="true"/>
        </w:rPr>
        <w:footnoteReference w:id="113"/>
      </w:r>
      <w:r>
        <w:rPr>
          <w:rFonts w:ascii="Amiri" w:hAnsi="Amiri" w:eastAsia="Amiri" w:cs="Amiri"/>
          <w:color w:val="111111"/>
          <w:sz w:val="28"/>
          <w:sz w:val="28"/>
          <w:szCs w:val="28"/>
          <w:rtl w:val="true"/>
          <w:lang w:bidi="ar-SA"/>
        </w:rPr>
        <w:t xml:space="preserve">وفتوىً بين الأصحاب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3921681_2870459653"/>
      <w:bookmarkStart w:id="104" w:name="_Toc37"/>
      <w:bookmarkEnd w:id="103"/>
      <w:r>
        <w:rPr>
          <w:rtl w:val="true"/>
        </w:rPr>
        <w:t xml:space="preserve">( </w:t>
      </w:r>
      <w:r>
        <w:rPr>
          <w:rtl w:val="true"/>
        </w:rPr>
        <w:t>في قاعدة كل عقد يضمن بصحيحه يضمنُ بفاسده</w:t>
      </w:r>
      <w:r>
        <w:rPr>
          <w:rtl w:val="true"/>
        </w:rPr>
        <w:t>)</w:t>
      </w:r>
      <w:bookmarkEnd w:id="104"/>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المعروفة، بل المُجمع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السيد القزويني عن الشيخ جعفر الكبير الإجماع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عقد يضمن بصحيحه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وعكسها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وتمسك بهما العلماء في أبواب العقود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وأوّل من تعرّض لذلك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أولاً من شرح ألفاظها أصلاً وعكساً، والمراد منها، ثم التعرّض لمدركها، فنقول</w:t>
      </w:r>
      <w:bookmarkStart w:id="105" w:name="pg9195_77049"/>
    </w:p>
    <w:p>
      <w:pPr>
        <w:pStyle w:val="BookText"/>
        <w:rPr/>
      </w:pPr>
      <w:bookmarkEnd w:id="105"/>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العموم، فيفيد عموم مدخوله، فإن كان المراد بمدخوله الأنواع، تفيد عموم الأنواع، وإن كان الأفرادَ والأوصافَ، يفيد العموم فيهما، فلا بُدَّ من بيان المراد من العقد، فنقول</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3921683_2870459653"/>
      <w:bookmarkStart w:id="107" w:name="_Toc38"/>
      <w:bookmarkEnd w:id="106"/>
      <w:r>
        <w:rPr>
          <w:rtl w:val="true"/>
        </w:rPr>
        <w:t>(</w:t>
      </w:r>
      <w:r>
        <w:rPr>
          <w:rtl w:val="true"/>
        </w:rPr>
        <w:t xml:space="preserve">في بيان المراد من العقد </w:t>
      </w:r>
      <w:r>
        <w:rPr>
          <w:rtl w:val="true"/>
        </w:rPr>
        <w:t>)</w:t>
      </w:r>
      <w:bookmarkEnd w:id="107"/>
    </w:p>
    <w:p>
      <w:pPr>
        <w:pStyle w:val="BookText"/>
        <w:rPr/>
      </w:pPr>
      <w:r>
        <w:rPr>
          <w:rFonts w:ascii="Amiri" w:hAnsi="Amiri" w:eastAsia="Amiri" w:cs="Amiri"/>
          <w:color w:val="111111"/>
          <w:sz w:val="28"/>
          <w:sz w:val="28"/>
          <w:szCs w:val="28"/>
          <w:rtl w:val="true"/>
          <w:lang w:bidi="ar-SA"/>
        </w:rPr>
        <w:t>إنَّ العقد اسم جنس يدل على الطبيعة، فإذا أُدخل عليها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الظاهر كل الأفراد من الطبيعة، لكن هذا غير مناسب لما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صحيحه وفاسده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يدلّ على اشتمال كل فرد على الصحيح والفاسد حقيقة، وهو لا يتحقق في الفرد الخارجي؛ إذ هو إمّا صحيح أو فاسد؛ لأنَّه إمّا أن يكون مشتملاً على الشرائط ؛ فيكون صحيحاً، أو لا؛ فيكون فاسداً ، فلا بُدَّ أنْ يكون المراد كل الأصناف، أو كلّ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يمكن إرادة كلّ فرد من النوع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والإجارة، والصلح؛ لأن ضمان النوع إنّما يكون إذا كان النوع بنوعه موجباً للضمان في صحيحه، وهو مستلزمٌ لعدم التخلّف في فرد من صحيح ذلك النوع ، فلا يشمل ما يكون بعض أصناف صحيحه موجباً للضمان، ولم يوجب بعضها الآخر كالصلح والعارية، حيث إنّ الصلح المتضمن للإسقاط والتمليك لا يوجب الضمان في صحيحه، فكذلك في فاسده، وأمّا المصالحة المعوّضة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الضمان في صحيحها، فكذلك في فاسدها، وكذلك عارية غير الذهب والفضة لا يوجب الضمان، بخلاف عارية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اقتضاء الضمان بحسب النوع، فلا ينافي ذلك عدم الضمان في بعض الموارد المانع،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الصلح مقتضي للضمان نوعاً، وفي البعض الذي لا يقتضيه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المانع، وكذلك العارية، وهو بعيدٌ؛ لأنَّ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الضمان الفعلي لا الشأني، مع أنَّ دعوى عدم كون الضمان في بعض الموارد للمانع، مع ثبوت الاقتضاء في محلّ المنع جداً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نوع العقد، ويشمل مثل الصلح، والعارية أيضاً؛ لأن صحيحه </w:t>
      </w:r>
    </w:p>
    <w:p>
      <w:pPr>
        <w:pStyle w:val="BookText"/>
        <w:rPr/>
      </w:pPr>
      <w:r>
        <w:rPr>
          <w:rFonts w:ascii="IRNazanin" w:hAnsi="IRNazanin" w:eastAsia="IRNazanin"/>
          <w:color w:val="111111"/>
          <w:sz w:val="28"/>
          <w:sz w:val="28"/>
          <w:szCs w:val="28"/>
          <w:rtl w:val="true"/>
          <w:lang w:bidi="fa-IR"/>
        </w:rPr>
        <w:t xml:space="preserve">بمنزلة الجزئية، فيصدق الضمان في صحيح النوع ولو كان في صنف منه، ولا يدلّ على ثبوت الضمان في كلّ فرد من الصحيح، حتّى يقال بخروج الصّلح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في الفعلي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أيضاً بعيدٌ؛ لأنَّ الظاهر منه أنّه كلّما صح ذلك النوع يكون الضمان في صحیحه، فيكون ظاهراً في الكليّة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نوع من العقد يكون الضمان في جميع أفراد صحيحه، يكون الضمان في فاسده،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المذكورات، مع أنّ ظاهرهم الحصر، وكونهم في مقام حصر العقود في أصل القاعدة وعكسها، مع أنّ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الأصل والعكس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خروجها عن الأصل؛ فقد عرفت، وأمّا خروجها عن العكس؛ فلأنَّ العكس مانع </w:t>
      </w:r>
      <w:r>
        <w:rPr>
          <w:rStyle w:val="FootnoteAnchor"/>
          <w:rtl w:val="true"/>
        </w:rPr>
        <w:footnoteReference w:id="116"/>
      </w:r>
      <w:r>
        <w:rPr>
          <w:rFonts w:ascii="Amiri" w:hAnsi="Amiri" w:eastAsia="Amiri" w:cs="Amiri"/>
          <w:color w:val="111111"/>
          <w:sz w:val="28"/>
          <w:sz w:val="28"/>
          <w:szCs w:val="28"/>
          <w:rtl w:val="true"/>
          <w:lang w:bidi="ar-SA"/>
        </w:rPr>
        <w:t xml:space="preserve">للأصل، فيكون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ومن المعلوم أنَّ نوع الصلح ليس مما 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بُدَّ من إرادة الأعم من الصنف والنوع ؛ ليشمل مثل البيع الذي يكون الضمان في نوعه، ومثل الصّلح الذي يقتضي الضمان في 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الإجارة ففيها جهتان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أصل المعاملة داخلة في الأصل، ومن جهة العين المستأجرة داخلة في العكس، بناءً على شمول العقد لما يكون متعلّق العقد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الضمان الحاصل من جهة الشرط،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يشترط في العارية ضمان المعادلة، فحينئذٍ يكون الضمان في صحيحه فيبقى كون الضمان في فاسد العارية المشروطة فيها الضمان، فهو مبنيٌّ على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يصدق كون الضمان في صحيحه ولو لم يكن بسبب أصل العقد، أو بمعنى السببيّة، فحينئذٍ يكون ظاهراً في اقتضاء الصحيح له بنفسه لا بواسطة الشرط، وهذا هو الظاهر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العقد يشمل الجائز واللازم، لكن لا بُدَّ أنْ يكون من العقود المتعارفة في ألسنة الفقهاء، لا مطلق العقد؛ لأنّ هذه القاعدة من كلمات الفقهاء، فينصرف إلى ما هو عقد عندهم، حتّى أنه يشمل ما يكون أقرب إلى جعله من الإيقاعات كالجعالة والخلع، فهما وإنْ </w:t>
      </w:r>
      <w:bookmarkStart w:id="108" w:name="pg9195_77051"/>
    </w:p>
    <w:p>
      <w:pPr>
        <w:pStyle w:val="BookText"/>
        <w:rPr/>
      </w:pPr>
      <w:bookmarkEnd w:id="108"/>
      <w:r>
        <w:rPr>
          <w:rFonts w:ascii="Amiri" w:hAnsi="Amiri" w:eastAsia="Amiri" w:cs="Amiri"/>
          <w:color w:val="111111"/>
          <w:sz w:val="28"/>
          <w:sz w:val="28"/>
          <w:szCs w:val="28"/>
          <w:rtl w:val="true"/>
          <w:lang w:bidi="ar-SA"/>
        </w:rPr>
        <w:t>تضمنا عوضاً ومعوّضاً، لكنه لا يحتاج إلى القبول في العقد، بل يكفي القبول الفعلي</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3921685_2870459653"/>
      <w:bookmarkStart w:id="110" w:name="_Toc39"/>
      <w:bookmarkEnd w:id="109"/>
      <w:r>
        <w:rPr>
          <w:rtl w:val="true"/>
        </w:rPr>
        <w:t>(</w:t>
      </w:r>
      <w:r>
        <w:rPr>
          <w:rtl w:val="true"/>
        </w:rPr>
        <w:t xml:space="preserve">في معنى لفظ الضمان </w:t>
      </w:r>
      <w:r>
        <w:rPr>
          <w:rtl w:val="true"/>
        </w:rPr>
        <w:t>)</w:t>
      </w:r>
      <w:bookmarkEnd w:id="110"/>
    </w:p>
    <w:p>
      <w:pPr>
        <w:pStyle w:val="BookText"/>
        <w:rPr/>
      </w:pPr>
      <w:r>
        <w:rPr>
          <w:rFonts w:ascii="Amiri" w:hAnsi="Amiri" w:eastAsia="Amiri" w:cs="Amiri"/>
          <w:color w:val="111111"/>
          <w:sz w:val="28"/>
          <w:sz w:val="28"/>
          <w:szCs w:val="28"/>
          <w:rtl w:val="true"/>
          <w:lang w:bidi="ar-SA"/>
        </w:rPr>
        <w:t xml:space="preserve">ثمّ إنّ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الإطلاق ينصرف إلى المثل والقيمة عند العرف؛ لأنّ معنى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تدارك الشيء وخسارته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خسارته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الضمان على غيره من البدل الجعلي الثابت في الصحيح، إنّما هو لأجل الدليل الذي يدل على تنزيله منزلة الضمان الحقيقي، 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حيث يدل على أنَّ البيعَ سببٌ للضمان، فيدلّ على أنّ المجعول تدارك للشيء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إطلاق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ضامنٌ لماله باعتبار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جعل ماله الأصلي ضماناً لمال الآخر، ومن هذه الجهة 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ويمكن أن يكون باعتبار المشاكلة في الفاسد، حيث إنّ استعماله فيه حقيقة، فاستعماله باعتبار مشاكلته</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3921687_2870459653"/>
      <w:bookmarkStart w:id="112" w:name="_Toc40"/>
      <w:bookmarkEnd w:id="111"/>
      <w:r>
        <w:rPr>
          <w:rtl w:val="true"/>
        </w:rPr>
        <w:t>(</w:t>
      </w:r>
      <w:r>
        <w:rPr>
          <w:rtl w:val="true"/>
        </w:rPr>
        <w:t>في معنى الباء في بصحيحه</w:t>
      </w:r>
      <w:r>
        <w:rPr>
          <w:rtl w:val="true"/>
        </w:rPr>
        <w:t>)</w:t>
      </w:r>
      <w:bookmarkEnd w:id="112"/>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 لا إشكال في ثبوت الضمان في الفاسد ولو لم يكن سبباً للضمان بل يحصل الضمان فيه، والظرفيّة باعتبار وقوع الضمان في الصحيح، وتلبّس الصحيح به، وهذا القدر يكفي في الظرفيّة؛ لعدم كون الظرفيّة حقيقية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يكون المراد السببيّة الناقصة لا التامة؛ لعدم كون العقد سبباً للضمان تاماً ولو في الصحيح؛ لكون القبض شرطاً في الضمان؛ 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قبل القبض على البائع</w:t>
      </w:r>
      <w:r>
        <w:rPr>
          <w:rFonts w:eastAsia="Amiri" w:cs="Amiri" w:ascii="Amiri" w:hAnsi="Amiri"/>
          <w:color w:val="111111"/>
          <w:sz w:val="28"/>
          <w:szCs w:val="28"/>
          <w:rtl w:val="true"/>
          <w:lang w:bidi="ar-SA"/>
        </w:rPr>
        <w:t xml:space="preserve">. </w:t>
      </w:r>
      <w:bookmarkStart w:id="113" w:name="pg9195_77052"/>
    </w:p>
    <w:p>
      <w:pPr>
        <w:pStyle w:val="BookText"/>
        <w:rPr/>
      </w:pPr>
      <w:bookmarkEnd w:id="113"/>
      <w:r>
        <w:rPr>
          <w:rFonts w:ascii="Amiri" w:hAnsi="Amiri" w:eastAsia="Amiri" w:cs="Amiri"/>
          <w:color w:val="111111"/>
          <w:sz w:val="28"/>
          <w:sz w:val="28"/>
          <w:szCs w:val="28"/>
          <w:rtl w:val="true"/>
          <w:lang w:bidi="ar-SA"/>
        </w:rPr>
        <w:t xml:space="preserve">لكن يشكل تصحيح السببيّة ولو كانت ناقصة في الفاسد، حيث إنَّ الفاسد لم يكن سبباً للضمان أصلاً بدون القبض، وتصحيح السببيّة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باعتبار أنّ العقد سببٌ للقبض ، الذي هو سبب للضمان، فالعقد سببُ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باعتبار كونه مقتضياً للضمان لكن بشرط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 لأجل السببيّة، بل لأجل مشاكلته للصحيح</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3921689_2870459653"/>
      <w:bookmarkStart w:id="115" w:name="_Toc41"/>
      <w:bookmarkEnd w:id="114"/>
      <w:r>
        <w:rPr>
          <w:rtl w:val="true"/>
        </w:rPr>
        <w:t>(</w:t>
      </w:r>
      <w:r>
        <w:rPr>
          <w:rtl w:val="true"/>
        </w:rPr>
        <w:t>الكلامُ في مَدْرَكِ القاعدة</w:t>
      </w:r>
      <w:r>
        <w:rPr>
          <w:rtl w:val="true"/>
        </w:rPr>
        <w:t>)</w:t>
      </w:r>
      <w:bookmarkEnd w:id="115"/>
    </w:p>
    <w:p>
      <w:pPr>
        <w:pStyle w:val="BookText"/>
        <w:rPr/>
      </w:pPr>
      <w:r>
        <w:rPr>
          <w:rFonts w:ascii="Amiri" w:hAnsi="Amiri" w:eastAsia="Amiri" w:cs="Amiri"/>
          <w:color w:val="111111"/>
          <w:sz w:val="28"/>
          <w:sz w:val="28"/>
          <w:szCs w:val="28"/>
          <w:rtl w:val="true"/>
          <w:lang w:bidi="ar-SA"/>
        </w:rPr>
        <w:t>بقي الكلام في مدرك القاعدة،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العبائر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في المبسوط </w:t>
      </w:r>
      <w:r>
        <w:rPr>
          <w:rStyle w:val="FootnoteAnchor"/>
          <w:rtl w:val="true"/>
        </w:rPr>
        <w:footnoteReference w:id="119"/>
      </w:r>
      <w:r>
        <w:rPr>
          <w:rFonts w:ascii="Amiri" w:hAnsi="Amiri" w:eastAsia="Amiri" w:cs="Amiri"/>
          <w:color w:val="111111"/>
          <w:sz w:val="28"/>
          <w:sz w:val="28"/>
          <w:szCs w:val="28"/>
          <w:rtl w:val="true"/>
          <w:lang w:bidi="ar-SA"/>
        </w:rPr>
        <w:t>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أقدم عليه، فيكون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عليك أنَّ مجرّد الإقدام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يحصل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موجباً للضمان، وهذا واضحٌ، فكأنَّه كان مفروغاً عنه بينهم، فمرادهم إنّه قبضَ مُقدِم على الضمان، فيكون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الإقدام يتحقق بدون القبض؛ لأنَّه يكون بينهما عموم من وجه، فلا يكون موجباً للضمان بنفسه؛ لأنّ مرادهم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إيرادان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الإقدام على تقدير الصحة دون الفساد، فلا يجري الدليل في صورة الفساد؛ لعدم الإقدام ؛ لكون إقدامهما بزعم صحة المعاملة وعلى تقديرها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بظاهره غير مستقيم؛ لأن قصد المتعاقدين لا يكون إلا بالملك، ولا يكون القصد إلى الصحة أصلاً، بل كثيراً ما لا يلتفت إلى ذلك أصلاً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قصدا الملكيّة الشرعية، وهي مستلزمةٌ للقصد إلى السبب الشرعي؛ لعدم حصولها بدونه، فالإقدام من جهة حصول الملكيّة الشرعيّة بهذا الفاسد، لا </w:t>
      </w:r>
    </w:p>
    <w:p>
      <w:pPr>
        <w:pStyle w:val="BookText"/>
        <w:rPr/>
      </w:pPr>
      <w:r>
        <w:rPr>
          <w:rFonts w:ascii="Amiri" w:hAnsi="Amiri" w:eastAsia="Amiri" w:cs="Amiri"/>
          <w:color w:val="111111"/>
          <w:sz w:val="28"/>
          <w:sz w:val="28"/>
          <w:szCs w:val="28"/>
          <w:rtl w:val="true"/>
          <w:lang w:bidi="ar-SA"/>
        </w:rPr>
        <w:t>تشريعاً كما في العلم بالفساد، أو بدونه كما في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إنّما أقدما على الضمان على وجه خاص، لا على الضمان بالمثل والقيمة، فإذا انتفت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إقدامٌ بالنسبة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المثل والقيمة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عدم الخصوصية؛ لانتفاء الإقدام بانتفاء الخصوصية فلا معنى للقول بضمان المثل، وأجرة المثل في الإجارة الفاسدة، مستدلاً بأنَّهما أقدما على الضمان، فإذا لم يثبت المسمّى ، فلا بُدَّ أنْ يكون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يستفاد من كلمات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العقد على ما يكون متموّلاً وغير متموّل، يصح العقد بالنسبة إلى المملوك والمتموّل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يقولون في باب الوقف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وقف أرضاً، ثم ظهر مستحقاً للغير، يصح الوقف في الأقرب منه 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المتعاقدين متعدداً، ولا ينتفي أحد المطلوبين بانتفاء الآخر، وإلا فلا دليل على ما ذكروه، ففي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 متعددٌ، أحد القصدين وقع على المعاملة لا على المجانية، والثاني بالقصد إلى المعاملة الخاصة، والقصد إلى العوضين المخصوصين، فإذا انتفى الثاني لا دليل على انتفاء الأول، فيستلزم القصد إلى المعاملة، وعدم المجانية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فافهم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التوجيه يمكن تنزيل ما ذكروه في باب الوقف مثلاً،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الواقف وقف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ظهرت مستحقةً للغير، فيصح الوقف بالنسبة إلى الأقرب منها </w:t>
      </w:r>
      <w:bookmarkStart w:id="116" w:name="pg9195_77054"/>
    </w:p>
    <w:p>
      <w:pPr>
        <w:pStyle w:val="BookText"/>
        <w:rPr/>
      </w:pPr>
      <w:bookmarkEnd w:id="116"/>
      <w:r>
        <w:rPr>
          <w:rFonts w:ascii="Amiri" w:hAnsi="Amiri" w:eastAsia="Amiri" w:cs="Amiri"/>
          <w:color w:val="111111"/>
          <w:sz w:val="28"/>
          <w:sz w:val="28"/>
          <w:szCs w:val="28"/>
          <w:rtl w:val="true"/>
          <w:lang w:bidi="ar-SA"/>
        </w:rPr>
        <w:t>فالأقرب، وكذلك في غيره من الأبواب، فكأنَّ الشارع نزّل قصد المتعاقدين بمنزلة قصدين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الشارع عن قصد المتعاقدين، 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فيما لم يعلم حال المتعاقدين، وأمّا لو علم من حالهما أنهما لم يرضيا إلا بالعوض الخاص، حتّى أنه إذا لم يحصل لم يكونا راضيين بالنقل أصلاً، فلا يتم ما ذُكر </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921691_2870459653"/>
      <w:bookmarkStart w:id="118" w:name="_Toc42"/>
      <w:bookmarkEnd w:id="117"/>
      <w:r>
        <w:rPr>
          <w:rtl w:val="true"/>
        </w:rPr>
        <w:t>[</w:t>
      </w:r>
      <w:r>
        <w:rPr>
          <w:rtl w:val="true"/>
        </w:rPr>
        <w:t>إيرادات على دليل الإقدام</w:t>
      </w:r>
      <w:r>
        <w:rPr>
          <w:rtl w:val="true"/>
        </w:rPr>
        <w:t>]</w:t>
      </w:r>
      <w:bookmarkEnd w:id="118"/>
    </w:p>
    <w:p>
      <w:pPr>
        <w:pStyle w:val="BookText"/>
        <w:rPr/>
      </w:pPr>
      <w:r>
        <w:rPr>
          <w:rFonts w:ascii="Amiri" w:hAnsi="Amiri" w:eastAsia="Amiri" w:cs="Amiri"/>
          <w:color w:val="111111"/>
          <w:sz w:val="28"/>
          <w:sz w:val="28"/>
          <w:szCs w:val="28"/>
          <w:rtl w:val="true"/>
          <w:lang w:bidi="ar-SA"/>
        </w:rPr>
        <w:t xml:space="preserve">وكيف كان، فالظاهر عدم تماميّة دليل الإقدام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يحتاج إلى دليل وليس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علّة عقلية، فلا يجوز التخلّف فيها، مع أنّ بينه وبين الضمان عموماً من وجه، وليس من قبيل الأدلّة اللفظيّة الشرعية حتّى يجوز التخصيص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أنّ القصد وقع على العوض الخارجي دون المطلق، فلا يكون ناهضاً بإثبات المطلب بنفسه من دون ضميمة دليل آخر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ما في كلام الشهيد في المسالك </w:t>
      </w:r>
      <w:r>
        <w:rPr>
          <w:rStyle w:val="FootnoteAnchor"/>
          <w:rtl w:val="true"/>
        </w:rPr>
        <w:footnoteReference w:id="123"/>
      </w:r>
      <w:r>
        <w:rPr>
          <w:rFonts w:ascii="Amiri" w:hAnsi="Amiri" w:eastAsia="Amiri" w:cs="Amiri"/>
          <w:color w:val="111111"/>
          <w:sz w:val="28"/>
          <w:sz w:val="28"/>
          <w:szCs w:val="28"/>
          <w:rtl w:val="true"/>
          <w:lang w:bidi="ar-SA"/>
        </w:rPr>
        <w:t>، حيث جعل ذلك ودليل اليد، كلاً منهما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إثبات الضمان في الجملة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على اليد ما أخذت حتّى تؤديه </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على التقريب المتقدّم في صدر المبحث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عليك عدم جريانه في المنافع والأعمال، حيث وقعت المعاملة الفاسدة عليها؛ لظهوره في الأعيان بقرينة الأخذ، حيث إنّ ظاهر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باليد، فيختص بالمنقولات</w:t>
      </w:r>
      <w:r>
        <w:rPr>
          <w:rFonts w:eastAsia="Amiri" w:cs="Amiri" w:ascii="Amiri" w:hAnsi="Amiri"/>
          <w:color w:val="111111"/>
          <w:sz w:val="28"/>
          <w:szCs w:val="28"/>
          <w:rtl w:val="true"/>
          <w:lang w:bidi="ar-SA"/>
        </w:rPr>
        <w:t xml:space="preserve">. </w:t>
      </w:r>
      <w:bookmarkStart w:id="119" w:name="pg9195_77055"/>
    </w:p>
    <w:p>
      <w:pPr>
        <w:pStyle w:val="BookText"/>
        <w:rPr/>
      </w:pPr>
      <w:bookmarkEnd w:id="119"/>
      <w:r>
        <w:rPr>
          <w:rFonts w:ascii="Amiri" w:hAnsi="Amiri" w:eastAsia="Amiri" w:cs="Amiri"/>
          <w:color w:val="111111"/>
          <w:sz w:val="28"/>
          <w:sz w:val="28"/>
          <w:szCs w:val="28"/>
          <w:rtl w:val="true"/>
          <w:lang w:bidi="ar-SA"/>
        </w:rPr>
        <w:t xml:space="preserve">لكن يمكن دعوى ظهوره بملاحظة العرف والاستعمالات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الأعيان، ولو من غير المنقولات كالدار</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حيث إنّه يُطلق الأخذ على الاستيلاء على الدار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داري من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يمكن شموله لغير المنقولات، لكن من الأعيان، لا في المنافع والأعيان</w:t>
      </w:r>
      <w:r>
        <w:rPr>
          <w:rStyle w:val="FootnoteAnchor"/>
          <w:rtl w:val="true"/>
        </w:rPr>
        <w:footnoteReference w:id="127"/>
      </w:r>
      <w:r>
        <w:rPr>
          <w:rFonts w:ascii="Amiri" w:hAnsi="Amiri" w:eastAsia="Amiri" w:cs="Amiri"/>
          <w:color w:val="111111"/>
          <w:sz w:val="28"/>
          <w:sz w:val="28"/>
          <w:szCs w:val="28"/>
          <w:rtl w:val="true"/>
          <w:lang w:bidi="ar-SA"/>
        </w:rPr>
        <w:t xml:space="preserve">إذ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عملي، ومنفعة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يشهد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تؤديه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الأداء ظاهر، بل صريح في ردّ نفسه، ولا يمكن ذلك فيهما، فلا يكون دليلاً عليهما </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921693_2870459653"/>
      <w:bookmarkStart w:id="121" w:name="_Toc43"/>
      <w:bookmarkEnd w:id="120"/>
      <w:r>
        <w:rPr>
          <w:rtl w:val="true"/>
        </w:rPr>
        <w:t xml:space="preserve">[ </w:t>
      </w:r>
      <w:r>
        <w:rPr>
          <w:rtl w:val="true"/>
        </w:rPr>
        <w:t xml:space="preserve">الكلام في الاستدلال بحديث </w:t>
      </w:r>
      <w:r>
        <w:rPr>
          <w:rtl w:val="true"/>
        </w:rPr>
        <w:t>: «</w:t>
      </w:r>
      <w:r>
        <w:rPr>
          <w:rtl w:val="true"/>
        </w:rPr>
        <w:t>حرمة مال المسلم</w:t>
      </w:r>
      <w:r>
        <w:rPr>
          <w:rtl w:val="true"/>
        </w:rPr>
        <w:t xml:space="preserve">» </w:t>
      </w:r>
      <w:r>
        <w:rPr>
          <w:rtl w:val="true"/>
        </w:rPr>
        <w:t>على المطلوب</w:t>
      </w:r>
      <w:r>
        <w:rPr>
          <w:rtl w:val="true"/>
        </w:rPr>
        <w:t>]</w:t>
      </w:r>
      <w:bookmarkEnd w:id="121"/>
    </w:p>
    <w:p>
      <w:pPr>
        <w:pStyle w:val="BookText"/>
        <w:rPr/>
      </w:pPr>
      <w:r>
        <w:rPr>
          <w:rFonts w:ascii="Amiri" w:hAnsi="Amiri" w:eastAsia="Amiri" w:cs="Amiri"/>
          <w:color w:val="111111"/>
          <w:sz w:val="28"/>
          <w:sz w:val="28"/>
          <w:szCs w:val="28"/>
          <w:rtl w:val="true"/>
          <w:lang w:bidi="ar-SA"/>
        </w:rPr>
        <w:t xml:space="preserve">ومما يمكن أن يُستدل به لإثبات الضمان في الجملة،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حرمة مال المسلم كحرمة دمه </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احترام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إراقته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ردّ الديّة إلى صاحبها، لا مجرد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الإراقة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لو لم تؤدّ الديّة إلى وليّ المقتول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الدم صار هدراً، فيكون احترام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يستفاد ذلك من التشبيه؛ إذ التشبيه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المشبه كالمشبه به، إمّا في جميع أحكامه، أو في أحكامه الظاهرة على الاختلاف</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فالأمر واضح، وكذا على الثاني؛ إذ ثبوت الضمان والدية في الدم من </w:t>
      </w:r>
      <w:bookmarkStart w:id="122" w:name="pg9195_77056"/>
    </w:p>
    <w:p>
      <w:pPr>
        <w:pStyle w:val="BookText"/>
        <w:rPr/>
      </w:pPr>
      <w:bookmarkEnd w:id="122"/>
      <w:r>
        <w:rPr>
          <w:rFonts w:ascii="Amiri" w:hAnsi="Amiri" w:eastAsia="Amiri" w:cs="Amiri"/>
          <w:color w:val="111111"/>
          <w:sz w:val="28"/>
          <w:sz w:val="28"/>
          <w:szCs w:val="28"/>
          <w:rtl w:val="true"/>
          <w:lang w:bidi="ar-SA"/>
        </w:rPr>
        <w:t>أحكامهما الظاهرة، وهذا يرجع إلى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دلالته مطلقاً مبنية على كون المنافع، والأعمال مالاً، وإلا فيختص بالأعيان كالسابق ، لكن كون المنفعة مالاً كأنه لا إشكال فيه؛ إذ المال ما يُبذل بإزائه المال، ويكون ثمناً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هي مبادلة مال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ثابتٌ في المنفعة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الإشكال في الأعمال؛ إذ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عليها المال عرفاً؛ ولذا لا يُجعل عمل الحرِّ عوضاً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يُقال بكونه مالاً؛ إذ يُقال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خدم الشخص غيره مدّةً، ولم يؤدَّ أُجرته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عنده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يكون إطلاق الماليّة باعتبار عوضه لا باعتبار نفسه، وللسيد الأُستاذ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دغدغةٌ </w:t>
      </w:r>
      <w:r>
        <w:rPr>
          <w:rStyle w:val="FootnoteAnchor"/>
          <w:rtl w:val="true"/>
        </w:rPr>
        <w:footnoteReference w:id="130"/>
      </w:r>
      <w:r>
        <w:rPr>
          <w:rFonts w:ascii="Amiri" w:hAnsi="Amiri" w:eastAsia="Amiri" w:cs="Amiri"/>
          <w:color w:val="111111"/>
          <w:sz w:val="28"/>
          <w:sz w:val="28"/>
          <w:szCs w:val="28"/>
          <w:rtl w:val="true"/>
          <w:lang w:bidi="ar-SA"/>
        </w:rPr>
        <w:t>فيه،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مائلًا إلى جعله من المال</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3921695_2870459653"/>
      <w:bookmarkStart w:id="124" w:name="_Toc44"/>
      <w:bookmarkEnd w:id="123"/>
      <w:r>
        <w:rPr>
          <w:rtl w:val="true"/>
        </w:rPr>
        <w:t>[</w:t>
      </w:r>
      <w:r>
        <w:rPr>
          <w:rtl w:val="true"/>
        </w:rPr>
        <w:t xml:space="preserve">إيرادٌ على دليليّة الرواية </w:t>
      </w:r>
      <w:r>
        <w:rPr>
          <w:rtl w:val="true"/>
        </w:rPr>
        <w:t>]</w:t>
      </w:r>
      <w:bookmarkEnd w:id="124"/>
    </w:p>
    <w:p>
      <w:pPr>
        <w:pStyle w:val="BookText"/>
        <w:rPr/>
      </w:pPr>
      <w:r>
        <w:rPr>
          <w:rFonts w:ascii="Amiri" w:hAnsi="Amiri" w:eastAsia="Amiri" w:cs="Amiri"/>
          <w:color w:val="111111"/>
          <w:sz w:val="28"/>
          <w:sz w:val="28"/>
          <w:szCs w:val="28"/>
          <w:rtl w:val="true"/>
          <w:lang w:bidi="ar-SA"/>
        </w:rPr>
        <w:t xml:space="preserve">هذا، لكن مع ذلك كله يمكن أن يُقال بعدم دلالة الرواية أصلاً على الضمان؛ إذ المفهوم من 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الحكم التكليفي لا الوضعي، والتشبيه باعتبار العِظَم،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الدم كما إنّها تكون عظيمة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حرمة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هو ما ذكرنا أولاً؛ إذ يكون ظاهراً فيما قلنا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دعوى نقض ظهور الحرمة إذا انضم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ماله وعرضه كدمه؛ إذ لا يكون العوض في العرض، وذهاب عرض الشخص</w:t>
      </w:r>
      <w:r>
        <w:rPr>
          <w:rFonts w:eastAsia="Amiri" w:cs="Amiri" w:ascii="Amiri" w:hAnsi="Amiri"/>
          <w:color w:val="111111"/>
          <w:sz w:val="28"/>
          <w:szCs w:val="28"/>
          <w:rtl w:val="true"/>
          <w:lang w:bidi="ar-SA"/>
        </w:rPr>
        <w:t xml:space="preserve">. </w:t>
      </w:r>
      <w:bookmarkStart w:id="125" w:name="pg9195_77057"/>
    </w:p>
    <w:p>
      <w:pPr>
        <w:pStyle w:val="Heading3"/>
        <w:numPr>
          <w:ilvl w:val="2"/>
          <w:numId w:val="1"/>
        </w:numPr>
        <w:rPr/>
      </w:pPr>
      <w:bookmarkStart w:id="126" w:name="__RefHeading___Toc3921697_2870459653"/>
      <w:bookmarkStart w:id="127" w:name="_Toc45"/>
      <w:bookmarkEnd w:id="125"/>
      <w:bookmarkEnd w:id="126"/>
      <w:r>
        <w:rPr>
          <w:rtl w:val="true"/>
        </w:rPr>
        <w:t>[</w:t>
      </w:r>
      <w:r>
        <w:rPr>
          <w:rtl w:val="true"/>
        </w:rPr>
        <w:t>الكلام في دلالة حديث</w:t>
      </w:r>
      <w:r>
        <w:rPr>
          <w:rtl w:val="true"/>
        </w:rPr>
        <w:t>: «</w:t>
      </w:r>
      <w:r>
        <w:rPr>
          <w:rtl w:val="true"/>
        </w:rPr>
        <w:t>لا يحلّ مال امرئ</w:t>
      </w:r>
      <w:r>
        <w:rPr>
          <w:rtl w:val="true"/>
        </w:rPr>
        <w:t xml:space="preserve">» </w:t>
      </w:r>
      <w:r>
        <w:rPr>
          <w:rtl w:val="true"/>
        </w:rPr>
        <w:t>على المطلوب</w:t>
      </w:r>
      <w:r>
        <w:rPr>
          <w:rtl w:val="true"/>
        </w:rPr>
        <w:t>]</w:t>
      </w:r>
      <w:bookmarkEnd w:id="127"/>
    </w:p>
    <w:p>
      <w:pPr>
        <w:pStyle w:val="BookText"/>
        <w:rPr/>
      </w:pPr>
      <w:r>
        <w:rPr>
          <w:rFonts w:ascii="IRNazanin" w:hAnsi="IRNazanin" w:eastAsia="IRNazanin"/>
          <w:color w:val="111111"/>
          <w:sz w:val="28"/>
          <w:sz w:val="28"/>
          <w:szCs w:val="28"/>
          <w:rtl w:val="true"/>
          <w:lang w:bidi="fa-IR"/>
        </w:rPr>
        <w:t xml:space="preserve">و مما استدل به على الضمان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يحلّ مال امرئ إلا بطيب نفسه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الحكم التكليفي، بل المراد منه هو المراد في بعض أخبار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يستحل من المغتاب </w:t>
      </w:r>
      <w:r>
        <w:rPr>
          <w:rStyle w:val="FootnoteAnchor"/>
          <w:rtl w:val="true"/>
        </w:rPr>
        <w:footnoteReference w:id="132"/>
      </w:r>
      <w:r>
        <w:rPr>
          <w:rFonts w:ascii="Amiri" w:hAnsi="Amiri" w:eastAsia="Amiri" w:cs="Amiri"/>
          <w:color w:val="111111"/>
          <w:sz w:val="28"/>
          <w:sz w:val="28"/>
          <w:szCs w:val="28"/>
          <w:rtl w:val="true"/>
          <w:lang w:bidi="ar-SA"/>
        </w:rPr>
        <w:t>، وكذلك في قول القائل للمغتاب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أحلّني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عنه بالفارسيّة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كذشتن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المراد إنّه لا يحلّ مال امرئ،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يحط ثقله من رقبة الشخص في ضمان الأخذ إلى زمان الأداء، وهذا كناية عن وجوب الأداء والضمان</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المنافع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يتبادر من عدم حلّ المال من حيث ماليّته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سلطنة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يبعّده جعل الغاية طيب النفس ، لا الضمان والعوض، وهذا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الغيبة، حيث إنّها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من رقبة الشخص إلا بطيب النفس؛ لأنَّه لو كان المراد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والعوض، لا يكون بقاؤه دائراً مدار طيب النفس؛ لسقوط الضمان بردّ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يرضَ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وخالف القاضي 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جواهره، فقال بعدم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ضميمة الإجماع القائم على عدم ثبوت الضمان مع ردّ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الضمان </w:t>
      </w:r>
      <w:bookmarkStart w:id="128" w:name="pg9195_77058"/>
    </w:p>
    <w:p>
      <w:pPr>
        <w:pStyle w:val="BookText"/>
        <w:rPr/>
      </w:pPr>
      <w:bookmarkEnd w:id="128"/>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 مُشْكل غاية الإشكال؛ لظهور الحلِّ في الحكم التكليفي</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3921699_2870459653"/>
      <w:bookmarkStart w:id="130" w:name="_Toc46"/>
      <w:bookmarkEnd w:id="129"/>
      <w:r>
        <w:rPr>
          <w:rtl w:val="true"/>
        </w:rPr>
        <w:t>[</w:t>
      </w:r>
      <w:r>
        <w:rPr>
          <w:rtl w:val="true"/>
        </w:rPr>
        <w:t xml:space="preserve">الكلام في الاستدلال بالآيات الشريفة على المطلوب </w:t>
      </w:r>
      <w:r>
        <w:rPr>
          <w:rtl w:val="true"/>
        </w:rPr>
        <w:t>]</w:t>
      </w:r>
      <w:bookmarkEnd w:id="130"/>
    </w:p>
    <w:p>
      <w:pPr>
        <w:pStyle w:val="BookText"/>
        <w:rPr/>
      </w:pPr>
      <w:r>
        <w:rPr>
          <w:rFonts w:ascii="Amiri" w:hAnsi="Amiri" w:eastAsia="Amiri" w:cs="Amiri"/>
          <w:color w:val="111111"/>
          <w:sz w:val="28"/>
          <w:sz w:val="28"/>
          <w:szCs w:val="28"/>
          <w:rtl w:val="true"/>
          <w:lang w:bidi="ar-SA"/>
        </w:rPr>
        <w:t xml:space="preserve">ويُمكن أن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وَالْحُرُمَاتُ قِصَاصٌ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حيث إنّه يدل على ثبوت القصاص في كلّ حرمة ، ومن الحرمات مال الشخص، فيكون فيه القصاص والتلافي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إذ الاعتداء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والقتل، وأخذ المال</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3921701_2870459653"/>
      <w:bookmarkStart w:id="132" w:name="_Toc47"/>
      <w:bookmarkEnd w:id="131"/>
      <w:r>
        <w:rPr>
          <w:rtl w:val="true"/>
        </w:rPr>
        <w:t xml:space="preserve">[ </w:t>
      </w:r>
      <w:r>
        <w:rPr>
          <w:rtl w:val="true"/>
        </w:rPr>
        <w:t xml:space="preserve">الكلام في دلالة حديث </w:t>
      </w:r>
      <w:r>
        <w:rPr>
          <w:rtl w:val="true"/>
        </w:rPr>
        <w:t>«</w:t>
      </w:r>
      <w:r>
        <w:rPr>
          <w:rtl w:val="true"/>
        </w:rPr>
        <w:t>لا ضرر</w:t>
      </w:r>
      <w:r>
        <w:rPr>
          <w:rtl w:val="true"/>
        </w:rPr>
        <w:t xml:space="preserve">» </w:t>
      </w:r>
      <w:r>
        <w:rPr>
          <w:rtl w:val="true"/>
        </w:rPr>
        <w:t>على المطلوب</w:t>
      </w:r>
      <w:r>
        <w:rPr>
          <w:rtl w:val="true"/>
        </w:rPr>
        <w:t>]</w:t>
      </w:r>
      <w:bookmarkEnd w:id="132"/>
    </w:p>
    <w:p>
      <w:pPr>
        <w:pStyle w:val="BookText"/>
        <w:rPr/>
      </w:pPr>
      <w:r>
        <w:rPr>
          <w:rFonts w:ascii="Amiri" w:hAnsi="Amiri" w:eastAsia="Amiri" w:cs="Amiri"/>
          <w:color w:val="111111"/>
          <w:sz w:val="28"/>
          <w:sz w:val="28"/>
          <w:szCs w:val="28"/>
          <w:rtl w:val="true"/>
          <w:lang w:bidi="ar-SA"/>
        </w:rPr>
        <w:t xml:space="preserve">وبالرواية المعروفة الدالة على عدم الضرر والضرار في الشريعة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المراد عدم الضرر في الشريعة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الطريقة أصلاً لا الحكم الضرري، ولا عدم الحكم إذا كان العدم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في هذه الطريقة، لا في جعلياتها، ولا في تقريريتها،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العدم الثابت في الأزل، وأمّا لو كانت مختصة بالحكم الضرري،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الحكم الضرري في الشريعة مجعولاً ، فلا تدل على ما نحن فيه، لكن الظاهر الأول؛ إذ يدل على نفي جنس الضرر في الشريعة أصلاً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يستفاد من أدلّة الاحترام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وقع العمل، أو دفع المنفعة بأمر شخص، ويعود نفعه إليه، يكون ضامناً، لا مجرّد وقوع العمل بأمره؛ إذ يقولون</w:t>
      </w:r>
      <w:r>
        <w:rPr>
          <w:rStyle w:val="FootnoteAnchor"/>
          <w:rtl w:val="true"/>
        </w:rPr>
        <w:footnoteReference w:id="137"/>
      </w:r>
      <w:r>
        <w:rPr>
          <w:rFonts w:ascii="Amiri" w:hAnsi="Amiri" w:eastAsia="Amiri" w:cs="Amiri"/>
          <w:color w:val="111111"/>
          <w:sz w:val="28"/>
          <w:sz w:val="28"/>
          <w:szCs w:val="28"/>
          <w:rtl w:val="true"/>
          <w:lang w:bidi="ar-SA"/>
        </w:rPr>
        <w:t xml:space="preserve">في مسألة إلقاء المتاع </w:t>
      </w:r>
      <w:bookmarkStart w:id="133" w:name="pg9195_77059"/>
    </w:p>
    <w:p>
      <w:pPr>
        <w:pStyle w:val="BookText"/>
        <w:rPr/>
      </w:pPr>
      <w:bookmarkEnd w:id="133"/>
      <w:r>
        <w:rPr>
          <w:rFonts w:ascii="Amiri" w:hAnsi="Amiri" w:eastAsia="Amiri" w:cs="Amiri"/>
          <w:color w:val="111111"/>
          <w:sz w:val="28"/>
          <w:sz w:val="28"/>
          <w:szCs w:val="28"/>
          <w:rtl w:val="true"/>
          <w:lang w:bidi="ar-SA"/>
        </w:rPr>
        <w:t xml:space="preserve">في البحر، إنّه لو قال الشخص ألقِ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 ؛ لإجل سلامة السفينة من الغرق، ويحصل الخلاص للأمر، يكون ضامناً، بخلاف ما لو أمر بالإلقاء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غرض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لم يكن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أن يكون شرعيّة الضمان في السبق على خلاف القاعدة؛ إذ لم يعد نفعه إلى الشخص، بل يكون فيه تحصيل لغرض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غرض الشارع ليس إلا لأجل مصلحة العبد، وعدم هجوم الكفار عليهم ، وغلبتهم على المسلمين، فيكون نفعه عائداً إلى الشخص، هذا كله في الاستدلال على الضمان في الجملة</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3921703_2870459653"/>
      <w:bookmarkStart w:id="135" w:name="_Toc48"/>
      <w:bookmarkEnd w:id="134"/>
      <w:r>
        <w:rPr>
          <w:rtl w:val="true"/>
        </w:rPr>
        <w:t xml:space="preserve">( </w:t>
      </w:r>
      <w:r>
        <w:rPr>
          <w:rtl w:val="true"/>
        </w:rPr>
        <w:t>في تحقق الضمان في أنواع متعلّق العقد</w:t>
      </w:r>
      <w:r>
        <w:rPr>
          <w:rtl w:val="true"/>
        </w:rPr>
        <w:t>)</w:t>
      </w:r>
      <w:bookmarkEnd w:id="135"/>
    </w:p>
    <w:p>
      <w:pPr>
        <w:pStyle w:val="BookText"/>
        <w:rPr/>
      </w:pPr>
      <w:r>
        <w:rPr>
          <w:rFonts w:ascii="Amiri" w:hAnsi="Amiri" w:eastAsia="Amiri" w:cs="Amiri"/>
          <w:color w:val="111111"/>
          <w:sz w:val="28"/>
          <w:sz w:val="28"/>
          <w:szCs w:val="28"/>
          <w:rtl w:val="true"/>
          <w:lang w:bidi="ar-SA"/>
        </w:rPr>
        <w:t xml:space="preserve">لكن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انطباق الأدلّة على ما نحن فيه، وأنّها هل تكون منطبقةً على ما نحن فيه، ويكون مشمولاً لها أم لا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مستعيناً بالله ومستمداً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العقد، إمّا أن يكون عيناً، أو منفعة، أو عملاً؛ والمنفعة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مستوفاة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المنفعة المستوفاة،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مشمولة لتلك الأدلة بأجمعها إلا أنها خارجةٌ عما نحن فيه؛ إذ الكلام هنا في غير صورة الإتلاف، وإلا تمسك العلماء في هذا الباب بقاعدة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التي هی أظهر الأدلّة، فيكون مورد الكلام في المقبوض بالعقد الفاسد الذي تلف في يد الآخذ</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المنافع غير المستوفاة، فلا تكون مشمولة لبعض الأدلّة،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الاحترام،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w:t>
      </w:r>
      <w:r>
        <w:rPr>
          <w:rFonts w:eastAsia="IRNazanin" w:cs="IRNazanin"/>
          <w:color w:val="111111"/>
          <w:sz w:val="28"/>
          <w:szCs w:val="28"/>
          <w:rtl w:val="true"/>
          <w:lang w:bidi="fa-IR"/>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تماميته ؛ لعدم كون المنفعة التي لم يستوفها الآخذ مالا؛ </w:t>
      </w:r>
    </w:p>
    <w:p>
      <w:pPr>
        <w:pStyle w:val="BookText"/>
        <w:rPr/>
      </w:pPr>
      <w:r>
        <w:rPr>
          <w:rFonts w:ascii="IRNazanin" w:hAnsi="IRNazanin" w:eastAsia="IRNazanin"/>
          <w:color w:val="111111"/>
          <w:sz w:val="28"/>
          <w:sz w:val="28"/>
          <w:szCs w:val="28"/>
          <w:rtl w:val="true"/>
          <w:lang w:bidi="fa-IR"/>
        </w:rPr>
        <w:t>لعدم كونها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تكون مالاً؛ إذ المنفعة عبارة عن طرف الإضافة إلى العين،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الركوب له إضافتان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إلى المنتفع وإضافة إلى المركوب، والإضافة الثانية هی المنفعة، فما لم توجد الصفة المذكورة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ملك المنفعة، ولا يُقال لمالك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مالك لمالين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العين، والثاني المنفعة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وفرق بين السلطنة على الانتفاع وملك المنفعة، حيث إنّ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كالسلطنة على البضع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غير الموجود أيضاً؛ لأنَّه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الثابت للشخص في بضع الزوجة، بخلاف الثانية، فإنَّ هذه الإضافة ما لم تكن موجودة، ولم يتعلق بالشخص والعين، لم تكن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المنفعة عوضاً في الإجارة، وإيقاع العقد عليها، مع أنّها لم تكن موجودة حين العقد، فإنّما هو باعتبار وجودها آناً فآناً، فكأنّ الإجارة على ما يوجد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تفرض المنفعة فيها موجودة، وإلا لم يصح إيقاع العقد على الشأنية الثابتة في العين، مع أنّ القبض المعتبر هنا ليس كالقبض المعتبر في البيع ونحوه، كالإجارة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التخلية بين الشخص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الاستيلاء عليها ، بحيث يكون الشيء تحت يده، والمنفعة غير الموجودة لم تكن شيئاً يكون الشخص مستولياً عليها ومتصرفاً فيها، فشمولُ هذا الدليل له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بالتمسك 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نفي الضرر في الشريعة أصلاً، سواءً كان في الحكم أو عدم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 بعدم صدقه في صورة العلم؛ إذ هو إضرار على نفسه، وكذلك يمكن التمسك بالآيتين أيضاً، وهما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وَالْحُرُمَاتُ قِصَاصٌ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اعْتَدَى</w:t>
      </w:r>
      <w:r>
        <w:rPr>
          <w:rFonts w:eastAsia="Amiri" w:cs="Amiri" w:ascii="Amiri" w:hAnsi="Amiri"/>
          <w:color w:val="111111"/>
          <w:sz w:val="28"/>
          <w:szCs w:val="28"/>
          <w:rtl w:val="true"/>
          <w:lang w:bidi="ar-SA"/>
        </w:rPr>
        <w:t xml:space="preserve">...» </w:t>
      </w:r>
      <w:r>
        <w:rPr>
          <w:rStyle w:val="FootnoteAnchor"/>
          <w:rtl w:val="true"/>
        </w:rPr>
        <w:footnoteReference w:id="141"/>
      </w:r>
      <w:bookmarkStart w:id="136" w:name="pg9195_77061"/>
    </w:p>
    <w:p>
      <w:pPr>
        <w:pStyle w:val="BookText"/>
        <w:rPr/>
      </w:pPr>
      <w:bookmarkEnd w:id="136"/>
      <w:r>
        <w:rPr>
          <w:rFonts w:ascii="Amiri" w:hAnsi="Amiri" w:eastAsia="Amiri" w:cs="Amiri"/>
          <w:color w:val="111111"/>
          <w:sz w:val="28"/>
          <w:sz w:val="28"/>
          <w:szCs w:val="28"/>
          <w:rtl w:val="true"/>
          <w:lang w:bidi="ar-SA"/>
        </w:rPr>
        <w:t xml:space="preserve">وأمّا الأعمال، ففي دخولها تحت الأدلّة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الإشكال الذي أوردناه من حيث كونها مالاً، والغض عنه، وتسليم كونها 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خلاف الاحترام وقع من نفس العامل، حيث إنّ العامل لم يعمل العمل بأمر العامل</w:t>
      </w:r>
      <w:r>
        <w:rPr>
          <w:rStyle w:val="FootnoteAnchor"/>
          <w:rtl w:val="true"/>
        </w:rPr>
        <w:footnoteReference w:id="142"/>
      </w:r>
      <w:r>
        <w:rPr>
          <w:rFonts w:ascii="Amiri" w:hAnsi="Amiri" w:eastAsia="Amiri" w:cs="Amiri"/>
          <w:color w:val="111111"/>
          <w:sz w:val="28"/>
          <w:sz w:val="28"/>
          <w:szCs w:val="28"/>
          <w:rtl w:val="true"/>
          <w:lang w:bidi="ar-SA"/>
        </w:rPr>
        <w:t>، بل عمل بناءً على استحقاق المؤجر ، فلم يصدر من المؤجر خلاف احترام له بالنسبة إلى عمله، والمدار في أدلة الاحترام هو كون العمل بأمر الشخص، وإلا لم يصدق خلاف الاحترام، فلم يكن مشمولاً لدليل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المؤجر صار داعياً إلى العمل، ومحرّكاً له إلى ذلك، فلو لم يكن ضمان على المؤجر، يكون خلاف حرمة مال المسلم ، لكن صدق ذهاب الجهة بمجرد ذلك في محلّ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الفرق بين صورة الجهل والعلم بالتزام الضمان في الأول؛ لأنّ المؤجر صار محرِّكاً وداعياً له إلى ذلك، ولولا تحريكه لم يعمل العمل، فلم يذهب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دخولها تحت سائر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المنع، إلا خبر الضرار في صورة الجهل فقط، لكن الإنصاف عدم شمول الأدلة لها مطلقاً؛ إذ العامل لم يعمل إلا لأجل زعم استحقاق المؤجر، وبزعم الوجوب، لا بأمره وداعيه،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محلّ الإشكال</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3921705_2870459653"/>
      <w:bookmarkStart w:id="138" w:name="_Toc49"/>
      <w:bookmarkEnd w:id="137"/>
      <w:r>
        <w:rPr>
          <w:rtl w:val="true"/>
        </w:rPr>
        <w:t xml:space="preserve">( </w:t>
      </w:r>
      <w:r>
        <w:rPr>
          <w:rtl w:val="true"/>
        </w:rPr>
        <w:t>في بيان عكس القاعدة</w:t>
      </w:r>
      <w:r>
        <w:rPr>
          <w:rtl w:val="true"/>
        </w:rPr>
        <w:t>)</w:t>
      </w:r>
      <w:bookmarkEnd w:id="138"/>
    </w:p>
    <w:p>
      <w:pPr>
        <w:pStyle w:val="BookText"/>
        <w:rPr/>
      </w:pPr>
      <w:r>
        <w:rPr>
          <w:rFonts w:ascii="Amiri" w:hAnsi="Amiri" w:eastAsia="Amiri" w:cs="Amiri"/>
          <w:color w:val="111111"/>
          <w:sz w:val="28"/>
          <w:sz w:val="28"/>
          <w:szCs w:val="28"/>
          <w:rtl w:val="true"/>
          <w:lang w:bidi="ar-SA"/>
        </w:rPr>
        <w:t xml:space="preserve">هذا كلّه في أصل القضيّة، وأمّا عكسها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عقد لا يفيد ضماناً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جعلاً ولا واقعاً ؛ بسبب صحيحه، لا يفيد الضمان بسبب فاسده،كالإجارة بالنسبة إلى العين ،والعارية، والمضاربة، والهبة، والاستئمانات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في مقامين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النقوض الواردة عليه، وبيان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يُستفاد من كلام الشيخ </w:t>
      </w:r>
      <w:r>
        <w:rPr>
          <w:rStyle w:val="FootnoteAnchor"/>
          <w:rtl w:val="true"/>
        </w:rPr>
        <w:footnoteReference w:id="143"/>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وتقريرها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الصحيحَ المفيد للضمان، يمكن أن يُقال في فاسده بعدم الضمان؛ لأنّ الفاسد لا يؤثر شيئاً أصلاً، والضمان في الصحيح؛ لأجل كونه مؤثراً بحكم الشارع، وليس للشارع حكم بالنسبة إلى الفاسد، ولا يكون له تأثير من جانب الشارع، ففي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الضمان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بعدم الضّمان أولى من الحكم بعدم الضمان في فاسد الصحيح المضمن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يقرر بالنسبة إلى صحيحه،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هذا الفاسد لو كان مضمناً، يمكن أن يُقال في فاسده بعدم الضمان؛ لعدم مؤثّريته لشيء، فكيف مع عدم ضمان هذا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بعدم الضمان في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 صحيحه مضمناً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الحكم بعدم الضمان في هذا الفاسد، لو فرض كون صحيحه مضمناً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 كون العقد بنفسه مقتضياً للضمان، فمع عدم الضمان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الصحة مؤكدة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بالفاسد الذي لا يؤثر شيئاً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والأوجه بكلام الشيخ</w:t>
      </w:r>
      <w:r>
        <w:rPr>
          <w:rStyle w:val="FootnoteAnchor"/>
          <w:rtl w:val="true"/>
        </w:rPr>
        <w:footnoteReference w:id="144"/>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العقد مقتضٍ للضمان، فبعد أن لم يكن صحيح الرَّهن مؤثراً في الضمان، فكيف بالفاسد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w:t>
      </w:r>
      <w:r>
        <w:rPr>
          <w:rStyle w:val="FootnoteAnchor"/>
          <w:rtl w:val="true"/>
        </w:rPr>
        <w:footnoteReference w:id="145"/>
      </w:r>
      <w:r>
        <w:rPr>
          <w:rFonts w:ascii="Amiri" w:hAnsi="Amiri" w:eastAsia="Amiri" w:cs="Amiri"/>
          <w:color w:val="111111"/>
          <w:sz w:val="28"/>
          <w:sz w:val="28"/>
          <w:szCs w:val="28"/>
          <w:rtl w:val="true"/>
          <w:lang w:bidi="ar-SA"/>
        </w:rPr>
        <w:t>نسلّم كون العقد مؤثراً في الضمان، لكن يُمكن أن يحكم بعدم الضمان في صحيحه؛ بواسطة إمضاء الشارع له، بخلاف الفاسد، فإنّه يبقى على مقتضاه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تسليم كون العقد بنفسه مقتضياً للضمان، يمكن أن يُقال في الصحيح بعدم الضمان؛ لوجود المانع عن اقتضاء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 بعدم الضمان بخلاف الفاسد، فإنّه لم يكن فيه هذا المانع، فيؤثر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كون العقد مؤثراً في الضمان، بل المقتضي للضمان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الصحيح عن تحت مقتضاه بواسطة الدليل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الفاسد على اقتضاء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عدم تمامية الأولوية، فلا بُدَّ أنْ يذكر له مدركاً آخر،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مقتضى اليد وإن كان هو الضمان، إلا أنّ ما أخرج صحيح العقد عن تحت عمومه، فقد أخرج الفاسد أيضاً، فما كان المخصّص في الصحيح كان مخصصاً للفاسد أيضاً ، فلا بُدَّ من بيان المخرج،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العقود غير المضمّنة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يجعل فيها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استثمانية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تمليكيّة 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كالعارية والوديعة، والمضاربة وغيرها والمخصّص لها هي الأدلة الدالة على عدم ضمان الأمين، والأخبار بهذا المعنى كثيرة في هذه الأبواب</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ومنها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الوديعة والبضاعة مؤتمنان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هلكت العارية عند المستعير لم يضمنه إلا أن يكون قد اشترط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العارية والوديعة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العارية يستعيرها الإنسان فتهلك أو تسرق،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أميناً فلا غرم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الذي يستبضع المال فيهلك أو يسرق، أعلى صاحبه ضمان؟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 غرم بعد أن يكون الرجل أميناً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لكن بعضها دالّ على أنّ الأمين غير ضامن، ووروده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وبعضها دال على عدم جواز اتهام</w:t>
      </w:r>
    </w:p>
    <w:p>
      <w:pPr>
        <w:pStyle w:val="BookText"/>
        <w:rPr/>
      </w:pPr>
      <w:r>
        <w:rPr>
          <w:rFonts w:ascii="IRNazanin" w:hAnsi="IRNazanin" w:eastAsia="IRNazanin"/>
          <w:color w:val="111111"/>
          <w:sz w:val="28"/>
          <w:sz w:val="28"/>
          <w:szCs w:val="28"/>
          <w:rtl w:val="true"/>
          <w:lang w:bidi="fa-IR"/>
        </w:rPr>
        <w:t xml:space="preserve">الأمين،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تتّهمه</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مضى مشايخنا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قول المودع مقبول، فإنَّه مؤتمن ، ولا يمين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حكم ما إذا تلف الرهن من دون تفريط المرتهن ، ح </w:t>
      </w:r>
      <w:r>
        <w:rPr>
          <w:rFonts w:eastAsia="IRNazanin" w:cs="IRNazanin"/>
          <w:color w:val="111111"/>
          <w:sz w:val="28"/>
          <w:szCs w:val="28"/>
          <w:lang w:bidi="fa-IR"/>
        </w:rPr>
        <w:t>4092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فانطباقه على مقامنا بأنّ التنازع على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نزاعهما في الوجود والتلف، كأن 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باقية، والثاني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تلفت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هو عدم القول بأنَّها باقية عنده حتّى تضمنه؛ فيدلّ على الضمان، لكن هذه الصورة خارجة عمّا نحن فيه؛ إذ كلامنا بعد فرض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يكونان متسالمين على عدم بقائها، لكن المدعي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بالإتلاف،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إنّه أتلفها حتّى تطالبه بالضمان، فتخصيصه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الضمان بصورة الاتهام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على عدم الضمان في صورة التلف، وإلا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فالأخبار دالّة على عدم الضمان في صورة الأمانة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لا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والأخبار في 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القصّار </w:t>
      </w:r>
      <w:r>
        <w:rPr>
          <w:rStyle w:val="FootnoteAnchor"/>
          <w:rtl w:val="true"/>
        </w:rPr>
        <w:footnoteReference w:id="149"/>
      </w:r>
      <w:r>
        <w:rPr>
          <w:rFonts w:ascii="Amiri" w:hAnsi="Amiri" w:eastAsia="Amiri" w:cs="Amiri"/>
          <w:color w:val="111111"/>
          <w:sz w:val="28"/>
          <w:sz w:val="28"/>
          <w:szCs w:val="28"/>
          <w:rtl w:val="true"/>
          <w:lang w:bidi="ar-SA"/>
        </w:rPr>
        <w:t xml:space="preserve">، والعصّار ، والمستعير </w:t>
      </w:r>
      <w:r>
        <w:rPr>
          <w:rStyle w:val="FootnoteAnchor"/>
          <w:rtl w:val="true"/>
        </w:rPr>
        <w:footnoteReference w:id="150"/>
      </w:r>
      <w:r>
        <w:rPr>
          <w:rFonts w:ascii="Amiri" w:hAnsi="Amiri" w:eastAsia="Amiri" w:cs="Amiri"/>
          <w:color w:val="111111"/>
          <w:sz w:val="28"/>
          <w:sz w:val="28"/>
          <w:szCs w:val="28"/>
          <w:rtl w:val="true"/>
          <w:lang w:bidi="ar-SA"/>
        </w:rPr>
        <w:t>بعدم الضمان كثيرة، معلّلاً عدم الضمان فيها؛ بأنّ الأمين لا يضمن، فتعدى عن الموارد المذكورة إلى غيرها، ومن صحيحها إلى فاسدها بعموم التعليل الوارد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وخروج بعض الموارد عن تحت الكلية المذكورة لا يضرّ؛ لأنّ العلة مثل العامّ، فكما أنّ العامّ بعد ورود التخصيص عليه ظاهرٌ في الباقي، فيتمسك به فيه، فكذلك عموم العلة بعد خروج بعض الأفراد يتمسك في الباقي بعمومها، كما يظهر ذلك من ملاحظة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دلالتها على عدم ثبوت الضمان في مورد الأمانة، فالكبرى ليست محلّ الإنكار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بعض الصغريات، هل يكون من الاستئمان أم لا؟</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بالنسبة إلى العين، حيث إنّ المؤجر لم يدفع العين له من حيث كونه أميناً، وإنّما دفعها إليه لاستيفاء حقّه، فكأنَّه مُلْجأ في إعطاء العين، مع أنه قد يظنّ في بعض الموارد بعدم دفع العين إليه ثانياً</w:t>
      </w:r>
      <w:r>
        <w:rPr>
          <w:rStyle w:val="FootnoteAnchor"/>
          <w:rtl w:val="true"/>
        </w:rPr>
        <w:footnoteReference w:id="151"/>
      </w:r>
      <w:r>
        <w:rPr>
          <w:rFonts w:ascii="Amiri" w:hAnsi="Amiri" w:eastAsia="Amiri" w:cs="Amiri"/>
          <w:color w:val="111111"/>
          <w:sz w:val="28"/>
          <w:sz w:val="28"/>
          <w:szCs w:val="28"/>
          <w:rtl w:val="true"/>
          <w:lang w:bidi="ar-SA"/>
        </w:rPr>
        <w:t>، بل يغصبها أو يشك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والأمانة وجعل الشخص أميناً، هو الاطمئنان بالشخص بكونه حافظاً لماله، والحال أنّ ذلك منتف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 الاستئمان أمر عرفيٌّ، وهو ثابت في جميع الموارد، فهو عند إيجاده العقد </w:t>
      </w:r>
    </w:p>
    <w:p>
      <w:pPr>
        <w:pStyle w:val="BookText"/>
        <w:rPr/>
      </w:pPr>
      <w:r>
        <w:rPr>
          <w:rFonts w:ascii="Amiri" w:hAnsi="Amiri" w:eastAsia="Amiri" w:cs="Amiri"/>
          <w:color w:val="111111"/>
          <w:sz w:val="28"/>
          <w:sz w:val="28"/>
          <w:szCs w:val="28"/>
          <w:rtl w:val="true"/>
          <w:lang w:bidi="ar-SA"/>
        </w:rPr>
        <w:t>استأمن من المعطى إليه، وإلا لم يُقْدم على عقد الإجارة، فالاستئمان حصل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 الاستئمان بالإعطاء، لا نسلّم أنّ استحقاق المؤجر عنوانٌ لإعطائه، فيكون موضوع استئمانه مقيّداً بالاستحقاق، بأن استأمن المستحق لا غير،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المفروض أنّ الشخص لم يكن مستحقاً، فلم يكن استئمانه وارداً عليه، بل الاستحقاق داعٍ له على الاستحقاق </w:t>
      </w:r>
      <w:r>
        <w:rPr>
          <w:rStyle w:val="FootnoteAnchor"/>
          <w:rtl w:val="true"/>
        </w:rPr>
        <w:footnoteReference w:id="152"/>
      </w:r>
      <w:r>
        <w:rPr>
          <w:rFonts w:ascii="Amiri" w:hAnsi="Amiri" w:eastAsia="Amiri" w:cs="Amiri"/>
          <w:color w:val="111111"/>
          <w:sz w:val="28"/>
          <w:sz w:val="28"/>
          <w:szCs w:val="28"/>
          <w:rtl w:val="true"/>
          <w:lang w:bidi="ar-SA"/>
        </w:rPr>
        <w:t>والاستئمان، لا أنه عنوان وقيد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إنّ ذلك في صورة العلم لا شبهة فيه، وإنّما الإشكال والشبهة في صورة الجهل بفساد العقد، حيث إنّ قصد الدافع تمليكه المنفعة بالعوض، وإعطاء العين إيّاه من جهة استيفائه منها ملكه ولو علم أنّ العقد فاسد ولا تكون المنفعة ملكه، لا يرضى بأن تكون العين في يده ساعة، فاستئمانه له لجهله بعدم كونه مالكاً للمنفعة، فموضوع استئمانه مقيد بالاستحقاق،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استأمنتك أيّها المستحق للمنفعة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انتفاء الموضوع فكيف يتحقق الاستئمان؟ فهو نظير من أعطى ماله لشخص غير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باعتقاد أنَّه زيد، وقال يا زيد، أودعت عندك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عمراً في الواقع، فهل ترى من نفسك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استأمن زيداً الآخذ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ظاهر الورود في صورة الجهل ، إلا أنْ يُلتزم بما ذكرناه في العالم من كون الاستحقاق داعياً له على الإعطاء، لا أن يكون قيداً في الموضوع، بتقريب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الاستئمان أمر عرفي يصدق في هذه الصورة أيضاً؛ لأنّ الاستثمان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المال عند الشخص ، ولو كان داعي الدافع هو استحقاق المدفوع إليه، ففي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المال لاستيفاء حقّه، وليست من قبيل المثال الذي ذكرناه </w:t>
      </w:r>
      <w:r>
        <w:rPr>
          <w:rStyle w:val="FootnoteAnchor"/>
          <w:rtl w:val="true"/>
        </w:rPr>
        <w:footnoteReference w:id="153"/>
      </w:r>
      <w:r>
        <w:rPr>
          <w:rFonts w:ascii="Amiri" w:hAnsi="Amiri" w:eastAsia="Amiri" w:cs="Amiri"/>
          <w:color w:val="111111"/>
          <w:sz w:val="28"/>
          <w:sz w:val="28"/>
          <w:szCs w:val="28"/>
          <w:rtl w:val="true"/>
          <w:lang w:bidi="ar-SA"/>
        </w:rPr>
        <w:t>، فحينئذٍ يدخل في عنوان الاستئمان، فيدخل في كلية الكبرى،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أمين ليس بضامن، فيكون مورد هذه العقود خارجاً عن تحت عموم اليد بصحيحها وفاسدها، هذا كله في العقود الاستئمانية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العقود التمليكيّة المجانيّة الفاسدة، فيمكن التمسّك بعدم الضمان فيها؛ بفحوى </w:t>
      </w:r>
      <w:bookmarkStart w:id="139" w:name="pg9195_77067"/>
    </w:p>
    <w:p>
      <w:pPr>
        <w:pStyle w:val="BookText"/>
        <w:rPr/>
      </w:pPr>
      <w:bookmarkEnd w:id="139"/>
      <w:r>
        <w:rPr>
          <w:rFonts w:ascii="Amiri" w:hAnsi="Amiri" w:eastAsia="Amiri" w:cs="Amiri"/>
          <w:color w:val="111111"/>
          <w:sz w:val="28"/>
          <w:sz w:val="28"/>
          <w:szCs w:val="28"/>
          <w:rtl w:val="true"/>
          <w:lang w:bidi="ar-SA"/>
        </w:rPr>
        <w:t>ما دلّ على عدم الضمان في الاستئمانات، وتقريبه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المالك بعدما سلّطه </w:t>
      </w:r>
      <w:r>
        <w:rPr>
          <w:rStyle w:val="FootnoteAnchor"/>
          <w:rtl w:val="true"/>
        </w:rPr>
        <w:footnoteReference w:id="154"/>
      </w:r>
      <w:r>
        <w:rPr>
          <w:rFonts w:ascii="Amiri" w:hAnsi="Amiri" w:eastAsia="Amiri" w:cs="Amiri"/>
          <w:color w:val="111111"/>
          <w:sz w:val="28"/>
          <w:sz w:val="28"/>
          <w:szCs w:val="28"/>
          <w:rtl w:val="true"/>
          <w:lang w:bidi="ar-SA"/>
        </w:rPr>
        <w:t xml:space="preserve">الشخص واستأمنه على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مع بقاء علقة ملكيته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يحكم بالضمان، ففي الصورة التي قطع النظر عن ملكه ، وأزال علقة ملكيته بالمرّة، فعدم الضمان فيها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إزالة المالك علقته عن المال إنّما هو باعتقاد الصحّة، فهو إنّما قصد إزالة الملك بالسبب الشرعي، والمفروض عدمه، فلم يكن التمليك متحققاً حتّى يقال بعدم الضمان بأولويّته في عدم الضمان من الاستئمان</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3921707_2870459653"/>
      <w:bookmarkStart w:id="141" w:name="_Toc50"/>
      <w:bookmarkEnd w:id="140"/>
      <w:r>
        <w:rPr>
          <w:rtl w:val="true"/>
        </w:rPr>
        <w:t>(</w:t>
      </w:r>
      <w:r>
        <w:rPr>
          <w:rtl w:val="true"/>
        </w:rPr>
        <w:t xml:space="preserve">بعض النقوض على القاعدة وعلى عكسها </w:t>
      </w:r>
      <w:r>
        <w:rPr>
          <w:rtl w:val="true"/>
        </w:rPr>
        <w:t>)</w:t>
      </w:r>
      <w:bookmarkEnd w:id="141"/>
    </w:p>
    <w:p>
      <w:pPr>
        <w:pStyle w:val="BookText"/>
        <w:rPr/>
      </w:pPr>
      <w:r>
        <w:rPr>
          <w:rFonts w:ascii="Amiri" w:hAnsi="Amiri" w:eastAsia="Amiri" w:cs="Amiri"/>
          <w:color w:val="111111"/>
          <w:sz w:val="28"/>
          <w:sz w:val="28"/>
          <w:szCs w:val="28"/>
          <w:rtl w:val="true"/>
          <w:lang w:bidi="ar-SA"/>
        </w:rPr>
        <w:t>ثم إنّه بقي الكلام في بعض النقوض الواردة على أصل القضية وعكسها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فهو البيع الذي بنى المتعاقدان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الثمن، كأن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بلا ثمن وكذلك في الإجارة لو قال المؤجر آجرتك بلا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البيع من البيع الفاسد، فهو نقض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بعدم الضمان فيه، كما هو أحد وجهي العلّامة في القواعد </w:t>
      </w:r>
      <w:r>
        <w:rPr>
          <w:rStyle w:val="FootnoteAnchor"/>
          <w:rtl w:val="true"/>
        </w:rPr>
        <w:footnoteReference w:id="155"/>
      </w:r>
      <w:r>
        <w:rPr>
          <w:rFonts w:ascii="Amiri" w:hAnsi="Amiri" w:eastAsia="Amiri" w:cs="Amiri"/>
          <w:color w:val="111111"/>
          <w:sz w:val="28"/>
          <w:sz w:val="28"/>
          <w:szCs w:val="28"/>
          <w:rtl w:val="true"/>
          <w:lang w:bidi="ar-SA"/>
        </w:rPr>
        <w:t xml:space="preserve">، وكذلك في الإجارة بلا أجرة على ما اختاره الشهيدان </w:t>
      </w:r>
      <w:r>
        <w:rPr>
          <w:rStyle w:val="FootnoteAnchor"/>
          <w:rtl w:val="true"/>
        </w:rPr>
        <w:footnoteReference w:id="156"/>
      </w:r>
      <w:r>
        <w:rPr>
          <w:rFonts w:ascii="Amiri" w:hAnsi="Amiri" w:eastAsia="Amiri" w:cs="Amiri"/>
          <w:color w:val="111111"/>
          <w:sz w:val="28"/>
          <w:sz w:val="28"/>
          <w:szCs w:val="28"/>
          <w:rtl w:val="true"/>
          <w:lang w:bidi="ar-SA"/>
        </w:rPr>
        <w:t xml:space="preserve">من عدم الضمان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يُقال بعدم كون البيع بلا ثمن بيعاً، بل هو هبة؛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عدم إرادة البيع الحقيقي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فلا بُدَّ من التكلّم في هذا النقض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موضوعه، هل هو بيع، أو يكون هبة حتّى لا يكون نقضاً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 في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ظاهر في معنى البيعيّة، وكونه قاصداً لها، ولا يكون له صارف عن ظاهره، ولا يصلح قوله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صارفاً له عن البيعيّة إلى الهبة؛ لأنَّهما ظاهران تعارضا، ولا مرجّح لأحدهما على الآخر؛ لإمكان إرادة القائل بالبيع معناه الحقيقي، لكن أتى بشيء يضادّه ويناقضه؛ لإرادته إيجاد القول المتناقض، مع أنّ فهم العلماء </w:t>
      </w:r>
      <w:r>
        <w:rPr>
          <w:rStyle w:val="FootnoteAnchor"/>
          <w:rtl w:val="true"/>
        </w:rPr>
        <w:footnoteReference w:id="157"/>
      </w:r>
      <w:r>
        <w:rPr>
          <w:rFonts w:ascii="Amiri" w:hAnsi="Amiri" w:eastAsia="Amiri" w:cs="Amiri"/>
          <w:color w:val="111111"/>
          <w:sz w:val="28"/>
          <w:sz w:val="28"/>
          <w:szCs w:val="28"/>
          <w:rtl w:val="true"/>
          <w:lang w:bidi="ar-SA"/>
        </w:rPr>
        <w:t>منه البيعيّة، وجعله من البيع الفاسد أقوى شاهد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كونه هبة دعوى بلا بيّنة، فيكون بيعاً ، ويكون نقضاً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 الضمان في صحيح البيع وعدمه في هذا الفاسد، ويكون نقضاً على دليل القاعدة الذي ذكره الشيخ ومن تبعه </w:t>
      </w:r>
      <w:r>
        <w:rPr>
          <w:rStyle w:val="FootnoteAnchor"/>
          <w:rtl w:val="true"/>
        </w:rPr>
        <w:footnoteReference w:id="158"/>
      </w:r>
      <w:r>
        <w:rPr>
          <w:rFonts w:ascii="Amiri" w:hAnsi="Amiri" w:eastAsia="Amiri" w:cs="Amiri"/>
          <w:color w:val="111111"/>
          <w:sz w:val="28"/>
          <w:sz w:val="28"/>
          <w:szCs w:val="28"/>
          <w:rtl w:val="true"/>
          <w:lang w:bidi="ar-SA"/>
        </w:rPr>
        <w:t>من كونه الإقدام؛ لعدم الإقدام على الضمان هنا مع ثبوت الضمان 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حكمه من حيث هو هو،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من البيع، ويؤخذ بقوله الأول، ويكون قوله الثاني لغواً مفسداً، فهو أنشئ البيع، لكن أتى بلغو مفسد للبيع، لا أنّه أنشئ إنشائين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البيع، وإنشاء الهبة مثلاً، فيحكم بالضمان لقاعدة ما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صدره وذيله متناقضان، ولا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بالنسبة إلى الآخر حتّى يكون صارفاً للآخر، فيرجع إلى الأصول الخارجة والقواعد الأخر، ويتمسّك بعموم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بعدم الضمان بجعل الذيل قرينة للصدر، ويكون هبةً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أن هذا الوجه غير متفرّع على كونه بيعاً، وقد جعلناه بيعاً، فلا بُدَّ من القول بأحد الوجهين الأولين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الحال في الإجارة بلا أجرة موضوعاً وحكماً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النقض الوارد على أصل القضيّة، وأمّا النقوض الواردة على عكس القضيّة، فهي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لو وهب الشخص ماله هبةً فاسدةً، ثم مات المتّهب، ثم تلف المال في يد وارثه، فإنَّ الوارث يكون ضامناً؛ لكون المال حينئذٍ، بعد موت المورّث أمانة شرعية عند الوارث، لا أمانة مالكية، فاللّازم على الوارث ردّ المال إلى صاحبه فوراً، فلو لم يردّ وتلف 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عكس الفرض بأن مات الواهب دون المتّهب، فحينئذٍ يكون ذلك نقضاً على العكس، حيث إنّ الهبة الصحيحة لم يكن فيها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دفع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هذه القضية هو عدم ثبوت الضمان للمتعاقدين، والضمان هنا لغير المتعاقدين، فلا يرد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بالعين المستأجرة بالإجارة الفاسدة، حيث إنّ الضمان لم يكن في صحيح الإجارة بالنسبة إليها، بخلاف الفاسدة على ما ذكره بعض كصاحب الرياض</w:t>
      </w:r>
      <w:r>
        <w:rPr>
          <w:rStyle w:val="FootnoteAnchor"/>
          <w:rtl w:val="true"/>
        </w:rPr>
        <w:footnoteReference w:id="160"/>
      </w:r>
      <w:r>
        <w:rPr>
          <w:rFonts w:ascii="Amiri" w:hAnsi="Amiri" w:eastAsia="Amiri" w:cs="Amiri"/>
          <w:color w:val="111111"/>
          <w:sz w:val="28"/>
          <w:sz w:val="28"/>
          <w:szCs w:val="28"/>
          <w:rtl w:val="true"/>
          <w:lang w:bidi="ar-SA"/>
        </w:rPr>
        <w:t xml:space="preserve">، وحكى عن المحقق الأردبيلي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عبارة المقرر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حكى بعض العلماء عن المقدس الأردبيلي نسبة هذا القول للأصحاب، وما يظهر من عبارة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صريح الرياض الحكم بالضمان، وحكى فيها عن بعض نسبته إلى المفهوم من كلمات الأصحاب، والظاهر أن المحكي عنه هو المحقق الأردبيلي في مجمع الفائدة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نسبته إلى الأصحاب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إنّ النقض غير وارد، ولا أصل لهذه النسبة أيضاً؛ لأنّ ما يدل على عدم الضمان في صحيح الإجارة موجود في الفاسد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والنسبة معارضةٌ بما </w:t>
      </w:r>
    </w:p>
    <w:p>
      <w:pPr>
        <w:pStyle w:val="BookText"/>
        <w:rPr/>
      </w:pPr>
      <w:r>
        <w:rPr>
          <w:rFonts w:ascii="Amiri" w:hAnsi="Amiri" w:eastAsia="Amiri" w:cs="Amiri"/>
          <w:color w:val="111111"/>
          <w:sz w:val="28"/>
          <w:sz w:val="28"/>
          <w:szCs w:val="28"/>
          <w:rtl w:val="true"/>
          <w:lang w:bidi="ar-SA"/>
        </w:rPr>
        <w:t xml:space="preserve">حُكي عن جامع المقاصد من أنّ الذي يلوح من كلامهم عدم الضمان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بالشركة الفاسدة، حيث إنّ في صحيحها لم يكن ضمان، بخلاف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لا يجوز التصرّف في المال المشترك ؛ لكون يده عليه يد عدوان، فيكون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الشركة إمّا أن يحتاج في التصرّف إلى إذن آخر غير عقد الشركة أو لا، بل تكون الشركة بنفسها كافية؟</w:t>
      </w:r>
    </w:p>
    <w:p>
      <w:pPr>
        <w:pStyle w:val="BookText"/>
        <w:rPr/>
      </w:pPr>
      <w:r>
        <w:rPr>
          <w:rFonts w:ascii="Amiri" w:hAnsi="Amiri" w:eastAsia="Amiri" w:cs="Amiri"/>
          <w:color w:val="111111"/>
          <w:sz w:val="28"/>
          <w:sz w:val="28"/>
          <w:szCs w:val="28"/>
          <w:rtl w:val="true"/>
          <w:lang w:bidi="ar-SA"/>
        </w:rPr>
        <w:t xml:space="preserve">فإن قيل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صاحب الجواهر على ما حكي عنه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فرقٌ بين الصحيح والفاسد في الضمان بدون الإذن الجديد، وعدم الضمان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الشهيد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أيضاً بينهما؛ إذ كما أنّ الصحيحَ مفيد للإذن، فكذلك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الفاسدة لا تؤثر في الإذن، وتأثيره إنّما هو على تقدير الصحة لا الفساد فاسدٌ؛ لعدم اختصاص هذا الكلام بفاسد الشركة، بل يجري في جميع العقود الفاسدة، وقد ذكرنا أنّ اعتقاد الصحة من قبيل الداعي، لا أنّه من قبيل القيد في الموضوع، مع أنّ كلماتهم خالية عن الحكم بالضمان فلعل الحكم بعدم الضمان لقاعدة الاستئمان لا بأس به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باستعارة المُحْرِم الصيدَ، حيث إنّهم حكموا بالضمان فيها، مع كونها عارية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دلالة النهي عن عدم جواز الاستعارة 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مقتضى </w:t>
      </w:r>
    </w:p>
    <w:p>
      <w:pPr>
        <w:pStyle w:val="BookText"/>
        <w:rPr/>
      </w:pPr>
      <w:r>
        <w:rPr>
          <w:rFonts w:ascii="Amiri" w:hAnsi="Amiri" w:eastAsia="Amiri" w:cs="Amiri"/>
          <w:color w:val="111111"/>
          <w:sz w:val="28"/>
          <w:sz w:val="28"/>
          <w:szCs w:val="28"/>
          <w:rtl w:val="true"/>
          <w:lang w:bidi="ar-SA"/>
        </w:rPr>
        <w:t xml:space="preserve">القاعدة عدم الضمان وصرّح بعض الأصحاب بالضمان، كالمحقّق في الشرائع </w:t>
      </w:r>
      <w:r>
        <w:rPr>
          <w:rStyle w:val="FootnoteAnchor"/>
          <w:rtl w:val="true"/>
        </w:rPr>
        <w:footnoteReference w:id="165"/>
      </w:r>
      <w:r>
        <w:rPr>
          <w:rFonts w:ascii="Amiri" w:hAnsi="Amiri" w:eastAsia="Amiri" w:cs="Amiri"/>
          <w:color w:val="111111"/>
          <w:sz w:val="28"/>
          <w:sz w:val="28"/>
          <w:szCs w:val="28"/>
          <w:rtl w:val="true"/>
          <w:lang w:bidi="ar-SA"/>
        </w:rPr>
        <w:t>، وغيره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أشكل الشهيد الثاني في المسالك </w:t>
      </w:r>
      <w:r>
        <w:rPr>
          <w:rStyle w:val="FootnoteAnchor"/>
          <w:rtl w:val="true"/>
        </w:rPr>
        <w:footnoteReference w:id="167"/>
      </w:r>
      <w:r>
        <w:rPr>
          <w:rFonts w:ascii="Amiri" w:hAnsi="Amiri" w:eastAsia="Amiri" w:cs="Amiri"/>
          <w:color w:val="111111"/>
          <w:sz w:val="28"/>
          <w:sz w:val="28"/>
          <w:szCs w:val="28"/>
          <w:rtl w:val="true"/>
          <w:lang w:bidi="ar-SA"/>
        </w:rPr>
        <w:t>في الضمان على تقديري الصحّة وعدمها، أمّا على تقدير الصحة؛ فلأن الأصل في العارية عدم الضمان؛ لأنَّه من الاستئمانات، وأمّا على تقدير الفساد فللقاعدة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المشهور هو الضمان،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توضيحاً للحال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هنا يكون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للآدمي، وهو وجوب ردّه إليه؛ لكونه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وحقٌّ لله تعالى،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الإرسال، وعدم جواز الحبس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قلنا بتقديم حقّ الآدمي على الآخر ، ثم تلف عنده، فلا دليل على الضمان؛ لاستئمانه المالك عليه، فيده يد استئمان، وإن رجحنا جانب الحق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وقلنا بوجوب إرساله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ضامناً؛ لوضوح عدم أمر الشارع بإتلاف مال الغير بلا شيء؛ لكونه ضرراً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فوجوب الإرسال مستلزم للأمر بأداء القيمة، فحينئذٍ يكون نقضاً على القاعدة؛ لكونها من العارية الفاسدة المضمونة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كونها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 لأنَّه ممنوع من مطلق التصرّف فيه، والاستيلاء عليه بجميع الوجوه، والعارية الصحيحة ما يكون مورثاً للسلطنة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دفع هذا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القاعدة صورة التلف لا الإتلاف، وهنا يكون الضمان بواسطة الإتلاف؛ لأنّ إثبات اليد على الصيد إتلاف؛ لأنَّه مقدّمة للإرسال والإتلاف، أو يكون نفس إثبات اليد عليه إتلافاً؛ والكاشف عنه أمر الشارع بالإرسال؛ لأنَّه لم يأمر بإتلاف مال الغير، فمجرّد إثبات اليد عليه يخرج عن المملوكية للمالك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فالمُحْرِمُ أتلف مال الغير بإثبات يده عليه، فحَكَمَ الشارع بالضمان، فلا يكون من مورد النقض، لكن يرد الإشكال بناءً عليه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دفعه إلى مالكه، أو أرسله فأخذه المالك فوراً، فمقتضى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خروجه عن ملكه بمجرّد إثبات اليد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القيمة عليه في هذه الصورة أيضاً، ولا يعلم ذلك منهم، خصوصاً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الذّبُّ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بذلك، والقول بحصول الملك الجديد للمالك بأخذه، نظير الخلّ الذي صار خمراً ثم انقلب إلى الخلّ، ومنع القول بعدم الخروج عن الملكيّة رأساً في مثل الخمر المنقلب، بل يكون من قبيل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إثبات اليد إتلافاً، إنّما هو معلّق على عدم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فأخذه له كاشف عن عدم خروجه عن الملكيّة بإثبات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من الإشكالين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إثبات اليد إتلافاً ، أو يكون مقدّمة للإتلاف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 موضع يثبت الأمر بالإرسال؛ لأنَّه إمّا أن يكون كاشفاً عن الإتلاف، أو يكون هو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عدم تحقق الإتلاف بدون الإرسال، والأمر به في الثاني، وكذا الأول؛ لعدم حصول الكاشف عن ثبوت الإتلاف، وأمّا في موضع لا يمكن الأمر بالإرسال؛ لعدم تمكن المُحْرم من الإرسال إمّا لتلفه قبل مضيّ زمان يمكن الإرسال، أو لمانع آخر، ففي هذه الصورة يكون ضامناً لو تلف الصيد مع تحقق الإتلاف، فيكون نقضاً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الخروج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الضمان بصورة إمكان الإرسال دون غيره، لكن كلماتهم مطلقة تشمل صورة عدم التمكن أيضاً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إثبات اليد عليه إتلافاً، إنّما هو بسبب حكم الشارع بخروج الملك عن الملكية بمجرّده، فحينئذٍ يكون إثبات اليد إتلافاً مع عدم تمكن الإرسال أيضاً، فيجري </w:t>
      </w:r>
      <w:r>
        <w:rPr>
          <w:rFonts w:eastAsia="Amiri" w:cs="Amiri" w:ascii="Amiri" w:hAnsi="Amiri"/>
          <w:color w:val="111111"/>
          <w:sz w:val="28"/>
          <w:szCs w:val="28"/>
          <w:rtl w:val="true"/>
          <w:lang w:bidi="ar-SA"/>
        </w:rPr>
        <w:t xml:space="preserve">- </w:t>
      </w:r>
      <w:bookmarkStart w:id="142" w:name="pg9195_77073"/>
    </w:p>
    <w:p>
      <w:pPr>
        <w:pStyle w:val="BookText"/>
        <w:rPr/>
      </w:pPr>
      <w:bookmarkEnd w:id="142"/>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الموارد من دون فرق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عدم كون إثبات اليد بمجرّده إتلافاً، بل هو مقدّمة للإتلاف، وهو الإرسال، هذا كله في النقوض ، وقد عرفت حالها </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3921709_2870459653"/>
      <w:bookmarkStart w:id="144" w:name="_Toc51"/>
      <w:bookmarkEnd w:id="143"/>
      <w:r>
        <w:rPr>
          <w:rtl w:val="true"/>
        </w:rPr>
        <w:t>(</w:t>
      </w:r>
      <w:r>
        <w:rPr>
          <w:rtl w:val="true"/>
        </w:rPr>
        <w:t>إشكالٌ والجواب عنه</w:t>
      </w:r>
      <w:r>
        <w:rPr>
          <w:rtl w:val="true"/>
        </w:rPr>
        <w:t>)</w:t>
      </w:r>
      <w:bookmarkEnd w:id="144"/>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هاتين القاعدتين ليستا عقليتين، بل شرعیتان مستفادتان من الأخبار،فلا يضرّهما التخصيص، غاية الأمر إنّهما عامّان من العمومات، ولا تخرج عن الحجيّة بالتخصيص في غير مورده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نقضهم عليهما ليس لأجل خصوصيّة يقتضيها المورد، حتّى لا يكون مخرجاً لهما عن الحجيّة، بل ذكروا النقض بعنوان الكلية وبحسب مقتضى القاعدة، لا أنّ نقضهم مبني على دليل خاص حتّى يقال بعدم مضرّة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التنبيه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وعكساً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العقد الفاسد؛ بسبب حصول الإخلال في نفس العقد، أو بسبب المتعاقدين، فيشمل عقد الصبيّ، والمُكْره،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وهب الصبي شيئاً للبالغ، تكون الهبة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الأصحاب</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صحيح الهبة لا يكون فيه الضمان، وكذا عاريته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ومدرك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موجود، وهو الإقدام في الأول، والاستئمان في الثاني، فتُنْقض القاعدة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فينبغي أنْ تخصَّ القاعدة بالعقد الفاسد من جهة نفس العقد، وبصورة الإقدام والاستثمان المؤثرين شرعاً، فيخرج مثل المذكورات عن تحت القاعدة</w:t>
      </w:r>
      <w:r>
        <w:rPr>
          <w:rFonts w:eastAsia="Amiri" w:cs="Amiri" w:ascii="Amiri" w:hAnsi="Amiri"/>
          <w:color w:val="111111"/>
          <w:sz w:val="28"/>
          <w:szCs w:val="28"/>
          <w:rtl w:val="true"/>
          <w:lang w:bidi="ar-SA"/>
        </w:rPr>
        <w:t xml:space="preserve">. </w:t>
      </w:r>
      <w:bookmarkStart w:id="145" w:name="pg9195_77074"/>
    </w:p>
    <w:p>
      <w:pPr>
        <w:pStyle w:val="BookText"/>
        <w:rPr/>
      </w:pPr>
      <w:bookmarkEnd w:id="145"/>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عارية الغاصب، بأن غصب شيئاً، ثمّ أعاره لشخص آخر، ثم تلف عنده، فهل يجوز للمالك الرجوع إلى المستعير أو لا ؟</w:t>
      </w:r>
    </w:p>
    <w:p>
      <w:pPr>
        <w:pStyle w:val="BookText"/>
        <w:rPr/>
      </w:pPr>
      <w:r>
        <w:rPr>
          <w:rFonts w:ascii="Amiri" w:hAnsi="Amiri" w:eastAsia="Amiri" w:cs="Amiri"/>
          <w:color w:val="111111"/>
          <w:sz w:val="28"/>
          <w:sz w:val="28"/>
          <w:szCs w:val="28"/>
          <w:rtl w:val="true"/>
          <w:lang w:bidi="ar-SA"/>
        </w:rPr>
        <w:t xml:space="preserve">يظهر من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عدم جواز رجوع المالك إلى المستعير، وعدم ضمانه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للغاصب، ولا للمالك ؛ تمسّكاً بهذه القاعدة، وكأنَّه فهم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يضمن المال أصلاً، لا عدم الضمان للعاقد فقط، حتّى لا يجوز الرجوع للغاصب فقط على المستعير، لكن هذه دعوى بلا بيّنة</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3921711_2870459653"/>
      <w:bookmarkStart w:id="147" w:name="_Toc52"/>
      <w:bookmarkEnd w:id="146"/>
      <w:r>
        <w:rPr>
          <w:rtl w:val="true"/>
        </w:rPr>
        <w:t>(</w:t>
      </w:r>
      <w:r>
        <w:rPr>
          <w:rtl w:val="true"/>
        </w:rPr>
        <w:t xml:space="preserve">في تعاقب الأيدي </w:t>
      </w:r>
      <w:r>
        <w:rPr>
          <w:rtl w:val="true"/>
        </w:rPr>
        <w:t>)</w:t>
      </w:r>
      <w:bookmarkEnd w:id="147"/>
    </w:p>
    <w:p>
      <w:pPr>
        <w:pStyle w:val="BookText"/>
        <w:rPr/>
      </w:pPr>
      <w:r>
        <w:rPr>
          <w:rFonts w:ascii="Amiri" w:hAnsi="Amiri" w:eastAsia="Amiri" w:cs="Amiri"/>
          <w:color w:val="111111"/>
          <w:sz w:val="28"/>
          <w:sz w:val="28"/>
          <w:szCs w:val="28"/>
          <w:rtl w:val="true"/>
          <w:lang w:bidi="ar-SA"/>
        </w:rPr>
        <w:t>ويظهر من كلمات العلماء</w:t>
      </w:r>
      <w:r>
        <w:rPr>
          <w:rStyle w:val="FootnoteAnchor"/>
          <w:rtl w:val="true"/>
        </w:rPr>
        <w:footnoteReference w:id="170"/>
      </w:r>
      <w:r>
        <w:rPr>
          <w:rFonts w:ascii="Amiri" w:hAnsi="Amiri" w:eastAsia="Amiri" w:cs="Amiri"/>
          <w:color w:val="111111"/>
          <w:sz w:val="28"/>
          <w:sz w:val="28"/>
          <w:szCs w:val="28"/>
          <w:rtl w:val="true"/>
          <w:lang w:bidi="ar-SA"/>
        </w:rPr>
        <w:t xml:space="preserve">في باب الغصب، جواز رجوع المالك إلى كلّ من الأيادي المتعاقبة، فنقول وبالله الاستعانة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المستعير من الغاصب، إمّا أن يكون جاهلاً بكونه مغصوباً، أو يكون عالماً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فلا بُدَّ من الرجوع إلى القواعد، فالقواعد هنا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 ومقتضاها جواز رجوع المالك لكلٍ منهما، ورجوع من رجع إليه المالك إلى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ما لا يضمن، ومقتضاها عدم ضمان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الغرور، ومقتضاها رجوع المستعير إلى الغاصب لو رجع إليه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من تلف عنده فعليه استقرار الضمان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الغاصب والمستعير وكذا بالنسبة إلى الغاصب بالنسبة إلى المستعير، لكن نخصّها بغير صورة رجوع الغاصب على المستعير؛ بحكم قاعدة الغرور، حيث إنَّ مفادها عدم رجوع الغار إلى المغرور، وبقاعدة عدم </w:t>
      </w:r>
      <w:bookmarkStart w:id="148" w:name="pg9195_77075"/>
    </w:p>
    <w:p>
      <w:pPr>
        <w:pStyle w:val="BookText"/>
        <w:rPr/>
      </w:pPr>
      <w:bookmarkEnd w:id="148"/>
      <w:r>
        <w:rPr>
          <w:rFonts w:ascii="Amiri" w:hAnsi="Amiri" w:eastAsia="Amiri" w:cs="Amiri"/>
          <w:color w:val="111111"/>
          <w:sz w:val="28"/>
          <w:sz w:val="28"/>
          <w:szCs w:val="28"/>
          <w:rtl w:val="true"/>
          <w:lang w:bidi="ar-SA"/>
        </w:rPr>
        <w:t>الضمان، ويكون للمالك الرجوع إلى الغاصب بحكم اليد، ولا يكون له الرجوع إلى المستعير بحكم الاستئمان، ويكون للمالك الرجوع إلى المستعير بحكم اليد، وله الرجوع إلى الغارّ بحكم قاعدة الغرر ، فيخصّص بها قاعدة من تلف عنده شيٌ فعليه استقرار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صورة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قاعدة الغرور، فلا يجوز للمستعير الرجوع إلى الغاصب لو رجع إليه المالك، ولا بالعكس، وللمالك الرجوع إلى الغاصب أيضاً؛ لقاعدة اليد، ولا يجوز له الرجوع إلى المستعير؛ لقاعدة عدم الضمان فتكون قاعدة عدم الضمان مخصصة للقاعدة الرابعة، لكن لم نجد مورداً يخصّصون بعدم الضمان هذه القاعدة، فافهم</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3921713_2870459653"/>
      <w:bookmarkStart w:id="150" w:name="_Toc53"/>
      <w:bookmarkEnd w:id="149"/>
      <w:r>
        <w:rPr>
          <w:rtl w:val="true"/>
        </w:rPr>
        <w:t xml:space="preserve">[ </w:t>
      </w:r>
      <w:r>
        <w:rPr>
          <w:rtl w:val="true"/>
        </w:rPr>
        <w:t xml:space="preserve">الكلامُ في دخول بعض العقود تحت قاعدة ما يضمن </w:t>
      </w:r>
      <w:r>
        <w:rPr>
          <w:rtl w:val="true"/>
        </w:rPr>
        <w:t>]</w:t>
      </w:r>
      <w:bookmarkEnd w:id="150"/>
    </w:p>
    <w:p>
      <w:pPr>
        <w:pStyle w:val="BookText"/>
        <w:rPr/>
      </w:pPr>
      <w:r>
        <w:rPr>
          <w:rFonts w:ascii="Amiri" w:hAnsi="Amiri" w:eastAsia="Amiri" w:cs="Amiri"/>
          <w:color w:val="111111"/>
          <w:sz w:val="28"/>
          <w:sz w:val="28"/>
          <w:szCs w:val="28"/>
          <w:rtl w:val="true"/>
          <w:lang w:bidi="ar-SA"/>
        </w:rPr>
        <w:t xml:space="preserve">بقي الكلام في بعض العقود، هل يكون داخلاً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والحوالة، والمكاتبة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الضمان، فالظاهر دخوله في أصل القاعدة؛ لثبوت الضمان في صحيحه، فإنّه لو دفع الضامن شيئاً إلى المضمون له، فلو تلف مال المضمون له عند المضمون عنه، يكون ضامناً له في ماله الذي دفع إلى المضمون له في الضمان فكذا في فاسده؛ بحكم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فكذا في الحوالة، فلو حوّل </w:t>
      </w:r>
      <w:r>
        <w:rPr>
          <w:rStyle w:val="FootnoteAnchor"/>
          <w:rtl w:val="true"/>
        </w:rPr>
        <w:footnoteReference w:id="171"/>
      </w:r>
      <w:r>
        <w:rPr>
          <w:rFonts w:ascii="Amiri" w:hAnsi="Amiri" w:eastAsia="Amiri" w:cs="Amiri"/>
          <w:color w:val="111111"/>
          <w:sz w:val="28"/>
          <w:sz w:val="28"/>
          <w:szCs w:val="28"/>
          <w:rtl w:val="true"/>
          <w:lang w:bidi="ar-SA"/>
        </w:rPr>
        <w:t>شخص ديناً لشخص من ذمّته إلى ذمته، فدفع المحال عليه مالاً إلى المُحال له، فتلف مال المحال له عند المحيل، يكون ضمانه على المحال عليه في ماله الذي أعطاه إلى المحال 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المكاتبة، فالظاهر عدم جريان القاعدة؛ لأنَّ المكاتبة صحيحُها اقتضى الضمان،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مال المكاتبة يكون المولى ضامناً له، بخلاف فاسدها، فإنّه ليس ضامناً للعبد؛ لعدم تعقّل الضمان لماله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هي ليست نقضاً للقاعدة؛ لأنّ وجه عدم الضمان عدم تعقّله</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9195_77077"/>
      <w:bookmarkStart w:id="152" w:name="pg9195_77077"/>
      <w:bookmarkEnd w:id="152"/>
    </w:p>
    <w:p>
      <w:pPr>
        <w:pStyle w:val="Heading3"/>
        <w:numPr>
          <w:ilvl w:val="2"/>
          <w:numId w:val="1"/>
        </w:numPr>
        <w:rPr/>
      </w:pPr>
      <w:bookmarkStart w:id="153" w:name="pg9195_77077"/>
      <w:bookmarkStart w:id="154" w:name="__RefHeading___Toc3921715_2870459653"/>
      <w:bookmarkStart w:id="155" w:name="_Toc54"/>
      <w:bookmarkEnd w:id="153"/>
      <w:bookmarkEnd w:id="154"/>
      <w:r>
        <w:rPr>
          <w:rtl w:val="true"/>
        </w:rPr>
        <w:t xml:space="preserve">المقام الثالث </w:t>
      </w:r>
      <w:r>
        <w:rPr>
          <w:rtl w:val="true"/>
        </w:rPr>
        <w:t>-</w:t>
      </w:r>
      <w:r>
        <w:rPr>
          <w:rtl w:val="true"/>
        </w:rPr>
        <w:t>في بعض الأمور المتفرّعة على المقبوض بالبيع الفاسد</w:t>
      </w:r>
      <w:bookmarkEnd w:id="15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ردّه فوراً إلى مالكه ولا بُدَّ من تحقيق معنى وجوب الردّ ، هل هو تحويله إلى صاحبه، وكونه المراد من قائليه حتّى يكون مؤنة الردّ على المشتري، أو هو مجرّد عدم الحيلولة بينه وبين مالكه، بحيث لم يصدق عرفاً أنه تحت يده، وكونه متصرفاً فيه؟</w:t>
      </w:r>
    </w:p>
    <w:p>
      <w:pPr>
        <w:pStyle w:val="BookText"/>
        <w:rPr/>
      </w:pPr>
      <w:r>
        <w:rPr>
          <w:rFonts w:ascii="IRNazanin" w:hAnsi="IRNazanin" w:eastAsia="IRNazanin"/>
          <w:color w:val="111111"/>
          <w:sz w:val="28"/>
          <w:sz w:val="28"/>
          <w:szCs w:val="28"/>
          <w:rtl w:val="true"/>
          <w:lang w:bidi="fa-IR"/>
        </w:rPr>
        <w:t xml:space="preserve">فإن كان المراد هو الثاني، فهو حقٌّ، ويدل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يحل مال امری</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لدلالته على حرمة أنواع التصرّفات لا مجرّد الأخذ، بقرينة حذف المتعلّق،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لأحد أن يتصرف في مال غيره إلا بإذنه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الأدلّة الدالّة على حرمة الاستيلاء على مال الغير بحيث يعدّ في العرف تصرفاً، بل إمساكاً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هو الأول، فلا دليل على أزيد من التخلية بين المال ومالكه، بحيث لا يعدّ عرفاً حبس مال الغير ، كأن أخبر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حاضرٌ، ولست بمانع منك له، أو أخْرَجَه من بيته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على حرمة التصرّف، وحبس مال الغير، وأمّا ما لا يكون حبساً ، ولا يكون تصرفاً، بل يكون إمساكه لمجرّد الحفظ، فلا يدلان على حرمته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يظهر من الشهيد </w:t>
      </w:r>
      <w:r>
        <w:rPr>
          <w:rStyle w:val="FootnoteAnchor"/>
          <w:rtl w:val="true"/>
        </w:rPr>
        <w:footnoteReference w:id="175"/>
      </w:r>
      <w:r>
        <w:rPr>
          <w:rFonts w:ascii="Amiri" w:hAnsi="Amiri" w:eastAsia="Amiri" w:cs="Amiri"/>
          <w:color w:val="111111"/>
          <w:sz w:val="28"/>
          <w:sz w:val="28"/>
          <w:szCs w:val="28"/>
          <w:rtl w:val="true"/>
          <w:lang w:bidi="ar-SA"/>
        </w:rPr>
        <w:t xml:space="preserve">اختيار وجوب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التحويل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متمسكاً بأنَّه بمنزلة </w:t>
      </w:r>
    </w:p>
    <w:p>
      <w:pPr>
        <w:pStyle w:val="BookText"/>
        <w:rPr/>
      </w:pPr>
      <w:r>
        <w:rPr>
          <w:rFonts w:ascii="IRNazanin" w:hAnsi="IRNazanin" w:eastAsia="IRNazanin"/>
          <w:color w:val="111111"/>
          <w:sz w:val="28"/>
          <w:sz w:val="28"/>
          <w:szCs w:val="28"/>
          <w:rtl w:val="true"/>
          <w:lang w:bidi="fa-IR"/>
        </w:rPr>
        <w:t>المغصوب</w:t>
      </w:r>
      <w:r>
        <w:rPr>
          <w:rStyle w:val="FootnoteAnchor"/>
          <w:rtl w:val="true"/>
        </w:rPr>
        <w:footnoteReference w:id="176"/>
      </w:r>
      <w:r>
        <w:rPr>
          <w:rFonts w:ascii="Amiri" w:hAnsi="Amiri" w:eastAsia="Amiri" w:cs="Amiri"/>
          <w:color w:val="111111"/>
          <w:sz w:val="28"/>
          <w:sz w:val="28"/>
          <w:szCs w:val="28"/>
          <w:rtl w:val="true"/>
          <w:lang w:bidi="ar-SA"/>
        </w:rPr>
        <w:t>، فيدخل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w:t>
      </w:r>
      <w:r>
        <w:rPr>
          <w:rStyle w:val="FootnoteAnchor"/>
          <w:rtl w:val="true"/>
        </w:rPr>
        <w:footnoteReference w:id="177"/>
      </w:r>
      <w:r>
        <w:rPr>
          <w:rFonts w:ascii="Amiri" w:hAnsi="Amiri" w:eastAsia="Amiri" w:cs="Amiri"/>
          <w:color w:val="111111"/>
          <w:sz w:val="28"/>
          <w:sz w:val="28"/>
          <w:szCs w:val="28"/>
          <w:rtl w:val="true"/>
          <w:lang w:bidi="ar-SA"/>
        </w:rPr>
        <w:t xml:space="preserve">، فيجب الردّ، وبيّن </w:t>
      </w:r>
      <w:r>
        <w:rPr>
          <w:rStyle w:val="FootnoteAnchor"/>
          <w:rtl w:val="true"/>
        </w:rPr>
        <w:footnoteReference w:id="17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حيث إنّه جعل الأداء غاية للخروج من العهدة، والأداء في وجوب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أولاً من أنَّه بمنزلة المغصوب، فيجري عليه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الرّد إلى المالك بمقتضى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كونه بمنزلة المغصوب في جميع الأحكام حتّى في وجوب الردّ والتحويل لو سلمنا في المغصوب، بل هو مثله في عدم جواز التصرّف فيه، والحيلولة، وثبوت الضمان، وعدم الدليل على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ثانياً من التمسّك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اليد ما أخذت حتّى تؤديه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ظهور الأداء في وجوب التحويل،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ظاهراً بحسب أصل الوضع في التحويل، لكنه كثر استعماله في الأخبار والآيات في مجرّد عدم الحيلولة، مثل الأخبار الدالّة على وجوب أداء الأمانات</w:t>
      </w:r>
      <w:r>
        <w:rPr>
          <w:rStyle w:val="FootnoteAnchor"/>
          <w:rtl w:val="true"/>
        </w:rPr>
        <w:footnoteReference w:id="18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فَلْيُؤَدِّ الَّذِي اؤْتُمِنَ أَمَانَتَهُ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حيث إِنَّ </w:t>
      </w:r>
    </w:p>
    <w:p>
      <w:pPr>
        <w:pStyle w:val="BookText"/>
        <w:rPr/>
      </w:pPr>
      <w:r>
        <w:rPr>
          <w:rFonts w:ascii="Amiri" w:hAnsi="Amiri" w:eastAsia="Amiri" w:cs="Amiri"/>
          <w:color w:val="111111"/>
          <w:sz w:val="28"/>
          <w:sz w:val="28"/>
          <w:szCs w:val="28"/>
          <w:rtl w:val="true"/>
          <w:lang w:bidi="ar-SA"/>
        </w:rPr>
        <w:t>الأمانة في المذكورات لو لم نقل باختصاصها بالوديعة، فلا بُدَّ من التعميم فيها حتّى تشملها، والإجماع قائم على أنّ التحويل غير لازم في الوديعة</w:t>
      </w:r>
      <w:r>
        <w:rPr>
          <w:rStyle w:val="FootnoteAnchor"/>
          <w:rtl w:val="true"/>
        </w:rPr>
        <w:footnoteReference w:id="183"/>
      </w:r>
      <w:r>
        <w:rPr>
          <w:rFonts w:ascii="Amiri" w:hAnsi="Amiri" w:eastAsia="Amiri" w:cs="Amiri"/>
          <w:color w:val="111111"/>
          <w:sz w:val="28"/>
          <w:sz w:val="28"/>
          <w:szCs w:val="28"/>
          <w:rtl w:val="true"/>
          <w:lang w:bidi="ar-SA"/>
        </w:rPr>
        <w:t>، بل اللازم مجرّد التخلية، فحينئذٍ لا بُدَّ من القول بأنّ الأداء هو مجرد التخلية وعدم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أَهْلِهَا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قرينة على أنّ المراد وجوب الرّد؛ لأنّ الإيصال إنّما يكون إلى الأهل، مدفوعٌ بأنَّه لا يدل على وجوب الرّد، بل يدل على أنه لا يجوز الرد إلا إلى الأهل لا إلى الغير،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الرّد ردّوها إلى أهلها لا إلى غير أهلها، فيكون مسوقاً لعدم جواز الرّد إلى غير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الأداء في هذه الموارد مع كون المراد مجرّد التخلية يكون صارفاً له عن ظهوره الأصلي لو كان ثابتاً، فيكون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سياقها، فما هو المراد فيها من الأداء، فهو المراد منه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ظهوره في النقل، لكن قد ذكرنا سابقاً أنّ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اليد </w:t>
      </w:r>
      <w:r>
        <w:rPr>
          <w:rFonts w:eastAsia="IRNazanin" w:cs="IRNazanin"/>
          <w:color w:val="111111"/>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هو كون عهدة المال على الآخذ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ضامناً لو تلف، حتّى يردّه إلى مالكه، فيدل على ثبوت الضمان إلى الغاية المذكورة، وعدم ثبوته بعدها، ولا يدلّ على وجوب الرّد، وأين الحكم الوضعي من الحكم التكليفي؟ والمقصود هو الثاني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فالتمسّك لوجوب الرّد به لا وجه له كما إنَّ التمسّك به بدعوى إجماع السرائر </w:t>
      </w:r>
      <w:r>
        <w:rPr>
          <w:rStyle w:val="FootnoteAnchor"/>
          <w:rtl w:val="true"/>
        </w:rPr>
        <w:footnoteReference w:id="186"/>
      </w:r>
      <w:r>
        <w:rPr>
          <w:rFonts w:ascii="Amiri" w:hAnsi="Amiri" w:eastAsia="Amiri" w:cs="Amiri"/>
          <w:color w:val="111111"/>
          <w:sz w:val="28"/>
          <w:sz w:val="28"/>
          <w:szCs w:val="28"/>
          <w:rtl w:val="true"/>
          <w:lang w:bidi="ar-SA"/>
        </w:rPr>
        <w:t>، بضميمة قول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مؤنة الرّد على المشتري؛ لوجوب ما لا يتمّ الواجب إلا به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أيضاً لا وجه له؛ لتصريح الحلّي بعدم الإثم في إمساكه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القول بعدم وجوب الرّد، وكفاية مجرّد التخلية، لا يخلو عن قوة؛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وحرمة الإمساك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الخبرين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 بعضٌ </w:t>
      </w:r>
      <w:r>
        <w:rPr>
          <w:rStyle w:val="FootnoteAnchor"/>
          <w:rtl w:val="true"/>
        </w:rPr>
        <w:footnoteReference w:id="189"/>
      </w:r>
      <w:r>
        <w:rPr>
          <w:rFonts w:ascii="Amiri" w:hAnsi="Amiri" w:eastAsia="Amiri" w:cs="Amiri"/>
          <w:color w:val="111111"/>
          <w:sz w:val="28"/>
          <w:sz w:val="28"/>
          <w:szCs w:val="28"/>
          <w:rtl w:val="true"/>
          <w:lang w:bidi="ar-SA"/>
        </w:rPr>
        <w:t>وقال بوجود الدليل على عدم وجوب الردّ؛ لأنَّه من الأمانة المالكية؛ لأنّ ثبوت المال عند المشتري بإذن المالك، فيدخل في الأمانة المالكيّة، والإجماع قائم على عدم وجوب الردّ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جهل البائع بالفساد فلأنَّ إذنه إنّما هو على تقدير ثبوت العوض وعلى وجه العوضيّة، فإذا لم يسلّم له ذلك لم يبقَ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العلم؛ فلأنَّهما تبانيا على حصول الملك تشريعاً في مقابل الشارع، فإذنهما إنّما جرى على هذا التباني، فلمّا كان هذا التباني مُلغىً في نظر الشارع، فكلّ ما كان من باب الجري على هذا التباني فهو أيضاً فاسد مُلغىً في نظر الشارع، فهذا الإذن لم يكن له أثرٌ عند الشارع ، نظير الرِّضا الحاصل في القمار ، فإنَّ رضا المتقامرين بالتصرّف فإنّما هو جري على ما بنيا عليه من حصول الملك، فلمّا لم يمض الشارع هذا التّمليك ، وكان مُلغىً عنده، يكون كلّ ما يكون على هذا الجري مُلغىً عند الشارع، وبلا أثر ، فافهم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استوفى المشتري منافع العين المقبوضة بالبيع الفاسد، يكون ضامناً لها كالأصل، كما هو المشهور، ويظهر من كلام بعضهم </w:t>
      </w:r>
      <w:r>
        <w:rPr>
          <w:rStyle w:val="FootnoteAnchor"/>
          <w:rtl w:val="true"/>
        </w:rPr>
        <w:footnoteReference w:id="190"/>
      </w:r>
      <w:r>
        <w:rPr>
          <w:rFonts w:ascii="Amiri" w:hAnsi="Amiri" w:eastAsia="Amiri" w:cs="Amiri"/>
          <w:color w:val="111111"/>
          <w:sz w:val="28"/>
          <w:sz w:val="28"/>
          <w:szCs w:val="28"/>
          <w:rtl w:val="true"/>
          <w:lang w:bidi="ar-SA"/>
        </w:rPr>
        <w:t>دعوى الإجماع على ذلك، ولم ينقل الخلاف في ذلك إلا عن صاحب الوسيلة</w:t>
      </w:r>
      <w:r>
        <w:rPr>
          <w:rStyle w:val="FootnoteAnchor"/>
          <w:rtl w:val="true"/>
        </w:rPr>
        <w:footnoteReference w:id="191"/>
      </w:r>
      <w:r>
        <w:rPr>
          <w:rFonts w:ascii="Amiri" w:hAnsi="Amiri" w:eastAsia="Amiri" w:cs="Amiri"/>
          <w:color w:val="111111"/>
          <w:sz w:val="28"/>
          <w:sz w:val="28"/>
          <w:szCs w:val="28"/>
          <w:rtl w:val="true"/>
          <w:lang w:bidi="ar-SA"/>
        </w:rPr>
        <w:t>، حيث ذهب إلى عدم الضمان؛ تمسكاً بالخبر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للسببيّة،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حصوله أو ملكيته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إقدام المشتري على الضمان</w:t>
      </w:r>
    </w:p>
    <w:p>
      <w:pPr>
        <w:pStyle w:val="BookText"/>
        <w:rPr/>
      </w:pPr>
      <w:r>
        <w:rPr>
          <w:rFonts w:ascii="Amiri" w:hAnsi="Amiri" w:eastAsia="Amiri" w:cs="Amiri"/>
          <w:color w:val="111111"/>
          <w:sz w:val="28"/>
          <w:sz w:val="28"/>
          <w:szCs w:val="28"/>
          <w:rtl w:val="true"/>
          <w:lang w:bidi="ar-SA"/>
        </w:rPr>
        <w:t>أو للمقابلة،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الخراج مقابل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المشتري لمّا أقدم على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ضمان المبيع بتضمينه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الخراج له مجاناً، فكذلك على تقدير الفساد؛ لأنّ 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ضعف الاستدلال به؛ لأنّ الظاهر من الرواية أنَّها في مقام إبداء الضابط والقاعدة، فلا يناسبه هذا المعنى اللازم من إرادته تخصيص الأكثر المنافي للضابط؛ لوهن الضابط به، مثلاً في الغصب يكون الضمان، ولا يكون الخراج للغاصب،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آخر،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الخراج لمن يذهب المال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الضمان هو ذهاب المال من كيسه، وكون خسارة المال من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الأخبار،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مقام الاستشهاد على كون منفعة المبيع في زمان الخيار للمشتري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ترى أنّها لو أحرقت كان من مال المشتري</w:t>
      </w:r>
      <w:r>
        <w:rPr>
          <w:rFonts w:eastAsia="IRNazanin" w:cs="IRNazanin"/>
          <w:color w:val="111111"/>
          <w:sz w:val="28"/>
          <w:szCs w:val="28"/>
          <w:rtl w:val="true"/>
          <w:lang w:bidi="fa-IR"/>
        </w:rPr>
        <w:t xml:space="preserve">»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منه ومن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المنفعة لمن يذهب المال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بكون مورد الرواية في الخراج والمقاسمة،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 الخراج لأجل تضمين الشخص وتقبيله عليه، أو بتضمين إياه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مطلق التقبل والتضمين، بل التقبّل والتضمين مع إمضاء الشارع لهذا التقبيل، فيخرج البيع الفاسد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بالعارية المضمونة؛ حيث إنّ المنفعة فيها لا تصير ملكاً للمستعير، بل يكون مالكاً للانتفاع، والحال أنّ مقتضى الرواية كون الخراج ملكاً، ولو أغمضنا عن ذلك، وقلنا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كون الخراج للشخص أعم من ملكه له، أو يكون مالكاً للانتفاع، يشكل من وجه آخر،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مقتضاها كون الخراج في مقابل الضمان ولأجله، وفي العارية المضمونة ليست كذلك، بل الخراج من جهة الإعارة، وهي مقتضية لثبوت الانتفاع لا بشرط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فالخبر لا تقصر دلالته عن سنده في الوهن، فلا يُمكن التمسك به في مثل هذا المطلب المخالف للمشهور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فالحق ما ذهب إليه المشهور؛ لشمول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أشرنا إليها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بتمامها، بناءً على كون المنفعة المستوفاة من الأموال كما هو الظاهر ، فيشمله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يحل </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حرمة مال </w:t>
      </w:r>
      <w:r>
        <w:rPr>
          <w:rFonts w:eastAsia="IRNazanin" w:cs="IRNazanin"/>
          <w:color w:val="111111"/>
          <w:sz w:val="28"/>
          <w:szCs w:val="28"/>
          <w:rtl w:val="true"/>
          <w:lang w:bidi="fa-IR"/>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نفي الضرر،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المنافع غير المستوفاة فقد نُسب إلى المشهور </w:t>
      </w:r>
      <w:r>
        <w:rPr>
          <w:rStyle w:val="FootnoteAnchor"/>
          <w:rtl w:val="true"/>
        </w:rPr>
        <w:footnoteReference w:id="196"/>
      </w:r>
      <w:r>
        <w:rPr>
          <w:rFonts w:ascii="Amiri" w:hAnsi="Amiri" w:eastAsia="Amiri" w:cs="Amiri"/>
          <w:color w:val="111111"/>
          <w:sz w:val="28"/>
          <w:sz w:val="28"/>
          <w:szCs w:val="28"/>
          <w:rtl w:val="true"/>
          <w:lang w:bidi="ar-SA"/>
        </w:rPr>
        <w:t>فيها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 نجد له مدركاً يمكن الاعتماد عليه؛ لما ذكرنا </w:t>
      </w:r>
      <w:r>
        <w:rPr>
          <w:rStyle w:val="FootnoteAnchor"/>
          <w:rtl w:val="true"/>
        </w:rPr>
        <w:footnoteReference w:id="197"/>
      </w:r>
      <w:r>
        <w:rPr>
          <w:rFonts w:ascii="Amiri" w:hAnsi="Amiri" w:eastAsia="Amiri" w:cs="Amiri"/>
          <w:color w:val="111111"/>
          <w:sz w:val="28"/>
          <w:sz w:val="28"/>
          <w:szCs w:val="28"/>
          <w:rtl w:val="true"/>
          <w:lang w:bidi="ar-SA"/>
        </w:rPr>
        <w:t>من عدم كونها من الأموال حتّى تُشمل تحت الأدلة الدالة على احترام المال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لا يشملها دليل نفي الضرر ؛ لعدم إضرار المشتري بالبائع، بل أضرَّ نفسه بنفسه؛ حيث لم يستوفِ منافع ماله؛ لأنّ المفروض في مقامنا عدم المنع من جانبه أصلاً، فلا دليل على الضمان إلا دعوى العلّامة </w:t>
      </w:r>
      <w:r>
        <w:rPr>
          <w:rStyle w:val="FootnoteAnchor"/>
          <w:rtl w:val="true"/>
        </w:rPr>
        <w:footnoteReference w:id="198"/>
      </w:r>
      <w:r>
        <w:rPr>
          <w:rFonts w:ascii="Amiri" w:hAnsi="Amiri" w:eastAsia="Amiri" w:cs="Amiri"/>
          <w:color w:val="111111"/>
          <w:sz w:val="28"/>
          <w:sz w:val="28"/>
          <w:szCs w:val="28"/>
          <w:rtl w:val="true"/>
          <w:lang w:bidi="ar-SA"/>
        </w:rPr>
        <w:t xml:space="preserve">الإجماع على الضمان في المغصوب ، بضميمة دعوى السرائر </w:t>
      </w:r>
      <w:r>
        <w:rPr>
          <w:rStyle w:val="FootnoteAnchor"/>
          <w:rtl w:val="true"/>
        </w:rPr>
        <w:footnoteReference w:id="199"/>
      </w:r>
      <w:r>
        <w:rPr>
          <w:rFonts w:ascii="Amiri" w:hAnsi="Amiri" w:eastAsia="Amiri" w:cs="Amiri"/>
          <w:color w:val="111111"/>
          <w:sz w:val="28"/>
          <w:sz w:val="28"/>
          <w:szCs w:val="28"/>
          <w:rtl w:val="true"/>
          <w:lang w:bidi="ar-SA"/>
        </w:rPr>
        <w:t xml:space="preserve">من كون المقبوض بالبيع الفاسد بمنزلة المغصوب، بل دعوى السرائر </w:t>
      </w:r>
      <w:r>
        <w:rPr>
          <w:rStyle w:val="FootnoteAnchor"/>
          <w:rtl w:val="true"/>
        </w:rPr>
        <w:footnoteReference w:id="200"/>
      </w:r>
      <w:r>
        <w:rPr>
          <w:rFonts w:ascii="Amiri" w:hAnsi="Amiri" w:eastAsia="Amiri" w:cs="Amiri"/>
          <w:color w:val="111111"/>
          <w:sz w:val="28"/>
          <w:sz w:val="28"/>
          <w:szCs w:val="28"/>
          <w:rtl w:val="true"/>
          <w:lang w:bidi="ar-SA"/>
        </w:rPr>
        <w:t xml:space="preserve">الإجماع على المطلبين، </w:t>
      </w:r>
    </w:p>
    <w:p>
      <w:pPr>
        <w:pStyle w:val="BookText"/>
        <w:rPr/>
      </w:pPr>
      <w:r>
        <w:rPr>
          <w:rFonts w:ascii="Amiri" w:hAnsi="Amiri" w:eastAsia="Amiri" w:cs="Amiri"/>
          <w:color w:val="111111"/>
          <w:sz w:val="28"/>
          <w:sz w:val="28"/>
          <w:szCs w:val="28"/>
          <w:rtl w:val="true"/>
          <w:lang w:bidi="ar-SA"/>
        </w:rPr>
        <w:t>فالمسألة محل التوقف والإشكال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تلف المثلي يجب أداء مثله بلا خلاف </w:t>
      </w:r>
      <w:r>
        <w:rPr>
          <w:rStyle w:val="FootnoteAnchor"/>
          <w:rtl w:val="true"/>
        </w:rPr>
        <w:footnoteReference w:id="201"/>
      </w:r>
      <w:r>
        <w:rPr>
          <w:rFonts w:ascii="Amiri" w:hAnsi="Amiri" w:eastAsia="Amiri" w:cs="Amiri"/>
          <w:color w:val="111111"/>
          <w:sz w:val="28"/>
          <w:sz w:val="28"/>
          <w:szCs w:val="28"/>
          <w:rtl w:val="true"/>
          <w:lang w:bidi="ar-SA"/>
        </w:rPr>
        <w:t xml:space="preserve">، إلا ما يحكى عن ظاهر الإسكافي على ما حكي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156" w:name="pg9195_77084"/>
    </w:p>
    <w:p>
      <w:pPr>
        <w:pStyle w:val="Heading3"/>
        <w:numPr>
          <w:ilvl w:val="2"/>
          <w:numId w:val="1"/>
        </w:numPr>
        <w:rPr/>
      </w:pPr>
      <w:bookmarkStart w:id="157" w:name="__RefHeading___Toc3921717_2870459653"/>
      <w:bookmarkStart w:id="158" w:name="_Toc55"/>
      <w:bookmarkEnd w:id="156"/>
      <w:bookmarkEnd w:id="157"/>
      <w:r>
        <w:rPr>
          <w:rtl w:val="true"/>
        </w:rPr>
        <w:t>(</w:t>
      </w:r>
      <w:r>
        <w:rPr>
          <w:rtl w:val="true"/>
        </w:rPr>
        <w:t>في تأسيس الأصل في المثلي وضابطه</w:t>
      </w:r>
      <w:r>
        <w:rPr>
          <w:rtl w:val="true"/>
        </w:rPr>
        <w:t>)</w:t>
      </w:r>
      <w:bookmarkEnd w:id="158"/>
    </w:p>
    <w:p>
      <w:pPr>
        <w:pStyle w:val="BookText"/>
        <w:rPr/>
      </w:pPr>
      <w:r>
        <w:rPr>
          <w:rFonts w:ascii="Amiri" w:hAnsi="Amiri" w:eastAsia="Amiri" w:cs="Amiri"/>
          <w:color w:val="111111"/>
          <w:sz w:val="28"/>
          <w:sz w:val="28"/>
          <w:szCs w:val="28"/>
          <w:rtl w:val="true"/>
          <w:lang w:bidi="ar-SA"/>
        </w:rPr>
        <w:t xml:space="preserve">واعلم أنَّه لما كانت كلمات العلماء مشوشة مفهوماً ومصداقاً؛ لأنَّهم عرفوه بتعاريف مختلفة، كلّها لا تخلو عن عدم الاطراد أو عدم الانعكاس، أو هما معاً، وكذلك في مصداق المثلي؛ حيث حكي عن جامع المقاصد عدّ الثوب من المثلي </w:t>
      </w:r>
      <w:r>
        <w:rPr>
          <w:rStyle w:val="FootnoteAnchor"/>
          <w:rtl w:val="true"/>
        </w:rPr>
        <w:footnoteReference w:id="203"/>
      </w:r>
      <w:r>
        <w:rPr>
          <w:rFonts w:ascii="Amiri" w:hAnsi="Amiri" w:eastAsia="Amiri" w:cs="Amiri"/>
          <w:color w:val="111111"/>
          <w:sz w:val="28"/>
          <w:sz w:val="28"/>
          <w:szCs w:val="28"/>
          <w:rtl w:val="true"/>
          <w:lang w:bidi="ar-SA"/>
        </w:rPr>
        <w:t xml:space="preserve">، والمشهور على خلافه، وكذلك حكي عن المبسوط كون الذهب والفضة الغير المسكوكين من القيميات </w:t>
      </w:r>
      <w:r>
        <w:rPr>
          <w:rStyle w:val="FootnoteAnchor"/>
          <w:rtl w:val="true"/>
        </w:rPr>
        <w:footnoteReference w:id="204"/>
      </w:r>
      <w:r>
        <w:rPr>
          <w:rFonts w:ascii="IRNazanin" w:hAnsi="IRNazanin" w:eastAsia="IRNazanin"/>
          <w:color w:val="111111"/>
          <w:sz w:val="28"/>
          <w:sz w:val="28"/>
          <w:szCs w:val="28"/>
          <w:rtl w:val="true"/>
          <w:lang w:bidi="fa-IR"/>
        </w:rPr>
        <w:t>، وذهب بعض آخر</w:t>
      </w:r>
      <w:r>
        <w:rPr>
          <w:rStyle w:val="FootnoteAnchor"/>
          <w:rtl w:val="true"/>
        </w:rPr>
        <w:footnoteReference w:id="205"/>
      </w:r>
      <w:r>
        <w:rPr>
          <w:rFonts w:ascii="Amiri" w:hAnsi="Amiri" w:eastAsia="Amiri" w:cs="Amiri"/>
          <w:color w:val="111111"/>
          <w:sz w:val="28"/>
          <w:sz w:val="28"/>
          <w:szCs w:val="28"/>
          <w:rtl w:val="true"/>
          <w:lang w:bidi="ar-SA"/>
        </w:rPr>
        <w:t xml:space="preserve">إلى خلافه، وكذلك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والنحاس، والعنب، والتمر، كان اللازم أوّلا تأسيس الأصل في المسألة لفظياً وعملياً، حتّى يرجع إلى الأوّل إن كان، وإلا فإلى الثاني في غير موارد تحقق الإجماع على مثليته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العملي، فالظاهر كونه أصالة الاشتغال، وتوضيحه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شبهة في ثبوت شيء بمجرّد التلف في ذمّة الضامن، ولكنّه مردّد بين المثل والقيمة، وهما متباينان، وليسا من الأقل والأكثر حتّى يؤخذ بالأقل ويُدفع الزائد بالأصل؛ لأنّ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كونه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مباين للقيمة؛ لأنّ المنَّ من الحنطة مباين للدرهم، فلم يكن من الأقلّ والأكثر بعد تقوّم المثلي فحينئذٍ يكون خارجاً عن حيث المثليّة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الأمر فيما نحن فيه مردّد بين المخيّر والمعيّن، حتّى يُدفع التعيين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 البراءة فيه دون 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احتمال التعيين في أحدهما المعيّن، بل يحتمل التعيين في كليهما، ولا يكون من موارد تخيير المجتهد في الفتوى؛ لأنَّه إنّما يكون في تعارض الأدلّة بحكم الأخبار العلاجية، الآمرة بترجيح المجتهد إن كان مرجح في أحدهما، وإلا فيكون مخيّراً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والمسألة في دوران الأمر بين الشيئين في الموضوع الخارجي، ولا دليل على تخيير المجتهد في مثله، وليس للمالك الاختيار ولا للضامن؛ لأنّ التخيير لو قلنا به في الموضوعات الخارجية، إنّما نقول به فيما لم يُمكن الاحتياط، وهنا يمكن الاحتياط بدفع الضامن كليهما، أو أخذ المالك أحدهما ، كما هو طريق الاحتياط في سائر المقامات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يتيقن الشخص باشتغال ذمّته بدرهم، ولم يدرِ إنّه لزيد أو لعمرو، فالاحتياط إنّما يكون بإعطاء درهم لكلٍ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للمالك إلزام الضامن بأداء حقه لا غير، وامتناعه عن قبول الزائد على حقّه، بل اللّازم عليه القبول لو لم يرضَ بأحدهما المعيّن، بل يجبره الحاكم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الرجوع إلى القرعة؛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دليلها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في الموضوعات لا في الأحكام؛ للإجماع على عدم جريانها فيها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مما ذكرنا كلّه إنّ أصالة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محكّمة لو لم يقم دليلٌ على خلافها، لا الأصل اللفظي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يقال بوجوده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 حتّى تؤديه</w:t>
      </w:r>
      <w:r>
        <w:rPr>
          <w:rFonts w:eastAsia="IRNazanin" w:cs="IRNazanin"/>
          <w:color w:val="111111"/>
          <w:sz w:val="28"/>
          <w:szCs w:val="28"/>
          <w:rtl w:val="true"/>
          <w:lang w:bidi="fa-IR"/>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وتقريبه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معناه إنّه إذا أخذ الشخصُ عيناً من غيره، فإنّها تستقرُّ في ذمته إلى أن يؤدّيه، فما لم تؤدَ العين تكون ثابتةً، وتكون الذمّة مشغولةً بها، وهو يقتضي ثبوتها في الذّمة بعد التلف أبد الدهر؛ لأنّ غاية ارتفاعها عن الذّمة أداؤها ، وهو متعذّر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ذلك ثبوت الحكم الوضعي بعد التلف، وهو ثبوت العين في الذمة، والحال أنّ المختار في محلّه، هو كون الحكم الوضعي منتزعاً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التكليفي ولا يمكن التكليف هنا بأداء العين؛ لأنَّه تكليف بالمحال، وهو محال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عدم ثبوت الحكم التكليفي هنا، بل التكليف ثابت تعليقاً، بمعنى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لو أوجدت العين فاعطها لصاحبها، كما في ضمان الصغير المتلف لمال الغير، فإنَّ الحكم التكليفي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عليه الإعطاء بعدما صار مكلّفاً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عادم النظير في الشريعة، ونظيره في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اغتاب الشخص ميتاً، فإنّه يستقر حقٌّ للميت على الشخص أبداً، وفي الماليّات في المُعْسر، فإنّه يستقر مال الدّيان بذمّته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الإجماع </w:t>
      </w:r>
      <w:r>
        <w:rPr>
          <w:rStyle w:val="FootnoteAnchor"/>
          <w:rtl w:val="true"/>
        </w:rPr>
        <w:footnoteReference w:id="209"/>
      </w:r>
      <w:r>
        <w:rPr>
          <w:rFonts w:ascii="Amiri" w:hAnsi="Amiri" w:eastAsia="Amiri" w:cs="Amiri"/>
          <w:color w:val="111111"/>
          <w:sz w:val="28"/>
          <w:sz w:val="28"/>
          <w:szCs w:val="28"/>
          <w:rtl w:val="true"/>
          <w:lang w:bidi="ar-SA"/>
        </w:rPr>
        <w:t xml:space="preserve">قائم على ارتفاعها عن الذمة بعد رضا المالك بشيء، فلا بُدَّ بمقتضى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الإجماع المخصّص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إعطائه إلى أن يرضى المالك، وهو مجموع المثل والقيمة ، أو الأزيد منها ، هذا حاصل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استقصينا البحث في دلالة الخبر في صدر المبحث </w:t>
      </w:r>
      <w:r>
        <w:rPr>
          <w:rStyle w:val="FootnoteAnchor"/>
          <w:rtl w:val="true"/>
        </w:rPr>
        <w:footnoteReference w:id="210"/>
      </w:r>
      <w:r>
        <w:rPr>
          <w:rFonts w:ascii="Amiri" w:hAnsi="Amiri" w:eastAsia="Amiri" w:cs="Amiri"/>
          <w:color w:val="111111"/>
          <w:sz w:val="28"/>
          <w:sz w:val="28"/>
          <w:szCs w:val="28"/>
          <w:rtl w:val="true"/>
          <w:lang w:bidi="ar-SA"/>
        </w:rPr>
        <w:t xml:space="preserve">، وبملاحظة ما ذكرنا يُعرف أنّ المراد منه غير ما ذكره المستدل، وإجماله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متعلّق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اليد </w:t>
      </w:r>
      <w:r>
        <w:rPr>
          <w:rFonts w:eastAsia="IRNazanin" w:cs="IRNazanin"/>
          <w:color w:val="111111"/>
          <w:sz w:val="28"/>
          <w:szCs w:val="28"/>
          <w:rtl w:val="true"/>
          <w:lang w:bidi="fa-IR"/>
        </w:rPr>
        <w:t>»</w:t>
      </w:r>
      <w:r>
        <w:rPr>
          <w:rStyle w:val="FootnoteAnchor"/>
          <w:rtl w:val="true"/>
        </w:rPr>
        <w:footnoteReference w:id="211"/>
      </w:r>
      <w:r>
        <w:rPr>
          <w:rFonts w:ascii="Amiri" w:hAnsi="Amiri" w:eastAsia="Amiri" w:cs="Amiri"/>
          <w:color w:val="111111"/>
          <w:sz w:val="28"/>
          <w:sz w:val="28"/>
          <w:szCs w:val="28"/>
          <w:rtl w:val="true"/>
          <w:lang w:bidi="ar-SA"/>
        </w:rPr>
        <w:t xml:space="preserve">ليس هو الموصول المراد به العين، بل المضاف إلى المحذوف المقدّر، وهي العُهدة؛ لعدم تعقّل ثبوت العين الخارجية في رقبة الشخص، 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الدار على رقبتي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والعهدة عبارة عن قضيّة تعليقيّة،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تلفت العين يكون ضمانها على ذمّة الشخص، فالأداء يكون غاية لهذه القضيّة، والتلف غاية لتنجز الضمان،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عهدة المال على الآخذ بمعنى إنّه لو تلف يكون ضمان المال على الشخص إلى زمان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مقام بيان هذا المطلب</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ولا دلالة له على كيفية الضمان وتشخيصه، ولا دلالة على ما ذكره المستدل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سلّمنا كون المتعلّق بالذّمة نفس المال، وكون الأداء غاية لثبوت المال في الذّمة، فلا يدلّ الخبر على المطلوب؛ لأنّ الإجماع قائم على عدم ثبوت المال في الذّمة، بعد دفع المثل في المثلي، والقيمة في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التصرّف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يجعله بمعنى يشمل المثل والقيمة وتعميمه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ارتكاب خلاف الظاهر؛ بجعلهما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لهذه القضية،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ثابت في الذّمة إلى زمان الأداء، أو أداء المثل في المثلي، والقيمة في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مرادهم من وجوب المثل في المثلي، والقيمة في 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بعد التلف ينقلب إلى المثل في المثلي، والقيمة في القيمي، فيكون الثابت في الذّمة بعد التلف ليس إلا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المال والعين، حتّى يقتضى ثبوتها في الذّمة بأداء المجموع أو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المثل في المثلي، والقيمة في القيمي، يكونان مسقطين للمال عن الذّمة، وإنْ كان هو الثابت في الذّمة بعد التلف وقبل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فقَيْدُ أداء المثل في المثلي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يقول بثبوت المال في الذّمة حينئذٍ، حتّى يقضي بلزوم إعطاء الأزيد، فيكون مما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 المخَصَّص بالمشتبه المصداقي المردّد بين المتباينين، ولا يجوز التمسّك به في مورد الشك، كما قررناه في محلّه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 من كون الأصل هو الاشتغال، إنّما هو مقتضى النظر الأولي، ويُمكن منعه والقول بأنّ مقتضى النظر الدقيق الثانوي خلافه؛ لأنّ مقتضى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إعطاء الضامن المجموع، أو رفع المالك اليد عن حقّه، أو الأكثر بالأقلّ من حيث القيمة، ولا دليل على واحد منها؛ لأنّ إعطاء الضامن أزيد مما يجب عليه ضرر عليه، كما إنّ أخذه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طبعه؛ إذ قبول الهبة منّةٌ، والطبع ينفر من قبول المنّة، فإلزامه عليه إلزام بشيء أعظم من الضرر المالي في بعض الأشخاص، وكذلك رفع المالك اليد عن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ينحصر طريق التخلّص عن الحق بهذا،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الاشتباه يُحْضر الضامن مثل المال وقيمته، ويقبضها المالك، لا على أن يكون كل منهما ماله، بل يقبض الجميع مقدمة لقبض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الإقباض مجرّد التخلية بين المال ومالكه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إذ بالتخلية بين المالك ومجموع المثل والقيمة يصير حقّه الواقعي مقبوضاً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كون الإقباض هو إثبات يد المالك عليه، فيشكل الأمر،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أقبض إلّا حقي معيّناً، ولا أقبض المجموع حتّى يصير مالي مشتبهاً بمالك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يُجبر المالك على قبض الجميع ، وليس له الامتناع عن قبول حقّه، بل يثبتهما جميعاً تحت يده قهراً؛ لأجل حصول قبض حقه الواقعي، فإذا قبض يصير ماله مشتبهاً بمال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الشركة القهرية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فيصير مورده الصلح القهري؛ لصيرورة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موضوعيّة لا حكميّة بخلاف قبل القبض، فإنّ الشبهة تكون حكميّة فيه؛ لعدم العلم بحكم الشارع في محلّ النزاع هل هو أداء المثل أو القيمة؛ بواسطة معلوميّة موضوع حكم الوجوب وتشخيصه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تشخيصه إلا بالرجوع إلى الشارع ومن شأنه بيانه، لا أن يكون الاشتباه بواسطة الأمر الخارجي مع تماميّة ما هو من شأن الشارع، كما هو الحال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إلزام الضامن، ولا على إلزام المالك، ولا على تخييرهما، فما ذكرنا هو أقل محذوراً من غيره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الأصل العملي، والظاهر أنه لا شبهة فيه</w:t>
      </w:r>
      <w:r>
        <w:rPr>
          <w:rFonts w:eastAsia="Amiri" w:cs="Amiri" w:ascii="Amiri" w:hAnsi="Amiri"/>
          <w:color w:val="111111"/>
          <w:sz w:val="28"/>
          <w:szCs w:val="28"/>
          <w:rtl w:val="true"/>
          <w:lang w:bidi="ar-SA"/>
        </w:rPr>
        <w:t xml:space="preserve">. </w:t>
      </w:r>
      <w:bookmarkStart w:id="159" w:name="pg9195_77089"/>
    </w:p>
    <w:p>
      <w:pPr>
        <w:pStyle w:val="Heading3"/>
        <w:numPr>
          <w:ilvl w:val="2"/>
          <w:numId w:val="1"/>
        </w:numPr>
        <w:rPr/>
      </w:pPr>
      <w:bookmarkStart w:id="160" w:name="__RefHeading___Toc3921719_2870459653"/>
      <w:bookmarkStart w:id="161" w:name="_Toc56"/>
      <w:bookmarkEnd w:id="159"/>
      <w:bookmarkEnd w:id="160"/>
      <w:r>
        <w:rPr>
          <w:rtl w:val="true"/>
        </w:rPr>
        <w:t>(</w:t>
      </w:r>
      <w:r>
        <w:rPr>
          <w:rtl w:val="true"/>
        </w:rPr>
        <w:t>في الأصل اللفظي في المثلي</w:t>
      </w:r>
      <w:r>
        <w:rPr>
          <w:rtl w:val="true"/>
        </w:rPr>
        <w:t>)</w:t>
      </w:r>
      <w:bookmarkEnd w:id="161"/>
    </w:p>
    <w:p>
      <w:pPr>
        <w:pStyle w:val="BookText"/>
        <w:rPr/>
      </w:pPr>
      <w:r>
        <w:rPr>
          <w:rFonts w:ascii="Amiri" w:hAnsi="Amiri" w:eastAsia="Amiri" w:cs="Amiri"/>
          <w:color w:val="111111"/>
          <w:sz w:val="28"/>
          <w:sz w:val="28"/>
          <w:szCs w:val="28"/>
          <w:rtl w:val="true"/>
          <w:lang w:bidi="ar-SA"/>
        </w:rPr>
        <w:t>وأمّا الأصل اللفظيّ، فقد ذكرنا أنَّه قد يتمسك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 بناءً على كون مفاده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نفس الشيء المتلف في الذّمة إلى أن يحصل رضا المالك، فلا بُدَّ من تحصيل رضاه، فقد ذكرنا منع كون مفاده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الذي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عدم انحصار المخصّص لهذا العموم في رضا المالك فقط، بل الإجماع قائم على عدم ثبوت الشيء في الذّمّة بعد دفع المثل في المثلي والقيمة، بل ينقل المال حين التلف إلى المثل والقيمة فالعموم مخصّص بالمجمل، فالتمسّك به في مورد الشك ليس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يتراءى من بعض كلماتهم ما ينافي ما ذكرنا من الانتقال حين التلف، مثل ما ذكره بعضهم </w:t>
      </w:r>
      <w:r>
        <w:rPr>
          <w:rStyle w:val="FootnoteAnchor"/>
          <w:rtl w:val="true"/>
        </w:rPr>
        <w:footnoteReference w:id="215"/>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تعذّر المثل في المثلي، يجب دفع قيمة يوم الأداء، وهذا يناسب مع كون الثابت هنا تلف نفس ذلك الشيء، وإلا فلا معنى لدفع قيمة يوم الأداء، بل يوم التلف، ومثلُ ما ذَكَرَ المحقّق </w:t>
      </w:r>
      <w:r>
        <w:rPr>
          <w:rStyle w:val="FootnoteAnchor"/>
          <w:rtl w:val="true"/>
        </w:rPr>
        <w:footnoteReference w:id="216"/>
      </w:r>
      <w:r>
        <w:rPr>
          <w:rFonts w:ascii="Amiri" w:hAnsi="Amiri" w:eastAsia="Amiri" w:cs="Amiri"/>
          <w:color w:val="111111"/>
          <w:sz w:val="28"/>
          <w:sz w:val="28"/>
          <w:szCs w:val="28"/>
          <w:rtl w:val="true"/>
          <w:lang w:bidi="ar-SA"/>
        </w:rPr>
        <w:t xml:space="preserve">في باب الصلح من الشرائع من أنّه يجوز الصلح فيما لو تلف الثوب الذي يكون قيمته درهماً واحداً بدرهمين، وهذا لا يتم على تقدير انتقال القيمة عند التلف؛ لاستلزامه الرِّبا، فلا بُدَّ من ثبوت الثوب نفسه في الذّمة حتّى يصح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عدم منافاتها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فمع أنَّه لم يُقلْ به إلا نادراً، لا يكون متعيّناً في ثبوت نفس الشيء في الذّمّة، بل يحتمل أن يكون من جهة ثبوت المثل في الذّمة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فيمكن أن يكون من باب ثبوت المثل في الذّمة إمّا لأن المحقّق يرى الثوب مثلياً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به المحقق الثاني</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لأجل ثبوت المثل في القيمي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الذّمة</w:t>
      </w:r>
      <w:r>
        <w:rPr>
          <w:rFonts w:eastAsia="Amiri" w:cs="Amiri" w:ascii="Amiri" w:hAnsi="Amiri"/>
          <w:color w:val="111111"/>
          <w:sz w:val="28"/>
          <w:szCs w:val="28"/>
          <w:rtl w:val="true"/>
          <w:lang w:bidi="ar-SA"/>
        </w:rPr>
        <w:t xml:space="preserve">. </w:t>
      </w:r>
      <w:bookmarkStart w:id="162" w:name="pg9195_77090"/>
    </w:p>
    <w:p>
      <w:pPr>
        <w:pStyle w:val="Heading3"/>
        <w:numPr>
          <w:ilvl w:val="2"/>
          <w:numId w:val="1"/>
        </w:numPr>
        <w:rPr/>
      </w:pPr>
      <w:bookmarkStart w:id="163" w:name="__RefHeading___Toc3921721_2870459653"/>
      <w:bookmarkStart w:id="164" w:name="_Toc57"/>
      <w:bookmarkEnd w:id="162"/>
      <w:bookmarkEnd w:id="163"/>
      <w:r>
        <w:rPr>
          <w:rtl w:val="true"/>
        </w:rPr>
        <w:t>(</w:t>
      </w:r>
      <w:r>
        <w:rPr>
          <w:rtl w:val="true"/>
        </w:rPr>
        <w:t>في شواهد كون الغاية غايةً للعهدة</w:t>
      </w:r>
      <w:r>
        <w:rPr>
          <w:rtl w:val="true"/>
        </w:rPr>
        <w:t>)</w:t>
      </w:r>
      <w:bookmarkEnd w:id="164"/>
    </w:p>
    <w:p>
      <w:pPr>
        <w:pStyle w:val="BookText"/>
        <w:rPr/>
      </w:pPr>
      <w:r>
        <w:rPr>
          <w:rFonts w:ascii="IRNazanin" w:hAnsi="IRNazanin" w:eastAsia="IRNazanin"/>
          <w:color w:val="111111"/>
          <w:sz w:val="28"/>
          <w:sz w:val="28"/>
          <w:szCs w:val="28"/>
          <w:rtl w:val="true"/>
          <w:lang w:bidi="fa-IR"/>
        </w:rPr>
        <w:t xml:space="preserve">وكيف كان، فالظاهرُ من الرواية هو المعنى الذي ذكرنا من كون الغاية غاية للعهدة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هي عبارة عن القضيّة التعليقية ، ويشهد له بعض الأخبار،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أخاه ليلاً، فأخرجه من منزله، فهو له ضامن حتّى يدخله في منزله</w:t>
      </w:r>
      <w:r>
        <w:rPr>
          <w:rFonts w:eastAsia="IRNazanin" w:cs="IRNazanin"/>
          <w:color w:val="111111"/>
          <w:sz w:val="28"/>
          <w:szCs w:val="28"/>
          <w:rtl w:val="true"/>
          <w:lang w:bidi="fa-IR"/>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خبر آخر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الرواية ظاهرة في كون الإدخال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غاية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الإدخال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بعد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الإدخال في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فالغاية إنّما هي بالنسبة إلى حال الحياة، لا الممات أيضاً حتّى يدل على ثبوت نفس الشيء ولو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الضمان بالمساوي للشيء في الصفات والماليّة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الضمان الوارد في المغصوبات، وكذلك الأمانات المفرّط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المعلوم أنَّه يكون بعضها في بيان الضمان وكيفيّته، لا أصل تشريع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بكون كلّها في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فيُعلم من إطلاقه في هذه الموارد الاتكال على ما يكون ضماناً للشيء في العرف، ولولا ذلك لم يحسنْ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 ولم يحسنْ من السائل السكوت أيضاً </w:t>
      </w:r>
      <w:r>
        <w:rPr>
          <w:rFonts w:eastAsia="IRNazanin" w:cs="IRNazanin"/>
          <w:color w:val="111111"/>
          <w:sz w:val="28"/>
          <w:szCs w:val="28"/>
          <w:rtl w:val="true"/>
          <w:lang w:bidi="fa-IR"/>
        </w:rPr>
        <w:t>.</w:t>
      </w:r>
    </w:p>
    <w:p>
      <w:pPr>
        <w:pStyle w:val="Heading3"/>
        <w:numPr>
          <w:ilvl w:val="2"/>
          <w:numId w:val="1"/>
        </w:numPr>
        <w:rPr/>
      </w:pPr>
      <w:bookmarkStart w:id="165" w:name="__RefHeading___Toc3921723_2870459653"/>
      <w:bookmarkStart w:id="166" w:name="_Toc58"/>
      <w:bookmarkEnd w:id="165"/>
      <w:r>
        <w:rPr>
          <w:rtl w:val="true"/>
        </w:rPr>
        <w:t>(</w:t>
      </w:r>
      <w:r>
        <w:rPr>
          <w:rtl w:val="true"/>
        </w:rPr>
        <w:t>في طريقة العرف وأنها المماثلة من جميع الجهات</w:t>
      </w:r>
      <w:r>
        <w:rPr>
          <w:rtl w:val="true"/>
        </w:rPr>
        <w:t>)</w:t>
      </w:r>
      <w:bookmarkEnd w:id="166"/>
    </w:p>
    <w:p>
      <w:pPr>
        <w:pStyle w:val="BookText"/>
        <w:rPr/>
      </w:pP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العرف، وما يجعلونه ضماناً للتالف، فيؤخذ منهم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طريقة العرف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ملاحظتهم الماليّة والصفات معاً، لا الاقتصار على المساوي في الصفة فقط، ولا على المساوي في القيمة دون الصفة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أنّه لا شبهة في كون بنائهم على ذلك عند وجود المماثل للتالف في الصفة والقيمة، بل يجعلون أنفسهم بريئي الذّمة بعد إعطائهم ما ذكرنا للمالك من دون تأمل، بل يلاحظون المساوي من جميع الجهات أولاً، ومع تعذّره فالأقرب إليه في الصفة والماليّة متدرّجاً في كلّ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الطريقة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لطريقة المشهور </w:t>
      </w:r>
      <w:r>
        <w:rPr>
          <w:rStyle w:val="FootnoteAnchor"/>
          <w:rtl w:val="true"/>
        </w:rPr>
        <w:footnoteReference w:id="220"/>
      </w:r>
      <w:r>
        <w:rPr>
          <w:rFonts w:ascii="Amiri" w:hAnsi="Amiri" w:eastAsia="Amiri" w:cs="Amiri"/>
          <w:color w:val="111111"/>
          <w:sz w:val="28"/>
          <w:sz w:val="28"/>
          <w:szCs w:val="28"/>
          <w:rtl w:val="true"/>
          <w:lang w:bidi="ar-SA"/>
        </w:rPr>
        <w:t xml:space="preserve">، حيث إنّهم لا يلاحظون الماليّة في بعض الموارد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في بيع واحدٍ من العبدين المتساويين من حيث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القيمة لا العبد الآخر ، وكذلك حتّى إنّهم يلتزمون بالمماثل في الصفة، ولو كان أقل قيمة من التالف في زمان الأداء بمراتب، بل مع عدم ثبوت الماليّة فيه أصلاً ظاهراً، بل وردت رواية على طبق مذهبهم، فيما لو 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وروّج السلطان غيرها، حيث حكم فيها بأنّ الثابت في الذّمة هي الدراهم الأولى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لو كان ذلك إجماعيّاً فهو ، وإلا فلا يمكن تقليدهم، مع كون العرف على خلافهم،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خاصة بموردها، وحينئذٍ فإن كان بناء العرف معلوماً فليؤخذ به، وإلا فيرجع إلى الأصول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يُمكن أن يُستدل به على ما هو الثابت في أيدي العرف ويشهد له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عَاقَبْتُمْ </w:t>
      </w:r>
      <w:bookmarkStart w:id="167" w:name="pg9195_77092"/>
    </w:p>
    <w:p>
      <w:pPr>
        <w:pStyle w:val="BookText"/>
        <w:rPr/>
      </w:pPr>
      <w:bookmarkEnd w:id="167"/>
      <w:r>
        <w:rPr>
          <w:rFonts w:ascii="Amiri" w:hAnsi="Amiri" w:eastAsia="Amiri" w:cs="Amiri"/>
          <w:color w:val="111111"/>
          <w:sz w:val="28"/>
          <w:sz w:val="28"/>
          <w:szCs w:val="28"/>
          <w:rtl w:val="true"/>
          <w:lang w:bidi="ar-SA"/>
        </w:rPr>
        <w:t xml:space="preserve">فَعَاقِبُوا بِمِثْلِ مَا عُوقِبْتُمْ بِهِ </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وغيرهما، حيث إنّ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ليست المماثلة في أصل الاعتداء بأن كان المراد أنه يجزي الشرّ بالشرّ، ولو لم يكن من جنسه وبمقداره، وليست المماثلة في مقدار الاعتداء ولو من غير جنسه وغير المعتدى به، بأن يكون الأمر بالإساءة بقدر الإساءة، ولو كانت غير إساءته، فلو كسر الكوز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اكسروا مقداراً من المال مساوياً لقيمة المكسور ، ولو كان بكسر الكأس، بل الظاهر المماثلة في خصوص المعتدى به؛ لكون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اعْتَدَى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في الموصولة لا المصدريّة </w:t>
      </w:r>
      <w:r>
        <w:rPr>
          <w:rStyle w:val="FootnoteAnchor"/>
          <w:rtl w:val="true"/>
        </w:rPr>
        <w:footnoteReference w:id="224"/>
      </w:r>
      <w:r>
        <w:rPr>
          <w:rFonts w:ascii="Amiri" w:hAnsi="Amiri" w:eastAsia="Amiri" w:cs="Amiri"/>
          <w:color w:val="111111"/>
          <w:sz w:val="28"/>
          <w:sz w:val="28"/>
          <w:szCs w:val="28"/>
          <w:rtl w:val="true"/>
          <w:lang w:bidi="ar-SA"/>
        </w:rPr>
        <w:t xml:space="preserve">، ولا شكّ في أنّ مفهوم المثل معيّن معلوم، وهو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الشكّ في متعلّقه، وأنّ المثل في أي شيء من الماليّة أو الصفة؟ ولا بُدّ من الرجوع إلى العرف في تعيين المتعلّق، لا من باب تعيين المعنى اللغوي؛ لأنَّه معلوم، بل لأجل تعيين المتعلّق، وقد عرفت طريقة العرف، وكون بنائهم على المماثلة من جميع الجهات أولاً من الماليّة والصفة، ثم إلى غيره، وهكذا، فالآية تدلّ على وجوب دفع المثل في كل مرتبة على حسبها، لا أنَّها تدلّ على المماثل من جميع الجهات فقط، وفي غيره إلى دليل آخر، مثل قاعدة الميسور وغيرها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تكون الآيات مع إطلاق الضمان في الأخبار مخالِفَينِ لما ذهب إليه المشهور، فلو علمنا بطريقة العرف تكون متّبعة، فلو دلّ ظنُّ بطريقتهم ، فهل يكون الظن مرجعاً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والظاهر عدم دليل على حجية الظن</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3921725_2870459653"/>
      <w:bookmarkStart w:id="169" w:name="_Toc59"/>
      <w:bookmarkEnd w:id="168"/>
      <w:r>
        <w:rPr>
          <w:rtl w:val="true"/>
        </w:rPr>
        <w:t>(</w:t>
      </w:r>
      <w:r>
        <w:rPr>
          <w:rtl w:val="true"/>
        </w:rPr>
        <w:t xml:space="preserve">حاصل طريقة العرف في الضمان </w:t>
      </w:r>
      <w:r>
        <w:rPr>
          <w:rtl w:val="true"/>
        </w:rPr>
        <w:t>)</w:t>
      </w:r>
      <w:bookmarkEnd w:id="169"/>
    </w:p>
    <w:p>
      <w:pPr>
        <w:pStyle w:val="BookText"/>
        <w:rPr/>
      </w:pPr>
      <w:r>
        <w:rPr>
          <w:rFonts w:ascii="Amiri" w:hAnsi="Amiri" w:eastAsia="Amiri" w:cs="Amiri"/>
          <w:color w:val="111111"/>
          <w:sz w:val="28"/>
          <w:sz w:val="28"/>
          <w:szCs w:val="28"/>
          <w:rtl w:val="true"/>
          <w:lang w:bidi="ar-SA"/>
        </w:rPr>
        <w:t>وحاصل الكلام في المقام أنْ يُقال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شكَّ ولا ريب في أنَّ طريقة العرف في مقام الخروج عن العهدة والغرامة، هي ملاحظة المماثلة من جميع الجهات من حيث الصفات والماليّة الثابتة في التالف بأجمعها، فإن تعذّرت المماثلة الكذائية، فالأقرب إليها بعد تعذّر المرتبة المذكورة من حيث الصفة والماليّة، </w:t>
      </w:r>
    </w:p>
    <w:p>
      <w:pPr>
        <w:pStyle w:val="BookText"/>
        <w:rPr/>
      </w:pPr>
      <w:r>
        <w:rPr>
          <w:rFonts w:ascii="Amiri" w:hAnsi="Amiri" w:eastAsia="Amiri" w:cs="Amiri"/>
          <w:color w:val="111111"/>
          <w:sz w:val="28"/>
          <w:sz w:val="28"/>
          <w:szCs w:val="28"/>
          <w:rtl w:val="true"/>
          <w:lang w:bidi="ar-SA"/>
        </w:rPr>
        <w:t>وهكذا، ولا ينتقل عن مرتبة إلى لاحقها إلا بعد تعذّر المرتبة السابقة، ويطلقون المثل عليها في تلك المرتبة، لا في المرتبة السابقة، وإنْ تعذّرت المماثلة في الصفة مطلقاً ينتقل إلى المماثلة من حيث الماليّة، وتكون الغرامة عندهم بعد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والمطلوب هو المساوي للتالف من النقدين، والآية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منطبقةٌ على هذه الطريقة بتقريب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مدلول الآية،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الرخصة في الاعتداء بالمقدار المساوي والمماثل لخصوص المعتدى به فكأنّه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فاعتدوا في مماثل خصوص ما اعتدی به، لكن لم يكن متعلّق المثل مذكوراً ، هل هو في خصوص الصفة، أو في الماليّة، أو فيهما؟ وعدم ذكر المتعلّق قرينة على إرادة العموم في التشبيه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الأشياء المقصودة في الشيء من الماليّة والصفة ، وإن كان الشيء ما يكون المقصود فيه الماليّة والصفة جميعاً، يكون الاعتداء في المماثل له فيهما، وإن كان المقصود فيه أحدها يعتبر المماثل له فيه، وبتقرير أوضح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بعد العلم بجريان طريقة العرف على ذلك، فحينئذٍ يكون المراد من الضمان الوارد في الأخبار الواردة في المغصوبات، والأمانات المفرّط فيها، إمّا من جهة أنّ الإطلاق في مقام البيان يدلّ على أنّ المرجع في الضمان إلى العرف وأنّه أوكل في تعيين المضمون به إلى العرف، أو من جهة الطريقة الثابتة في العرف، وعند العقلاء، وهو حمل كلام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يكون ثابتاً عندهم، ولو علموا بثبوت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جديدة، واختراعات له أيضاً ، ولم يتوقفوا حتّى يصل إليهم البيان من جانبه، ولم يلتزموا بالرجوع إليه وسؤاله عن مراده باللفظ، وهذه الطريقة ثابتة عندهم، ويعملون هذه الطريقة، ويعاملون مع كلّ حاكم ورد عليهم على هذه الطريقة، إلى أن يصل إليهم ردع من جانبه، حتّى أنه لو عاقبهم على ذلك وعلى ترك السؤال يكون هذا الفعل قبيحاً عندهم، فيعاملون معه على الطريقة المذكورة، ولو لم يعلموا رضاه على 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إذا ورد دليل على الضمان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إطلاق </w:t>
      </w:r>
      <w:bookmarkStart w:id="170" w:name="pg9195_77094"/>
    </w:p>
    <w:p>
      <w:pPr>
        <w:pStyle w:val="BookText"/>
        <w:rPr/>
      </w:pPr>
      <w:bookmarkEnd w:id="170"/>
      <w:r>
        <w:rPr>
          <w:rFonts w:ascii="Amiri" w:hAnsi="Amiri" w:eastAsia="Amiri" w:cs="Amiri"/>
          <w:color w:val="111111"/>
          <w:sz w:val="28"/>
          <w:sz w:val="28"/>
          <w:szCs w:val="28"/>
          <w:rtl w:val="true"/>
          <w:lang w:bidi="ar-SA"/>
        </w:rPr>
        <w:t xml:space="preserve">يعملون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طريقتهم وديدنهم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عدم وصول الردع من جانبه إليهم ظاهراً، فيكفي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وصل البيان في الواقع أيضاً، فيكون أخبار الضمان محمولاً على ما هو المتعارف على أحد الوجهين، وكذلك المرجع في تعيين المثل المذكور في الآية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حكم العرف بكونه مماثلاً للتالف يؤخذ به في أي مرتبة، فحينئذٍ يكون المستفاد من العرف والآية مخالفاً لما هو ثابت عند الشارع في بعض المقامات،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يحكمون بكون الثوب وأمثاله قيمياً يرجع إلى القيمة، والحال أنّ العرف يحكم بضمان المثل في الصفة والماليّة لو وجد ، كذلك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أتلف شخص عبداً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من غيره، يحكمون بالقيمة ولو كان على ذمّة من تلف العبد منه للمتلف ولا يحكمون بالتهاتر </w:t>
      </w:r>
      <w:r>
        <w:rPr>
          <w:rStyle w:val="FootnoteAnchor"/>
          <w:rtl w:val="true"/>
        </w:rPr>
        <w:footnoteReference w:id="227"/>
      </w:r>
      <w:r>
        <w:rPr>
          <w:rFonts w:ascii="Amiri" w:hAnsi="Amiri" w:eastAsia="Amiri" w:cs="Amiri"/>
          <w:color w:val="111111"/>
          <w:sz w:val="28"/>
          <w:sz w:val="28"/>
          <w:szCs w:val="28"/>
          <w:rtl w:val="true"/>
          <w:lang w:bidi="ar-SA"/>
        </w:rPr>
        <w:t>، والحال أنّ العرف يحكمون بالتهاتر، فكذلك في غيرها من الموارد، ولم يظهر للمشهور دليلٌ على ذلك، بل الدليل على خلافه، ولا يجوز لنا تقليدهم تعبداً؛ لعدم كون قولهم دليلاً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فالْمحَكَّم على هذا هي طريقة العرف، إلا أن يكون على خلافها إجماع، والظاهر قيام الإجماع على ثبوت المثل في المثلي، والقيمة في القيمي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الضمان بالمثل بحكم العرف فلا بُدَّ من تخصيص الآية والأخبار بغير مورد الإجماع</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3921727_2870459653"/>
      <w:bookmarkStart w:id="172" w:name="_Toc60"/>
      <w:bookmarkEnd w:id="171"/>
      <w:r>
        <w:rPr>
          <w:rtl w:val="true"/>
        </w:rPr>
        <w:t>[</w:t>
      </w:r>
      <w:r>
        <w:rPr>
          <w:rtl w:val="true"/>
        </w:rPr>
        <w:t>إيراد ودفع</w:t>
      </w:r>
      <w:r>
        <w:rPr>
          <w:rtl w:val="true"/>
        </w:rPr>
        <w:t>]</w:t>
      </w:r>
      <w:bookmarkEnd w:id="17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يقال بعدم صلاحيّة مثل هذا الإجماع للتخصيص؛ لعدم كونه إجماعاً حقيقةً؛ لأنّ نظر كل من المُجْمعين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المثلي فيه المثل والقيمي فيه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يكون من مصاديق كلّ منها عنده، مثلاً بعضٌ منهم يكون مراده بالمثلي مثل الثوب، وبعض آخر إلى </w:t>
      </w:r>
    </w:p>
    <w:p>
      <w:pPr>
        <w:pStyle w:val="BookText"/>
        <w:rPr/>
      </w:pPr>
      <w:r>
        <w:rPr>
          <w:rFonts w:ascii="IRNazanin" w:hAnsi="IRNazanin" w:eastAsia="IRNazanin"/>
          <w:color w:val="111111"/>
          <w:sz w:val="28"/>
          <w:sz w:val="28"/>
          <w:szCs w:val="28"/>
          <w:rtl w:val="true"/>
          <w:lang w:bidi="fa-IR"/>
        </w:rPr>
        <w:t>غيره من الذهب والفضة، ويجعل الثوب من القيمي، فلم يكونوا مجمعين على مفهوم حتّی يكون الخلاف في تعيين المفهوم ومصداقه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والعنوان في كلام كلّ منهم في أفراد خاصة ينفيها الآخر، فلا يثمر الإجماع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بعدم تسليم كون الإجماع على المصاديق، وعلى العنوان المنتزع منها، بل الظاهر أنّ الإجماع على عنوان عام، وخلافهم في تعيين ذلك المعنى، كما يشهد بذلك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التعريفات إنّما هو من جهة القصور، وسوء التأدية عن المقصود، وكلٌّ منهم يريد التعبير عما يكون ثابتاً بالإجماع وتحديده، غاية الأمر كون التأدية قاصرة عن إفادة المعنى القطعي بدليل النقض على كلّ من التعريفات بعدم كونه مطَّرداً ومنعكساً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الأمر كما ذكرنا لما كان وجه لهذا الإيراد؛ لتعريف كلٍّ ما هو ثابت عنده ومختاراً لديه، فيكون حالها كحال الأقوال المختلفة، ولم يعترض على قول من الأقوال في المسألة بعدم طرده وعكسه، وهذا يكشف عما ذكرنا من كون الإجماع على العنوان، والنزاع في تعيين مصاديقه، فإذا ثبت الإجماع على هذين العنوانين، فتكون الآية مُخصَّصَة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المخصّص مجمل مفهوماً، مردّدٌ بين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المصاديق الإجماعية لكلٍّ من العنوانين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فيرفع اليد عن عموم الآية في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القدر الإجماعي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 في موارد الشك إلى عموم الآية والطريقة العرفية؛ لما تحقق في محلّه</w:t>
      </w:r>
      <w:r>
        <w:rPr>
          <w:rStyle w:val="FootnoteAnchor"/>
          <w:rtl w:val="true"/>
        </w:rPr>
        <w:footnoteReference w:id="229"/>
      </w:r>
      <w:r>
        <w:rPr>
          <w:rFonts w:ascii="Amiri" w:hAnsi="Amiri" w:eastAsia="Amiri" w:cs="Amiri"/>
          <w:color w:val="111111"/>
          <w:sz w:val="28"/>
          <w:sz w:val="28"/>
          <w:szCs w:val="28"/>
          <w:rtl w:val="true"/>
          <w:lang w:bidi="ar-SA"/>
        </w:rPr>
        <w:t xml:space="preserve">من جواز التمسّك بعموم العام في العام المخصّص بالمجمل المفهومي في مورد الشك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 المشهور مع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التي ذكرنا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جهة ملاحظة الأفراد الغالبة، وعدم الاعتناء بالمواضع النادرة؛ لكون الغالب في الثوب، والحيوان، وأمثالهما كون أفرادها مختلفة</w:t>
      </w:r>
      <w:r>
        <w:rPr>
          <w:rFonts w:eastAsia="Amiri" w:cs="Amiri" w:ascii="Amiri" w:hAnsi="Amiri"/>
          <w:color w:val="111111"/>
          <w:sz w:val="28"/>
          <w:szCs w:val="28"/>
          <w:rtl w:val="true"/>
          <w:lang w:bidi="ar-SA"/>
        </w:rPr>
        <w:t xml:space="preserve">. </w:t>
      </w:r>
      <w:bookmarkStart w:id="173" w:name="pg9195_77096"/>
    </w:p>
    <w:p>
      <w:pPr>
        <w:pStyle w:val="Heading3"/>
        <w:numPr>
          <w:ilvl w:val="2"/>
          <w:numId w:val="1"/>
        </w:numPr>
        <w:rPr/>
      </w:pPr>
      <w:bookmarkStart w:id="174" w:name="__RefHeading___Toc3921729_2870459653"/>
      <w:bookmarkStart w:id="175" w:name="_Toc61"/>
      <w:bookmarkEnd w:id="173"/>
      <w:bookmarkEnd w:id="174"/>
      <w:r>
        <w:rPr>
          <w:rtl w:val="true"/>
        </w:rPr>
        <w:t>(</w:t>
      </w:r>
      <w:r>
        <w:rPr>
          <w:rtl w:val="true"/>
        </w:rPr>
        <w:t xml:space="preserve">التحقيق في المقام </w:t>
      </w:r>
      <w:r>
        <w:rPr>
          <w:rtl w:val="true"/>
        </w:rPr>
        <w:t>)</w:t>
      </w:r>
      <w:bookmarkEnd w:id="175"/>
    </w:p>
    <w:p>
      <w:pPr>
        <w:pStyle w:val="BookText"/>
        <w:rPr/>
      </w:pPr>
      <w:r>
        <w:rPr>
          <w:rFonts w:ascii="Amiri" w:hAnsi="Amiri" w:eastAsia="Amiri" w:cs="Amiri"/>
          <w:color w:val="111111"/>
          <w:sz w:val="28"/>
          <w:sz w:val="28"/>
          <w:szCs w:val="28"/>
          <w:rtl w:val="true"/>
          <w:lang w:bidi="ar-SA"/>
        </w:rPr>
        <w:t>هذا كله مقتضى النظر الأولي، ولكن النظر الدقيق يقتضي خلاف ذلك، والتحقيق الحقيق بالقبول أنْ يُقال بعدم المخالفة بين طريقة العرف والمشهور، والمجمع عليه، بل الإجماع في المقامين ناشئ عما هو ثابت في العرف ومقتضى الآية، وتوضيحه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نسلّم كون طريقة العرف جارية على كون الضمان بالمماثل في الصفة والماليّة، لكنّه مع علمهم بالمماثلة في جميع الجهات، أمّا مع عدم العلم بها ، كما في الأشياء التي يكون ظاهرها وباطنها مختلفاً كالحيوانات، فإنّها وإن كانت مماثلة في الصفات مع التالف ظاهراً، لكن يحتمل عندهم أن يكون في باطنه مرضٌ كمرض الكبد، فبواسطة مثل هذا الاحتمال لا يُقْدمون على أخذه في مقام الغرامة، بل يحكمون بضمان القيمة، فالضمان عندهم بالمماثل في الصفات لو وُجِد، ولو لم يكن مساوياً في الماليّة مع التالف، حتّى لو لم يكن له 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كالثلج في زمان الشتاء، ولو لم يوجد عندهم مماثل يقطعون بكونه المماثل حقيقة، ينصرف الضمان عندهم إلى القيمة، ويسمونها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تدل على أزيد من إعطاء المماثل، والمثليّةُ ليست إلا باعتبار الأشياء المقصودة في الشيء، وقد يكون المقصود من الشيء هي الصفات الخاصة دون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فالمماثل في هذه المرتبة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المساوي في الصفة دون الماليّة، وقد يكون المقصود هي الماليّة، والمثل في هذا القسم عند العرف هي الماليّة ولو من جهة عدم علمهم بالمساواة من حيث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يكون المماثل عند العرف في أمثال الحيوانات هي القيمة، وفي غيرها مما لا يكون له ظاهر وباطن، ويعلم باتحاد الصفات بكون المماثل هو المساوي في الصفة، وحينئذٍ تنطبق الآية مع العرف</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تكون الآية مدرك المُجمعين في كلا الإجماعين؛ لعدم شيء آخر غير الآية حتّى يكون مدركهم في حكمهم، ويشهد لذلك استدلال بعض الأساطين </w:t>
      </w:r>
      <w:r>
        <w:rPr>
          <w:rStyle w:val="FootnoteAnchor"/>
          <w:rtl w:val="true"/>
        </w:rPr>
        <w:footnoteReference w:id="230"/>
      </w:r>
      <w:r>
        <w:rPr>
          <w:rFonts w:ascii="Amiri" w:hAnsi="Amiri" w:eastAsia="Amiri" w:cs="Amiri"/>
          <w:color w:val="111111"/>
          <w:sz w:val="28"/>
          <w:sz w:val="28"/>
          <w:szCs w:val="28"/>
          <w:rtl w:val="true"/>
          <w:lang w:bidi="ar-SA"/>
        </w:rPr>
        <w:t xml:space="preserve">بالآية في كلا </w:t>
      </w:r>
      <w:bookmarkStart w:id="176" w:name="pg9195_77097"/>
    </w:p>
    <w:p>
      <w:pPr>
        <w:pStyle w:val="BookText"/>
        <w:rPr/>
      </w:pPr>
      <w:bookmarkEnd w:id="176"/>
      <w:r>
        <w:rPr>
          <w:rFonts w:ascii="Amiri" w:hAnsi="Amiri" w:eastAsia="Amiri" w:cs="Amiri"/>
          <w:color w:val="111111"/>
          <w:sz w:val="28"/>
          <w:sz w:val="28"/>
          <w:szCs w:val="28"/>
          <w:rtl w:val="true"/>
          <w:lang w:bidi="ar-SA"/>
        </w:rPr>
        <w:t>المقامين، وحينئذٍ لا يُعلم مخالفة المشهور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الثلج في زمان الشتاء، فلا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طريقة العرف على كون الضمان فيه هو نفس الثلج لا قيمته؛ لأنَّه مماثل للثلج ولو سقط عن الماليّة، وأمّا تلف العبد، فلا يعلم حكم المشهور فيه بضمان القيمة،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حكمهم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كون حكم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3921731_2870459653"/>
      <w:bookmarkStart w:id="178" w:name="_Toc62"/>
      <w:bookmarkEnd w:id="177"/>
      <w:r>
        <w:rPr>
          <w:rtl w:val="true"/>
        </w:rPr>
        <w:t>[</w:t>
      </w:r>
      <w:r>
        <w:rPr>
          <w:rtl w:val="true"/>
        </w:rPr>
        <w:t xml:space="preserve">بيان في عدّ المنسوجات والعملات النقدية من المثليات </w:t>
      </w:r>
      <w:r>
        <w:rPr>
          <w:rtl w:val="true"/>
        </w:rPr>
        <w:t>]</w:t>
      </w:r>
      <w:bookmarkEnd w:id="178"/>
    </w:p>
    <w:p>
      <w:pPr>
        <w:pStyle w:val="BookText"/>
        <w:rPr/>
      </w:pPr>
      <w:r>
        <w:rPr>
          <w:rFonts w:ascii="Amiri" w:hAnsi="Amiri" w:eastAsia="Amiri" w:cs="Amiri"/>
          <w:color w:val="111111"/>
          <w:sz w:val="28"/>
          <w:sz w:val="28"/>
          <w:szCs w:val="28"/>
          <w:rtl w:val="true"/>
          <w:lang w:bidi="ar-SA"/>
        </w:rPr>
        <w:t xml:space="preserve">بقي الإشكال في مثل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من المنسوجات من مال القماش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أبعاضه وأجزاؤه متساوية، فإنَّ المشهور </w:t>
      </w:r>
      <w:r>
        <w:rPr>
          <w:rStyle w:val="FootnoteAnchor"/>
          <w:rtl w:val="true"/>
        </w:rPr>
        <w:footnoteReference w:id="231"/>
      </w:r>
      <w:r>
        <w:rPr>
          <w:rFonts w:ascii="Amiri" w:hAnsi="Amiri" w:eastAsia="Amiri" w:cs="Amiri"/>
          <w:color w:val="111111"/>
          <w:sz w:val="28"/>
          <w:sz w:val="28"/>
          <w:szCs w:val="28"/>
          <w:rtl w:val="true"/>
          <w:lang w:bidi="ar-SA"/>
        </w:rPr>
        <w:t xml:space="preserve">حكموا بالقيمة، والعرف لا يحكم بالقيمة يقيناً، وليست القيمة مماثلة للثوب؛ لأنّ الصفة المقصودة فيه ليست هي الماليّة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يبعد الأخذ بالآية، والعرف، ومخالفة المشهور، خصوصاً مع فتوى جماعة </w:t>
      </w:r>
      <w:r>
        <w:rPr>
          <w:rStyle w:val="FootnoteAnchor"/>
          <w:rtl w:val="true"/>
        </w:rPr>
        <w:footnoteReference w:id="232"/>
      </w:r>
      <w:r>
        <w:rPr>
          <w:rFonts w:ascii="Amiri" w:hAnsi="Amiri" w:eastAsia="Amiri" w:cs="Amiri"/>
          <w:color w:val="111111"/>
          <w:sz w:val="28"/>
          <w:sz w:val="28"/>
          <w:szCs w:val="28"/>
          <w:rtl w:val="true"/>
          <w:lang w:bidi="ar-SA"/>
        </w:rPr>
        <w:t xml:space="preserve">بكونه مثلياً، ومنهم المحقق الثاني </w:t>
      </w:r>
      <w:r>
        <w:rPr>
          <w:rStyle w:val="FootnoteAnchor"/>
          <w:rtl w:val="true"/>
        </w:rPr>
        <w:footnoteReference w:id="233"/>
      </w:r>
      <w:r>
        <w:rPr>
          <w:rFonts w:ascii="Amiri" w:hAnsi="Amiri" w:eastAsia="Amiri" w:cs="Amiri"/>
          <w:color w:val="111111"/>
          <w:sz w:val="28"/>
          <w:sz w:val="28"/>
          <w:szCs w:val="28"/>
          <w:rtl w:val="true"/>
          <w:lang w:bidi="ar-SA"/>
        </w:rPr>
        <w:t xml:space="preserve">لأنَّ قولَه ليس مخصوصاً بالثوب فقط، مع أنَّه لا يضرّ مخالفة المشهور في المصداق، وتخطئتهم في مصداق واحد مع الاتفاق في المفهوم كما عرفته، والخطأ في المصداق ليس ببعيد منهم؛ حيث إنّ بعضهم يفرّق بين الذهب، والفضّة، والنّحاس، مع القطع بعدم الفرق بينها، على أنَّه يمكن أن يكون نظر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المنسوجات التي كانت بعمل اليد، كما كان في قديم الزمان حيث إنّها مختلفة الأبعاض، لا في مثل المنسوجات القماشية المعمولة بالمكينة التي لم تكن في الأزمنة القديمة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مثلياً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والدينار ، والمسكوكانُ؛ عملاً بمقتضى الرواية، فهما مثل أصلهما من الذهب والفضة،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بما ذكرنا في الثلج وأمثاله ممّا يكون قيمتها أقل من التالف، هذا ما حققه السيد المحقق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bookmarkStart w:id="179" w:name="pg9195_77098"/>
    </w:p>
    <w:p>
      <w:pPr>
        <w:pStyle w:val="Heading3"/>
        <w:numPr>
          <w:ilvl w:val="2"/>
          <w:numId w:val="1"/>
        </w:numPr>
        <w:rPr/>
      </w:pPr>
      <w:bookmarkStart w:id="180" w:name="__RefHeading___Toc3921733_2870459653"/>
      <w:bookmarkStart w:id="181" w:name="_Toc63"/>
      <w:bookmarkEnd w:id="179"/>
      <w:bookmarkEnd w:id="180"/>
      <w:r>
        <w:rPr>
          <w:rtl w:val="true"/>
        </w:rPr>
        <w:t>[</w:t>
      </w:r>
      <w:r>
        <w:rPr>
          <w:rtl w:val="true"/>
        </w:rPr>
        <w:t>الإشكال على البيان المتقدم</w:t>
      </w:r>
      <w:r>
        <w:rPr>
          <w:rtl w:val="true"/>
        </w:rPr>
        <w:t>]</w:t>
      </w:r>
      <w:bookmarkEnd w:id="181"/>
    </w:p>
    <w:p>
      <w:pPr>
        <w:pStyle w:val="BookText"/>
        <w:rPr/>
      </w:pPr>
      <w:r>
        <w:rPr>
          <w:rFonts w:ascii="Amiri" w:hAnsi="Amiri" w:eastAsia="Amiri" w:cs="Amiri"/>
          <w:color w:val="111111"/>
          <w:sz w:val="28"/>
          <w:sz w:val="28"/>
          <w:szCs w:val="28"/>
          <w:rtl w:val="true"/>
          <w:lang w:bidi="ar-SA"/>
        </w:rPr>
        <w:t>لكن تسليمه مُشكل غاية الإشكال؛ إذ على فرض جريان طريقة العرف على ذلك، فتطبيق الآية عليها مُشكل؛ إذ مقتضى ما ذكر كون القيمة مثلاً للحيوان التالف، وهو بعيدٌ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مدرك المُجمعين هي الأخبار الخاصة، الواردة بضمان القيميات كالحيوان، والسفرة الملتقطة، وغير ذلك في أبواب الضمانات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قول المشهور بقيميّة الثوب من جهة الرواية </w:t>
      </w:r>
      <w:r>
        <w:rPr>
          <w:rStyle w:val="FootnoteAnchor"/>
          <w:rtl w:val="true"/>
        </w:rPr>
        <w:footnoteReference w:id="234"/>
      </w:r>
      <w:r>
        <w:rPr>
          <w:rFonts w:ascii="Amiri" w:hAnsi="Amiri" w:eastAsia="Amiri" w:cs="Amiri"/>
          <w:color w:val="111111"/>
          <w:sz w:val="28"/>
          <w:sz w:val="28"/>
          <w:szCs w:val="28"/>
          <w:rtl w:val="true"/>
          <w:lang w:bidi="ar-SA"/>
        </w:rPr>
        <w:t>الواردة في السفرة؛ لعدم الفرق بين السفرة وغيرها من المنسوجات، هذا تمام الكلام في هذا الفرع</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3921735_2870459653"/>
      <w:bookmarkStart w:id="183" w:name="_Toc64"/>
      <w:bookmarkEnd w:id="182"/>
      <w:r>
        <w:rPr>
          <w:rtl w:val="true"/>
        </w:rPr>
        <w:t xml:space="preserve">[ </w:t>
      </w:r>
      <w:r>
        <w:rPr>
          <w:rtl w:val="true"/>
        </w:rPr>
        <w:t>الكلام في تعذّر المثل في المثلي</w:t>
      </w:r>
      <w:r>
        <w:rPr>
          <w:rtl w:val="true"/>
        </w:rPr>
        <w:t>]</w:t>
      </w:r>
      <w:bookmarkEnd w:id="183"/>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تعذّر المثل في المثلي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وجوده إلا بأزيد من ثمن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زيادة ثمن المثل بسبب الزيادة السوقية، ففي هذه الصورة لا شبهة في وجوب الشراء؛ لكون الثابت في الذّمة هو المثل، فيجب دفعه، وليست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ثمن المثل حقيقةً، بل بالنسبة إلى قيمته يوم التلف، وتردّدُ العلّامة في قواعد الأحكام</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هذه الصورة؛ لكون الحكم فيها واضحاً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أن تكون زيادة القيمة ليست بسبب زيادة القيمة السوقية، بل لعدم وجود المثل إلا عند من لا يشتريه </w:t>
      </w:r>
      <w:r>
        <w:rPr>
          <w:rStyle w:val="FootnoteAnchor"/>
          <w:rtl w:val="true"/>
        </w:rPr>
        <w:footnoteReference w:id="236"/>
      </w:r>
      <w:r>
        <w:rPr>
          <w:rFonts w:ascii="Amiri" w:hAnsi="Amiri" w:eastAsia="Amiri" w:cs="Amiri"/>
          <w:color w:val="111111"/>
          <w:sz w:val="28"/>
          <w:sz w:val="28"/>
          <w:szCs w:val="28"/>
          <w:rtl w:val="true"/>
          <w:lang w:bidi="ar-SA"/>
        </w:rPr>
        <w:t>إلا بالأزيد من ثمن المثل؛ إمّا لأجل العناد، أو لغيره</w:t>
      </w:r>
      <w:r>
        <w:rPr>
          <w:rFonts w:eastAsia="Amiri" w:cs="Amiri" w:ascii="Amiri" w:hAnsi="Amiri"/>
          <w:color w:val="111111"/>
          <w:sz w:val="28"/>
          <w:szCs w:val="28"/>
          <w:rtl w:val="true"/>
          <w:lang w:bidi="ar-SA"/>
        </w:rPr>
        <w:t xml:space="preserve">. </w:t>
      </w:r>
      <w:bookmarkStart w:id="184" w:name="pg9195_77099"/>
    </w:p>
    <w:p>
      <w:pPr>
        <w:pStyle w:val="Heading3"/>
        <w:numPr>
          <w:ilvl w:val="2"/>
          <w:numId w:val="1"/>
        </w:numPr>
        <w:rPr/>
      </w:pPr>
      <w:bookmarkStart w:id="185" w:name="__RefHeading___Toc3921737_2870459653"/>
      <w:bookmarkStart w:id="186" w:name="_Toc65"/>
      <w:bookmarkEnd w:id="184"/>
      <w:bookmarkEnd w:id="185"/>
      <w:r>
        <w:rPr>
          <w:rtl w:val="true"/>
        </w:rPr>
        <w:t>(</w:t>
      </w:r>
      <w:r>
        <w:rPr>
          <w:rtl w:val="true"/>
        </w:rPr>
        <w:t>في معارضة قاعدة الضرر لقاعدة السلطنة</w:t>
      </w:r>
      <w:r>
        <w:rPr>
          <w:rtl w:val="true"/>
        </w:rPr>
        <w:t>)</w:t>
      </w:r>
      <w:bookmarkEnd w:id="186"/>
    </w:p>
    <w:p>
      <w:pPr>
        <w:pStyle w:val="BookText"/>
        <w:rPr/>
      </w:pPr>
      <w:r>
        <w:rPr>
          <w:rFonts w:ascii="IRNazanin" w:hAnsi="IRNazanin" w:eastAsia="IRNazanin"/>
          <w:color w:val="111111"/>
          <w:sz w:val="28"/>
          <w:sz w:val="28"/>
          <w:szCs w:val="28"/>
          <w:rtl w:val="true"/>
          <w:lang w:bidi="fa-IR"/>
        </w:rPr>
        <w:t xml:space="preserve">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مقتضى القاعدة وجوب الشراء؛ لأنّ الثابت في الذّمة هو المثل، ولا ينتقل منه إلا بعد تعذّره بالمرّة،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والتمسّك بدليل نفي الضرر ؛ لعدم وجوب الشراء، معارضٌ بمثله؛ إذ كما أنّ وجوب الشراء ضرر، كذلك عدم سلطنة المالك على أخذ المثل وإعطاؤه القيمة ضرر على المالك، فيكون دليل نفي الضرر في طرف الضامن معارضاً به في طرف المالك، فيتساقطان، فتبقى رواية السلطنة 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الضررين الثابتين في الطرفين لم يكونا متساويين، بل الضرر اللازم على الضامن أزيد مما يلزم على المشتري؛ إذ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أخذ القيمة، أو صبره إلى أن يوجد المثل بثمن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كونهما ضررين، لكن ليسا بقدر ضرر الضامن؛ إذ قد يكون الضرر الثابت عليه ألف دينار، فما يكون منه مساوياً لضرر المالك يكون معارضاً به، وأمّا الزائد عليه يكون ضرراً بلا مزاحم فينفيه دليل نفي الضرر؛ لعدم بناء الشارع على جعل ما يكون فيه الضرر الكثير؛ بسبب ورود الضرر القليل على غيره، بل ينعكس فيكون دليل نفي الضرر بالنسبة إلى الضرر الزائد معارضاً لدليل السلطنة وحاكماً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التكاليف تكون حاكمةً على أدلّة الضرر في التكاليف الضرريّة، كما في الوضوء بالنسبة إلى عدم وجدان الماء إلا بأزيد من ثمن المثل، وقد حكموا بوجوب الشراء من جهة دليل الوضوء ، وتقديمه على دليل نفي الضرر، وكذا في غيره من التكاليف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التكاليف حالها مختلفة بالنسبة إلى الضرر، ودليل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نصاً بالنسبة إلى مرتبة خاصة 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الضرر الثابت في الوضوء دائماً أو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مقدّماً على دليل الضرر؛ لكونه نصاً في ارتكاب الضرر، ودليلُ نفي الضرر ظاهرٌ في نفيه من جهة عمومه، وظاهرٌ في مرتبة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الزائدة على المرتبة المذكورة النادرة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اشتراء ماء الوضوء بمئة دينار مثلاً، فيدل دليل الوضوء بإطلاقه على وجوب تحمل الضرر ، ووجوب الشراء بهذا المقدار وأزيد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دليل الضرر يكون حاكماً عليه، ونافياً له، ومقدّماً عليه كما أنَّه يكون حاكماً على سائر أدلّة التكاليف في غير ما يكون نصاً بالنسبة؛ ولذا ذكرنا في باب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الشراء بالثمن الكثير إنّما هو مخالف للقاعدة ؛ لأجل الرواية الخاصة </w:t>
      </w:r>
      <w:r>
        <w:rPr>
          <w:rStyle w:val="FootnoteAnchor"/>
          <w:rtl w:val="true"/>
        </w:rPr>
        <w:footnoteReference w:id="238"/>
      </w:r>
      <w:r>
        <w:rPr>
          <w:rFonts w:ascii="Amiri" w:hAnsi="Amiri" w:eastAsia="Amiri" w:cs="Amiri"/>
          <w:color w:val="111111"/>
          <w:sz w:val="28"/>
          <w:sz w:val="28"/>
          <w:szCs w:val="28"/>
          <w:rtl w:val="true"/>
          <w:lang w:bidi="ar-SA"/>
        </w:rPr>
        <w:t>، لا على وفق القاعدة، ففي ما نحن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دليل السلطنة يكون مقدّماً على دليل نفي الضرر ، بالنسبة إلى الضرر القليل، وهو دفع القيمة مثلاً، وأمّا بالنسبة إلى الضرر الزائد يكون دليل الضرر حاكماً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ما ذكر عدم وجوب الشراء بأزيد من ثمن المثل، ولعل نظر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إلى ذلك؛ حيث تردد في وجوب الشراء، بل يُمكن أن يُقال بعدم ثبوت الضرر على المالك؛ إذ الانتقال إلى القيمة ليس ضرراً عرفاً حتّى يشمله دليل نفي الضرر، فيكون نفي الضرر في جانب الضامن حاكماً على دليل السلطنة، كما أنَّهم يتمسكون في كثير من الخيارات بنفي الضرر ، والحال أنّ مقتضى دليل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الخيار؛ لأنّ الخيار للمشتري يكون موجباً لرفع سلطنة البائع على ملكه وليس حكمهم ب ثبوت الخيار إلا من جهة تحكيم أدلّة نفي الضرر على دليل السلطنة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الانتقال إلى القيمة ضرراً معارضاً بالضرر الثابت في جانب الضامن، فلا بُدَّ أنْ لا يحكموا بالخيار هنا؛ لعدم الفرق بين ما نحن فيه، وبين الخيار إلا من جهة أن الخيار الثابت من دليل الضرر يُوجب جواز العقد وجواز فسخه ثَمَّةَ، بخلافه هنا؛ فإنَّ الضرر يوجب رفع اليد عن المثل والانتقال إلى القيمة، وهذا المقدار لا يوجب الفرق بينهما، بل فسخ </w:t>
      </w:r>
      <w:bookmarkStart w:id="187" w:name="pg9195_77101"/>
    </w:p>
    <w:p>
      <w:pPr>
        <w:pStyle w:val="BookText"/>
        <w:rPr/>
      </w:pPr>
      <w:bookmarkEnd w:id="187"/>
      <w:r>
        <w:rPr>
          <w:rFonts w:ascii="Amiri" w:hAnsi="Amiri" w:eastAsia="Amiri" w:cs="Amiri"/>
          <w:color w:val="111111"/>
          <w:sz w:val="28"/>
          <w:sz w:val="28"/>
          <w:szCs w:val="28"/>
          <w:rtl w:val="true"/>
          <w:lang w:bidi="ar-SA"/>
        </w:rPr>
        <w:t>العقد أشدّ من الانتقال إلى القيمة، والحال أنهم يقدّمون دليل الضرر على دليل السلطنة، ولا يقولون ثَمَّةَ بثبوت الضرر في طرف البائع، ففيما نحن فيه أيضاً؛ لما كان اشتراء</w:t>
      </w:r>
      <w:r>
        <w:rPr>
          <w:rStyle w:val="FootnoteAnchor"/>
          <w:rtl w:val="true"/>
        </w:rPr>
        <w:footnoteReference w:id="240"/>
      </w:r>
      <w:r>
        <w:rPr>
          <w:rFonts w:ascii="Amiri" w:hAnsi="Amiri" w:eastAsia="Amiri" w:cs="Amiri"/>
          <w:color w:val="111111"/>
          <w:sz w:val="28"/>
          <w:sz w:val="28"/>
          <w:szCs w:val="28"/>
          <w:rtl w:val="true"/>
          <w:lang w:bidi="ar-SA"/>
        </w:rPr>
        <w:t>بالأزيد ضرراً على الضامن يكون مقدماً على دليل السلطنة، فلا يجب الشراء</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3921739_2870459653"/>
      <w:bookmarkStart w:id="189" w:name="_Toc66"/>
      <w:bookmarkEnd w:id="188"/>
      <w:r>
        <w:rPr>
          <w:rtl w:val="true"/>
        </w:rPr>
        <w:t>(</w:t>
      </w:r>
      <w:r>
        <w:rPr>
          <w:rtl w:val="true"/>
        </w:rPr>
        <w:t xml:space="preserve">صور تعذّر المثل </w:t>
      </w:r>
      <w:r>
        <w:rPr>
          <w:rtl w:val="true"/>
        </w:rPr>
        <w:t>)</w:t>
      </w:r>
      <w:bookmarkEnd w:id="18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تعدّر المثل في المثلي، فلو طالب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مقتضى الجمع بين حق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منعه عن ماله ظلم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حق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تكليفه بأداء المثل تكليف بما لايطاق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الانتقال إلى القيمة بعد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تعذّر المثل لا يُوجب الإضرار على الغير، بل يصبر حتّى يُوجد المثل، والتعذّر ليس مستنداً إليه حتّى يكون ذلك موجباً لإضرار الضامن</w:t>
      </w:r>
    </w:p>
    <w:p>
      <w:pPr>
        <w:pStyle w:val="BookText"/>
        <w:rPr/>
      </w:pPr>
      <w:r>
        <w:rPr>
          <w:rFonts w:ascii="Amiri" w:hAnsi="Amiri" w:eastAsia="Amiri" w:cs="Amiri"/>
          <w:color w:val="111111"/>
          <w:sz w:val="28"/>
          <w:sz w:val="28"/>
          <w:szCs w:val="28"/>
          <w:rtl w:val="true"/>
          <w:lang w:bidi="ar-SA"/>
        </w:rPr>
        <w:t xml:space="preserve">لكن الظاهر من العلماء </w:t>
      </w:r>
      <w:r>
        <w:rPr>
          <w:rStyle w:val="FootnoteAnchor"/>
          <w:rtl w:val="true"/>
        </w:rPr>
        <w:footnoteReference w:id="241"/>
      </w:r>
      <w:r>
        <w:rPr>
          <w:rFonts w:ascii="Amiri" w:hAnsi="Amiri" w:eastAsia="Amiri" w:cs="Amiri"/>
          <w:color w:val="111111"/>
          <w:sz w:val="28"/>
          <w:sz w:val="28"/>
          <w:szCs w:val="28"/>
          <w:rtl w:val="true"/>
          <w:lang w:bidi="ar-SA"/>
        </w:rPr>
        <w:t>، بل لا يبعد قيام الإجماع على وجوب دفع القيمة في صورة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لم يطالب المالك، فهل يكون للضامن إلزام المالك على أخذ القيمة، حيث إنّ اشتغال ذمته بمال الغير ضرر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عدم جواز الالزام بمجرّد ذلك، إلا أنْ يدل دليل على انتقال الحق حين التعذّر إلى القيمة فيجوز </w:t>
      </w:r>
      <w:r>
        <w:rPr>
          <w:rFonts w:eastAsia="Amiri" w:cs="Amiri" w:ascii="Amiri" w:hAnsi="Amiri"/>
          <w:color w:val="111111"/>
          <w:sz w:val="28"/>
          <w:szCs w:val="28"/>
          <w:rtl w:val="true"/>
          <w:lang w:bidi="ar-SA"/>
        </w:rPr>
        <w:t xml:space="preserve">. </w:t>
      </w:r>
      <w:bookmarkStart w:id="190" w:name="pg9195_77102"/>
    </w:p>
    <w:p>
      <w:pPr>
        <w:pStyle w:val="Heading3"/>
        <w:numPr>
          <w:ilvl w:val="2"/>
          <w:numId w:val="1"/>
        </w:numPr>
        <w:rPr/>
      </w:pPr>
      <w:bookmarkStart w:id="191" w:name="__RefHeading___Toc3921741_2870459653"/>
      <w:bookmarkStart w:id="192" w:name="_Toc67"/>
      <w:bookmarkEnd w:id="190"/>
      <w:bookmarkEnd w:id="191"/>
      <w:r>
        <w:rPr>
          <w:rtl w:val="true"/>
        </w:rPr>
        <w:t>(</w:t>
      </w:r>
      <w:r>
        <w:rPr>
          <w:rtl w:val="true"/>
        </w:rPr>
        <w:t>في أنَّه هل الانتقال إلى القيمة بمجرد التعذّر أم لا؟</w:t>
      </w:r>
      <w:r>
        <w:rPr>
          <w:rtl w:val="true"/>
        </w:rPr>
        <w:t>)</w:t>
      </w:r>
      <w:bookmarkEnd w:id="192"/>
    </w:p>
    <w:p>
      <w:pPr>
        <w:pStyle w:val="BookText"/>
        <w:rPr/>
      </w:pPr>
      <w:r>
        <w:rPr>
          <w:rFonts w:ascii="Amiri" w:hAnsi="Amiri" w:eastAsia="Amiri" w:cs="Amiri"/>
          <w:color w:val="111111"/>
          <w:sz w:val="28"/>
          <w:sz w:val="28"/>
          <w:szCs w:val="28"/>
          <w:rtl w:val="true"/>
          <w:lang w:bidi="ar-SA"/>
        </w:rPr>
        <w:t>ثم إنّه هل يصير المثلُ منقلباً إلى القيمة بمجرد التعذّر أم لا؟</w:t>
      </w:r>
    </w:p>
    <w:p>
      <w:pPr>
        <w:pStyle w:val="BookText"/>
        <w:rPr/>
      </w:pPr>
      <w:r>
        <w:rPr>
          <w:rFonts w:ascii="Amiri" w:hAnsi="Amiri" w:eastAsia="Amiri" w:cs="Amiri"/>
          <w:color w:val="111111"/>
          <w:sz w:val="28"/>
          <w:sz w:val="28"/>
          <w:szCs w:val="28"/>
          <w:rtl w:val="true"/>
          <w:lang w:bidi="ar-SA"/>
        </w:rPr>
        <w:t xml:space="preserve">وحيث إنَّه لم يرد دليل خاص في هذا المورد، فلا بُدَّ من الرجوع إلى القواعد والأصول اللفظيّة والعمليّة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الأصل العملي، فليس في المقام شيء منها ، والقول </w:t>
      </w:r>
      <w:r>
        <w:rPr>
          <w:rStyle w:val="FootnoteAnchor"/>
          <w:rtl w:val="true"/>
        </w:rPr>
        <w:footnoteReference w:id="242"/>
      </w:r>
      <w:r>
        <w:rPr>
          <w:rFonts w:ascii="Amiri" w:hAnsi="Amiri" w:eastAsia="Amiri" w:cs="Amiri"/>
          <w:color w:val="111111"/>
          <w:sz w:val="28"/>
          <w:sz w:val="28"/>
          <w:szCs w:val="28"/>
          <w:rtl w:val="true"/>
          <w:lang w:bidi="ar-SA"/>
        </w:rPr>
        <w:t xml:space="preserve">بجريان الاستصحاب هنا؛ لأنّ المثل ثابت في الذّمة قبل التعذّر ، فيستصحب، فلا تكون القيمة متعيّنة مدفوعٌ؛ بأن ثبوت المثل في السابق وإن كان متعيّناً لكن لم يعلم أنّه من جهة خصوصيّة، أو من جهة أنّه أحد مصاديق كلّي المثل، بأن تكون الذّمة مشغولة عند التلف بكلّي المماثل، وله أفراد ومصاديق بحسب الحالات والأزمان ، ومع وجود المماثل من جميع الجهات يكون الكلّي متعيّناً فيه، وبعد تعذّره يتعين في مصداق آخر له، وهي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الاستصحاب، وإنْ كان من الثاني فلا يُمكن الاستصحاب؛ للقطع بعدم ثبوته؛ ولقيام مصداق آخر مقامه، وحينئذٍ يكون الموضوع مشكوك البقاء بعد التعذّر ، فلا يُمكن إثبات التعذّر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الأصول اللفظيّة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أبواب الضمان الحاكمة بالضمان بملاحظة طريقة العرف،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تثمر في المقام؛ لأنّ المعلوم من طريقة العرف هو أخذ القيمة في حال التعذّر، لكن لم يُعلم كونه من جهة كون المثل في حال التعذّر هي القيمة، وأنّها من جهة كونها من أحد مصاديق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قيمة العين التالفة، أو أنها قيمة المثل الثابتة في هذه الحالة أيضاً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كان المراد منه هي الرخصة في الاعتداء بالمماثل؛ حين الاعتداء لخصوصيّةٍ يكون المثل باقياً في الذّمة بعد التعذّر، وتكون القيمة قيمة المثل، وكذلك إذا كانت الآية مسوقة لتشريع الضمان بالمثل على سبيل الإهمال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يكون الثابت في الذّمة هو المثل الجامع للصفات، فالقيمة أيضاً قيمة للمثل وحاصل الكلام في الآية إنّها تحتمل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بالاعتداء بالمماثل منحلّاً إلى أوامر عديدة، نظير التخيير الشرعي في كل حالة من الحالات يكون أمر مستقل بشيء، مثلاً حالة وجود المماثل في الصفة والماليّة يكون أمر مستقل آخر بمماثله في الماليّة، ومقتضى هذا الوجه هو الانتقال إلى قيمة العين بعد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 واحداً، لكن تعلّق على كلّي المثل، ويكون له أفراد كثيرة، ومن أفراده القيمة حال التعذّر ، ولكن الأفراد مقدّمٌ بعضها على بعض من حيث المرتبة، ولازم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إلى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 وإنْ كان الأمر بالكلّي الذي تكون القيمة من أفراده في حال التعذّر، لكن الأمر به إنّما هو بملاحظة حال المالك والإرفاق به، فلا يجوز للضامن إلزامه بأخذ القيمة بعد التعذّر ولو كان الأمر بالكلّي؛ لأنّ الحكمة والعلّة في الأمر به هو الإرفاق به، وليس هو في هذا الفرض 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تسليم كون الإرفاق حكمة وعلّة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سلمنا ذلك، لكن لا نسلّم لزوم ثبوت الحكمة في جميع الموارد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المثل مطلقاً من دون تقييده بخصوص حال، ومن دون تعميمه، لكن ندّعي كون المراد من المطلق خصوص المثل في حال الوجود، إمّا بدعوى انصراف المثل إلى خصوصه؛ لكونه أقوى في المثليّة من غيره، أو من جهة أنّ المتبادر من نظائر الآية هو المثل في زمان وجود السبب لا غيره،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زيد كذا فأعطه أجرة أمثاله، أو أخلعه خلعة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زيد مختلف الحال بالنسبة إلى زمان العمل، وزمان </w:t>
      </w:r>
    </w:p>
    <w:p>
      <w:pPr>
        <w:pStyle w:val="BookText"/>
        <w:rPr/>
      </w:pPr>
      <w:r>
        <w:rPr>
          <w:rFonts w:ascii="Amiri" w:hAnsi="Amiri" w:eastAsia="Amiri" w:cs="Amiri"/>
          <w:color w:val="111111"/>
          <w:sz w:val="28"/>
          <w:sz w:val="28"/>
          <w:szCs w:val="28"/>
          <w:rtl w:val="true"/>
          <w:lang w:bidi="ar-SA"/>
        </w:rPr>
        <w:t xml:space="preserve">الإعطاء والتخليع بالنسبة إلى الفقر والفناء </w:t>
      </w:r>
      <w:r>
        <w:rPr>
          <w:rStyle w:val="FootnoteAnchor"/>
          <w:rtl w:val="true"/>
        </w:rPr>
        <w:footnoteReference w:id="244"/>
      </w:r>
      <w:r>
        <w:rPr>
          <w:rFonts w:ascii="Amiri" w:hAnsi="Amiri" w:eastAsia="Amiri" w:cs="Amiri"/>
          <w:color w:val="111111"/>
          <w:sz w:val="28"/>
          <w:sz w:val="28"/>
          <w:szCs w:val="28"/>
          <w:rtl w:val="true"/>
          <w:lang w:bidi="ar-SA"/>
        </w:rPr>
        <w:t>، فيتبادر منه وجوب ملاحظة أمثاله في حال إيجاده العمل، فكذلك في الآية، فإنه يتبادر منه وجوب دفع المماثل حين الاعتداء لا المماثل حين التعذّر وهي القيمة، بل يُمكن ترجيح هذا الاحتمال لو فرضنا كون الاحتمالات متساوية؛ بملاحظة كون الإعطاء في المثال والاعتداء بالمماثل جزاءً للعمل والاعتداء، فلا بُدَّ من ملاحظة الفعل والسبب، فيكون الثابت في الذّمة هو المثل من حيث الصفة والماليّة من حيث خصوصيته لا من حيث كونه فرداً للكلّي، ولازمه عدم الانتقال إلى القيمة قهراً بدون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ولو كان المستفاد منها ثبوت المثل في الصفة والماليّة من حيث الخصوصيّة، لكنه من باب تعدّد المطلوب، فالمثل مطلوب، والخصوصيّة مطلوبة أخرى، وبعد التعذّر تبقى مطلوبيّة المثل بحالها ولو كانت الخصوصية منتفية، لكن هذا القول بعيد جداً؛ إذ ليس المثل إلا شيئاً خاصاً، وليس مركباً من شيئين حتّى يتصور فيه تعدّد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بالاحتمال الأول والثاني، يكون اللازم ثبوت القيمة في الذّمة بمجرّد تعذّر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إنَّ القيمة من مصاديق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 تعذّر المثل في الصفة والماليّة معاً، فحينئذٍ يجوز للمالك إلزام الضامن بدفع القيمة، وكذا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بالاحتمال الثالث إما من جهة 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المماثل في الصفة والماليّة، أو من جهة تبادر المثل في حال وجود السبب من مثل الآية من القضايا الشرطية، أو من جهة عدم كون القيمة مثلاً يكون اللازم ثبوت المثل في الذّمة حتّى في حال التعذّر؛ بمقتضى الآية الشريفة، فيكون أخذ المالك القيمة من قبيل الإسقاط؛ لا لأنَّه أخذ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إذا شككنا في المراد من الآية والمفاد منها هل هو أيّ الاحتمالات؟ فيصير اللفظ مجملاً بالنسبة إلى حال التعذّر ، فلا بُدَّ من الرجوع إلى الأصول العمليّة أو اللفظيّة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بنينا على الاحتمال الثالث، وقلنا بكون الثابت في الذّمة هو المماثل في الصفة والماليّة ولو بعد التعذّر ، فهل للمالك مطالبة الضامن بالقيمة مطلقاً، أو ليس له ذلك مطلقاً، أو يفصّل </w:t>
      </w:r>
    </w:p>
    <w:p>
      <w:pPr>
        <w:pStyle w:val="BookText"/>
        <w:rPr/>
      </w:pPr>
      <w:r>
        <w:rPr>
          <w:rFonts w:ascii="Amiri" w:hAnsi="Amiri" w:eastAsia="Amiri" w:cs="Amiri"/>
          <w:color w:val="111111"/>
          <w:sz w:val="28"/>
          <w:sz w:val="28"/>
          <w:szCs w:val="28"/>
          <w:rtl w:val="true"/>
          <w:lang w:bidi="ar-SA"/>
        </w:rPr>
        <w:t xml:space="preserve">بين كون الضامن غاصباً أم لا ؛ لجواز المطالبة في الأول دون الثاني، أو يفصل بين صورة تعذّر المثل إلى زمان قليلٍ وبين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التعذّر إلى الأبد بجواز المطالبة في الثاني دون الأول؟</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الأنسب بالقواعد هو الجواز مطلقاً؛ لاقتضائه الجمع بين حقّ المالك؛ حيث إنَّ منعه عن ماله ظلمٌ عليه، وحق الضامن؛ حيث إنّه لا يجوز تكليفه بأداء المتعذّر؛ إذ هو تكليف بما لا يُطاق؛ ولأنَّ مال المالك يشتمل على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والماليّة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والمالك بعدما رفع اليد عن خصوصية ماله لا وجه لمنعه عن ماله من حيث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الأوجه هو التفصيل بين صورة التعذّر المطلق، وبين التعذّر إلى أمد قليل؛ بعدم جواز الإلزام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جواز الإلزام في الثاني؛ فلأنّ حقّه إنّما هو الشيء الخاص لا القيمة، ولا يجوز مطالبة القيمة ؛ لعدم كونها ماله ، ولا يجوز مطالبة المثل فعلاً؛ للتعدّر، والتعذّر ليس مستنداً إلى الضامن حتّى يرجع المالك إليه ويغرمه بالقيمة، ولا يجوز إضرار الغير؛ بسبب دفع الضرر ، مع أنّ الضرر شيء عرفيٌّ ، ولا يكون التأخر إلى مدّة قليلة ضرراً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ولو كان كذلك، لجاز مطالبته بالقيمة في غير صورة وجود المثل من بلد آخر لا يمكن إتيانه في البلد الذي يطالب المالك إلا في مدة والحال أنّه لا يجوز له المطالبة بالقيمة، مع أنّ مقتضى سلطنة الضامن على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أخذه من المالك، وكذلك مقتضى عدم حِلِّ أكل مال الغير إلا بطيب نفسه،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الإلزام في صورة التعذّر المطلق؛ فلأنّ عدم جواز أخذ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ظلماً على المالك، وأكلاً لماله بالباطل، وهو مقتضى حرمة مال المسلم، وعدم جواز هدريته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الحقّ عدم التفصيل، وجواز إلزام المالك بدفع القيمة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بأنّ الثابت في ذمة الضامن هو المماثل في الصفة والماليّة لا غير 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لوجهين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سلطنة المالك على ماله بذلك، ولو كان ماله هو المثل خاصة؛ لأنّ مقتضى دليل السلطنة هو جواز أخذ المالك ماله بأي نحو يمكن أخذه، ووجوب أداء ماله إليه، </w:t>
      </w:r>
    </w:p>
    <w:p>
      <w:pPr>
        <w:pStyle w:val="BookText"/>
        <w:rPr/>
      </w:pPr>
      <w:r>
        <w:rPr>
          <w:rFonts w:ascii="Amiri" w:hAnsi="Amiri" w:eastAsia="Amiri" w:cs="Amiri"/>
          <w:color w:val="111111"/>
          <w:sz w:val="28"/>
          <w:sz w:val="28"/>
          <w:szCs w:val="28"/>
          <w:rtl w:val="true"/>
          <w:lang w:bidi="ar-SA"/>
        </w:rPr>
        <w:t>وأخذ المال وأداؤه يختلفان باختلاف الأحوال والأزمان عرفاً، فأداء المال في حالة وزمان بدفع نفس المال بخصوصيّة، وفي حالة أخرى بدفع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أنّ ما ذُكِر خروجٌ عن الفرض، ويكون مبنياً على انتقال حق المالك حين التعذّر إلى القيمة؛ لأنّ السلطنة إنّما تكون على المال، ولا تصير القيمة مالاً للمالك دون خصوص المثل إلا بعد كون الثابت في الذّمة منتقلاً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القيمة حتّى يحكم دليل السلطنة بوجوب أخذها؛ لأنا لا نقول بالانتقال أصلاً، بل الثابت في الذّمة حين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المثل، لكن نقول باختلاف طريق أدائه باختلاف الحالات، ففي حين وجود المثل لا يتحقق أداؤه إلا بأداء نفسه لخصوصيّة، وفي حال تعذّره لا يكون طريق أداؤه إلا بدفع ماليّته؛ لتعذّر نفسه، وذلك بحكم العرف والعقلاء؛ حيث إنَّ بناءهم في باب الغرامات بأخذ نفس المال مع وجوده، وجعلهم أخذه في هذه الحالة مصداقاً من مصاديق أداء الشيء، وأخذ ماليّته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تعذّره ، وهذا مصداق اضطراريّ لكلّي الأداء عندهم من غير فرق عندهم بين التعذّر إلى زمان أو إلى الأبد، نظير حكم العقلاء في باب الإطاعة وطريقها، حيث إنّه في حال التمكن من العلم التفصيلي هو الإتيان به على نحو العلم التفصيلي، ومع التعذّر من العلم التفصيلي يكون طريق الإطاعة هو الإتيان به إجمالاً، والاحتياط فيه، وإن لم يتمكن من الاحتياط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المتعين هو الإتيان به ظناً، وإلا الإتيان به احتمالاً، ولا يجوز الانتقال من مرتبة إلى أخرى إلا بعد تعذّر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 من المراتب يكون شيء لا يجوز التعدي عنه إلى غيره، ورفع اليد عنه، فكذلك يحكمون في باب الغرامات بمثل ذلك، والدليل على جواز أخذ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بناء العرف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القول بأن سلطنة الضامن على ماله تعارض هذه السلطنة؛ لأنّ سلطنة المالك تنفي سلطنته قهراً؛ لأنّ مقتضاها عدم ثبوت الاختيار له حينئذٍ</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الضرر على المالك؛ لأنّ حكم الشارع بعدم جواز مطالبة المالك بالقيمة حكم ضرري منفي بدليل نفي الضرر، ودليل الضرر حاكم على دليل السلطنة، على فرض ثبوت السلطنة للضامن ؛ بسبب عدم ثبوت السلطنة للمالك، من غير </w:t>
      </w:r>
      <w:bookmarkStart w:id="193" w:name="pg9195_77107"/>
    </w:p>
    <w:p>
      <w:pPr>
        <w:pStyle w:val="BookText"/>
        <w:rPr/>
      </w:pPr>
      <w:bookmarkEnd w:id="193"/>
      <w:r>
        <w:rPr>
          <w:rFonts w:ascii="Amiri" w:hAnsi="Amiri" w:eastAsia="Amiri" w:cs="Amiri"/>
          <w:color w:val="111111"/>
          <w:sz w:val="28"/>
          <w:sz w:val="28"/>
          <w:szCs w:val="28"/>
          <w:rtl w:val="true"/>
          <w:lang w:bidi="ar-SA"/>
        </w:rPr>
        <w:t>جهة دليل الضرر ، مضافاً إلى قيام الإجماع ظاهراً على جواز المطالبة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يُقال بمنع جريان دليل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أخذ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مفاده ليس إلا عدم مهجوريّة المالك بالنسبة إلى المال مثل غيره، والمال المستقر في الذّمة ليس إلا المثل، وهو مهجور عنه من جانب الله تعالى، والقيمة لم تكن ماله حتّى يكون مسلّطاً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المثل مركباً من جزئين، بل شيء خاص جزئي لا يكون قابلاً للتجزئة، وإلا يجوز للمالك المطالبة بالقيمة مع وجود المثل في البلد الآخر ، ولا يمكن نقله إلى بلد المالك إلا بعد مضيّ مدّة، ومنع جريان الضرر أيضاً؛ إذ المدار في الضرر، العرف ولا يعدّ التأخر إلى أجل ضرراً عرفاً، فافهم</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3921743_2870459653"/>
      <w:bookmarkStart w:id="195" w:name="_Toc68"/>
      <w:bookmarkEnd w:id="194"/>
      <w:r>
        <w:rPr>
          <w:rtl w:val="true"/>
        </w:rPr>
        <w:t>[</w:t>
      </w:r>
      <w:r>
        <w:rPr>
          <w:rtl w:val="true"/>
        </w:rPr>
        <w:t>حكم الاحتمالات في المسألة</w:t>
      </w:r>
      <w:r>
        <w:rPr>
          <w:rtl w:val="true"/>
        </w:rPr>
        <w:t>]</w:t>
      </w:r>
      <w:bookmarkEnd w:id="195"/>
    </w:p>
    <w:p>
      <w:pPr>
        <w:pStyle w:val="BookText"/>
        <w:rPr/>
      </w:pPr>
      <w:r>
        <w:rPr>
          <w:rFonts w:ascii="Amiri" w:hAnsi="Amiri" w:eastAsia="Amiri" w:cs="Amiri"/>
          <w:color w:val="111111"/>
          <w:sz w:val="28"/>
          <w:sz w:val="28"/>
          <w:szCs w:val="28"/>
          <w:rtl w:val="true"/>
          <w:lang w:bidi="ar-SA"/>
        </w:rPr>
        <w:t xml:space="preserve">ثم اعلم إنّ في المسألة احتمالات ووجوهاً، ترتقي إلى ثلاثة عشر من حيث المفهوم، لكن الاحتمالات المتباينة بحسب المفهوم والمصداق لا تزيد على سبعة، واحد منها مختار المشهور من الخاصة، وباقي الاحتمالات اختار بعضها بعض الخاصة، وبعضها الآخر محكيٌّ عن الشافعيّة، وأكثر الاحتمالات مذكورةٌ في القواعد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بعدما بنينا على ثبوت المثل في الذّمة بعد تلف العين في المثلي فبعدما تعذّر المثل وأعوز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نقول بثبوت المثل بعد الإعواز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إلى القيمة حينئذٍ من باب إسقاط المثل بالقيمة، فيلزم دفع قيمة يوم الإسقاط</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نقول بانتقال الثابت في الذّمة إلى القيمة، بأن يصير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بانتقال المثل إلى القيمة من جهة أنّ الثابت في الذّمة بعد تلف العين هو المثل، فبعد إعوازه يصير حاله حال القيمي، بمعنى انتقاله إلى القيمة فعلاً عند الإعواز لا أصله؛ لأنّ المثل قيمي من أوّل </w:t>
      </w:r>
    </w:p>
    <w:p>
      <w:pPr>
        <w:pStyle w:val="BookText"/>
        <w:rPr/>
      </w:pPr>
      <w:r>
        <w:rPr>
          <w:rFonts w:ascii="Amiri" w:hAnsi="Amiri" w:eastAsia="Amiri" w:cs="Amiri"/>
          <w:color w:val="111111"/>
          <w:sz w:val="28"/>
          <w:sz w:val="28"/>
          <w:szCs w:val="28"/>
          <w:rtl w:val="true"/>
          <w:lang w:bidi="ar-SA"/>
        </w:rPr>
        <w:t>زمان تلف العين؛ لأنّ الثابت في الذّمة في المثلي بعد تلف العين ليس المثل الخاص، بل يكون الثابت كلّي المثل، ومن المعلوم إنّ كون كلّي المثل قيمياً من أول الأمر؛ لعدم المثل لكلّي المثل، فالمثل إذا تعذّر يجب دفع القيمة؛ لأنّ المتعذّر المثل بخصوصيته لا ماليّته، فيجب دفع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بانتقال العين إلى القيمة حين التعدّر ؛ بدعوى أنَّه بمجرّد إثبات اليد على العين تثبت قيمة العين في الذّمة، لكن يكون مراعى بعدم ردّ العين أو المثل، فإن حصل ردُّ أحدهما تسقط القيمة، وإلا تكون باقية في الذّمة، فعند تلف المثل وزمان الإعواز ينجز الأمر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الذي ذكرنا سابقاً </w:t>
      </w:r>
      <w:r>
        <w:rPr>
          <w:rStyle w:val="FootnoteAnchor"/>
          <w:rtl w:val="true"/>
        </w:rPr>
        <w:footnoteReference w:id="246"/>
      </w:r>
      <w:r>
        <w:rPr>
          <w:rFonts w:ascii="Amiri" w:hAnsi="Amiri" w:eastAsia="Amiri" w:cs="Amiri"/>
          <w:color w:val="111111"/>
          <w:sz w:val="28"/>
          <w:sz w:val="28"/>
          <w:szCs w:val="28"/>
          <w:rtl w:val="true"/>
          <w:lang w:bidi="ar-SA"/>
        </w:rPr>
        <w:t xml:space="preserve">للآية؛ حيث إنَّ المُرَخص بمقتضى الآية هو الاعتداء بالمماثل، والمماثل في زمان الإعواز هى القيمة، أو بانتقال القدر المشترك بين العين والمثل إلى القيمة، وهو الجنس الثابت في كلّ من النوعين، كالحنطة المشتركة في كلّ من نوعي الحنطة بدعوى أنه بمجرّد إثبات اليد على العين يثبت القدر المشترك في الذّمة إلى زمان الإعواز، فحينئذٍ ينتقل ذلك إلى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من التقادير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المدار في القيمي على القيمة في يوم الضمان، أو على القيمة في يوم التلف، أو على أعلى القيم من زمان الضمان إلى زمان التلف، فيحصل من ضرب كل من هذه الثلاثة في الثلاثة الأول احتمالاتٌ تسعة، فيومُ الضمان في المغصوب يومُ الغصب، ويومُ تلفه يوم تلفه، ويومُ الضمان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زمان تلف العين، وزمان تلفه زمان إعوازه، وهو زمان تلف القدر المشترك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زمان ضمان المغصوب زمان ضمان القدر المشترك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احتمالاتٌ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المدار على القيمة في زمان دفع القيمة، وإليه ذهب المشهور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أعلى القيم من زمان ضمان العين إلى زمان الدفع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وثالثها اعتبار أعلى القيم من زمان تلف العين إلى زمان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فصارت الوجوه اثني عشر، لكن الاحتمالات المتباينة بحسب المصداق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والثالث هي الوجوه المتصوّرة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قيمة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ملاحظة القيمة يوم الضمان، أو يوم التلف، أو الأعلى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الاحتمالان المتصوران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صيرورة العين قيمية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ملاحظة القيمة في يوم ضمان العين والأعلى منه إلى يوم التلف، وأما بناءً على كون المعتبر قيمة يوم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 هذا الاحتمال مع احتمال يوم التلف في المثل؛ لأنّ المراد بيوم التلف، هو اليوم الذي يسقط العين ومماثلها عن الذّمة ، وينتقل إلى القيمة، وهو ليس إلا يوم إعواز المثل؛ لأنّ العين في هذا الزمان تنتقل إلى القيمة لا قبله، والأعلى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يلاحظ إلى هذا الزمان، ولم يبقَ للقدر المشترك احتمال مباين للاحتمالات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ملاحظة قيمة المثل يوم دفع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سقوط المثل عن الذّمة بالإعواز، وثبوته فيها ، فلا بُدَّ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يوم الإسقاط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إلى المشهور </w:t>
      </w:r>
      <w:r>
        <w:rPr>
          <w:rStyle w:val="FootnoteAnchor"/>
          <w:rtl w:val="true"/>
        </w:rPr>
        <w:footnoteReference w:id="248"/>
      </w:r>
      <w:r>
        <w:rPr>
          <w:rFonts w:ascii="Amiri" w:hAnsi="Amiri" w:eastAsia="Amiri" w:cs="Amiri"/>
          <w:color w:val="111111"/>
          <w:sz w:val="28"/>
          <w:sz w:val="28"/>
          <w:szCs w:val="28"/>
          <w:rtl w:val="true"/>
          <w:lang w:bidi="ar-SA"/>
        </w:rPr>
        <w:t>؛ لعدم الدليل على سقوط المثل عن الذّمة بمجرد التعدّر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ملاحظة أعلى القيم من زمان ضمان العين إلى زمان دفع القيمة؛ لأنَّه يكون للمال المغصوب في كلّ زمان ماليّة سقطت يدا المالك عنها، فتكون مضمونةً، ودفع العين والمثل يتداركان الضمان بالأعلى، فما لم يحصل الدفع بأيهما يكون الأعلى باقياً في الذّمة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ملاحظة الأعلى من زمان تلف العين إلى زمان الدفع، لكن الظاهر أنّ هذا الاحتمال مندرج في الاحتمال السابق؛ لأنّ كلّ من يقول به يقول به أيضاً</w:t>
      </w:r>
      <w:r>
        <w:rPr>
          <w:rFonts w:eastAsia="Amiri" w:cs="Amiri" w:ascii="Amiri" w:hAnsi="Amiri"/>
          <w:color w:val="111111"/>
          <w:sz w:val="28"/>
          <w:szCs w:val="28"/>
          <w:rtl w:val="true"/>
          <w:lang w:bidi="ar-SA"/>
        </w:rPr>
        <w:t xml:space="preserve">. </w:t>
      </w:r>
      <w:bookmarkStart w:id="196" w:name="pg9195_77110"/>
    </w:p>
    <w:p>
      <w:pPr>
        <w:pStyle w:val="Heading3"/>
        <w:numPr>
          <w:ilvl w:val="2"/>
          <w:numId w:val="1"/>
        </w:numPr>
        <w:rPr/>
      </w:pPr>
      <w:bookmarkStart w:id="197" w:name="__RefHeading___Toc3921745_2870459653"/>
      <w:bookmarkStart w:id="198" w:name="_Toc69"/>
      <w:bookmarkEnd w:id="196"/>
      <w:bookmarkEnd w:id="197"/>
      <w:r>
        <w:rPr>
          <w:rtl w:val="true"/>
        </w:rPr>
        <w:t>ف</w:t>
      </w:r>
      <w:r>
        <w:rPr>
          <w:rtl w:val="true"/>
        </w:rPr>
        <w:t>-(</w:t>
      </w:r>
      <w:r>
        <w:rPr>
          <w:rtl w:val="true"/>
        </w:rPr>
        <w:t>المحصّل من هذه الاحتمالات سبعة</w:t>
      </w:r>
      <w:r>
        <w:rPr>
          <w:rtl w:val="true"/>
        </w:rPr>
        <w:t>)</w:t>
      </w:r>
      <w:bookmarkEnd w:id="198"/>
    </w:p>
    <w:p>
      <w:pPr>
        <w:pStyle w:val="BookText"/>
        <w:rPr/>
      </w:pPr>
      <w:r>
        <w:rPr>
          <w:rFonts w:ascii="Amiri" w:hAnsi="Amiri" w:eastAsia="Amiri" w:cs="Amiri"/>
          <w:color w:val="111111"/>
          <w:sz w:val="28"/>
          <w:sz w:val="28"/>
          <w:szCs w:val="28"/>
          <w:rtl w:val="true"/>
          <w:lang w:bidi="ar-SA"/>
        </w:rPr>
        <w:t xml:space="preserve">لكن الأظهر من هذه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شمول المثل للقيمة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قوّيناه سابقاً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صيرورة العين قيمية عند الإعواز، 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اللازم في القيمي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مضمونيّة أعلى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بناءً على ثبوته في القيمي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ذكرنا في السابق خلافاً للأستاذ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شمول المثل للقيمة، والثابت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المثل في الصفة والماليّة إلى زمان دفع القيمة، فلا يلزم إلا ملاحظة القيمة يوم الإسقاط والدفع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يلزم دفع أعلى القيم أيضاً؛ لأنّ الغاصب فوّت الماليّة الزائدة عن المالك، والملحوظ في نظر العرف هي الماليّة، فيلزم دفع الزائد من القيمة أيضاً، فافهم</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3921747_2870459653"/>
      <w:bookmarkStart w:id="200" w:name="_Toc70"/>
      <w:bookmarkEnd w:id="199"/>
      <w:r>
        <w:rPr>
          <w:rtl w:val="true"/>
        </w:rPr>
        <w:t xml:space="preserve">( </w:t>
      </w:r>
      <w:r>
        <w:rPr>
          <w:rtl w:val="true"/>
        </w:rPr>
        <w:t xml:space="preserve">فيما لو تعذّر المثل ابتداءً لا بعد وجوده </w:t>
      </w:r>
      <w:r>
        <w:rPr>
          <w:rtl w:val="true"/>
        </w:rPr>
        <w:t>)</w:t>
      </w:r>
      <w:bookmarkEnd w:id="200"/>
    </w:p>
    <w:p>
      <w:pPr>
        <w:pStyle w:val="BookText"/>
        <w:rPr/>
      </w:pPr>
      <w:r>
        <w:rPr>
          <w:rFonts w:ascii="Amiri" w:hAnsi="Amiri" w:eastAsia="Amiri" w:cs="Amiri"/>
          <w:color w:val="111111"/>
          <w:sz w:val="28"/>
          <w:sz w:val="28"/>
          <w:szCs w:val="28"/>
          <w:rtl w:val="true"/>
          <w:lang w:bidi="ar-SA"/>
        </w:rPr>
        <w:t>هذا كلّه فيما لو تعذّر المثل بعد وجوده، وأما لو تعذّر المثل ابتداءً، فهل ينتقل إلى القيمة أم لا؟</w:t>
      </w:r>
    </w:p>
    <w:p>
      <w:pPr>
        <w:pStyle w:val="BookText"/>
        <w:rPr/>
      </w:pPr>
      <w:r>
        <w:rPr>
          <w:rFonts w:ascii="Amiri" w:hAnsi="Amiri" w:eastAsia="Amiri" w:cs="Amiri"/>
          <w:color w:val="111111"/>
          <w:sz w:val="28"/>
          <w:sz w:val="28"/>
          <w:szCs w:val="28"/>
          <w:rtl w:val="true"/>
          <w:lang w:bidi="ar-SA"/>
        </w:rPr>
        <w:t xml:space="preserve">مقتضى القاعدة ثبوت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الذّمة بمقتضى الآية؛ لعدم الفرق بين التعذّر الابتدائي والتعذّر بعد الوجود، فبعد البناء على ثبوت المثل في الذّمة بعد الإعواز في السابق لا بُدَّ من البناء عليه فيما نحن فيه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القواعد في عنوان الاحتمالات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تلف المثلي والمثل موجود ثم أعوز</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اختصاص الاحتمالات المذكورة بأجمعها بالصورة المذكورة، وهو حقٌّ؛ لعدم جريان بعض الاحتمالات في التعذّر، مثل أخذ أعلى القيم من زمان تلف العين إلى زمان الإعواز، وكذلك احتمال الاعتبار بزمان إعواز المثل دون العين وغيرها، ولا يدلّ الكلام على ثبوت المثل في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ذكر المحقّق الثاني في شرح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لو كان المثل متعذّراً ابتداءً ينتقل إلى القيمة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نظره إلى عدم تنجز التكليف بالمثل عليه في وقت من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فيه شيخنا الدستري </w:t>
      </w:r>
      <w:r>
        <w:rPr>
          <w:rStyle w:val="FootnoteAnchor"/>
          <w:rtl w:val="true"/>
        </w:rPr>
        <w:footnoteReference w:id="252"/>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التمكُّن من الأداء عقلا إنْ كان شرطاً في اشتغال الذّمة بالمثل، فلا فرق بين الحدوث والبقاء، فلا بُدَّ أنْ يرتفع المثل عن الذّمة بمجرد التعذّر ولو كان المثل موجوداً في أول الأمر، والحال إنّك تقول بثبوت المثل في الذّمة بعد التعذّر وإنْ لم يكن شرطاً، فلا يكون شرطاً في المقامين، فلا وجه للتفرقة بين المقامين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 المحقق في التفرقة إلى أنَّه إذا كان المثل موجوداً يتعلّق التكليف بأداء المثل بالذّمة ، فبعد الإعواز يشك في ارتفاعه عن الذّمة بواسطة الشك في شرطيّة التمكن وعدمها، فيستصحب، بخلاف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بعدم جريان الاستصحاب هنا؛ بناءً على عدم حجية الاستصحاب في الشك في المقتضي؛ حيث إنَّ الشك هنا في أنّ التمكن من أداء المثل شرط في التكليف بالأداء أم لا؟ فيكون الشك في ثبوت المقتضي؛ لأنَّه لو كان التمكن شرطاً، فلا مقتضي للتكليف بعد التعذّر، فلا يجري الاستصحاب، وكذا لا يجري البقاء على الشك في كون التمكّن شرطاً، أو يكون التعذّر مانعاً؛ لأنّ شرط حجيّة الاستصحاب وجريانه إنّما هو في الشك في طرق المانع بعد إحراز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اللازم مما ذكره عدم جواز مطالبة المالك بالمثل لو وُجِد بعد فقده ، ولا أظنُ أحداً يلتزمه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أنْ يُقال بعدم الملازمة بين القول المذكور، وعدم جواز المطالبة بالمثل، بناءً على تعميم المثل في الآية وشموله للقيمة أيضاً، فيكون مفاد الآية الاعتداء بالمماثل، والمماثل </w:t>
      </w:r>
      <w:bookmarkStart w:id="201" w:name="pg9195_77112"/>
    </w:p>
    <w:p>
      <w:pPr>
        <w:pStyle w:val="BookText"/>
        <w:rPr/>
      </w:pPr>
      <w:bookmarkEnd w:id="201"/>
      <w:r>
        <w:rPr>
          <w:rFonts w:ascii="Amiri" w:hAnsi="Amiri" w:eastAsia="Amiri" w:cs="Amiri"/>
          <w:color w:val="111111"/>
          <w:sz w:val="28"/>
          <w:sz w:val="28"/>
          <w:szCs w:val="28"/>
          <w:rtl w:val="true"/>
          <w:lang w:bidi="ar-SA"/>
        </w:rPr>
        <w:t>يختلف باختلاف الحالات، ففي حال عدم وجود المثل يكون المثل هي القيمة، وبعد وجوده يكون المماثل هو المثل، فلا بُدَّ من دفعه إلى المالك بحكم الآية</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3921749_2870459653"/>
      <w:bookmarkStart w:id="203" w:name="_Toc71"/>
      <w:bookmarkEnd w:id="202"/>
      <w:r>
        <w:rPr>
          <w:rtl w:val="true"/>
        </w:rPr>
        <w:t xml:space="preserve">[ </w:t>
      </w:r>
      <w:r>
        <w:rPr>
          <w:rtl w:val="true"/>
        </w:rPr>
        <w:t xml:space="preserve">الآراء في معنى الإعواز والتوفيق بينها </w:t>
      </w:r>
      <w:r>
        <w:rPr>
          <w:rtl w:val="true"/>
        </w:rPr>
        <w:t>]</w:t>
      </w:r>
      <w:bookmarkEnd w:id="203"/>
    </w:p>
    <w:p>
      <w:pPr>
        <w:pStyle w:val="BookText"/>
        <w:rPr/>
      </w:pPr>
      <w:r>
        <w:rPr>
          <w:rFonts w:ascii="Amiri" w:hAnsi="Amiri" w:eastAsia="Amiri" w:cs="Amiri"/>
          <w:color w:val="111111"/>
          <w:sz w:val="28"/>
          <w:sz w:val="28"/>
          <w:szCs w:val="28"/>
          <w:rtl w:val="true"/>
          <w:lang w:bidi="ar-SA"/>
        </w:rPr>
        <w:t xml:space="preserve">ثم إنّ المحكي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بإعواز المثل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يوجد في البلد وما حوله</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المسالك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ينقل عادة إليه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جامع المقاصد الرجوع إلى العرف في الإعواز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المخالفة بين كلام العلّامة والشهيد وبين كلام المحقق، فمرادهما أيضاً بيان الإعواز العرفي، لكن الظاهر عدم صدق الإعواز العرفي بمجرد عدم الاستقرار العادي بالنقل، ولو لم يكن النقل مما لا ينقل عادةً صعباً لشخص، بل يكون النقل عليه سهلاً</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3921751_2870459653"/>
      <w:bookmarkStart w:id="205" w:name="_Toc72"/>
      <w:bookmarkEnd w:id="204"/>
      <w:r>
        <w:rPr>
          <w:rtl w:val="true"/>
        </w:rPr>
        <w:t xml:space="preserve">[ </w:t>
      </w:r>
      <w:r>
        <w:rPr>
          <w:rtl w:val="true"/>
        </w:rPr>
        <w:t xml:space="preserve">المطالبة بالمثل مع التعذّر؛ لقاعدة السلطنة </w:t>
      </w:r>
      <w:r>
        <w:rPr>
          <w:rtl w:val="true"/>
        </w:rPr>
        <w:t>]</w:t>
      </w:r>
      <w:bookmarkEnd w:id="20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مقتضى قاعدة سلطنة الناس على أموالهم جواز المطالبة بالمثل ولو كان متعذّراً عرفاً، ولا تكون مقيدة إلا بالتعذّر العقلي دون العرفي، فالتعدّي عنه إلى التعذّر العرفي محتاج إلى الدليل، وهو إمّا الأدلّة الدالّة على نفي الحرج والعسر ؛ لأنَّه يكون نقل المثل من البلاد البعيدة عسراً وحرجاً، فيكون منفياً بدليل الحرج، لكن لا بُدَّ من ملاحظة حال الأشخاص؛ إذ ربَّما لا يكون النقل حرجاً لبعض الأشخاص دون الآخر، فيجري دليل الحرج في حقّ من يكون النقل له حرجاً؛ إذ الظاهر أنّ مفاد دليل الحرج هو الحرج الشخصي لا النوعي حتّى يكون الحكم منفياً حتّى بالنسبة إلى شخص لم يحصل له الحرج، فيكون دليل الحرج معارضاً بدليل السلطنة، فلا بُدَّ من كونه حاكماً عليه أم لا؟ </w:t>
      </w:r>
      <w:bookmarkStart w:id="206" w:name="pg9195_77113"/>
    </w:p>
    <w:p>
      <w:pPr>
        <w:pStyle w:val="BookText"/>
        <w:rPr/>
      </w:pPr>
      <w:bookmarkEnd w:id="206"/>
      <w:r>
        <w:rPr>
          <w:rFonts w:ascii="Amiri" w:hAnsi="Amiri" w:eastAsia="Amiri" w:cs="Amiri"/>
          <w:color w:val="111111"/>
          <w:sz w:val="28"/>
          <w:sz w:val="28"/>
          <w:szCs w:val="28"/>
          <w:rtl w:val="true"/>
          <w:lang w:bidi="ar-SA"/>
        </w:rPr>
        <w:t xml:space="preserve">والظاهر حكومته، وسيجيء الكلام </w:t>
      </w:r>
      <w:r>
        <w:rPr>
          <w:rStyle w:val="FootnoteAnchor"/>
          <w:rtl w:val="true"/>
        </w:rPr>
        <w:footnoteReference w:id="258"/>
      </w:r>
      <w:r>
        <w:rPr>
          <w:rFonts w:ascii="Amiri" w:hAnsi="Amiri" w:eastAsia="Amiri" w:cs="Amiri"/>
          <w:color w:val="111111"/>
          <w:sz w:val="28"/>
          <w:sz w:val="28"/>
          <w:szCs w:val="28"/>
          <w:rtl w:val="true"/>
          <w:lang w:bidi="ar-SA"/>
        </w:rPr>
        <w:t>فيه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3921753_2870459653"/>
      <w:bookmarkStart w:id="208" w:name="_Toc73"/>
      <w:bookmarkEnd w:id="207"/>
      <w:r>
        <w:rPr>
          <w:rtl w:val="true"/>
        </w:rPr>
        <w:t xml:space="preserve">[ </w:t>
      </w:r>
      <w:r>
        <w:rPr>
          <w:rtl w:val="true"/>
        </w:rPr>
        <w:t>المدرك في كفاية التعذّر العرفي</w:t>
      </w:r>
      <w:r>
        <w:rPr>
          <w:rtl w:val="true"/>
        </w:rPr>
        <w:t>]</w:t>
      </w:r>
      <w:bookmarkEnd w:id="208"/>
    </w:p>
    <w:p>
      <w:pPr>
        <w:pStyle w:val="BookText"/>
        <w:rPr/>
      </w:pPr>
      <w:r>
        <w:rPr>
          <w:rFonts w:ascii="IRNazanin" w:hAnsi="IRNazanin" w:eastAsia="IRNazanin"/>
          <w:color w:val="111111"/>
          <w:sz w:val="28"/>
          <w:sz w:val="28"/>
          <w:szCs w:val="28"/>
          <w:rtl w:val="true"/>
          <w:lang w:bidi="fa-IR"/>
        </w:rPr>
        <w:t xml:space="preserve">وأمّا الإجماع على أنّ المدار على التعذّر العرفي، فالظاهر عدم تحقق الإجماع على هذا المعنى، بحيث يكشف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كلام الْمُجمعين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مختلفاً، وبعضهم </w:t>
      </w:r>
      <w:r>
        <w:rPr>
          <w:rStyle w:val="FootnoteAnchor"/>
          <w:rtl w:val="true"/>
        </w:rPr>
        <w:footnoteReference w:id="259"/>
      </w:r>
      <w:r>
        <w:rPr>
          <w:rFonts w:ascii="Amiri" w:hAnsi="Amiri" w:eastAsia="Amiri" w:cs="Amiri"/>
          <w:color w:val="111111"/>
          <w:sz w:val="28"/>
          <w:sz w:val="28"/>
          <w:szCs w:val="28"/>
          <w:rtl w:val="true"/>
          <w:lang w:bidi="ar-SA"/>
        </w:rPr>
        <w:t xml:space="preserve">عبَّر بالإعواز، وبعضهم </w:t>
      </w:r>
      <w:r>
        <w:rPr>
          <w:rStyle w:val="FootnoteAnchor"/>
          <w:rtl w:val="true"/>
        </w:rPr>
        <w:footnoteReference w:id="260"/>
      </w:r>
      <w:r>
        <w:rPr>
          <w:rFonts w:ascii="Amiri" w:hAnsi="Amiri" w:eastAsia="Amiri" w:cs="Amiri"/>
          <w:color w:val="111111"/>
          <w:sz w:val="28"/>
          <w:sz w:val="28"/>
          <w:szCs w:val="28"/>
          <w:rtl w:val="true"/>
          <w:lang w:bidi="ar-SA"/>
        </w:rPr>
        <w:t xml:space="preserve">عبَّر بالتعذّر، ولم ينعقد الإجماع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يرجع فيه إلى العرف</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3921755_2870459653"/>
      <w:bookmarkStart w:id="210" w:name="_Toc74"/>
      <w:bookmarkEnd w:id="209"/>
      <w:r>
        <w:rPr>
          <w:rtl w:val="true"/>
        </w:rPr>
        <w:t xml:space="preserve">[ </w:t>
      </w:r>
      <w:r>
        <w:rPr>
          <w:rtl w:val="true"/>
        </w:rPr>
        <w:t>المدرك على ثبوت القيمة حال تعذّر المثل</w:t>
      </w:r>
      <w:r>
        <w:rPr>
          <w:rtl w:val="true"/>
        </w:rPr>
        <w:t>]</w:t>
      </w:r>
      <w:bookmarkEnd w:id="210"/>
    </w:p>
    <w:p>
      <w:pPr>
        <w:pStyle w:val="BookText"/>
        <w:rPr/>
      </w:pPr>
      <w:r>
        <w:rPr>
          <w:rFonts w:ascii="Amiri" w:hAnsi="Amiri" w:eastAsia="Amiri" w:cs="Amiri"/>
          <w:color w:val="111111"/>
          <w:sz w:val="28"/>
          <w:sz w:val="28"/>
          <w:szCs w:val="28"/>
          <w:rtl w:val="true"/>
          <w:lang w:bidi="ar-SA"/>
        </w:rPr>
        <w:t>وأمّا التمسّك بالآية الشريفة لإثبات القيمة عند التعذّر العرفي، حيث إنّ مفادها جواز الاعتداء بالمماثل، والمماثل عند التعذّر العرفي هي القيمة، فليس في محلّه؛ إذ المسلم إيكاله إلى العرف في هذه الآية هو تعيين المثل، ولا نسلّم الإيكال اليهم في تعيينهم المثل في الحالات، واسطة تنزيلهم الإعواز منزلة التعذّر العقلي؛ إذ الظاهر أنّ بناء العُرف أولاً على أن المثل وجوده هو المماثل في الصفات، وعند عدمه هي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حكمهم بالقيمة في مقام التغريم بعد الإعواز العرفي، فإنّما هو من جهة تنزيلهم هذا الإعواز منزلة التعذّر العقلي، ولا نسلِّم إيكال الشارع إلى العرف حتّى في هذا التنزيل والتسامح، بل المسلَّم من الإيكال هو تعيين المثل ابتداءً وحقيقةً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نظر العلماء في حكمهم بثبوت القيمة عند الإعواز العرفي إلى الرواية الواردة في باب السَّلَم </w:t>
      </w:r>
      <w:r>
        <w:rPr>
          <w:rStyle w:val="FootnoteAnchor"/>
          <w:rtl w:val="true"/>
        </w:rPr>
        <w:footnoteReference w:id="261"/>
      </w:r>
      <w:r>
        <w:rPr>
          <w:rFonts w:ascii="IRNazanin" w:hAnsi="IRNazanin" w:eastAsia="IRNazanin"/>
          <w:color w:val="111111"/>
          <w:sz w:val="28"/>
          <w:sz w:val="28"/>
          <w:szCs w:val="28"/>
          <w:rtl w:val="true"/>
          <w:lang w:bidi="fa-IR"/>
        </w:rPr>
        <w:t xml:space="preserve">، حيث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لم يقدر المسلم فيه تخيّر المشتري؛ لعدم الفرق </w:t>
      </w:r>
    </w:p>
    <w:p>
      <w:pPr>
        <w:pStyle w:val="BookText"/>
        <w:rPr/>
      </w:pPr>
      <w:r>
        <w:rPr>
          <w:rFonts w:ascii="Amiri" w:hAnsi="Amiri" w:eastAsia="Amiri" w:cs="Amiri"/>
          <w:color w:val="111111"/>
          <w:sz w:val="28"/>
          <w:sz w:val="28"/>
          <w:szCs w:val="28"/>
          <w:rtl w:val="true"/>
          <w:lang w:bidi="ar-SA"/>
        </w:rPr>
        <w:t>بين ما نحن فيه، وبين السَّلَم من حيث الفقدان، وحكموا ثمَّة بكفاية الإعواز العرفي</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وحكمهم فيه بالإعواز العرفي، إمّا من جهة التنزيل والمجاز العقلي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لجعلهم الإعواز العرفي من أفراد عدم القدرة؛ تنزيلاً وادعاءً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بُعده؛ إذ هو موقوف على كون هذا الفرد شائعاً ومشهوراً، وليس كذلك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جهة التصرّف في متعلّق عدم القدرة، حيث إنّ متعلّق عدم القدرة وظرفه تارةً يكون جميع البلدان وتحت قبّة القمر، وتارةً يكون المتعلّق هو خصوص البلد وما حوله وهذا ليس تصرفاً في عدم القدرة، بل هو باقٍ على معناه الحقيقي، غاية الأمر تضييق دائرة متعلّقه؛ بدعوى انصراف عدم القدرة إلى عدم القدرة في هذا البلد وما حوله</w:t>
      </w:r>
      <w:r>
        <w:rPr>
          <w:rFonts w:eastAsia="Amiri" w:cs="Amiri" w:ascii="Amiri" w:hAnsi="Amiri"/>
          <w:color w:val="111111"/>
          <w:sz w:val="28"/>
          <w:szCs w:val="28"/>
          <w:rtl w:val="true"/>
          <w:lang w:bidi="ar-SA"/>
        </w:rPr>
        <w:t xml:space="preserve">. </w:t>
      </w:r>
      <w:bookmarkStart w:id="211" w:name="pg9195_77115"/>
    </w:p>
    <w:p>
      <w:pPr>
        <w:pStyle w:val="Heading3"/>
        <w:numPr>
          <w:ilvl w:val="2"/>
          <w:numId w:val="1"/>
        </w:numPr>
        <w:rPr/>
      </w:pPr>
      <w:bookmarkStart w:id="212" w:name="__RefHeading___Toc3921757_2870459653"/>
      <w:bookmarkStart w:id="213" w:name="_Toc75"/>
      <w:bookmarkEnd w:id="211"/>
      <w:bookmarkEnd w:id="212"/>
      <w:r>
        <w:rPr>
          <w:rtl w:val="true"/>
        </w:rPr>
        <w:t>إشارة</w:t>
      </w:r>
      <w:bookmarkEnd w:id="2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المسألة السادسة من المسائل المتعلقة بالرِّبا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الضميمة التي بها يتخلّص عن الرِّبا،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يضم الضميمة إلى كلٍّ من العوضين، فنصرف الضميمة إلى ما يخالفها في الطرف الآخر، وتارةً يضم إلى أحد العوضين،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بصورتين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تضم إلى الناقص، فتكون مقابلة للزيادة الكائنة في الطرف الآخر،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يتخلّص بها عن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يضم إلى الزائد وهذه ليست مخرجة عن الرِّبا، بل تزيد الرِّبا،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لو لم تكن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الرِّبا بواسطة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للضميمة 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بُدَّ أنْ تكون مقابلة بالأعواض ، فلو لم تكن مقابَلة بالأعواض، كأن تكون من قبيل الأوصاف والشروط، لا تُثمر في دفع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مما يتسامح بها عادةً، كقليل من التبن في حقِّة الحنطة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الضميمة معنونة بعنوان الضميمة، ولو كانت قليلة كمدٍّ من التبن في عشرين منّاً من الحنطة، فيكون المعتبر عنوان الضميمة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هذا الحكم مشهور بين الأصحاب </w:t>
      </w:r>
      <w:r>
        <w:rPr>
          <w:rStyle w:val="FootnoteAnchor"/>
          <w:rtl w:val="true"/>
        </w:rPr>
        <w:footnoteReference w:id="263"/>
      </w:r>
      <w:r>
        <w:rPr>
          <w:rFonts w:ascii="Amiri" w:hAnsi="Amiri" w:eastAsia="Amiri" w:cs="Amiri"/>
          <w:color w:val="111111"/>
          <w:sz w:val="28"/>
          <w:sz w:val="28"/>
          <w:szCs w:val="28"/>
          <w:rtl w:val="true"/>
          <w:lang w:bidi="ar-SA"/>
        </w:rPr>
        <w:t xml:space="preserve">شهرةً منقولةً ومحصلةً، وادُّعي </w:t>
      </w:r>
    </w:p>
    <w:p>
      <w:pPr>
        <w:pStyle w:val="BookText"/>
        <w:rPr/>
      </w:pPr>
      <w:r>
        <w:rPr>
          <w:rFonts w:ascii="Amiri" w:hAnsi="Amiri" w:eastAsia="Amiri" w:cs="Amiri"/>
          <w:color w:val="111111"/>
          <w:sz w:val="28"/>
          <w:sz w:val="28"/>
          <w:szCs w:val="28"/>
          <w:rtl w:val="true"/>
          <w:lang w:bidi="ar-SA"/>
        </w:rPr>
        <w:t xml:space="preserve">عليه الإجماعات الكثيرة المستفيضة </w:t>
      </w:r>
      <w:r>
        <w:rPr>
          <w:rStyle w:val="FootnoteAnchor"/>
          <w:rtl w:val="true"/>
        </w:rPr>
        <w:footnoteReference w:id="264"/>
      </w:r>
      <w:r>
        <w:rPr>
          <w:rFonts w:ascii="Amiri" w:hAnsi="Amiri" w:eastAsia="Amiri" w:cs="Amiri"/>
          <w:color w:val="111111"/>
          <w:sz w:val="28"/>
          <w:sz w:val="28"/>
          <w:szCs w:val="28"/>
          <w:rtl w:val="true"/>
          <w:lang w:bidi="ar-SA"/>
        </w:rPr>
        <w:t xml:space="preserve">، بل المتواترة، والأخبارُ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عليه ، فلا شبهة في أصل الحكم، إنّما الكلام في منشأ وجه هذا الحكم، ويحتمل فيه وجوه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كلٍّ من الضميمتين إلى مقابله من الطرف الآخر، كأن يبيع مدّاً من الحنطة ودرهماً بمدین و درهمین فينصرف المدّ بدرهمين، ويُصرف الدرهم إلى المدّين، فتكون المعاوضة بغير الجنس في كلّ منهما، ويظهر هذا من بعض العلماء </w:t>
      </w:r>
      <w:r>
        <w:rPr>
          <w:rStyle w:val="FootnoteAnchor"/>
          <w:rtl w:val="true"/>
        </w:rPr>
        <w:footnoteReference w:id="26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بعيدٌ؛ لأنّ العقود تابعة للقصود، وليس قصد المتعاقدين مقابلة كلٍّ بمقابله، بل قصدهما مقابلة المجموع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خروجهما بذلك عن الرِّبا، وعن كون بيع الجنس بالجنس؛ لأنَّ المدّ من الحنطة ودرهماً غير المدّين ودرهمين؛ لأنّ قصدهما هو مقابلة المجموع بالمجموع، وهذا المجموع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ضم الضميمة إلى الزائد كان على هذا مثمراً؛ لأنّ مجموع الزائد مع الضميمة غير الناقص</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حكم بخروج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الرِّبا، ولا ندري وجهه وسببه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يشكل هذا الوجه بأنَّه يُستفاد من الأخبار أنّ هذه حيلة يخرج بها عن الرِّبا،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هذا البيع ربوياً؛ بمقتضى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ضم الضميمة صار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الخروج عن القاعدة، ولو كان هذا الحكم من باب محض التعبّد لم يكن حيلةً؛ لأنّ مقتضى التعبّد أنّ هذا الحكم وإنْ كان مخالفاً للقاعدة إلّا إنا صرنا إليه من باب قول الشارع بعدم الرِّبا في هذا التقدير </w:t>
      </w:r>
      <w:r>
        <w:rPr>
          <w:rFonts w:eastAsia="Amiri" w:cs="Amiri" w:ascii="Amiri" w:hAnsi="Amiri"/>
          <w:color w:val="111111"/>
          <w:sz w:val="28"/>
          <w:szCs w:val="28"/>
          <w:rtl w:val="true"/>
          <w:lang w:bidi="ar-SA"/>
        </w:rPr>
        <w:t xml:space="preserve">. </w:t>
      </w:r>
      <w:bookmarkStart w:id="214" w:name="pg9195_77117"/>
    </w:p>
    <w:p>
      <w:pPr>
        <w:pStyle w:val="Heading3"/>
        <w:numPr>
          <w:ilvl w:val="2"/>
          <w:numId w:val="1"/>
        </w:numPr>
        <w:rPr/>
      </w:pPr>
      <w:bookmarkStart w:id="215" w:name="__RefHeading___Toc3921759_2870459653"/>
      <w:bookmarkStart w:id="216" w:name="_Toc76"/>
      <w:bookmarkEnd w:id="214"/>
      <w:bookmarkEnd w:id="215"/>
      <w:r>
        <w:rPr>
          <w:rtl w:val="true"/>
        </w:rPr>
        <w:t xml:space="preserve">[ </w:t>
      </w:r>
      <w:r>
        <w:rPr>
          <w:rtl w:val="true"/>
        </w:rPr>
        <w:t xml:space="preserve">الأوجَه من الوجوه، والإشكال عليه، وردَّه </w:t>
      </w:r>
      <w:r>
        <w:rPr>
          <w:rtl w:val="true"/>
        </w:rPr>
        <w:t>]</w:t>
      </w:r>
      <w:bookmarkEnd w:id="216"/>
    </w:p>
    <w:p>
      <w:pPr>
        <w:pStyle w:val="BookText"/>
        <w:rPr/>
      </w:pPr>
      <w:r>
        <w:rPr>
          <w:rFonts w:ascii="Amiri" w:hAnsi="Amiri" w:eastAsia="Amiri" w:cs="Amiri"/>
          <w:color w:val="111111"/>
          <w:sz w:val="28"/>
          <w:sz w:val="28"/>
          <w:szCs w:val="28"/>
          <w:rtl w:val="true"/>
          <w:lang w:bidi="ar-SA"/>
        </w:rPr>
        <w:t>فالأحسنُ من الوجوه هو القول بأنَّه يصير الجنسان مختلفين بواسطة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مقتضى هذا الوجه، هو عدم الحكم بالرِّبا في صورة الضميمة إلى الزائد أيضاً، لكنّا خرجنا عنها بالإجماع، وقد عرفت كون أصل الحكم مشهوراً، بل إجماعاً، ولم يظهر مخالف إلا الشافعي </w:t>
      </w:r>
      <w:r>
        <w:rPr>
          <w:rStyle w:val="FootnoteAnchor"/>
          <w:rtl w:val="true"/>
        </w:rPr>
        <w:footnoteReference w:id="267"/>
      </w:r>
      <w:r>
        <w:rPr>
          <w:rFonts w:ascii="Amiri" w:hAnsi="Amiri" w:eastAsia="Amiri" w:cs="Amiri"/>
          <w:color w:val="111111"/>
          <w:sz w:val="28"/>
          <w:sz w:val="28"/>
          <w:szCs w:val="28"/>
          <w:rtl w:val="true"/>
          <w:lang w:bidi="ar-SA"/>
        </w:rPr>
        <w:t xml:space="preserve">حيث حكم بالبطلان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للزوم الرِّبا على تقدير التقسيط؛ إذ يكون مجموع الثمن مقابلاً لمجموع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بطلان انصراف كلّ إلى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مقابلة المجموع بالمجموع هو مقابلة كلّ جزء مشاع من الثمن بكل جزء من المُثمن، مثلاً في مثل بيع مُدٍّ ودرهم بمدين ودرهمين، يكون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مقابلاً لمدٍّ ودرهم فيصير الدرهم مقابلاً لدرهم ومدّ، فيحصل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هذا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صرف كل جنس بمخالفه، فيكون على تقدير التقسيط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المدُّ مقابلاً لدرهمين، والدرهم مقابلاً للمُدَّين، فلا يلزم الرِّبا، ومرجعه حقيقةً إلى منع مقابلة المجموع بالمجموع، بل مقابلة كل جنس إلى مخالفه، وقد عرفت 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كون المجموع مقابلاً للمجموع ، ولا يلزم الرِّبا على تقدير التقسيط أيضاً؛ لأنا نقسّط بطريق آخر، مثل أن نقابل نصف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نصف الدرهم، ونصفه الآخر في مقابل المدّ ونصف، فيكون نصف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نصف المدّ، ونصفه الآخر في مقابل درهم ونصف، وهكذا، ولا يلزم محذور على هذا، وليس التقسيط بالطريق الأول متعيّناً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المضرّة، هي الزيادة في أصل العقد،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العقد على الزائد، وكون الزيادة مقصودة حال العقد؛ لأنّ الأخبار دالّة على عدم وجود الزيادة حين البيع؛ لأنّ مدلولها النهي عن البيع بالمتفاضلين، فيعلم أن المناط هو الزيادة في حال البيع، دون الزيادة الحاصلة بسبب التقسيط، فاندفع الإشكال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أنّه قد يُشكل الأمر في بعض الصور،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لأحد المتبايعين خيار في الضميمة،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حيواناً ففسخ، فحصل خيار تبعض الصفقة للآخر فيفسخ مثلاً، فإن جعلنا الفسخ معاوضةً، فيكون الرِّبا عند الفسخ ؛ لأنَّه عاوض الشيء الذي كان ناقصاً، وانضم إليه الضميمة بالشيء الآخر الذي كان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كاشف عن وقوع العقد على غير الضميمة أولاً، لا كون الفسخ ناقلاً من حين الفسخ نظير الخلاف في الإجازة في البيع الفضولي، ومثل ما لو 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الضميمة قبل القبض، فيكون العقد منفسخاً إلى مقابله، فإن جعلنا الانفساخ من حين التلف لا حين العقد ، بمعنى كون التلف ناقلاً عن الملك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كاشفاً من حين العقد، فلا يرد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جعلناه كاشفاً عن عدم وقوع الملك أولاً بالمقابل، فوقع البيع أولاً على الزائد والناقص، غاية الأمر عدم علمنا إياه، والمعتبر في الزيادة هي الزيادة النفس الأمرية لا الزيادة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إشكالاً ما لو ظهر كون الضميمة مستحقة للغير، فيكون العقد واقعاً من أول الأمر على الزيادة، فكان البيع ربوياً، فيشكل الأمر في هذه الصور، بناءً على أن الزيادة المعتبرة هي الزيادة النفس الأمريّة؛ لأنّ المستفاد هو المنع عن البيع بغير المتساوي مطلقاً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ننفي عدم الزيادة النفس الأمرية، لكن مع كونها مقصودة بالبيع في ضمن المبيع ، ولو لم تكن بعنوان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 بيع 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الزيادة معلومة، لكن لمّا تعلّق القصد بالمبيع تعلّق بالزيادة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ضمنه، وفيما نحن فيه لم تكن الزيادة مقصودة، بل المقصود التساوي، لكن فهم المقصوديّة من الأخبار محلّ تأمل، كذا قال الشيخ الأستاذ</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217" w:name="pg9195_77119"/>
    </w:p>
    <w:p>
      <w:pPr>
        <w:pStyle w:val="Heading3"/>
        <w:numPr>
          <w:ilvl w:val="2"/>
          <w:numId w:val="1"/>
        </w:numPr>
        <w:rPr/>
      </w:pPr>
      <w:bookmarkStart w:id="218" w:name="__RefHeading___Toc3921761_2870459653"/>
      <w:bookmarkStart w:id="219" w:name="_Toc77"/>
      <w:bookmarkEnd w:id="217"/>
      <w:bookmarkEnd w:id="218"/>
      <w:r>
        <w:rPr>
          <w:rtl w:val="true"/>
        </w:rPr>
        <w:t xml:space="preserve">( </w:t>
      </w:r>
      <w:r>
        <w:rPr>
          <w:rtl w:val="true"/>
        </w:rPr>
        <w:t xml:space="preserve">من الحِيَل للفرار عن الرِّبا </w:t>
      </w:r>
      <w:r>
        <w:rPr>
          <w:rtl w:val="true"/>
        </w:rPr>
        <w:t>)</w:t>
      </w:r>
      <w:bookmarkEnd w:id="219"/>
    </w:p>
    <w:p>
      <w:pPr>
        <w:pStyle w:val="BookText"/>
        <w:rPr/>
      </w:pPr>
      <w:r>
        <w:rPr>
          <w:rFonts w:ascii="Amiri" w:hAnsi="Amiri" w:eastAsia="Amiri" w:cs="Amiri"/>
          <w:color w:val="111111"/>
          <w:sz w:val="28"/>
          <w:sz w:val="28"/>
          <w:szCs w:val="28"/>
          <w:rtl w:val="true"/>
          <w:lang w:bidi="ar-SA"/>
        </w:rPr>
        <w:t xml:space="preserve">ومن الحيل لعدم لزوم الرِّبا بيع أحدهما بثمن، ثم بيع الآخر بذلك الثمن، وكذا هبة كلٍّ منها، بأن يهب مالكُ الناقصِ الناقصَ، ثم يهب مالكُ الزائد، أو يقرض أحدهما الآخر أحدهما، ثم يقرضه الآخر، ثم يتباريا، لكن بغير شرط بأن لم يشترط الهبة بهبة الآخر إياه، كذا قال المحقق </w:t>
      </w:r>
      <w:r>
        <w:rPr>
          <w:rStyle w:val="FootnoteAnchor"/>
          <w:rtl w:val="true"/>
        </w:rPr>
        <w:footnoteReference w:id="269"/>
      </w:r>
      <w:r>
        <w:rPr>
          <w:rFonts w:ascii="Amiri" w:hAnsi="Amiri" w:eastAsia="Amiri" w:cs="Amiri"/>
          <w:color w:val="111111"/>
          <w:sz w:val="28"/>
          <w:sz w:val="28"/>
          <w:szCs w:val="28"/>
          <w:rtl w:val="true"/>
          <w:lang w:bidi="ar-SA"/>
        </w:rPr>
        <w:t>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على من يشترط الغاية،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هذا الناقص بشرط كون الزائد مالي بهذا الثمن كملاً من دون احتياج إلى عقد آخر، وهذا لا يجوز؛ لأنّ العقد يشتمل على الزيادة، ولا يكون البيع بالتساوي، فكأنّه باع أحد المتجانسين بالآخر مع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يكون الشرط هو الالتزام ببيع الآخر بهذا الثمن،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الإشكال؛ لأنّ المفهوم من أدلّة الرِّبا هو عدم كون البيع منشأ للزيادة، ولو بكونه سبباً للالتزام، وهذان الأمران في القسمين جاريان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يناقش في هذه الوجوه بأنَّها لم تكن مقصودة، بل المقصود هو أخذ الزيادة، فيكون المقصود بالبيع هو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مقصودة لا محالة ، ولو بواسطة شيء آخر، وهو التخلّص عن الرِّبا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للعقد مدلولين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مطابقياً، والتزامياً، وغاية ما يلزم قصده هو المدلول المطابقي، وهو حاصل فيما نحن فيه </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9195_77121"/>
      <w:bookmarkStart w:id="221" w:name="pg9195_77121"/>
      <w:bookmarkEnd w:id="221"/>
    </w:p>
    <w:p>
      <w:pPr>
        <w:pStyle w:val="Heading3"/>
        <w:numPr>
          <w:ilvl w:val="2"/>
          <w:numId w:val="1"/>
        </w:numPr>
        <w:rPr/>
      </w:pPr>
      <w:bookmarkStart w:id="222" w:name="pg9195_77121"/>
      <w:bookmarkStart w:id="223" w:name="__RefHeading___Toc3921763_2870459653"/>
      <w:bookmarkStart w:id="224" w:name="_Toc78"/>
      <w:bookmarkEnd w:id="222"/>
      <w:bookmarkEnd w:id="223"/>
      <w:r>
        <w:rPr>
          <w:rtl w:val="true"/>
        </w:rPr>
        <w:t>(</w:t>
      </w:r>
      <w:r>
        <w:rPr>
          <w:rtl w:val="true"/>
        </w:rPr>
        <w:t>مسألة ذكرها الفقهاء</w:t>
      </w:r>
      <w:r>
        <w:rPr>
          <w:rtl w:val="true"/>
        </w:rPr>
        <w:t>)</w:t>
      </w:r>
      <w:bookmarkEnd w:id="224"/>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أوقع الشخص المعاملة الربوية، يكون البيع باطلاً، ويكون مكلّفاً بردّ المال إلى صاحبه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كان أو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مكلّفاً بالردّ، أو يكون مكلّفاً في صورة العلم دون الجهل ؟</w:t>
      </w:r>
    </w:p>
    <w:p>
      <w:pPr>
        <w:pStyle w:val="BookText"/>
        <w:rPr/>
      </w:pPr>
      <w:r>
        <w:rPr>
          <w:rFonts w:ascii="Amiri" w:hAnsi="Amiri" w:eastAsia="Amiri" w:cs="Amiri"/>
          <w:color w:val="111111"/>
          <w:sz w:val="28"/>
          <w:sz w:val="28"/>
          <w:szCs w:val="28"/>
          <w:rtl w:val="true"/>
          <w:lang w:bidi="ar-SA"/>
        </w:rPr>
        <w:t>وكلام الفقهاء مختلف في هذه المسألة، وقبل الخوض في كلامهم لا بُدَّ من تحقيق المطلب، بحيث يظهر الحق في المسألة بحسب القاعدة، ثم نرجع إلى الأخبار وكلمات الفقهاء،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المفهوم من أدلّة حرمة الرِّبا، والمعاملة الربوية، هو كون عدم الزيادة شرطاً واقعياً؛ لأنَّ الجواز معلّق على بيع المثل بالمثل مطلقاً، ومقتضى الشرطية بطلان المشروط وفساده في صورة انتفاء الشرط، سواءً كان انتفاء الشرط معلوماً أم لا، وأيضاً مقتضى تعلّق النهي بالمعاملة فسادها، وإذا كانت المعاملة فاسدة، فلا يترتب عليها شيء، فيكون كلُّ من العوضين ملكاً لصاحبه، ويكون أكلُه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فرق بين الزائد وأصل العوضين، ولا فرق بينهما في وجوب ردّهما إلى الصاحب إنْ كان معلوماً، وإنْ كان مجهولاً يتصدّق به عنه، فالكلام ليس 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الجاهل والعالم؛ لكون عدم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للمعاملة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واقعيّاً لا شرطاً علميّاً، فمقتضى ذلك فساد المعاملة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العلم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ردّ كلّ عوض إلى صاحبه بمقتضى فساد المعاملة؛ وبمقتضى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يظهر من بعضٍ </w:t>
      </w:r>
      <w:r>
        <w:rPr>
          <w:rStyle w:val="FootnoteAnchor"/>
          <w:rtl w:val="true"/>
        </w:rPr>
        <w:footnoteReference w:id="270"/>
      </w:r>
      <w:r>
        <w:rPr>
          <w:rFonts w:ascii="Amiri" w:hAnsi="Amiri" w:eastAsia="Amiri" w:cs="Amiri"/>
          <w:color w:val="111111"/>
          <w:sz w:val="28"/>
          <w:sz w:val="28"/>
          <w:szCs w:val="28"/>
          <w:rtl w:val="true"/>
          <w:lang w:bidi="ar-SA"/>
        </w:rPr>
        <w:t>عدم وجوب الردّ مع العلم، ليس في محلّه، وكأنّ منشأ التوهم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عكس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يضمن بصحيحه لا يضمن بفاسده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أنّ الزيادة لو وهبت، أو تكون مُلتَزَمة في عقد لم تكن مضموناً عليه، فلا يضمن بالتزامه في هذا 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كل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نسلّم عدم الضمان لو وقعت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قياسه على بيع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المشتري بالغصب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على عدم الضمان لو تلفت العين </w:t>
      </w:r>
      <w:r>
        <w:rPr>
          <w:rStyle w:val="FootnoteAnchor"/>
          <w:rtl w:val="true"/>
        </w:rPr>
        <w:footnoteReference w:id="271"/>
      </w:r>
      <w:r>
        <w:rPr>
          <w:rFonts w:ascii="Amiri" w:hAnsi="Amiri" w:eastAsia="Amiri" w:cs="Amiri"/>
          <w:color w:val="111111"/>
          <w:sz w:val="28"/>
          <w:sz w:val="28"/>
          <w:szCs w:val="28"/>
          <w:rtl w:val="true"/>
          <w:lang w:bidi="ar-SA"/>
        </w:rPr>
        <w:t>، بل لو كانت العين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لأنَّه مخالفٌ للقاعدة، خرجنا عنها فيه بواسطة الدليل، فلا بُدَّ أن نقتصر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باب الإجماع، فلا يتعدى في غير محل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في الضمان، ووجوب ردّ الجميع في القرض وغيره في سائر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بعض </w:t>
      </w:r>
      <w:r>
        <w:rPr>
          <w:rStyle w:val="FootnoteAnchor"/>
          <w:rtl w:val="true"/>
        </w:rPr>
        <w:footnoteReference w:id="272"/>
      </w:r>
      <w:r>
        <w:rPr>
          <w:rFonts w:ascii="Amiri" w:hAnsi="Amiri" w:eastAsia="Amiri" w:cs="Amiri"/>
          <w:color w:val="111111"/>
          <w:sz w:val="28"/>
          <w:sz w:val="28"/>
          <w:szCs w:val="28"/>
          <w:rtl w:val="true"/>
          <w:lang w:bidi="ar-SA"/>
        </w:rPr>
        <w:t xml:space="preserve">من وجوب ردّ الزائد خاصة في القرض، وردّ الجميع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اعترافه بفساد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منشأ توهمه وقوع التهاتر في القرض بالنسبة إلى غير الزائد، وهو باطل؛ لأنّ المعاملة فاسدة حين القرض، وإنْ وقع التهاتر فإنّما هو في مقام الرِّضا والأداء، فالمعاملة أولاً فاسدة لا تكون واقعة حتّى يقع التهاتر أم لا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ذلك، نفرض الكلام فيما لو اقترض وزنة من الحنطة بوزنتين من الشعير، فهنا لم يقع التهاتر؛ لأنّ الجنس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متحداً في باب الرِّبا إلا أنه من باب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الجنس مختلفاً في القرض لم يقع التهاتر قطعاً، ويحتاج إلى المعاوضة، فتحقق الرِّبا، فكيف يمكن القول بردّ الزائد، خاصة مع الاعتراف بفساد المعاملة ؟</w:t>
      </w:r>
      <w:r>
        <w:rPr>
          <w:rFonts w:eastAsia="Amiri" w:cs="Amiri" w:ascii="Amiri" w:hAnsi="Amiri"/>
          <w:color w:val="111111"/>
          <w:sz w:val="28"/>
          <w:szCs w:val="28"/>
          <w:rtl w:val="true"/>
          <w:lang w:bidi="ar-SA"/>
        </w:rPr>
        <w:t xml:space="preserve">! </w:t>
      </w:r>
      <w:bookmarkStart w:id="225" w:name="pg9195_77123"/>
    </w:p>
    <w:p>
      <w:pPr>
        <w:pStyle w:val="Heading3"/>
        <w:numPr>
          <w:ilvl w:val="2"/>
          <w:numId w:val="1"/>
        </w:numPr>
        <w:rPr/>
      </w:pPr>
      <w:bookmarkStart w:id="226" w:name="__RefHeading___Toc3921765_2870459653"/>
      <w:bookmarkStart w:id="227" w:name="_Toc79"/>
      <w:bookmarkEnd w:id="225"/>
      <w:bookmarkEnd w:id="226"/>
      <w:r>
        <w:rPr>
          <w:rtl w:val="true"/>
        </w:rPr>
        <w:t>[</w:t>
      </w:r>
      <w:r>
        <w:rPr>
          <w:rtl w:val="true"/>
        </w:rPr>
        <w:t xml:space="preserve">قولان آخران في شرطية عدم الزيادة </w:t>
      </w:r>
      <w:r>
        <w:rPr>
          <w:rtl w:val="true"/>
        </w:rPr>
        <w:t>]</w:t>
      </w:r>
      <w:bookmarkEnd w:id="227"/>
    </w:p>
    <w:p>
      <w:pPr>
        <w:pStyle w:val="BookText"/>
        <w:rPr/>
      </w:pPr>
      <w:r>
        <w:rPr>
          <w:rFonts w:ascii="Amiri" w:hAnsi="Amiri" w:eastAsia="Amiri" w:cs="Amiri"/>
          <w:color w:val="111111"/>
          <w:sz w:val="28"/>
          <w:sz w:val="28"/>
          <w:szCs w:val="28"/>
          <w:rtl w:val="true"/>
          <w:lang w:bidi="ar-SA"/>
        </w:rPr>
        <w:t xml:space="preserve">وفي مقابل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عدم الزيادة شرطاً واقعياً للمعاملة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كونه شرطاً علميّاً، وهو باطلٌ؛ لأنَّه يقتضي كون المعاملة صحيحة وفاسدة، لو كان أحد المتعاوضين عالماً والآخر جاهلاً، وهو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باب التَّعَبُّد لا كونه شرطاً، وهو مخالفٌ لسياق الأخبار، وفهم الأصحاب؛ حيث يردّون على أبي حنيفة </w:t>
      </w:r>
      <w:r>
        <w:rPr>
          <w:rStyle w:val="FootnoteAnchor"/>
          <w:rtl w:val="true"/>
        </w:rPr>
        <w:footnoteReference w:id="273"/>
      </w:r>
      <w:r>
        <w:rPr>
          <w:rFonts w:ascii="Amiri" w:hAnsi="Amiri" w:eastAsia="Amiri" w:cs="Amiri"/>
          <w:color w:val="111111"/>
          <w:sz w:val="28"/>
          <w:sz w:val="28"/>
          <w:szCs w:val="28"/>
          <w:rtl w:val="true"/>
          <w:lang w:bidi="ar-SA"/>
        </w:rPr>
        <w:t>حيث يقول بوجوب ردّ الزائد، فتكون المعاملة بالنسبة إلى الباقي صحيحة، ويقولون إنّها شرط، ومقتضى الشرطيّة البطلان، هذا بحسب القاعدة، فلنرجع إلى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فرَّقوا في العلم والجهل ، وقالوا بردّ الزائد خاصة في صورة العلم، وهذا مخالفٌ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وموافق لظاهر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تُبْتُمْ فَلَكُمْ رُءُوسُ أَمْوَالِكُمْ</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 وظاهر بعض الأخبار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منافٍ لقولهم بكون عدم الزيادة شرطاً؛ ردّاً على أبي حنيفة، فلا بُدَّ أنْ يحمل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أنَّ ما يجب ردُّه على كل حال هو الزائد ولكن ما سواه لا يجب، بل يؤخذ إمّا من باب التقاص، وإما لأنَّ الغالب في المعاملة الربويّة هو القرض، والغالب فيه أداؤه بالجنس، ويقع التهاتر بالنسبة إلى غير الزائد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من باب فهمهم التعبُّد، ومحض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التكليفي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ممنوع؛ لما سمعته من أنّهم يردّون على أبي حنيفة بكونه شرطاً، والآية يمكن تنزيلها على زمان الجاهلية، إلا أنّه على هذا لا يجب ردّ الزائد أيضاً، ويمكن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الرِّبا غالباً في القرض، ويقع التهاتر بالنسبة إلى غير الزائد، هذا ما قالوه في صورة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صورة الجهل ، فقالوا بعدم وجوب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القدماء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المتأخرين </w:t>
      </w:r>
      <w:r>
        <w:rPr>
          <w:rStyle w:val="FootnoteAnchor"/>
          <w:rtl w:val="true"/>
        </w:rPr>
        <w:footnoteReference w:id="277"/>
      </w:r>
      <w:r>
        <w:rPr>
          <w:rFonts w:ascii="Amiri" w:hAnsi="Amiri" w:eastAsia="Amiri" w:cs="Amiri"/>
          <w:color w:val="111111"/>
          <w:sz w:val="28"/>
          <w:sz w:val="28"/>
          <w:szCs w:val="28"/>
          <w:rtl w:val="true"/>
          <w:lang w:bidi="ar-SA"/>
        </w:rPr>
        <w:t xml:space="preserve">تأملوا في ذلك الحكم؛ نظراً إلى القاعدة؛ لأنَّ الصحة والفساد من أحكام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يدوران على العلم، بل لا فرق في أحكام الوضع بين العلم والجهل، فلا بُدَّ من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المعروف، بل المشهور خاصة القدماء </w:t>
      </w:r>
      <w:r>
        <w:rPr>
          <w:rStyle w:val="FootnoteAnchor"/>
          <w:rtl w:val="true"/>
        </w:rPr>
        <w:footnoteReference w:id="278"/>
      </w:r>
      <w:r>
        <w:rPr>
          <w:rFonts w:ascii="Amiri" w:hAnsi="Amiri" w:eastAsia="Amiri" w:cs="Amiri"/>
          <w:color w:val="111111"/>
          <w:sz w:val="28"/>
          <w:sz w:val="28"/>
          <w:szCs w:val="28"/>
          <w:rtl w:val="true"/>
          <w:lang w:bidi="ar-SA"/>
        </w:rPr>
        <w:t xml:space="preserve">عليه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الردّ، والأخبار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متضافرة، وظاهرُ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عليه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لكن بعضهم صرّح بكون المعاملة صحيحة في حال الجهل كصاحب الحدائق</w:t>
      </w:r>
      <w:r>
        <w:rPr>
          <w:rStyle w:val="FootnoteAnchor"/>
          <w:rtl w:val="true"/>
        </w:rPr>
        <w:footnoteReference w:id="280"/>
      </w:r>
      <w:r>
        <w:rPr>
          <w:rFonts w:ascii="Amiri" w:hAnsi="Amiri" w:eastAsia="Amiri" w:cs="Amiri"/>
          <w:color w:val="111111"/>
          <w:sz w:val="28"/>
          <w:sz w:val="28"/>
          <w:szCs w:val="28"/>
          <w:rtl w:val="true"/>
          <w:lang w:bidi="ar-SA"/>
        </w:rPr>
        <w:t xml:space="preserve">، ولا يبعد أنْ يكون مراد الباقين من عدم وجوب الردّ؛ لكون المعاملة صحيحة؛ لكونه من البعيد منهم حكمهم بعدم وجوب الردّ مع قولهم بفساد المعاملة، ومقتضى ذلك قولهم بكون عدم الزيادة شرطاً علميّاً، لكن عرفت خلافه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الأخبار في حدّ ذاتها مضطربة مخالفة للقواعد من جهات،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الاستفصال فيها بين العلم والجهل، واشتمالها على لزوم التوبة، واشتراط الحلّ بالتوبة، مع أنَّ في حال الجهل لا معصية حتّى يتعقبّها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وإطلاقها حتّى لو كان أحدهما عالماً والآخر جاهلاً، وذلك غير ممكن؛ إذ القول بصحة المعاملة بالنسبة إلى الجاهل، وفسادها بالنسبة إلى العالم مما لا يقبله العقل والشرع، فلا بُدَّ من حمل الأخبار على محامل بعضها يمكن القول بكونه وارداً بالنسبة إلى زمان الجاهليّة، ويُدّعى كون الآية المذكورة واردة في هذا المقام؛ لأنّ الظاهر </w:t>
      </w:r>
    </w:p>
    <w:p>
      <w:pPr>
        <w:pStyle w:val="BookText"/>
        <w:rPr/>
      </w:pP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فَانْتَهَى</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هو قبول النهي عند زمان ورود النهي، ويمكن الحمل على غفران الذنب، والتجاوز عما سلف بالنسبة إلى المذنب؛ لكونه من البعيد، كونهم قاصرين، بل مقصّرين، مع شيوع تحريم الرِّبا حتّى في صدر الإسلام، فكيف من زمان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وحمل بعضها على صورة عدم معلوميّة بقاء مال الربوي، وخاصة بعض الأخبار، التي هي مشتملة على السؤال عن أبي كان يربي، والآن انتقل إليَّ ماله، ولم يعلم في هذه الصورة أنّ هذا المال مال الربوي، أو حملها على كون صاحبها مجهولاً ، فحكم بكون المال ماله من باب التصدّق عن الصاحب، أو كون المال من باب الشبهة الغير المحصورة، وحمل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التي دالة على ردّ الزائد عن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القرض بوقوع ما عدا الزائد متهاتراً، أو غير ذلك من المحامل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الأخبار التي لا تقبل الحمل ضعيفةُ السند فيطرح؛ حيث لا تقاوم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مجبورةٌ بالشهرة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الرواية بشهرة بالفتوى ممنوع، ولو سلّم فهو فيما إذا لم يعلم كون مستندهم ذلك، نظير القول في 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معلوميّة سند المجمعين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فالقواعد متبعة، هذا بحسب فهمنا القاصر ، والله أعلم بحقيقة الأمور</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9195_77127"/>
      <w:bookmarkStart w:id="229" w:name="pg9195_77127"/>
      <w:bookmarkEnd w:id="229"/>
    </w:p>
    <w:p>
      <w:pPr>
        <w:pStyle w:val="Heading3"/>
        <w:numPr>
          <w:ilvl w:val="2"/>
          <w:numId w:val="1"/>
        </w:numPr>
        <w:rPr/>
      </w:pPr>
      <w:bookmarkStart w:id="230" w:name="pg9195_77127"/>
      <w:bookmarkStart w:id="231" w:name="__RefHeading___Toc3921767_2870459653"/>
      <w:bookmarkStart w:id="232" w:name="_Toc80"/>
      <w:bookmarkEnd w:id="230"/>
      <w:bookmarkEnd w:id="231"/>
      <w:r>
        <w:rPr>
          <w:rtl w:val="true"/>
        </w:rPr>
        <w:t>(</w:t>
      </w:r>
      <w:r>
        <w:rPr>
          <w:rtl w:val="true"/>
        </w:rPr>
        <w:t xml:space="preserve">مسألة في بيع الصرف </w:t>
      </w:r>
      <w:r>
        <w:rPr>
          <w:rtl w:val="true"/>
        </w:rPr>
        <w:t>)</w:t>
      </w:r>
      <w:bookmarkEnd w:id="232"/>
    </w:p>
    <w:p>
      <w:pPr>
        <w:pStyle w:val="BookText"/>
        <w:rPr/>
      </w:pPr>
      <w:r>
        <w:rPr>
          <w:rFonts w:ascii="Amiri" w:hAnsi="Amiri" w:eastAsia="Amiri" w:cs="Amiri"/>
          <w:color w:val="111111"/>
          <w:sz w:val="28"/>
          <w:sz w:val="28"/>
          <w:szCs w:val="28"/>
          <w:rtl w:val="true"/>
          <w:lang w:bidi="ar-SA"/>
        </w:rPr>
        <w:t xml:space="preserve">وذكرها المحقق </w:t>
      </w:r>
      <w:r>
        <w:rPr>
          <w:rStyle w:val="FootnoteAnchor"/>
          <w:rtl w:val="true"/>
        </w:rPr>
        <w:footnoteReference w:id="283"/>
      </w:r>
      <w:r>
        <w:rPr>
          <w:rFonts w:ascii="Amiri" w:hAnsi="Amiri" w:eastAsia="Amiri" w:cs="Amiri"/>
          <w:color w:val="111111"/>
          <w:sz w:val="28"/>
          <w:sz w:val="28"/>
          <w:szCs w:val="28"/>
          <w:rtl w:val="true"/>
          <w:lang w:bidi="ar-SA"/>
        </w:rPr>
        <w:t xml:space="preserve">في متعلقات الرِّبا، والحال أنَّه مقابل للرِّبا قسم مستقلّ من البيع مثل الرِّبا، والمناسب ذكره على حِدة ، وكأنَّه نظر إلى أنّه من مصاديق الرِّبا ، والأمر سهل، وهو بيع الأثمان بالأثمان، والثمن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العوض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انتقل ثانياً، وبحسب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ويعنون بالأثمان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حتّى أنَّه حكي عن الشهيد أنَّه نقل عن الراوندي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لأستاذه 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الذهب والفضة لا غير، حتّى أنَّه لو بيع دينار بحيوان، يكون الثمن هو الدينار، ويكون الخيار للبائع، ولو بيع دينار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كل منهما ثمناً ومثمناً، وكلّ من المتبايعين بائعاً ومشترياً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هذا ضعيفٌ؛ لما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 العوض بحسب المعنى، وما قرن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أطلقوا الثمن على الذهب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الغالب في العوض هو الذهب والفضة، ولو باعتبار مسكوكهما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قالوا بالرجوع إلى النقود في الضمانات في القيميات، حتّى أنّ للمضمون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إليه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يردّها ويطلب النقود، فيكون الأصل في القيم هو النقود، </w:t>
      </w:r>
    </w:p>
    <w:p>
      <w:pPr>
        <w:pStyle w:val="BookText"/>
        <w:rPr/>
      </w:pPr>
      <w:r>
        <w:rPr>
          <w:rFonts w:ascii="Amiri" w:hAnsi="Amiri" w:eastAsia="Amiri" w:cs="Amiri"/>
          <w:color w:val="111111"/>
          <w:sz w:val="28"/>
          <w:sz w:val="28"/>
          <w:szCs w:val="28"/>
          <w:rtl w:val="true"/>
          <w:lang w:bidi="ar-SA"/>
        </w:rPr>
        <w:t>والثمن قيمة المبيع، فيكون المراد به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فالأمرُ سهلٌ؛ لوضوح مقصودهم منه، وهو مطلق الذهب والفضة، ولو لم يكونا مسكوكين، حتّى لو كان أحد المبيعين غير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مسكوكاً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بيع الصرف، ولا بُدَّ قبل الخوض في بيان أحكامه من بيان شيئين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يكون من قبيل الرِّبا، فيجري في تمام المعاوضات، أو يكون مختصاً بالبيع ؟</w:t>
      </w:r>
    </w:p>
    <w:p>
      <w:pPr>
        <w:pStyle w:val="BookText"/>
        <w:rPr/>
      </w:pPr>
      <w:r>
        <w:rPr>
          <w:rFonts w:ascii="Amiri" w:hAnsi="Amiri" w:eastAsia="Amiri" w:cs="Amiri"/>
          <w:color w:val="111111"/>
          <w:sz w:val="28"/>
          <w:sz w:val="28"/>
          <w:szCs w:val="28"/>
          <w:rtl w:val="true"/>
          <w:lang w:bidi="ar-SA"/>
        </w:rPr>
        <w:t xml:space="preserve">ظاهر الأخبار والفقهاء اختصاصه بالبيع </w:t>
      </w:r>
      <w:r>
        <w:rPr>
          <w:rStyle w:val="FootnoteAnchor"/>
          <w:rtl w:val="true"/>
        </w:rPr>
        <w:footnoteReference w:id="286"/>
      </w:r>
      <w:r>
        <w:rPr>
          <w:rFonts w:ascii="Amiri" w:hAnsi="Amiri" w:eastAsia="Amiri" w:cs="Amiri"/>
          <w:color w:val="111111"/>
          <w:sz w:val="28"/>
          <w:sz w:val="28"/>
          <w:szCs w:val="28"/>
          <w:rtl w:val="true"/>
          <w:lang w:bidi="ar-SA"/>
        </w:rPr>
        <w:t>، فلا يجري في غير البيع، بل إجماعهم عليه، ولكن الإشكال في بعض المعاوضات التي تكون بحكم البيع، كالمعاطاة، وفيها وجهان مبنيان على كونها بيعاً أم لا؟</w:t>
      </w:r>
    </w:p>
    <w:p>
      <w:pPr>
        <w:pStyle w:val="BookText"/>
        <w:rPr/>
      </w:pPr>
      <w:r>
        <w:rPr>
          <w:rFonts w:ascii="Amiri" w:hAnsi="Amiri" w:eastAsia="Amiri" w:cs="Amiri"/>
          <w:color w:val="111111"/>
          <w:sz w:val="28"/>
          <w:sz w:val="28"/>
          <w:szCs w:val="28"/>
          <w:rtl w:val="true"/>
          <w:lang w:bidi="ar-SA"/>
        </w:rPr>
        <w:t xml:space="preserve">وبحكمه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بنوا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لو وقعت معاوضة بلفظ التمليك، كأن يقول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هذا الدينار بهذا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الأصل فيهما البيع، ويكون بيعاً يجري فيه شرائطه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يتحقق مرادهم بالأصل أيّ شيء؟ بناءً على عدم عمومية في البيع، وعدم دليل عام له يدخل فيه المعاوضات المشكوكة، بل هو قسم من المعاوضات مثل الصلح والإجارة، وغيرهما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مرادهم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يكون قدراً متيقناً في ترتب الأثر،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الأصل الأولي هو الفساد وعدم ترتب الأثر ، ويحكم فيه حتّى يجتمع فيه جميع الشرائط المعتبرة في المعاملة، وما كان أكثر شرائط من الجميع هو البيع، فيكون القدر المتيقن في انقطاع الأصل الأولي، فاذاً صارت هذه المعاوضة بحكم البيع ، وبعبارة أخرى بيعاً هل يعتبر فيه شرائط الصرف لو كانت متعلّقة بالأثمان أم لا؟ أو يكون الصرف مختصاً بالبيوع المتعارفة وهي التي وقعت بلفظ البيع والشراء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إلحاقها بالصرف، فيعتبر فيها ما يعتبر فيه؛ </w:t>
      </w:r>
    </w:p>
    <w:p>
      <w:pPr>
        <w:pStyle w:val="BookText"/>
        <w:rPr/>
      </w:pPr>
      <w:r>
        <w:rPr>
          <w:rFonts w:ascii="Amiri" w:hAnsi="Amiri" w:eastAsia="Amiri" w:cs="Amiri"/>
          <w:color w:val="111111"/>
          <w:sz w:val="28"/>
          <w:sz w:val="28"/>
          <w:szCs w:val="28"/>
          <w:rtl w:val="true"/>
          <w:lang w:bidi="ar-SA"/>
        </w:rPr>
        <w:t>لكونه بيعاً ومتعلقاً بالأثمان، ويكون الصرف القدر المتيقن من البيع لا غيره؛ لكونه أخص من جميع أقسام البيع شرائطَ ، فنلحق المشكوك بالمتيقن ، ويمكن عدمها بناءً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ذكروا في باب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ضمّ بالمتعاوضين غير جنس الربوي لا يكون الرِّبا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الصرف القهري بالمخالف ومقتضى ذلك عدم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مركبين من الذهب والفضة وغيرهما،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ديناراً وحيواناً بدينار وحيوان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 كلّ إلى مخالفه؛ لأنّ الصرف بيع الأثمان بالأثمان، وهنا لم يتحقق سواء يلاحظ كل واحد بكل واحد بناءً على الصرف، أو يلاحظ المجموع بالمجموع؛ لأنّ مجموع الذهب وغيره ليس ذهباً، والحال أنهم حكموا بالصرف هنا، وباعتبار شرائطه فيه، فليتأمل فيه، ولعلنا نتعرّض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وقوع الصرف فيه، هل يعتبر قبض الزائد على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أحدهما ناقصاً والآخر زائداً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قبض المساوي كافياً، ولا يحتاج إلى قبض الزيادة؟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من أنَّ المقابل للناقص قدره من الزائد، والزيادة مقابلة للضميمة؛ لوقوع التخلّص من الرِّبا، ومن أنّ الحكم في العرف معلّقٌ على بيع الأثمان بالأثمان، أعمّ من كونه زائداً عن الطرف الآخر أو ناقصاً، والثمن هو المجموع لا المساوي للطرف الآخر، ظاهر الفقهاء قبض الجميع</w:t>
      </w:r>
      <w:r>
        <w:rPr>
          <w:rFonts w:eastAsia="Amiri" w:cs="Amiri" w:ascii="Amiri" w:hAnsi="Amiri"/>
          <w:color w:val="111111"/>
          <w:sz w:val="28"/>
          <w:szCs w:val="28"/>
          <w:rtl w:val="true"/>
          <w:lang w:bidi="ar-SA"/>
        </w:rPr>
        <w:t xml:space="preserve">. </w:t>
      </w:r>
      <w:bookmarkStart w:id="233" w:name="pg9195_77130"/>
    </w:p>
    <w:p>
      <w:pPr>
        <w:pStyle w:val="Heading3"/>
        <w:numPr>
          <w:ilvl w:val="2"/>
          <w:numId w:val="1"/>
        </w:numPr>
        <w:rPr/>
      </w:pPr>
      <w:bookmarkStart w:id="234" w:name="__RefHeading___Toc3921769_2870459653"/>
      <w:bookmarkStart w:id="235" w:name="_Toc81"/>
      <w:bookmarkEnd w:id="233"/>
      <w:bookmarkEnd w:id="234"/>
      <w:r>
        <w:rPr>
          <w:rtl w:val="true"/>
        </w:rPr>
        <w:t xml:space="preserve">( </w:t>
      </w:r>
      <w:r>
        <w:rPr>
          <w:rtl w:val="true"/>
        </w:rPr>
        <w:t>في شرطية التقابض</w:t>
      </w:r>
      <w:r>
        <w:rPr>
          <w:rtl w:val="true"/>
        </w:rPr>
        <w:t>)</w:t>
      </w:r>
      <w:bookmarkEnd w:id="235"/>
    </w:p>
    <w:p>
      <w:pPr>
        <w:pStyle w:val="BookText"/>
        <w:rPr/>
      </w:pPr>
      <w:r>
        <w:rPr>
          <w:rFonts w:ascii="Amiri" w:hAnsi="Amiri" w:eastAsia="Amiri" w:cs="Amiri"/>
          <w:color w:val="111111"/>
          <w:sz w:val="28"/>
          <w:sz w:val="28"/>
          <w:szCs w:val="28"/>
          <w:rtl w:val="true"/>
          <w:lang w:bidi="ar-SA"/>
        </w:rPr>
        <w:t xml:space="preserve">ثم إنّ التقابض شرط في بيع الصرف على المشهور </w:t>
      </w:r>
      <w:r>
        <w:rPr>
          <w:rStyle w:val="FootnoteAnchor"/>
          <w:rtl w:val="true"/>
        </w:rPr>
        <w:footnoteReference w:id="288"/>
      </w:r>
      <w:r>
        <w:rPr>
          <w:rFonts w:ascii="Amiri" w:hAnsi="Amiri" w:eastAsia="Amiri" w:cs="Amiri"/>
          <w:color w:val="111111"/>
          <w:sz w:val="28"/>
          <w:sz w:val="28"/>
          <w:szCs w:val="28"/>
          <w:rtl w:val="true"/>
          <w:lang w:bidi="ar-SA"/>
        </w:rPr>
        <w:t>، بل لا يظهر خلاف معتدٌّ به فيه؛ لانسباق الشرطية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يداً بيد</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مضافاً إلى كون الأوامر والنواهي الواردين في المعاملات يكونان إرشاداً إلى 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تعلّق النهي بنفس المعاملة التي لم يحصل القبض فيها، فتكون المعاملة بدون التقابض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الشرطية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بعد ملاحظة الأخبار الناهية عن المقارضة قبل التقابض ، يظهر لك ما في دعوى ورودها في مقام بيان عدم جواز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دعوى ورودها لبيان الوجوب الشرعي، لا الوجوب الشرطي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ذكرنا من كون النواهي إرشاداً إلى الفساد والشرطية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القول بالشرطية مطلقاً قولان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عدم الشرطية مطلقاً، وهو المحكي عن الصدوق</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متحد الجنس فالشرطيّة، ومخالف الجنس فعدمها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وكلاهما مخالفان للدليل والشهرة، بل الإجماع، فلا يعتدّ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أمور لا بُدَّ من بيانها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هل يكون ترك التقابض حراماً، كما يكون مبطلاً، أم لا؟ </w:t>
      </w:r>
    </w:p>
    <w:p>
      <w:pPr>
        <w:pStyle w:val="BookText"/>
        <w:rPr/>
      </w:pPr>
      <w:r>
        <w:rPr>
          <w:rFonts w:ascii="Amiri" w:hAnsi="Amiri" w:eastAsia="Amiri" w:cs="Amiri"/>
          <w:color w:val="111111"/>
          <w:sz w:val="28"/>
          <w:sz w:val="28"/>
          <w:szCs w:val="28"/>
          <w:rtl w:val="true"/>
          <w:lang w:bidi="ar-SA"/>
        </w:rPr>
        <w:t xml:space="preserve">ويظهر من بعضٍ </w:t>
      </w:r>
      <w:r>
        <w:rPr>
          <w:rStyle w:val="FootnoteAnchor"/>
          <w:rtl w:val="true"/>
        </w:rPr>
        <w:footnoteReference w:id="292"/>
      </w:r>
      <w:r>
        <w:rPr>
          <w:rFonts w:ascii="Amiri" w:hAnsi="Amiri" w:eastAsia="Amiri" w:cs="Amiri"/>
          <w:color w:val="111111"/>
          <w:sz w:val="28"/>
          <w:sz w:val="28"/>
          <w:szCs w:val="28"/>
          <w:rtl w:val="true"/>
          <w:lang w:bidi="ar-SA"/>
        </w:rPr>
        <w:t>الأمران معاً ، ويظهر من بعضٍ</w:t>
      </w:r>
      <w:r>
        <w:rPr>
          <w:rStyle w:val="FootnoteAnchor"/>
          <w:rtl w:val="true"/>
        </w:rPr>
        <w:footnoteReference w:id="293"/>
      </w:r>
      <w:r>
        <w:rPr>
          <w:rFonts w:ascii="Amiri" w:hAnsi="Amiri" w:eastAsia="Amiri" w:cs="Amiri"/>
          <w:color w:val="111111"/>
          <w:sz w:val="28"/>
          <w:sz w:val="28"/>
          <w:szCs w:val="28"/>
          <w:rtl w:val="true"/>
          <w:lang w:bidi="ar-SA"/>
        </w:rPr>
        <w:t>الحرمة فقط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مرادهم بوجوب وحرمة ترك التقابض حرمة التصرّف في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تقدير ترك التقابض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 لأنّ مقتضى شرطيّة التقابض عدم الانتقال بلا مزية، فيكون التصرّف في المال أكلاً له بالباطل ، كما ذكرنا في الرِّبا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مرادهم حرمة العقد بدون التقابض، فهو ممنوع؛ لعدم الدليل على حرمة إجراء الصيغة بدون التقابض، كما أنّ عقد الربوي من حيث هو ليس بحرام ، وإنّما الحرام تصرّف المال الذي هو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التقابض هل هو شرط للصحة، أو شرط في اللزوم؟</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بعد ما ذكرنا من أنّ التقابض شرط،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تأثيرَ العقد موقوفٌ بالتقابض ، فقبل التقابض لا تأثير للعقد أصلاً، وليس مثل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كونها 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العقد وقع أولاً مؤثراً للملكيّة، وإنّما توقف لزومه عليها؟</w:t>
      </w:r>
    </w:p>
    <w:p>
      <w:pPr>
        <w:pStyle w:val="BookText"/>
        <w:rPr/>
      </w:pPr>
      <w:r>
        <w:rPr>
          <w:rFonts w:ascii="Amiri" w:hAnsi="Amiri" w:eastAsia="Amiri" w:cs="Amiri"/>
          <w:color w:val="111111"/>
          <w:sz w:val="28"/>
          <w:sz w:val="28"/>
          <w:szCs w:val="28"/>
          <w:rtl w:val="true"/>
          <w:lang w:bidi="ar-SA"/>
        </w:rPr>
        <w:t>والأمر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الوجوه التي تُحْتمل في الإجازة، هل تأتي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مثل الإجازة في جريان الاحتمالات الأربعة،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ناقلةً، وكاشفةً كشفاً حقيقياً، وكاشفةً كشفاً حكميّاً،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الملكية حين الإجازة، وأحكام الملك ثابتة من حين العقد، وكونها شرطاً متأخراً، أو لا يجري فيه الاحتمالات؟</w:t>
      </w:r>
    </w:p>
    <w:p>
      <w:pPr>
        <w:pStyle w:val="BookText"/>
        <w:rPr/>
      </w:pPr>
      <w:r>
        <w:rPr>
          <w:rFonts w:ascii="Amiri" w:hAnsi="Amiri" w:eastAsia="Amiri" w:cs="Amiri"/>
          <w:color w:val="111111"/>
          <w:sz w:val="28"/>
          <w:sz w:val="28"/>
          <w:szCs w:val="28"/>
          <w:rtl w:val="true"/>
          <w:lang w:bidi="ar-SA"/>
        </w:rPr>
        <w:t>والحقّ عدم جريان الاحتمالات فيه؛ لحصول الفرق بينهما من وجهين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الإجازة تكون تقريراً للذي ثبت بنفس العقد، وناظراً إلى الذي ثبت بنفس العقد دون التقابض؛ لأنَّه شيء مستقل لا نظر له إلى ما هو ثابت بنفس العقد، بل يكون علّة التمليك وسببه مركباً من أمرين ، فقبل حصول التقابض لا يتحقق ملك أصلاً، بل به يحصل </w:t>
      </w:r>
    </w:p>
    <w:p>
      <w:pPr>
        <w:pStyle w:val="BookText"/>
        <w:rPr/>
      </w:pPr>
      <w:r>
        <w:rPr>
          <w:rFonts w:ascii="Amiri" w:hAnsi="Amiri" w:eastAsia="Amiri" w:cs="Amiri"/>
          <w:color w:val="111111"/>
          <w:sz w:val="28"/>
          <w:sz w:val="28"/>
          <w:szCs w:val="28"/>
          <w:rtl w:val="true"/>
          <w:lang w:bidi="ar-SA"/>
        </w:rPr>
        <w:t xml:space="preserve">الملك دون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الملكيّة حاصلة بنفس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الرِّضا هناك مانع، والمقتضي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والتقابض هنا 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يجري فيه من الاحتمالات النقل، وكونه شرطاً متأخراً، بناءً على توقف الجزء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التأثير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قبض أحد العوضين، وتلف قبل قبض العوض الآخر،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التالف مضموناً، سواء كان الضمان بواسطة شرط الضمان أو تكون الفتوى على الضمان، أو لا يكون مضموناً، وسواء كان عدم الضمان بواسطة إسقاطه، أو بواسطة كون الفتوى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الضمان يحتمل الصحة بناءً على الانتقال إلى البدل بسبب الضمان فيحصل التقابض بالنسبة إلى البدل نظير ما لو تلفت العين فيُنقل الخيار إلى بدله، ويحتمل عدم الصحة، بناءً على أن ما هو المعتبر تقابض العوضين دون البدل، وانتقال الخيار إلى البدل 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عدم الضمان، يحتمل الفرق بين ما لو جعلنا التقابض كاشفاً، فنحكم بالصحة،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جعلناه ناقلاً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نحكم بعدم الصحة، سواء كان ناقلاً أو كاشفاً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شرطاً، بناءً على الكشف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كونه شرطاً في اللزوم، وبعد عدم حصوله ينفسخ العقد؛ إذ قد عرفت كونه شرطاً للصحة، فيحكم بعدم الصحة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تقدير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تغيّر العين المقبوضة،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تغيّرها إمّا أن يكون بحيث خَرَجَت عن الماليّة فبحكم التلف، أو يكون باقياً على الماليّة فيحكم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بقاء العين المقبوضة وعدم تغيّرها، فلا إشكال في الصحة على تقدير قبض الآخر، وعدمها على تقدير عدمه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يتعلّق بهذه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باعا وقبضا في نصف العوضين، وتلف النصف من كلِّ </w:t>
      </w:r>
    </w:p>
    <w:p>
      <w:pPr>
        <w:pStyle w:val="BookText"/>
        <w:rPr/>
      </w:pPr>
      <w:r>
        <w:rPr>
          <w:rFonts w:ascii="Amiri" w:hAnsi="Amiri" w:eastAsia="Amiri" w:cs="Amiri"/>
          <w:color w:val="111111"/>
          <w:sz w:val="28"/>
          <w:sz w:val="28"/>
          <w:szCs w:val="28"/>
          <w:rtl w:val="true"/>
          <w:lang w:bidi="ar-SA"/>
        </w:rPr>
        <w:t xml:space="preserve">منهما قبل قبضه فيحكم بالصحة في المقبوض ، وبالبطلان في غيره، بلا خلاف فيهما، على أنّ الحكم فيهما على القاعدة؛ لحصول الشرط في النصف المقبوض ، وعدم حصول الشرط في غير المقبوض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وَرَدَ خبرٌ ظاهرٌ في البطلان بالنسبة إلى الجميع وهو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الرجل يبتاع من رجل بدينار، فيأخذ نصفه ورِقاً و بنصفه ديناراً،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وسألته هل يصلح أن يأخذ بنصفه ورِقاً، وبنصفه شيئاً، ويترك النصف الآخر حتّى يأتي بعد فيأخذ منه ورِقاً، أو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أترك شيئاً حتّى آخذه جميعاً</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يقابله، لكنه مخالفٌ للإجماع وللقاعدة، مع ضعف دلالته؛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قرينة على أنَّ المراد من النهي الكراهة، ومحتمل للتأويل على إرادة السائل صحة المجموع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عدم إيقاع البيع الآن، بل يأخذ النصف على سبيل الاقتراض، ثم يبيع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فالأمرُ سهلٌ ؛ لانعقاد الإجماع </w:t>
      </w:r>
      <w:r>
        <w:rPr>
          <w:rStyle w:val="FootnoteAnchor"/>
          <w:rtl w:val="true"/>
        </w:rPr>
        <w:footnoteReference w:id="296"/>
      </w:r>
      <w:r>
        <w:rPr>
          <w:rFonts w:ascii="Amiri" w:hAnsi="Amiri" w:eastAsia="Amiri" w:cs="Amiri"/>
          <w:color w:val="111111"/>
          <w:sz w:val="28"/>
          <w:sz w:val="28"/>
          <w:szCs w:val="28"/>
          <w:rtl w:val="true"/>
          <w:lang w:bidi="ar-SA"/>
        </w:rPr>
        <w:t>على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الإشكال في أنّه لو قبض أحدهما الناقص، والآخر الزائد، بناءً على أنَّه لو صحَّ حتّى بالنسبة إلى الزائد يلزم الرِّبا، ظاهر الفقهاء هنا الصحة حتّى بالنسبة إلى الزائد؛ لإطلاقهم الصحة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يرد الإشكال المزبور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المجموع هو معاوضة الزائد بالناقص، والمعاوضة هنا على التساوي أولاً والاعتبار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دفعه بأن المعاوضة وإنْ وقعت على التساوي إلا أنّ الانتقال لم يحصل إلا في حال التقابض، فالمعاوضة في هذه الحال حقيقية، فلا بُدّ من القول بعدم الصحة بالنسبة إلى الزائد؛ لعدم حصول التقابض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تتبعض الصفقة بالنسبة إلى كلٍّ منهما، فيكون الخيار لهما لو كان التلف بغير تفريطهما، ولإحدهما لو كان التلف بتفريط الآخر، وليس لإحدهما لو كان بتفريطهما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هنا من بيان شيء لم يذكره الفقهاء،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ضمّ إلى العوضين عروضاً، وقبض الأثمان دون العروض، فتارةً يكون الثمنان متساويين، وتارةً يكونان مختلفين بالزيادة والنقص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صحة البيع بالنسبة إلى الأثمان والعروض جميعاً؛ لشرطية التقابض في بيع الأثمان، وقد حصل، وعدم الاشتراط بالنسبة إلى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بالصحة لو كانت الزيادة في طرف أحدهما ولم يقبض 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قرر في التخلّص عن الرِّبا من أنّه ينصرف كل جنس إلى مخالفه لو ضمّ، فعلى هذا لو باع عشرة دراهم و حيواناً بعشرين درهماً، فتكون العشرة مقابلة للعشرة، والعشرة الأخرى مقابلة للضميمة، ولم تقبض، فلم يحصل الملك في الزائد بناءً على عدم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القول بالصحة، بناءً على أنّ اعتبار التقابض بالنسبة إلى الأثمان بالأثمان، لا بالنسبة إلى الأثمان بالعروض، فلم يعتبر التقابض بالنسبة إلى العروض، فيكون صحيحاً ومقابلةً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أنّ جميع ما ذُكِر في خيار المجلس آتٍ هنا مثل موت أحد المتبايعين، أو قبض أحدهما، أو قبض الوكيلين، أو أحدهما، فلا نطيل الكلام بذكرها</w:t>
      </w:r>
      <w:r>
        <w:rPr>
          <w:rFonts w:eastAsia="Amiri" w:cs="Amiri" w:ascii="Amiri" w:hAnsi="Amiri"/>
          <w:color w:val="111111"/>
          <w:sz w:val="28"/>
          <w:szCs w:val="28"/>
          <w:rtl w:val="true"/>
          <w:lang w:bidi="ar-SA"/>
        </w:rPr>
        <w:t xml:space="preserve">. </w:t>
      </w:r>
      <w:bookmarkStart w:id="236" w:name="pg9195_77135"/>
    </w:p>
    <w:p>
      <w:pPr>
        <w:pStyle w:val="Heading3"/>
        <w:numPr>
          <w:ilvl w:val="2"/>
          <w:numId w:val="1"/>
        </w:numPr>
        <w:rPr/>
      </w:pPr>
      <w:bookmarkStart w:id="237" w:name="__RefHeading___Toc3921771_2870459653"/>
      <w:bookmarkStart w:id="238" w:name="_Toc82"/>
      <w:bookmarkEnd w:id="236"/>
      <w:bookmarkEnd w:id="237"/>
      <w:r>
        <w:rPr>
          <w:rtl w:val="true"/>
        </w:rPr>
        <w:t>[</w:t>
      </w:r>
      <w:r>
        <w:rPr>
          <w:rtl w:val="true"/>
        </w:rPr>
        <w:t>بيانٌ لشيئين</w:t>
      </w:r>
      <w:r>
        <w:rPr>
          <w:rtl w:val="true"/>
        </w:rPr>
        <w:t>]</w:t>
      </w:r>
      <w:bookmarkEnd w:id="238"/>
    </w:p>
    <w:p>
      <w:pPr>
        <w:pStyle w:val="BookText"/>
        <w:rPr/>
      </w:pPr>
      <w:r>
        <w:rPr>
          <w:rFonts w:ascii="Amiri" w:hAnsi="Amiri" w:eastAsia="Amiri" w:cs="Amiri"/>
          <w:color w:val="111111"/>
          <w:sz w:val="28"/>
          <w:sz w:val="28"/>
          <w:szCs w:val="28"/>
          <w:rtl w:val="true"/>
          <w:lang w:bidi="ar-SA"/>
        </w:rPr>
        <w:t xml:space="preserve">هنا شيئان ذَكَرَ أولهما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يحتمل أن يقول به فقيه، وإن لم يذكره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الفاضل المزبور فرّق بين المسألة وخيار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اشتراط عدم الافتراق قبل التقابض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الافتراق القهري ليس بمضرّ هناك، بخلافه هنا فإن الافتراق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قهراً لإطلاق المدارك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ascii="Amiri" w:hAnsi="Amiri" w:eastAsia="Amiri" w:cs="Amiri"/>
          <w:color w:val="111111"/>
          <w:sz w:val="28"/>
          <w:sz w:val="28"/>
          <w:szCs w:val="28"/>
          <w:rtl w:val="true"/>
          <w:lang w:bidi="ar-SA"/>
        </w:rPr>
        <w:t>، وكأنّ نظره إلى أنّ المدرك في باب الخيار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البيّعان بالخيار ما لم يفترقا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 والافتراق ظاهر في الاختياري، بخلافه هنا ، فإنَّ المعتبر بيع اليد باليد، وهو غير صادق على تقدير الافتراق القهري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محلُّ نظرٍ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مخالفٌ لكلمات الفقهاء؛ حيث يشترطون التقابض قبل الافتراق وهو ظاهر في الاختياري، ومخالفٌ لكلامه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بدَّل المحقق التقابض في المجلس بالتقابض قبل الافتراق كان أولى</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المتضمنة لبيع اليد باليد؛ للاحتراز عن النسيئة، لا لبيان شرطية عدم الافتراق مطلقاً، والأخبار الأخر دالة على عدم الافتراق،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تفارقه حتّى تأخذ منه ، وإنْ نزى حائطاً فانزْ معه</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الاختياري، فالمدرك هناك وهنا من باب واحد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من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شك في صدق الافتراق مثل التخطّي، فربّما يتخيّل الفقيه إنّ القاعدة البطلانُ هنا دون هناك؛ لأنّ الافتراق هناك مانعٌ ، والمقتضي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39" w:name="pg9195_77136"/>
    </w:p>
    <w:p>
      <w:pPr>
        <w:pStyle w:val="BookText"/>
        <w:rPr/>
      </w:pPr>
      <w:bookmarkEnd w:id="239"/>
      <w:r>
        <w:rPr>
          <w:rFonts w:ascii="Amiri" w:hAnsi="Amiri" w:eastAsia="Amiri" w:cs="Amiri"/>
          <w:color w:val="111111"/>
          <w:sz w:val="28"/>
          <w:sz w:val="28"/>
          <w:szCs w:val="28"/>
          <w:rtl w:val="true"/>
          <w:lang w:bidi="ar-SA"/>
        </w:rPr>
        <w:t>ولو شك في المانع فالأصل عدمه، بخلافه هنا، فإنّ التقابض قبل الافتراق، وعدم الافتراق ههنا شرط، والشك في الشرط يستلزم الشك في المشروط،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لأنَّه مسلّم حيث لا يكون وجود الشرط موافقاً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موافقاً للاستصحاب فلا نسلّمه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 لأنّ الشرط وجوده محقق سابقاً، ونشك في ارتفاعه بمجرّد الخطوة، فنستصحب وجوده</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3921773_2870459653"/>
      <w:bookmarkStart w:id="241" w:name="_Toc83"/>
      <w:bookmarkEnd w:id="240"/>
      <w:r>
        <w:rPr>
          <w:rtl w:val="true"/>
        </w:rPr>
        <w:t xml:space="preserve">[ </w:t>
      </w:r>
      <w:r>
        <w:rPr>
          <w:rtl w:val="true"/>
        </w:rPr>
        <w:t>الكلام في بعض ما يتعلق ببيع الصرف</w:t>
      </w:r>
      <w:r>
        <w:rPr>
          <w:rtl w:val="true"/>
        </w:rPr>
        <w:t>]</w:t>
      </w:r>
      <w:bookmarkEnd w:id="241"/>
    </w:p>
    <w:p>
      <w:pPr>
        <w:pStyle w:val="Heading4"/>
        <w:numPr>
          <w:ilvl w:val="3"/>
          <w:numId w:val="1"/>
        </w:numPr>
        <w:rPr/>
      </w:pPr>
      <w:bookmarkStart w:id="242" w:name="__RefHeading___Toc3921775_2870459653"/>
      <w:bookmarkStart w:id="243" w:name="_Toc84"/>
      <w:bookmarkEnd w:id="242"/>
      <w:r>
        <w:rPr>
          <w:rtl w:val="true"/>
        </w:rPr>
        <w:t xml:space="preserve">[ </w:t>
      </w:r>
      <w:r>
        <w:rPr>
          <w:rtl w:val="true"/>
        </w:rPr>
        <w:t xml:space="preserve">أولاً </w:t>
      </w:r>
      <w:r>
        <w:rPr>
          <w:rtl w:val="true"/>
        </w:rPr>
        <w:t>: ]</w:t>
      </w:r>
      <w:bookmarkEnd w:id="243"/>
    </w:p>
    <w:p>
      <w:pPr>
        <w:pStyle w:val="BookText"/>
        <w:rPr/>
      </w:pPr>
      <w:r>
        <w:rPr>
          <w:rFonts w:ascii="Amiri" w:hAnsi="Amiri" w:eastAsia="Amiri" w:cs="Amiri"/>
          <w:color w:val="111111"/>
          <w:sz w:val="28"/>
          <w:sz w:val="28"/>
          <w:szCs w:val="28"/>
          <w:rtl w:val="true"/>
          <w:lang w:bidi="ar-SA"/>
        </w:rPr>
        <w:t xml:space="preserve">ومما يتعلّق ببيع الصرف ما لو اشترى دراهم بدنانير، ثم يشتري الدنانير بالدراهم قبل قبض الدراهم، فالمشهور بين الأصحاب </w:t>
      </w:r>
      <w:r>
        <w:rPr>
          <w:rStyle w:val="FootnoteAnchor"/>
          <w:rtl w:val="true"/>
        </w:rPr>
        <w:footnoteReference w:id="302"/>
      </w:r>
      <w:r>
        <w:rPr>
          <w:rFonts w:ascii="Amiri" w:hAnsi="Amiri" w:eastAsia="Amiri" w:cs="Amiri"/>
          <w:color w:val="111111"/>
          <w:sz w:val="28"/>
          <w:sz w:val="28"/>
          <w:szCs w:val="28"/>
          <w:rtl w:val="true"/>
          <w:lang w:bidi="ar-SA"/>
        </w:rPr>
        <w:t xml:space="preserve">بطلان البيع الثاني </w:t>
      </w:r>
      <w:r>
        <w:rPr>
          <w:rStyle w:val="FootnoteAnchor"/>
          <w:rtl w:val="true"/>
        </w:rPr>
        <w:footnoteReference w:id="303"/>
      </w:r>
      <w:r>
        <w:rPr>
          <w:rFonts w:ascii="Amiri" w:hAnsi="Amiri" w:eastAsia="Amiri" w:cs="Amiri"/>
          <w:color w:val="111111"/>
          <w:sz w:val="28"/>
          <w:sz w:val="28"/>
          <w:szCs w:val="28"/>
          <w:rtl w:val="true"/>
          <w:lang w:bidi="ar-SA"/>
        </w:rPr>
        <w:t>، وكذا الأول سواء كانت الدراهم المشتراة أولاً كلية في الذّمة، أو كانت مشخّصة؛ لعدم ملكه لها قبل التقابض، وهذا الحكم موافق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بناؤه على عدم جواز الشراء بما لم يقبض قبل كيله ووزْنِه؛ لأنَّه يجوز الشراء بالدراهم الكلّية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مبنياً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بيع دَين بدَين؛ إذ قد عرفت عدم ملك الدراهم حتّى يصير ديناً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كلام الأصحاب، فمنهم وجّهَهُ من جهة الأول، وقد عرفت ضعفه، ومنهم من وجّهه بأنَّه إذا كانت الدراهم في الذّمة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الدَّين بالدَّين، وقد عرفت ضعفه أيضاً ؛ بأنَّه لم يحصل الملك حتّى يصير ديناً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المراد من بيع الدَّين بالدَّين ما كان ديناً قبل البيع، لا ما كان ديناً بواسطة </w:t>
      </w:r>
      <w:bookmarkStart w:id="244" w:name="pg9195_77137"/>
    </w:p>
    <w:p>
      <w:pPr>
        <w:pStyle w:val="BookText"/>
        <w:rPr/>
      </w:pPr>
      <w:bookmarkEnd w:id="244"/>
      <w:r>
        <w:rPr>
          <w:rFonts w:ascii="Amiri" w:hAnsi="Amiri" w:eastAsia="Amiri" w:cs="Amiri"/>
          <w:color w:val="111111"/>
          <w:sz w:val="28"/>
          <w:sz w:val="28"/>
          <w:szCs w:val="28"/>
          <w:rtl w:val="true"/>
          <w:lang w:bidi="ar-SA"/>
        </w:rPr>
        <w:t xml:space="preserve">البيع، والمخالف في المسألة ثاني الشهيدين </w:t>
      </w:r>
      <w:r>
        <w:rPr>
          <w:rStyle w:val="FootnoteAnchor"/>
          <w:rtl w:val="true"/>
        </w:rPr>
        <w:footnoteReference w:id="304"/>
      </w:r>
      <w:r>
        <w:rPr>
          <w:rFonts w:ascii="Amiri" w:hAnsi="Amiri" w:eastAsia="Amiri" w:cs="Amiri"/>
          <w:color w:val="111111"/>
          <w:sz w:val="28"/>
          <w:sz w:val="28"/>
          <w:szCs w:val="28"/>
          <w:rtl w:val="true"/>
          <w:lang w:bidi="ar-SA"/>
        </w:rPr>
        <w:t xml:space="preserve">، وثاني المحقّقين </w:t>
      </w:r>
      <w:r>
        <w:rPr>
          <w:rStyle w:val="FootnoteAnchor"/>
          <w:rtl w:val="true"/>
        </w:rPr>
        <w:footnoteReference w:id="305"/>
      </w:r>
      <w:r>
        <w:rPr>
          <w:rFonts w:ascii="Amiri" w:hAnsi="Amiri" w:eastAsia="Amiri" w:cs="Amiri"/>
          <w:color w:val="111111"/>
          <w:sz w:val="28"/>
          <w:sz w:val="28"/>
          <w:szCs w:val="28"/>
          <w:rtl w:val="true"/>
          <w:lang w:bidi="ar-SA"/>
        </w:rPr>
        <w:t>حيث أجاز العقد الثاني بناءً على الفضولي، ويحصل الملك لو حصل التقابض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 واضحٌ؛ لوضوح عدم كونه من الفضولي؛ لأنَّه من قبيل بيع مال شخص بنفسه، والفضولي بيع مال الغير بغيره، وهنا بيع مال الشخص بنفسه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حصول الملك قبل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الدراهم باقية على ملك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على تقدير القبض يحصل الملك من حين القبض، لا من حين العقد حتّى يصح العقد،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منع الفضولي فيما لو باع مال الغير بغيره ثم انتقل إليه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الحلّي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كانت الدراهم المبتاعة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وحصل التقابض بعدُ، فصحّح العقدين، دون ما لو كانت الدراهم كليّة ما في الذّمة؛ لأنَّه يصير بيع دين بدين، وقد عرفت 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فالمتجه بطلان البيعين معاً لو لم يحصل التقابض بعد، وأما إذا حصل التقابض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صحة البيع الأول</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3921777_2870459653"/>
      <w:bookmarkStart w:id="246" w:name="_Toc85"/>
      <w:bookmarkEnd w:id="245"/>
      <w:r>
        <w:rPr>
          <w:rtl w:val="true"/>
        </w:rPr>
        <w:t>[</w:t>
      </w:r>
      <w:r>
        <w:rPr>
          <w:rtl w:val="true"/>
        </w:rPr>
        <w:t xml:space="preserve">ثانياً </w:t>
      </w:r>
      <w:r>
        <w:rPr>
          <w:rtl w:val="true"/>
        </w:rPr>
        <w:t>:]</w:t>
      </w:r>
      <w:bookmarkEnd w:id="246"/>
    </w:p>
    <w:p>
      <w:pPr>
        <w:pStyle w:val="BookText"/>
        <w:rPr/>
      </w:pPr>
      <w:r>
        <w:rPr>
          <w:rFonts w:ascii="Amiri" w:hAnsi="Amiri" w:eastAsia="Amiri" w:cs="Amiri"/>
          <w:color w:val="111111"/>
          <w:sz w:val="28"/>
          <w:sz w:val="28"/>
          <w:szCs w:val="28"/>
          <w:rtl w:val="true"/>
          <w:lang w:bidi="ar-SA"/>
        </w:rPr>
        <w:t xml:space="preserve">ومما يتعلّق بهذا الباب ما لو كان لشخص على شخص دراهم مثلاً ، ثم اشترى الشخص الأول من الثاني بها دنانير ، صحَّ البيع وإن لم يتقابضا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مخالف للقاعدة، إلا أنَّه ورد على طبقه النص، فيكون الحكم تعبدياً خارجاً عن القاعدة، وبعضهم </w:t>
      </w:r>
      <w:r>
        <w:rPr>
          <w:rStyle w:val="FootnoteAnchor"/>
          <w:rtl w:val="true"/>
        </w:rPr>
        <w:footnoteReference w:id="307"/>
      </w:r>
      <w:r>
        <w:rPr>
          <w:rFonts w:ascii="Amiri" w:hAnsi="Amiri" w:eastAsia="Amiri" w:cs="Amiri"/>
          <w:color w:val="111111"/>
          <w:sz w:val="28"/>
          <w:sz w:val="28"/>
          <w:szCs w:val="28"/>
          <w:rtl w:val="true"/>
          <w:lang w:bidi="ar-SA"/>
        </w:rPr>
        <w:t xml:space="preserve">بنوه على مقدّمات خمس كلّها أو بعضها ممنوعةٌ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في الذّمة مقبوضٌ ، ضرورة بطلان ذلك؛ لعدم كون ما في الذّمة للغير </w:t>
      </w:r>
      <w:bookmarkStart w:id="247" w:name="pg9195_77138"/>
    </w:p>
    <w:p>
      <w:pPr>
        <w:pStyle w:val="BookText"/>
        <w:rPr/>
      </w:pPr>
      <w:bookmarkEnd w:id="247"/>
      <w:r>
        <w:rPr>
          <w:rFonts w:ascii="Amiri" w:hAnsi="Amiri" w:eastAsia="Amiri" w:cs="Amiri"/>
          <w:color w:val="111111"/>
          <w:sz w:val="28"/>
          <w:sz w:val="28"/>
          <w:szCs w:val="28"/>
          <w:rtl w:val="true"/>
          <w:lang w:bidi="ar-SA"/>
        </w:rPr>
        <w:t>مقبوضاً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التوكيل في العقد يستلزم التوكيل في القبض،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بخلاف القاعدة، إلا أنّه يُمكن حمل الأخبار الواردة على وفاء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بالتحويل الوارد في الأخبار، معناه الأمر بقبوله عوضاً 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وحسابه عوضه، نظير المال المشخّص،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على شخص حقّة من الحنطة، وقبضت حقّة من الشعير من ماله ليحسب عوض حقّك كذلك في الذّمة </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3921779_2870459653"/>
      <w:bookmarkStart w:id="249" w:name="_Toc86"/>
      <w:bookmarkEnd w:id="248"/>
      <w:r>
        <w:rPr>
          <w:rtl w:val="true"/>
        </w:rPr>
        <w:t xml:space="preserve">[ </w:t>
      </w:r>
      <w:r>
        <w:rPr>
          <w:rtl w:val="true"/>
        </w:rPr>
        <w:t>ثالثاً</w:t>
      </w:r>
      <w:r>
        <w:rPr>
          <w:rtl w:val="true"/>
        </w:rPr>
        <w:t xml:space="preserve">: ] </w:t>
      </w:r>
      <w:r>
        <w:rPr>
          <w:rtl w:val="true"/>
        </w:rPr>
        <w:t>ومما يتعلّق ببيع الصرف هو</w:t>
      </w:r>
      <w:r>
        <w:rPr>
          <w:rtl w:val="true"/>
        </w:rPr>
        <w:t xml:space="preserve">: </w:t>
      </w:r>
      <w:r>
        <w:rPr>
          <w:rtl w:val="true"/>
        </w:rPr>
        <w:t>إنّ عدم الافتراق هل يعتبر بالنسبة إلى الوزن والنقد أيضاً أم لا؟</w:t>
      </w:r>
      <w:bookmarkEnd w:id="249"/>
    </w:p>
    <w:p>
      <w:pPr>
        <w:pStyle w:val="BookText"/>
        <w:rPr/>
      </w:pPr>
      <w:r>
        <w:rPr>
          <w:rFonts w:ascii="Amiri" w:hAnsi="Amiri" w:eastAsia="Amiri" w:cs="Amiri"/>
          <w:color w:val="111111"/>
          <w:sz w:val="28"/>
          <w:sz w:val="28"/>
          <w:szCs w:val="28"/>
          <w:rtl w:val="true"/>
          <w:lang w:bidi="ar-SA"/>
        </w:rPr>
        <w:t xml:space="preserve">وقال بعضٌ كالشهيد </w:t>
      </w:r>
      <w:r>
        <w:rPr>
          <w:rStyle w:val="FootnoteAnchor"/>
          <w:rtl w:val="true"/>
        </w:rPr>
        <w:footnoteReference w:id="308"/>
      </w:r>
      <w:r>
        <w:rPr>
          <w:rFonts w:ascii="Amiri" w:hAnsi="Amiri" w:eastAsia="Amiri" w:cs="Amiri"/>
          <w:color w:val="111111"/>
          <w:sz w:val="28"/>
          <w:sz w:val="28"/>
          <w:szCs w:val="28"/>
          <w:rtl w:val="true"/>
          <w:lang w:bidi="ar-SA"/>
        </w:rPr>
        <w:t xml:space="preserve">، والعلّامة </w:t>
      </w:r>
      <w:r>
        <w:rPr>
          <w:rStyle w:val="FootnoteAnchor"/>
          <w:rtl w:val="true"/>
        </w:rPr>
        <w:footnoteReference w:id="309"/>
      </w:r>
      <w:r>
        <w:rPr>
          <w:rFonts w:ascii="Amiri" w:hAnsi="Amiri" w:eastAsia="Amiri" w:cs="Amiri"/>
          <w:color w:val="111111"/>
          <w:sz w:val="28"/>
          <w:sz w:val="28"/>
          <w:szCs w:val="28"/>
          <w:rtl w:val="true"/>
          <w:lang w:bidi="ar-SA"/>
        </w:rPr>
        <w:t xml:space="preserve">، وغيرهما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يعتبر عدم الافتراق في الوزن والنقد، بل لو اشتمل المقبوض على الحق ، وورد رواية </w:t>
      </w:r>
      <w:r>
        <w:rPr>
          <w:rStyle w:val="FootnoteAnchor"/>
          <w:rtl w:val="true"/>
        </w:rPr>
        <w:footnoteReference w:id="31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وقع عليه العقد، إمّا أن يكون شخصاً، أو كلياً في الذّمة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يكفي فيه مجرّد القبض قبل الافتراق، ولو كان وزنه واعتباره بعد الافتراق لكن بشرط أن يكون بقدر الحق، وإلّا يكون البيع بالنسبة إلى القدر الناقص باطلاً؛ لعدم التقابض</w:t>
      </w:r>
      <w:r>
        <w:rPr>
          <w:rFonts w:eastAsia="Amiri" w:cs="Amiri" w:ascii="Amiri" w:hAnsi="Amiri"/>
          <w:color w:val="111111"/>
          <w:sz w:val="28"/>
          <w:szCs w:val="28"/>
          <w:rtl w:val="true"/>
          <w:lang w:bidi="ar-SA"/>
        </w:rPr>
        <w:t xml:space="preserve">. </w:t>
      </w:r>
      <w:bookmarkStart w:id="250" w:name="pg9195_77139"/>
    </w:p>
    <w:p>
      <w:pPr>
        <w:pStyle w:val="BookText"/>
        <w:rPr/>
      </w:pPr>
      <w:bookmarkEnd w:id="250"/>
      <w:r>
        <w:rPr>
          <w:rFonts w:ascii="Amiri" w:hAnsi="Amiri" w:eastAsia="Amiri" w:cs="Amiri"/>
          <w:color w:val="111111"/>
          <w:sz w:val="28"/>
          <w:sz w:val="28"/>
          <w:szCs w:val="28"/>
          <w:rtl w:val="true"/>
          <w:lang w:bidi="ar-SA"/>
        </w:rPr>
        <w:t xml:space="preserve">وأما الثاني، فلا يخلو من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إليه ويقبض ما هو بقدر حقّه لا أزيد، وبحكمه ما لو دفع إليه أزيد، لكن عيّن حقّه، وهذا لا إشكال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إليه أزيد من حقّه،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إليه حقّتين، والحال أنَّ حقَّه حقةٌ، وهذا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 إليه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المشاع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الكلّي به؛ لأنّ نصف المشاع معيّن، ولا إجمال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إليه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مبيع الكلّي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عيّن حقه منه، وفي هذا يشكل تحقق القبض؛ لأنَّه لا يتعيّن إلا بالتعيين، والمفروض عدمه، فلا يصدق قبض المبيع، فالكلّي قابل لتعيّنه في ضمن كلٍّ من الأفراد، فيحصل فيه إبهام، فلا يصدق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وكلمات الأصحاب مطلقة حتّى بالنسبة إلى هذه الصورة،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لها، بل هي الظاهر منها ، فيشكل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القبض عرفاً بمجرد قبض شيء يكون مشتملاً على الحقّ، وهذا أيضاً مشكل ؛ لعدم حكم العرف بذلك، ولو فرض حكمه يكون على سبيل المسامحة، إلا أن تُحمَل الرواية، وكلمات الأصحاب، على صورة الإشاعة</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3921781_2870459653"/>
      <w:bookmarkStart w:id="252" w:name="_Toc87"/>
      <w:bookmarkEnd w:id="251"/>
      <w:r>
        <w:rPr>
          <w:rtl w:val="true"/>
        </w:rPr>
        <w:t xml:space="preserve">[ </w:t>
      </w:r>
      <w:r>
        <w:rPr>
          <w:rtl w:val="true"/>
        </w:rPr>
        <w:t>رابعاً</w:t>
      </w:r>
      <w:r>
        <w:rPr>
          <w:rtl w:val="true"/>
        </w:rPr>
        <w:t>: ]</w:t>
      </w:r>
      <w:bookmarkEnd w:id="252"/>
    </w:p>
    <w:p>
      <w:pPr>
        <w:pStyle w:val="BookText"/>
        <w:rPr/>
      </w:pPr>
      <w:r>
        <w:rPr>
          <w:rFonts w:ascii="Amiri" w:hAnsi="Amiri" w:eastAsia="Amiri" w:cs="Amiri"/>
          <w:color w:val="111111"/>
          <w:sz w:val="28"/>
          <w:sz w:val="28"/>
          <w:szCs w:val="28"/>
          <w:rtl w:val="true"/>
          <w:lang w:bidi="ar-SA"/>
        </w:rPr>
        <w:t xml:space="preserve">ومما ذكروه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الحكم بالجواز بالنسبة إلى المصوغ والنقار </w:t>
      </w:r>
      <w:r>
        <w:rPr>
          <w:rStyle w:val="FootnoteAnchor"/>
          <w:rtl w:val="true"/>
        </w:rPr>
        <w:footnoteReference w:id="312"/>
      </w:r>
      <w:r>
        <w:rPr>
          <w:rFonts w:ascii="Amiri" w:hAnsi="Amiri" w:eastAsia="Amiri" w:cs="Amiri"/>
          <w:color w:val="111111"/>
          <w:sz w:val="28"/>
          <w:sz w:val="28"/>
          <w:szCs w:val="28"/>
          <w:rtl w:val="true"/>
          <w:lang w:bidi="ar-SA"/>
        </w:rPr>
        <w:t>بالنسبة إلى الرِّبا ،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بيع المصوغ بالنقار وبالعكس، والنقار بالنقار، والمصوغ بالمصوغ، والحال أنّ المصوغ تكون قيمته أزيد من النقار، وكأن نظرهم إلى أنّ الصياغة من قبيل الأوصاف، ولا يقابل بالأموال، ولا يصدق الزيادة عليها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لكنهم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اشترط الصياغة يكون من الرِّبا ، كأن يبيع النقار بالنقار، واشترط عليه صياغته ، لكن هذا يُشكل على إطلاقه، ومنشأ الإشكال عدم الفرق بينهما</w:t>
      </w:r>
      <w:r>
        <w:rPr>
          <w:rFonts w:eastAsia="Amiri" w:cs="Amiri" w:ascii="Amiri" w:hAnsi="Amiri"/>
          <w:color w:val="111111"/>
          <w:sz w:val="28"/>
          <w:szCs w:val="28"/>
          <w:rtl w:val="true"/>
          <w:lang w:bidi="ar-SA"/>
        </w:rPr>
        <w:t xml:space="preserve">. </w:t>
      </w:r>
      <w:bookmarkStart w:id="253" w:name="pg9195_77140"/>
    </w:p>
    <w:p>
      <w:pPr>
        <w:pStyle w:val="BookText"/>
        <w:rPr/>
      </w:pPr>
      <w:bookmarkEnd w:id="253"/>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أنّ هناك من قبيل الأوصاف، مثل الحمرة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البياض </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في الحنطة، والثاني من قبيل الشروط، والشروط تقابل بالأعواض مثل الأجل، فتصدق هنا الزيادة دون هناك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 إنّ الأوصاف لا تكون من قبيل الزيادة، سواء ذكرت بعنوان الوصفيّة، أو بعنوان الشرطيّة، والشاهد على ذلك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بيع حقّة من الحنطة بمثلها، واشترط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أو جيدة، يكون البيع صحيحاً،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لأنَّه يباع مثقال من النقار بمثقال من النقار ، واشترط أنْ يكون مصوغاً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مرادهم في هذا المقام من شرط الصياغة، شرط العمل لا شرط الصياغة النفس الأمريّة،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يباع ويشترط أن يصوغها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شرط العمل، ويكون زيادة قطعاً</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3921783_2870459653"/>
      <w:bookmarkStart w:id="255" w:name="_Toc88"/>
      <w:bookmarkEnd w:id="254"/>
      <w:r>
        <w:rPr>
          <w:rtl w:val="true"/>
        </w:rPr>
        <w:t xml:space="preserve">[ </w:t>
      </w:r>
      <w:r>
        <w:rPr>
          <w:rtl w:val="true"/>
        </w:rPr>
        <w:t>خامساً</w:t>
      </w:r>
      <w:r>
        <w:rPr>
          <w:rtl w:val="true"/>
        </w:rPr>
        <w:t>: ]</w:t>
      </w:r>
      <w:bookmarkEnd w:id="255"/>
    </w:p>
    <w:p>
      <w:pPr>
        <w:pStyle w:val="BookText"/>
        <w:rPr/>
      </w:pPr>
      <w:r>
        <w:rPr>
          <w:rFonts w:ascii="Amiri" w:hAnsi="Amiri" w:eastAsia="Amiri" w:cs="Amiri"/>
          <w:color w:val="111111"/>
          <w:sz w:val="28"/>
          <w:sz w:val="28"/>
          <w:szCs w:val="28"/>
          <w:rtl w:val="true"/>
          <w:lang w:bidi="ar-SA"/>
        </w:rPr>
        <w:t>ومما ذكروه في هذا الباب بالنسبة إلى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بيع فضة مغشوشة بفضة خالصة أزيد من المغشوشة، يكون صحيحاً ولا ربا؛ لأنّ الغش يكون مقابلاً للزيادة، وهذا على إطلاقه مشكل؛ لأنّ الغش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يحصل بسببه التركيب، كأنَّه شيئان رصاص وفضة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لا يكون فيه التركيب بحسب العرف، بل يكون فضة رديئة، ولا يقولون هو مركب من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يثمر في دفع الرِّبا هو الأول دون الثاني؛ لأنَّه ليس شيء يقال له ضميمة بحسب العرف؛ لأنّ المتبادر من الضميمة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المبيع شيئين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في مقابل الزيادة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وشيئاً في مقابل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الواردة ظاهرها الأول؛ لأنّ السائل ينقص درهمين، أو ثلاثة دراهم، فيشكل ما أطلقوه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الغش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يتسامح بمثله،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مع شيء آخر ؛ لقلته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لا يتسامح به؛ لكثرته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يكون مرادهم هو الثاني، هذا في صورة العلم بمقدار الغش والفضّة الخالصة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جهل المقدار، فحكموا بعدم جواز بيعه إلا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فيه، والحال أنَّه لا دليل على بطلانه وعدم جوازه؛ لأنّ عمومات البيع </w:t>
      </w:r>
      <w:r>
        <w:rPr>
          <w:rStyle w:val="FootnoteAnchor"/>
          <w:rtl w:val="true"/>
        </w:rPr>
        <w:footnoteReference w:id="317"/>
      </w:r>
      <w:r>
        <w:rPr>
          <w:rFonts w:ascii="Amiri" w:hAnsi="Amiri" w:eastAsia="Amiri" w:cs="Amiri"/>
          <w:color w:val="111111"/>
          <w:sz w:val="28"/>
          <w:sz w:val="28"/>
          <w:szCs w:val="28"/>
          <w:rtl w:val="true"/>
          <w:lang w:bidi="ar-SA"/>
        </w:rPr>
        <w:t>، وتجارة عن تراض</w:t>
      </w:r>
      <w:r>
        <w:rPr>
          <w:rStyle w:val="FootnoteAnchor"/>
          <w:rtl w:val="true"/>
        </w:rPr>
        <w:footnoteReference w:id="318"/>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إنّ الزيادة مانعة في الربويات، وحال الجهل لم يعلم المانع، والأصل عدمه، فيحكم بالصحة؛ لوجود المقتضى، وكأنَّ نظرهم إلى أنَّه يكون البيع بواسطة أدلّة الرِّبا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يشترط فيه المساواة كالربويات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لا يشترط فيه المساواة، فتكون المساواة شرطاً لهذا القسم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وحال الجهل لا يحرز الشرط، فيحصل الشك فيه، فيحصل الشك في المشروط بسببه، فيكون الأصل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الفساد وعدم انتقال الثمن والمثمن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 فيحكم بالفساد من هذه الجهة</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9195_77143"/>
      <w:bookmarkStart w:id="257" w:name="pg9195_77143"/>
      <w:bookmarkEnd w:id="257"/>
    </w:p>
    <w:p>
      <w:pPr>
        <w:pStyle w:val="Heading3"/>
        <w:numPr>
          <w:ilvl w:val="2"/>
          <w:numId w:val="1"/>
        </w:numPr>
        <w:rPr/>
      </w:pPr>
      <w:bookmarkStart w:id="258" w:name="pg9195_77143"/>
      <w:bookmarkStart w:id="259" w:name="__RefHeading___Toc3921785_2870459653"/>
      <w:bookmarkStart w:id="260" w:name="_Toc89"/>
      <w:bookmarkEnd w:id="258"/>
      <w:bookmarkEnd w:id="259"/>
      <w:r>
        <w:rPr>
          <w:rtl w:val="true"/>
        </w:rPr>
        <w:t>مسائلُ عشرون</w:t>
      </w:r>
      <w:bookmarkEnd w:id="260"/>
    </w:p>
    <w:p>
      <w:pPr>
        <w:pStyle w:val="Heading4"/>
        <w:numPr>
          <w:ilvl w:val="3"/>
          <w:numId w:val="1"/>
        </w:numPr>
        <w:rPr/>
      </w:pPr>
      <w:bookmarkStart w:id="261" w:name="__RefHeading___Toc3921787_2870459653"/>
      <w:bookmarkStart w:id="262" w:name="_Toc90"/>
      <w:bookmarkEnd w:id="261"/>
      <w:r>
        <w:rPr>
          <w:rtl w:val="true"/>
        </w:rPr>
        <w:t>إشارة</w:t>
      </w:r>
      <w:bookmarkEnd w:id="262"/>
    </w:p>
    <w:p>
      <w:pPr>
        <w:pStyle w:val="BookText"/>
        <w:rPr/>
      </w:pPr>
      <w:r>
        <w:rPr>
          <w:rFonts w:ascii="IRNazanin" w:hAnsi="IRNazanin" w:eastAsia="IRNazanin"/>
          <w:color w:val="111111"/>
          <w:sz w:val="28"/>
          <w:sz w:val="28"/>
          <w:szCs w:val="28"/>
          <w:rtl w:val="true"/>
          <w:lang w:bidi="fa-IR"/>
        </w:rPr>
        <w:t>مسائلُ عشرون</w:t>
      </w:r>
      <w:r>
        <w:rPr>
          <w:rStyle w:val="FootnoteAnchor"/>
          <w:rtl w:val="true"/>
        </w:rPr>
        <w:footnoteReference w:id="319"/>
      </w:r>
    </w:p>
    <w:p>
      <w:pPr>
        <w:pStyle w:val="Heading4"/>
        <w:numPr>
          <w:ilvl w:val="3"/>
          <w:numId w:val="1"/>
        </w:numPr>
        <w:rPr/>
      </w:pPr>
      <w:bookmarkStart w:id="263" w:name="__RefHeading___Toc3921789_2870459653"/>
      <w:bookmarkStart w:id="264" w:name="_Toc91"/>
      <w:bookmarkEnd w:id="263"/>
      <w:r>
        <w:rPr>
          <w:rtl w:val="true"/>
        </w:rPr>
        <w:t>[</w:t>
      </w:r>
      <w:r>
        <w:rPr>
          <w:rtl w:val="true"/>
        </w:rPr>
        <w:t>المسألة</w:t>
      </w:r>
      <w:r>
        <w:rPr>
          <w:rtl w:val="true"/>
        </w:rPr>
        <w:t xml:space="preserve">] </w:t>
      </w:r>
      <w:r>
        <w:rPr>
          <w:rtl w:val="true"/>
        </w:rPr>
        <w:t>الأولى</w:t>
      </w:r>
      <w:r>
        <w:rPr>
          <w:rtl w:val="true"/>
        </w:rPr>
        <w:t>:</w:t>
      </w:r>
      <w:bookmarkEnd w:id="264"/>
    </w:p>
    <w:p>
      <w:pPr>
        <w:pStyle w:val="BookText"/>
        <w:rPr/>
      </w:pPr>
      <w:r>
        <w:rPr>
          <w:rFonts w:ascii="Amiri" w:hAnsi="Amiri" w:eastAsia="Amiri" w:cs="Amiri"/>
          <w:color w:val="111111"/>
          <w:sz w:val="28"/>
          <w:sz w:val="28"/>
          <w:szCs w:val="28"/>
          <w:rtl w:val="true"/>
          <w:lang w:bidi="ar-SA"/>
        </w:rPr>
        <w:t xml:space="preserve">في أنّ الدرهم والدينار يتعيّنان بالتعيين كسائر الأشياء، خلافاً لأبي حنيفة حيث قال بعدم التعيين </w:t>
      </w:r>
      <w:r>
        <w:rPr>
          <w:rStyle w:val="FootnoteAnchor"/>
          <w:rtl w:val="true"/>
        </w:rPr>
        <w:footnoteReference w:id="320"/>
      </w:r>
      <w:r>
        <w:rPr>
          <w:rFonts w:ascii="Amiri" w:hAnsi="Amiri" w:eastAsia="Amiri" w:cs="Amiri"/>
          <w:color w:val="111111"/>
          <w:sz w:val="28"/>
          <w:sz w:val="28"/>
          <w:szCs w:val="28"/>
          <w:rtl w:val="true"/>
          <w:lang w:bidi="ar-SA"/>
        </w:rPr>
        <w:t>، وكأنّ نظره في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إلى أنّ المقصود فيهما في الحقيقة للمتبايعين هو الكلّي، والتعيين من باب أحد الأفراد، وإمّا إلى أنّ التعيين بسبب الخصوصيات والاختلافات، وليست في الأثمان</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3921791_2870459653"/>
      <w:bookmarkStart w:id="266" w:name="_Toc92"/>
      <w:bookmarkEnd w:id="265"/>
      <w:r>
        <w:rPr>
          <w:rtl w:val="true"/>
        </w:rPr>
        <w:t>[</w:t>
      </w:r>
      <w:r>
        <w:rPr>
          <w:rtl w:val="true"/>
        </w:rPr>
        <w:t>المسألة</w:t>
      </w:r>
      <w:r>
        <w:rPr>
          <w:rtl w:val="true"/>
        </w:rPr>
        <w:t xml:space="preserve">] </w:t>
      </w:r>
      <w:r>
        <w:rPr>
          <w:rtl w:val="true"/>
        </w:rPr>
        <w:t>الثانية</w:t>
      </w:r>
      <w:r>
        <w:rPr>
          <w:rtl w:val="true"/>
        </w:rPr>
        <w:t>:</w:t>
      </w:r>
      <w:bookmarkEnd w:id="266"/>
    </w:p>
    <w:p>
      <w:pPr>
        <w:pStyle w:val="BookText"/>
        <w:rPr/>
      </w:pPr>
      <w:r>
        <w:rPr>
          <w:rFonts w:ascii="Amiri" w:hAnsi="Amiri" w:eastAsia="Amiri" w:cs="Amiri"/>
          <w:color w:val="111111"/>
          <w:sz w:val="28"/>
          <w:sz w:val="28"/>
          <w:szCs w:val="28"/>
          <w:rtl w:val="true"/>
          <w:lang w:bidi="ar-SA"/>
        </w:rPr>
        <w:t>إنّه لو تعيّنت فظهرت مخالفة بغير الجنس، أو ظهرت مخالفة في الوصف، أو معيّنة، وكلٌّ من هذه الثلاث على قسمين؛ لأنَّه إمّا أن يكون تمام المبيع على هذه الكيفيّة، وإمَّا أن يكون بعضه على هذه الكيفية، فهذه ستُّ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صورة ظهور الجميع مخالفاً في الجنس، فحكموا ببطلان العقد فيها </w:t>
      </w:r>
      <w:r>
        <w:rPr>
          <w:rStyle w:val="FootnoteAnchor"/>
          <w:rtl w:val="true"/>
        </w:rPr>
        <w:footnoteReference w:id="321"/>
      </w:r>
      <w:r>
        <w:rPr>
          <w:rFonts w:ascii="Amiri" w:hAnsi="Amiri" w:eastAsia="Amiri" w:cs="Amiri"/>
          <w:color w:val="111111"/>
          <w:sz w:val="28"/>
          <w:sz w:val="28"/>
          <w:szCs w:val="28"/>
          <w:rtl w:val="true"/>
          <w:lang w:bidi="ar-SA"/>
        </w:rPr>
        <w:t xml:space="preserve">لأنَّ المبيع الشيءُ المعيّن، فلمَّا ظهر غيره لم يتحقق المبيع، وأجمعوا على ذلك، لكن يُشكل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اتفاقهم هنا لا يجتمع مع اختلافهم في الموارد الفقهية بتعارض الاسم والإشارة، فبعضهم يقدّمون الاسم على الإشارة، وبعضهم يقولون بالعكس </w:t>
      </w:r>
      <w:r>
        <w:rPr>
          <w:rStyle w:val="FootnoteAnchor"/>
          <w:rtl w:val="true"/>
        </w:rPr>
        <w:footnoteReference w:id="322"/>
      </w:r>
      <w:r>
        <w:rPr>
          <w:rFonts w:ascii="Amiri" w:hAnsi="Amiri" w:eastAsia="Amiri" w:cs="Amiri"/>
          <w:color w:val="111111"/>
          <w:sz w:val="28"/>
          <w:sz w:val="28"/>
          <w:szCs w:val="28"/>
          <w:rtl w:val="true"/>
          <w:lang w:bidi="ar-SA"/>
        </w:rPr>
        <w:t>، ومقتضى اختلافهم هناك عدم اتفاقهم هنا؛ لأنَّ المبيع هنا هو المشار إليه المسمّى باسم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الفرق بين تخلّف الجنس وتخلّف الوصف، حيث يحكمون في الأول </w:t>
      </w:r>
      <w:bookmarkStart w:id="267" w:name="pg9195_77144"/>
    </w:p>
    <w:p>
      <w:pPr>
        <w:pStyle w:val="BookText"/>
        <w:rPr/>
      </w:pPr>
      <w:bookmarkEnd w:id="267"/>
      <w:r>
        <w:rPr>
          <w:rFonts w:ascii="Amiri" w:hAnsi="Amiri" w:eastAsia="Amiri" w:cs="Amiri"/>
          <w:color w:val="111111"/>
          <w:sz w:val="28"/>
          <w:sz w:val="28"/>
          <w:szCs w:val="28"/>
          <w:rtl w:val="true"/>
          <w:lang w:bidi="ar-SA"/>
        </w:rPr>
        <w:t>بالبطلان دون الثاني؟ مع أنّ الموصوف بالوصف غير العاري عن الوصف، فيكون المبيع مختلفاً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الاختلاف في تقديم الإشارة أو الاسم يجري هنا أيضاً، فلا بُدَّ أن لا يتفقوا في الصحة</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3921793_2870459653"/>
      <w:bookmarkStart w:id="269" w:name="_Toc93"/>
      <w:bookmarkEnd w:id="268"/>
      <w:r>
        <w:rPr>
          <w:rtl w:val="true"/>
        </w:rPr>
        <w:t>(</w:t>
      </w:r>
      <w:r>
        <w:rPr>
          <w:rtl w:val="true"/>
        </w:rPr>
        <w:t>في تعارض الاسم والإشارة</w:t>
      </w:r>
      <w:r>
        <w:rPr>
          <w:rtl w:val="true"/>
        </w:rPr>
        <w:t>)</w:t>
      </w:r>
      <w:bookmarkEnd w:id="269"/>
    </w:p>
    <w:p>
      <w:pPr>
        <w:pStyle w:val="BookText"/>
        <w:rPr/>
      </w:pPr>
      <w:r>
        <w:rPr>
          <w:rFonts w:ascii="Amiri" w:hAnsi="Amiri" w:eastAsia="Amiri" w:cs="Amiri"/>
          <w:color w:val="111111"/>
          <w:sz w:val="28"/>
          <w:sz w:val="28"/>
          <w:szCs w:val="28"/>
          <w:rtl w:val="true"/>
          <w:lang w:bidi="ar-SA"/>
        </w:rPr>
        <w:t>فعلى هذا، فلنُقدّم الكلام في القاعدة الكلية في تعارض الاسم والإشارة، هل هي تقدّم الاسم أو الإشارة؟</w:t>
      </w:r>
    </w:p>
    <w:p>
      <w:pPr>
        <w:pStyle w:val="BookText"/>
        <w:rPr/>
      </w:pPr>
      <w:r>
        <w:rPr>
          <w:rFonts w:ascii="Amiri" w:hAnsi="Amiri" w:eastAsia="Amiri" w:cs="Amiri"/>
          <w:color w:val="111111"/>
          <w:sz w:val="28"/>
          <w:sz w:val="28"/>
          <w:szCs w:val="28"/>
          <w:rtl w:val="true"/>
          <w:lang w:bidi="ar-SA"/>
        </w:rPr>
        <w:t>فنقول فيها كلام بحسب المعنى والدلالة المعنوية، وكلام في الدلالة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الجهة الأولى، فهو أنّه يتبع فيها قصد المتكلّم، فإن عُلِمَ أن مقصوده هذا الشيء الخارجي، والتسمية بالاسم من باب العنوان، تُقَدَّم الإشارة قطعاً، وإن عُلِمَ أنّ المقصود هو المسمّى بهذا الاسم والإشارة من باب اعتقاده أنَّ المشار إليه هو المسمّى بهذا، يتبع قصده، وأما إذا لم يعلم مقصوده، فيحكم بالإجمال من حيث المعنى، ونرجع إلى القرائن الخارجة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الدّلالة اللفظيّة، فنرجع فيها إلى القرائن الثابتة في اللفظ، وإلا فيرجع إلى القرائن الخارجة الدالّة على مقصود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ونزاع الفقهاء في موارد التعارض في ثبوت القرينة الدّالة على المقصود وعدمها،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المقام في بيان الفرق بين تخلّف الجنس وتخلّف الوصف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القرينة قائمة في مقام تخلّف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هو المسمى بالاسم المشار إليه، ولو لم يكن مسمّى بالاسم؛ لأنَّه من الواضح إذا عُرض على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مقصودهم المسمّى بالاسم، وفي مقام تخلّف الوصف المقصود فيه الحنطة مثلاً، والأوصاف تابعة لها، والغرض الأصلي هو المشار إليه لا الوصف</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القرينة الدالّة على الفرق ثابتة في خصوص العقود؛ لأنّ العقد يحتاج إلى </w:t>
      </w:r>
      <w:bookmarkStart w:id="270" w:name="pg9195_77145"/>
    </w:p>
    <w:p>
      <w:pPr>
        <w:pStyle w:val="BookText"/>
        <w:rPr/>
      </w:pPr>
      <w:bookmarkEnd w:id="270"/>
      <w:r>
        <w:rPr>
          <w:rFonts w:ascii="Amiri" w:hAnsi="Amiri" w:eastAsia="Amiri" w:cs="Amiri"/>
          <w:color w:val="111111"/>
          <w:sz w:val="28"/>
          <w:sz w:val="28"/>
          <w:szCs w:val="28"/>
          <w:rtl w:val="true"/>
          <w:lang w:bidi="ar-SA"/>
        </w:rPr>
        <w:t>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العاقد، والمعقود، والمعقود عليه، وقبل تحقق الأركان لم يثبت المقتضي للصحة، وأركان الصحة، حتّى يتمسك في نفي الباقي بالأصل وغيره، وفي مقام تخلّف الجنس لم يتحقق ركن العقد، بخلافه في مقام تخلّف الوصف؛ لأن الركن متحقق هناك، والكلام في ثبوت شيء 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أنَّه لم يتحقق ركن العقد حتّى يتمسك في نفي الزائد واعتباره بالأصل في مقام تخلّف الوصف تحقق المقتضي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بالصحة حتّى يثبت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قائم على الصحة في تخلّف الوصف، وإلّا فمقتضى القواعد كونه مثل تخلّف الجنس، ومثل هذه الصورة الصورة التي أظهرت المخالفة في الجنس في بعض المبيع، فيحكم ببطلان البيع بالنسبة إلى المجرّد المخالف، وصحة الموافق، فيثبت خيار تبعض الصفقة للمشتري، وكذا للبائع لو كان جاهلاً بالعيب، وأمّا لو ظهر المبيع معيباً من الجنس وعدمها، وهو الخصاء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فيه منفعة شرعيّة، وقلّما يرغب فيه الناس، فلا يكون شيئاً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فرض أنَّه شيء ماليّ يحصل بإزائه المال بحسب العرف؛ لتعلّق الأغراض به، إلا أنّه مفوّت للمنفعة المقصودة من الفحولة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عدم الفحولة في نفسه نقصاً، مع قطع النظر عن ملازمته لصفة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نقص القيمة بانتفاء وصف الصحة، فيُجبر بالأرش؛ لأنَّ الأرش عن نقص حصل بسبب انتفاء وصف الصحة بما هو انتفاء؛ لأنّ العيب عبارة عن عدم الصحة، فعدم الفحولة يكون سبباً للنقص ، إلّا أنه لما كان ملازماً لصفة أخرى صارت القيمة بسببها زائدة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1" w:name="__RefHeading___Toc3921795_2870459653"/>
      <w:bookmarkStart w:id="272" w:name="_Toc94"/>
      <w:bookmarkEnd w:id="271"/>
      <w:r>
        <w:rPr>
          <w:rtl w:val="true"/>
        </w:rPr>
        <w:t xml:space="preserve">[ </w:t>
      </w:r>
      <w:r>
        <w:rPr>
          <w:rtl w:val="true"/>
        </w:rPr>
        <w:t xml:space="preserve">وثالثاً </w:t>
      </w:r>
      <w:r>
        <w:rPr>
          <w:rtl w:val="true"/>
        </w:rPr>
        <w:t>]</w:t>
      </w:r>
      <w:bookmarkStart w:id="273" w:name="pg9195_77146"/>
      <w:bookmarkEnd w:id="272"/>
    </w:p>
    <w:p>
      <w:pPr>
        <w:pStyle w:val="BookText"/>
        <w:rPr/>
      </w:pPr>
      <w:bookmarkEnd w:id="2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وصف الصحة ليس له قيمة كشعر العانة، بل عدمه مطلوب، ففي هذا لا يتصور فيه الأرش أبداً؛ لأن الصحيح لا يكون له قيمة حتّى يتصوّر التفاوت بينه وبين المعيب، والظاهر من العلماء عدم التفصيل بين القسمین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في القسمين في عدم تصوّر الأرش؛ لأنّ عدم الفحولة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الخصاء، وهي لا تنقص القيمة حتّى يتصوّر التفاوت والأرش، ولا يتفاوت كون الصحيح له قيمة أم لا، لأنّ المدار في ثبوت الأرش نقص القيمة، إلا أنْ يمنع مانع عن كون الخصاء شيئاً مالياً يجعل بإزائه المال، والمنع ممنوع؛ بإن الخصاء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لها شرعاً منفعة، لكن يكون لها بحسب العرف جهة ماليّة، حتّى لو لم يكن الغرض المتعلّق به هي الفائدة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قيمة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أنّه لا يثبت الأرش، بل يسقط ، هل يكون سبب الخيار للبائع؟</w:t>
      </w:r>
    </w:p>
    <w:p>
      <w:pPr>
        <w:pStyle w:val="BookText"/>
        <w:rPr/>
      </w:pPr>
      <w:r>
        <w:rPr>
          <w:rFonts w:ascii="Amiri" w:hAnsi="Amiri" w:eastAsia="Amiri" w:cs="Amiri"/>
          <w:color w:val="111111"/>
          <w:sz w:val="28"/>
          <w:sz w:val="28"/>
          <w:szCs w:val="28"/>
          <w:rtl w:val="true"/>
          <w:lang w:bidi="ar-SA"/>
        </w:rPr>
        <w:t xml:space="preserve">إمّا لأنَّه صار متضرراً بواسطة جهله؛ لأنَّه دفع عبداً تكون قيمته خمسين ديناراً، بعوض عبد تكون قيمته ثلاثين ديناراً، وإما لأجل تخلّف الوصف؛ حيث إنّ وصف الصحة ملحوظ 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الصحة قيد للمبيع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الإطلاق إليه عرفاً، فبعد تخلّف هذا الوصف يثبت الخيار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الصحة ليس قيداً للمبيع حتّى يصير انتفاؤه سبباً لخيار تخلّف الوصف، بل قلنا إنّ هذا الوصف شيء تعبدي جاء من قبل الشارع، فلم يثبت للبائع خيار تخلّف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باب الضرر، فغير بعيد؛ حيث لا يكون عالماً حين دفعه</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921797_2870459653"/>
      <w:bookmarkStart w:id="275" w:name="_Toc95"/>
      <w:bookmarkEnd w:id="274"/>
      <w:r>
        <w:rPr>
          <w:rtl w:val="true"/>
        </w:rPr>
        <w:t>المسألة الثالثة</w:t>
      </w:r>
      <w:r>
        <w:rPr>
          <w:rtl w:val="true"/>
        </w:rPr>
        <w:t>:</w:t>
      </w:r>
      <w:bookmarkEnd w:id="275"/>
    </w:p>
    <w:p>
      <w:pPr>
        <w:pStyle w:val="BookText"/>
        <w:rPr/>
      </w:pP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هذا العيب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مانع من موانع الردّ، مثل التصرّف وحدوث العيب، هل يكون المانع من الردّ مانعاً من الردّ حتّى في هذه الصورة التي ليس فيها الأرش، أو يكون مانعاً في غير هذه الصورة، باعتبار أنّه لو لم يجز له الردّ يتضرر بصبره على المعيب، خصوصاً في حدوث العيب؟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والأدلّة الدالّة على أنّ حدوث العيب في المبيع مانعٌ من الردّ، منصرفةٌ إلى الصورة التي يثبت فيها الأرش، إلا أن نمنع الضرر في هذه الصورة؛ لأنّ المفروض أن قيمة المعيب أزيد من الصحيح، فلا ضرر مالياً حتّى يجبر بشيء</w:t>
      </w:r>
      <w:r>
        <w:rPr>
          <w:rFonts w:eastAsia="Amiri" w:cs="Amiri" w:ascii="Amiri" w:hAnsi="Amiri"/>
          <w:color w:val="111111"/>
          <w:sz w:val="28"/>
          <w:szCs w:val="28"/>
          <w:rtl w:val="true"/>
          <w:lang w:bidi="ar-SA"/>
        </w:rPr>
        <w:t xml:space="preserve">. </w:t>
      </w:r>
      <w:bookmarkStart w:id="276" w:name="pg9195_77147"/>
    </w:p>
    <w:p>
      <w:pPr>
        <w:pStyle w:val="BookText"/>
        <w:rPr/>
      </w:pPr>
      <w:bookmarkEnd w:id="276"/>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لم يكن ضرراً مالياً، إلّا أنَّ الضرر يمكن باعتبار قصده؛ لأنّ مقصوده في ذلك البيع هو شراء العبد الفحل، أو البغل الفحل؛ ليحصل له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المدار في الضرر هو الضرر النوعي لا الشخصي، والضرر المالي لا </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خلاف 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المشتري إمّا أن يقصد العبد الفحل ثم ظهر العبد خصيّاً،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له الخيار، بل يكون البيع باطلاً؛ لأنّ العقد وقع على الخصي وهو لم يقصده، والعقود تابعة للقصود، أو لا يكون مقصوده الفحل، والعقد تعلّق بالمطلق، لم يثبت له خيار الردّ أبداً ؛ لأنّ منشأه إنْ كان هو الضرر قلنا إنّ الضرر منتفٍ</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3921799_2870459653"/>
      <w:bookmarkStart w:id="278" w:name="_Toc96"/>
      <w:bookmarkEnd w:id="277"/>
      <w:r>
        <w:rPr>
          <w:rtl w:val="true"/>
        </w:rPr>
        <w:t xml:space="preserve">[ </w:t>
      </w:r>
      <w:r>
        <w:rPr>
          <w:rtl w:val="true"/>
        </w:rPr>
        <w:t>والمسألة الرابعة</w:t>
      </w:r>
      <w:r>
        <w:rPr>
          <w:rtl w:val="true"/>
        </w:rPr>
        <w:t>]:</w:t>
      </w:r>
      <w:bookmarkEnd w:id="278"/>
    </w:p>
    <w:p>
      <w:pPr>
        <w:pStyle w:val="BookText"/>
        <w:rPr/>
      </w:pPr>
      <w:r>
        <w:rPr>
          <w:rFonts w:ascii="Amiri" w:hAnsi="Amiri" w:eastAsia="Amiri" w:cs="Amiri"/>
          <w:color w:val="111111"/>
          <w:sz w:val="28"/>
          <w:sz w:val="28"/>
          <w:szCs w:val="28"/>
          <w:rtl w:val="true"/>
          <w:lang w:bidi="ar-SA"/>
        </w:rPr>
        <w:t xml:space="preserve">كون العوضين ربويين، فإنَّ أخذ الأرش يوجب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قالوا</w:t>
      </w:r>
      <w:r>
        <w:rPr>
          <w:rStyle w:val="FootnoteAnchor"/>
          <w:rtl w:val="true"/>
        </w:rPr>
        <w:footnoteReference w:id="325"/>
      </w:r>
      <w:r>
        <w:rPr>
          <w:rFonts w:ascii="Amiri" w:hAnsi="Amiri" w:eastAsia="Amiri" w:cs="Amiri"/>
          <w:color w:val="111111"/>
          <w:sz w:val="28"/>
          <w:sz w:val="28"/>
          <w:szCs w:val="28"/>
          <w:rtl w:val="true"/>
          <w:lang w:bidi="ar-SA"/>
        </w:rPr>
        <w:t>۔ ولكن نبيّن الحال حتّى يظهر الواقع، فههنا مقدّمة، وفيها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الرِّبا بأيٍّ من الاحتمالات التي سبقت للأرش يتحقق، فنقول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الاحتمال الأول، وهو كون الأرش جزءاً من الثمن المقابل لوصف الصحة، فيكون بانتفاء الصحة نظير تبعّض الصفقة،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يتحقق الرِّبا أصلًا ؛ لأنَّه على هذا التقدير والاحتمال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بالنسبة إلى جزء من الثمن المقابل لوصف الصحة كان منفسخاً من أصله؛ لأنَّه لا يكون لهذا الجزء مقابل، 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أصلاً، بل يكون تفاسخ وانفساخ ، إلا أنَّ هذا الاحتمال بعيد جداً؛ لأنَّه ليس على هذا التقدير أرش؛ لأنّ الأرش هو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بين الصحيح والمعيب، وهنا يكون الانفساخ رأساً، وخلاف الظاهر من الأخبار؛ لأنَّه يكون في الجزء يرجع بالقيمة أرش النقص، وخلاف قصد المتبايعين؛ لأنّ مقصودهما جعل تمام الثمن بإزاء تمام المثمن، لا </w:t>
      </w:r>
    </w:p>
    <w:p>
      <w:pPr>
        <w:pStyle w:val="BookText"/>
        <w:rPr/>
      </w:pPr>
      <w:r>
        <w:rPr>
          <w:rFonts w:ascii="Amiri" w:hAnsi="Amiri" w:eastAsia="Amiri" w:cs="Amiri"/>
          <w:color w:val="111111"/>
          <w:sz w:val="28"/>
          <w:sz w:val="28"/>
          <w:szCs w:val="28"/>
          <w:rtl w:val="true"/>
          <w:lang w:bidi="ar-SA"/>
        </w:rPr>
        <w:t>بإزاء الأوصاف، خصوصاً في مثل المعاملة النسيّة والربويّة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الاحتمال الثاني، وهو كون الأرش جزءاً من الثمن، يكون لأجل وصف الصحة، لا في مقابله، وما يكون داعيه على ازدياد كونه متصفاً بهذا الوصف، وتكون ملكية البائع لهذا الجزء متزلزلةً، دائرةً مدار ظهور العيب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فإذا بانَ العيبُ ظهر عدم ملكيته، فعلى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الرِّبا</w:t>
      </w:r>
      <w:r>
        <w:rPr>
          <w:rFonts w:eastAsia="Amiri" w:cs="Amiri" w:ascii="Amiri" w:hAnsi="Amiri"/>
          <w:color w:val="111111"/>
          <w:sz w:val="28"/>
          <w:szCs w:val="28"/>
          <w:rtl w:val="true"/>
          <w:lang w:bidi="ar-SA"/>
        </w:rPr>
        <w:t xml:space="preserve">. </w:t>
      </w:r>
      <w:bookmarkStart w:id="279" w:name="pg9195_77149"/>
    </w:p>
    <w:p>
      <w:pPr>
        <w:pStyle w:val="Heading3"/>
        <w:numPr>
          <w:ilvl w:val="2"/>
          <w:numId w:val="1"/>
        </w:numPr>
        <w:rPr/>
      </w:pPr>
      <w:bookmarkStart w:id="280" w:name="__RefHeading___Toc3921801_2870459653"/>
      <w:bookmarkStart w:id="281" w:name="_Toc97"/>
      <w:bookmarkEnd w:id="279"/>
      <w:bookmarkEnd w:id="280"/>
      <w:r>
        <w:rPr>
          <w:rtl w:val="true"/>
        </w:rPr>
        <w:t xml:space="preserve">( </w:t>
      </w:r>
      <w:r>
        <w:rPr>
          <w:rtl w:val="true"/>
        </w:rPr>
        <w:t xml:space="preserve">في خيار العيب وأحكامه وفروعه </w:t>
      </w:r>
      <w:r>
        <w:rPr>
          <w:rtl w:val="true"/>
        </w:rPr>
        <w:t>)</w:t>
      </w:r>
      <w:bookmarkEnd w:id="281"/>
    </w:p>
    <w:p>
      <w:pPr>
        <w:pStyle w:val="Heading4"/>
        <w:numPr>
          <w:ilvl w:val="3"/>
          <w:numId w:val="1"/>
        </w:numPr>
        <w:rPr/>
      </w:pPr>
      <w:bookmarkStart w:id="282" w:name="__RefHeading___Toc3921803_2870459653"/>
      <w:bookmarkStart w:id="283" w:name="_Toc98"/>
      <w:bookmarkEnd w:id="282"/>
      <w:r>
        <w:rPr>
          <w:rtl w:val="true"/>
        </w:rPr>
        <w:t>إشارة</w:t>
      </w:r>
      <w:bookmarkEnd w:id="2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خيار العيب وأحكامه وفروعه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خيار العيب، وإنّما أفرد الفقهاءُ ذلك عن الخيارات؛ لكثرة أحكامه، وشدّة الاهتمام به والظاهر أنَّ تقابل الصحة والعيب هو تقابل العدم والملكة؛ لأنّ العيب عبارة عن عدم الصحة عما من شأنه أن يكون صحيحاً، والظاهر أنَّهم اصطلحوا إطلاق هذا التقابل على الشيئين اللذين ليس بينهما واسطة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الشروع في المطلب نذكر مسائل لها ارتباط بالمطلب، وتكون من 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نفي الضرر وأخباره، أو يكون ثبوته من باب الأخبار الخاصة، بمعنى كونه تعبدياً؟</w:t>
      </w:r>
    </w:p>
    <w:p>
      <w:pPr>
        <w:pStyle w:val="BookText"/>
        <w:rPr/>
      </w:pPr>
      <w:r>
        <w:rPr>
          <w:rFonts w:ascii="Amiri" w:hAnsi="Amiri" w:eastAsia="Amiri" w:cs="Amiri"/>
          <w:color w:val="111111"/>
          <w:sz w:val="28"/>
          <w:sz w:val="28"/>
          <w:szCs w:val="28"/>
          <w:rtl w:val="true"/>
          <w:lang w:bidi="ar-SA"/>
        </w:rPr>
        <w:t xml:space="preserve">والأقرب أنّه من باب الأخبار الخاصة، وكأنّ ذلك هو السبب في إفراده عن الخيارات الأخر؛ لأنَّ مدركها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مرجعه إلى خيار تخلّف الوصف، أو الشرط،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كأنّها وصف للمبيع، فكأن المشتري اشترى مبيعاً موصوفاً بالصحة، أو مشروطاً بالصحة، أو أنّ الصحة من لوازم الإطلاق عرفاً، فإذا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أو أنّ الصحة من لوازمه شرعاً،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جعل هذا لازماً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قبيل الأول يقيناً؛ لأنّ الأوصاف والقيود في الكليات تكون منوعة ومشخّصة للمبيع، 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المعيب من أفراد المبيع حتّى يثبت الخيار، ولازم ذلك تخصيصه بالمبيع الشخصي، وهو باطلٌ بالإجماع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من قبيل الثاني أيضاً، وإلّا لكان في جميع العقود؛ لأنَّ العرفَ لا يفرّق بين البيع وغيره من الوصايا، فتعيّن كونه من قبيل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الخيار ، هل هو مختص بالبيع، أو يجري في جميع عقود المعاوضات كالصلح والجعالة؟</w:t>
      </w:r>
    </w:p>
    <w:p>
      <w:pPr>
        <w:pStyle w:val="BookText"/>
        <w:rPr/>
      </w:pPr>
      <w:r>
        <w:rPr>
          <w:rFonts w:ascii="Amiri" w:hAnsi="Amiri" w:eastAsia="Amiri" w:cs="Amiri"/>
          <w:color w:val="111111"/>
          <w:sz w:val="28"/>
          <w:sz w:val="28"/>
          <w:szCs w:val="28"/>
          <w:rtl w:val="true"/>
          <w:lang w:bidi="ar-SA"/>
        </w:rPr>
        <w:t>والظاهر أنّه مختصٌ بالبيع ؛ لما ذكرنا في المقدمة الأولى من أن منشأ إثباته ليس أدلّة نفي الضرر حتّى يجري في الجميع، بل منشؤه أخبار 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اشترى بشرط الصحة، فهل هذا الشرط مؤكد لما أفهمه الإطلاق، أو يكون باطلاً؛ لأنَّه شرط غير مقدور ؛ لأنّ البائع لم يقدر على تصييره صحيحاً لو كانت معيبة؟</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فائدة اشتراط الصحة جواز الفسخ بعد التصرّف لو ظهر فيه عيب، ولا بأس به وإن أنكر هذا القول بعض الأجلّة </w:t>
      </w:r>
      <w:r>
        <w:rPr>
          <w:rStyle w:val="FootnoteAnchor"/>
          <w:rtl w:val="true"/>
        </w:rPr>
        <w:footnoteReference w:id="328"/>
      </w:r>
      <w:r>
        <w:rPr>
          <w:rFonts w:ascii="Amiri" w:hAnsi="Amiri" w:eastAsia="Amiri" w:cs="Amiri"/>
          <w:color w:val="111111"/>
          <w:sz w:val="28"/>
          <w:sz w:val="28"/>
          <w:szCs w:val="28"/>
          <w:rtl w:val="true"/>
          <w:lang w:bidi="ar-SA"/>
        </w:rPr>
        <w:t>بأنّا لم نجد قائلاً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اختصاص هذا الخيار بالمبيع، بل يجري في الثمن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هذه المسائل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لو ظهر في المبيع عيب، فللمشتري الخيار بين الفسخ والإمضاء به، مع أخذ الأرش، والدليل على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أقول وفي المسألة عند الأعلام تفصيلٌ بين ظهور العيب قبل القبض وبعد العقد، ومع علم المشتري وجهله، ولمزيد بيان يراجع الحدائق الناضرة للمحقق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بكلا قسميه، مؤيّداً بالأدلّة الدالّة على نفي الضرر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بحجيّته فهي، وإن لم نقل بحجيته يكون حجةً بسبب الاعتضاد بالشهرة والإجماع، إن قلنا بأن الشهرة في الفتوى جابرة، والحقُّ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في السلعة عيبٌ، وعلم المشتري، فالخيار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رَدَّهُ، وإن شاء أَخَذَهُ، أو ردّهُ </w:t>
      </w:r>
    </w:p>
    <w:p>
      <w:pPr>
        <w:pStyle w:val="BookText"/>
        <w:rPr/>
      </w:pPr>
      <w:r>
        <w:rPr>
          <w:rFonts w:ascii="Amiri" w:hAnsi="Amiri" w:eastAsia="Amiri" w:cs="Amiri"/>
          <w:color w:val="111111"/>
          <w:sz w:val="28"/>
          <w:sz w:val="28"/>
          <w:szCs w:val="28"/>
          <w:rtl w:val="true"/>
          <w:lang w:bidi="ar-SA"/>
        </w:rPr>
        <w:t>عليه بالقيمة أرش المعيب</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زيادة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يطابق ما ذكرناه </w:t>
      </w:r>
      <w:r>
        <w:rPr>
          <w:rStyle w:val="FootnoteAnchor"/>
          <w:rtl w:val="true"/>
        </w:rPr>
        <w:footnoteReference w:id="331"/>
      </w:r>
      <w:r>
        <w:rPr>
          <w:rFonts w:ascii="Amiri" w:hAnsi="Amiri" w:eastAsia="Amiri" w:cs="Amiri"/>
          <w:color w:val="111111"/>
          <w:sz w:val="28"/>
          <w:sz w:val="28"/>
          <w:szCs w:val="28"/>
          <w:rtl w:val="true"/>
          <w:lang w:bidi="ar-SA"/>
        </w:rPr>
        <w:t xml:space="preserve">، واحتمل بعضٌ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بالمرّة </w:t>
      </w:r>
      <w:r>
        <w:rPr>
          <w:rStyle w:val="FootnoteAnchor"/>
          <w:rtl w:val="true"/>
        </w:rPr>
        <w:footnoteReference w:id="332"/>
      </w:r>
      <w:r>
        <w:rPr>
          <w:rFonts w:ascii="Amiri" w:hAnsi="Amiri" w:eastAsia="Amiri" w:cs="Amiri"/>
          <w:color w:val="111111"/>
          <w:sz w:val="28"/>
          <w:sz w:val="28"/>
          <w:szCs w:val="28"/>
          <w:rtl w:val="true"/>
          <w:lang w:bidi="ar-SA"/>
        </w:rPr>
        <w:t xml:space="preserve">،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 مصدراً بسكون الخاء،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 جواباً؛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حاصله حاصل الأول، وجَعَلَ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Style w:val="FootnoteAnchor"/>
          <w:rtl w:val="true"/>
        </w:rPr>
        <w:footnoteReference w:id="333"/>
      </w:r>
      <w:r>
        <w:rPr>
          <w:rFonts w:ascii="Amiri" w:hAnsi="Amiri" w:eastAsia="Amiri" w:cs="Amiri"/>
          <w:color w:val="111111"/>
          <w:sz w:val="28"/>
          <w:sz w:val="28"/>
          <w:szCs w:val="28"/>
          <w:rtl w:val="true"/>
          <w:lang w:bidi="ar-SA"/>
        </w:rPr>
        <w:t>أصليّة، لا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الحقيقة يكون الترديد بين ثلاثة أمور الفسخ والإمضاء مجاناً، والإمضاء مع أخذ الأرش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من هذه الوجوه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بمرسل جميل </w:t>
      </w:r>
      <w:r>
        <w:rPr>
          <w:rStyle w:val="FootnoteAnchor"/>
          <w:rtl w:val="true"/>
        </w:rPr>
        <w:footnoteReference w:id="334"/>
      </w:r>
      <w:r>
        <w:rPr>
          <w:rFonts w:ascii="Amiri" w:hAnsi="Amiri" w:eastAsia="Amiri" w:cs="Amiri"/>
          <w:color w:val="111111"/>
          <w:sz w:val="28"/>
          <w:sz w:val="28"/>
          <w:szCs w:val="28"/>
          <w:rtl w:val="true"/>
          <w:lang w:bidi="ar-SA"/>
        </w:rPr>
        <w:t>، إلا أنه أثبت قبل التصرّف الردَّ فقط، وبعد التصرّف الأرش فقط، فعلى هذا لا يثبت تمام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تمسّك في تماميته إلى الأولوية </w:t>
      </w:r>
      <w:r>
        <w:rPr>
          <w:rStyle w:val="FootnoteAnchor"/>
          <w:rtl w:val="true"/>
        </w:rPr>
        <w:footnoteReference w:id="335"/>
      </w:r>
      <w:r>
        <w:rPr>
          <w:rStyle w:val="FootnoteAnchor"/>
          <w:rtl w:val="true"/>
        </w:rPr>
        <w:footnoteReference w:id="336"/>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ثبت بعد التصرّف الأرش، والحال أنّ التصرّف لا بُدَّ وأن يكون مسقطاً، فيثبت قبل التصرّف بطريق أولى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والأولويّة ممنوعةٌ، بل لعلها على العكس؛ لأنّ في صورة عدم التصرّف يكون له الردّ، فيدفع عنه الضرر بواسطته، وأمّا بعد التصرّف فليس له الرَّد حتّى يجرّ الضرر، فلا بُدَّ من ثبوت الأرش؛ لئلا يتضرر </w:t>
      </w:r>
      <w:r>
        <w:rPr>
          <w:rFonts w:eastAsia="Amiri" w:cs="Amiri" w:ascii="Amiri" w:hAnsi="Amiri"/>
          <w:color w:val="111111"/>
          <w:sz w:val="28"/>
          <w:szCs w:val="28"/>
          <w:rtl w:val="true"/>
          <w:lang w:bidi="ar-SA"/>
        </w:rPr>
        <w:t xml:space="preserve">. </w:t>
      </w:r>
      <w:bookmarkStart w:id="284" w:name="pg9195_77152"/>
    </w:p>
    <w:p>
      <w:pPr>
        <w:pStyle w:val="BookText"/>
        <w:rPr/>
      </w:pPr>
      <w:bookmarkEnd w:id="284"/>
      <w:r>
        <w:rPr>
          <w:rFonts w:ascii="Amiri" w:hAnsi="Amiri" w:eastAsia="Amiri" w:cs="Amiri"/>
          <w:color w:val="111111"/>
          <w:sz w:val="28"/>
          <w:sz w:val="28"/>
          <w:szCs w:val="28"/>
          <w:rtl w:val="true"/>
          <w:lang w:bidi="ar-SA"/>
        </w:rPr>
        <w:t xml:space="preserve">وقال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إثباته قبل التصرّف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الأرش بإزاء جزء من المبيع، فإذا كان بإزائه يتفاوت في القبل والبعد</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يثبت التوزيع بمعنى مقابلة أجزاء الثمن بأجزاء المبيع، حتّى يكون الأرش بإزاء الفائت؛ لأنَّهم صرّحوا </w:t>
      </w:r>
      <w:r>
        <w:rPr>
          <w:rStyle w:val="FootnoteAnchor"/>
          <w:rtl w:val="true"/>
        </w:rPr>
        <w:footnoteReference w:id="338"/>
      </w:r>
      <w:r>
        <w:rPr>
          <w:rFonts w:ascii="Amiri" w:hAnsi="Amiri" w:eastAsia="Amiri" w:cs="Amiri"/>
          <w:color w:val="111111"/>
          <w:sz w:val="28"/>
          <w:sz w:val="28"/>
          <w:szCs w:val="28"/>
          <w:rtl w:val="true"/>
          <w:lang w:bidi="ar-SA"/>
        </w:rPr>
        <w:t>بأنَّه يسقط بالإسقاط بعده، ولم يصح الرجوع بعد الإسقاط، ولو كان بإزاء جزء لكان بمنزلة الهبة، ومقتضاه جواز الرجوع، والمعتمد في الدليل هو الدليل</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921805_2870459653"/>
      <w:bookmarkStart w:id="286" w:name="_Toc99"/>
      <w:bookmarkEnd w:id="285"/>
      <w:r>
        <w:rPr>
          <w:rtl w:val="true"/>
        </w:rPr>
        <w:t xml:space="preserve">( </w:t>
      </w:r>
      <w:r>
        <w:rPr>
          <w:rtl w:val="true"/>
        </w:rPr>
        <w:t>في مسقطات خيار العيب</w:t>
      </w:r>
      <w:r>
        <w:rPr>
          <w:rtl w:val="true"/>
        </w:rPr>
        <w:t>)</w:t>
      </w:r>
      <w:bookmarkEnd w:id="286"/>
    </w:p>
    <w:p>
      <w:pPr>
        <w:pStyle w:val="Heading5"/>
        <w:numPr>
          <w:ilvl w:val="4"/>
          <w:numId w:val="1"/>
        </w:numPr>
        <w:rPr/>
      </w:pPr>
      <w:bookmarkStart w:id="287" w:name="__RefHeading___Toc3921807_2870459653"/>
      <w:bookmarkStart w:id="288" w:name="_Toc100"/>
      <w:bookmarkEnd w:id="287"/>
      <w:r>
        <w:rPr>
          <w:rtl w:val="true"/>
        </w:rPr>
        <w:t>إشارة</w:t>
      </w:r>
      <w:bookmarkEnd w:id="288"/>
    </w:p>
    <w:p>
      <w:pPr>
        <w:pStyle w:val="BookText"/>
        <w:rPr/>
      </w:pPr>
      <w:r>
        <w:rPr>
          <w:rFonts w:ascii="Amiri" w:hAnsi="Amiri" w:eastAsia="Amiri" w:cs="Amiri"/>
          <w:color w:val="111111"/>
          <w:sz w:val="28"/>
          <w:sz w:val="28"/>
          <w:szCs w:val="28"/>
          <w:rtl w:val="true"/>
          <w:lang w:bidi="ar-SA"/>
        </w:rPr>
        <w:t>واعلم أنّ لهذا الخيار مسقطات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الردّ والأرش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يسقط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الردّ، أو الأرش</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3921809_2870459653"/>
      <w:bookmarkStart w:id="290" w:name="_Toc101"/>
      <w:bookmarkEnd w:id="289"/>
      <w:r>
        <w:rPr>
          <w:rtl w:val="true"/>
        </w:rPr>
        <w:t>[</w:t>
      </w:r>
      <w:r>
        <w:rPr>
          <w:rtl w:val="true"/>
        </w:rPr>
        <w:t xml:space="preserve">ما يسقط به الأرش والردّ </w:t>
      </w:r>
      <w:r>
        <w:rPr>
          <w:rtl w:val="true"/>
        </w:rPr>
        <w:t>]</w:t>
      </w:r>
      <w:bookmarkEnd w:id="290"/>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اختلفوا في عدده، بعضهم عدَّه ثلاثة</w:t>
      </w:r>
      <w:r>
        <w:rPr>
          <w:rStyle w:val="FootnoteAnchor"/>
          <w:rtl w:val="true"/>
        </w:rPr>
        <w:footnoteReference w:id="339"/>
      </w:r>
      <w:r>
        <w:rPr>
          <w:rFonts w:ascii="Amiri" w:hAnsi="Amiri" w:eastAsia="Amiri" w:cs="Amiri"/>
          <w:color w:val="111111"/>
          <w:sz w:val="28"/>
          <w:sz w:val="28"/>
          <w:szCs w:val="28"/>
          <w:rtl w:val="true"/>
          <w:lang w:bidi="ar-SA"/>
        </w:rPr>
        <w:t>، وبعضٌ قال بالأربعة</w:t>
      </w:r>
      <w:r>
        <w:rPr>
          <w:rStyle w:val="FootnoteAnchor"/>
          <w:rtl w:val="true"/>
        </w:rPr>
        <w:footnoteReference w:id="340"/>
      </w:r>
      <w:r>
        <w:rPr>
          <w:rFonts w:ascii="Amiri" w:hAnsi="Amiri" w:eastAsia="Amiri" w:cs="Amiri"/>
          <w:color w:val="111111"/>
          <w:sz w:val="28"/>
          <w:sz w:val="28"/>
          <w:szCs w:val="28"/>
          <w:rtl w:val="true"/>
          <w:lang w:bidi="ar-SA"/>
        </w:rPr>
        <w:t xml:space="preserve">، وبعضٌ بالخمسة </w:t>
      </w:r>
      <w:r>
        <w:rPr>
          <w:rStyle w:val="FootnoteAnchor"/>
          <w:rtl w:val="true"/>
        </w:rPr>
        <w:footnoteReference w:id="341"/>
      </w:r>
      <w:r>
        <w:rPr>
          <w:rFonts w:ascii="Amiri" w:hAnsi="Amiri" w:eastAsia="Amiri" w:cs="Amiri"/>
          <w:color w:val="111111"/>
          <w:sz w:val="28"/>
          <w:sz w:val="28"/>
          <w:szCs w:val="28"/>
          <w:rtl w:val="true"/>
          <w:lang w:bidi="ar-SA"/>
        </w:rPr>
        <w:t xml:space="preserve">، وبعضٌ بالسبعة </w:t>
      </w:r>
      <w:r>
        <w:rPr>
          <w:rStyle w:val="FootnoteAnchor"/>
          <w:rtl w:val="true"/>
        </w:rPr>
        <w:footnoteReference w:id="342"/>
      </w:r>
      <w:r>
        <w:rPr>
          <w:rFonts w:ascii="Amiri" w:hAnsi="Amiri" w:eastAsia="Amiri" w:cs="Amiri"/>
          <w:color w:val="111111"/>
          <w:sz w:val="28"/>
          <w:sz w:val="28"/>
          <w:szCs w:val="28"/>
          <w:rtl w:val="true"/>
          <w:lang w:bidi="ar-SA"/>
        </w:rPr>
        <w:t xml:space="preserve">، ونحن نذكر إن شاء الله تعالى تمامها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 من العيوب حين البيع، بأن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وأنا بريء من عيوبه، أو تبرأت من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وإسقاطه في الجملة إجماعيٌّ، مضافاً إلى أصالة لزوم العقد، </w:t>
      </w:r>
    </w:p>
    <w:p>
      <w:pPr>
        <w:pStyle w:val="BookText"/>
        <w:rPr/>
      </w:pPr>
      <w:r>
        <w:rPr>
          <w:rFonts w:ascii="Amiri" w:hAnsi="Amiri" w:eastAsia="Amiri" w:cs="Amiri"/>
          <w:color w:val="111111"/>
          <w:sz w:val="28"/>
          <w:sz w:val="28"/>
          <w:szCs w:val="28"/>
          <w:rtl w:val="true"/>
          <w:lang w:bidi="ar-SA"/>
        </w:rPr>
        <w:t xml:space="preserve">مضافاً إلى الخبرين، ويدل أحدهما عليه منطوقاً </w:t>
      </w:r>
      <w:r>
        <w:rPr>
          <w:rStyle w:val="FootnoteAnchor"/>
          <w:rtl w:val="true"/>
        </w:rPr>
        <w:footnoteReference w:id="343"/>
      </w:r>
      <w:r>
        <w:rPr>
          <w:rFonts w:ascii="Amiri" w:hAnsi="Amiri" w:eastAsia="Amiri" w:cs="Amiri"/>
          <w:color w:val="111111"/>
          <w:sz w:val="28"/>
          <w:sz w:val="28"/>
          <w:szCs w:val="28"/>
          <w:rtl w:val="true"/>
          <w:lang w:bidi="ar-SA"/>
        </w:rPr>
        <w:t>، والآخر مفهوماً، ومضمونه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ولم يتبرأ من عيوبه، ولم يتبين له حين العقد، وعلم بعد القبض بالعيب، فله الأرش</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فإنّه يدلّ على أنه لو تبرأ لم يكن له الأرش، فهنا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يصح التبري إجمالاً ، أو لا بُدَّ أنْ يكون مفصلاً، وبعضهم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أنْ يكون مفصلاً، ولا يصح إجمالاً</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ولم يذكر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تبرأ إجمالاً يلزم الغرر والجهل،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سواء كان له عين، أو له يد أم لا، أو يكون فيه عوار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ليس غرريّاً؛ لأنَّ المبيع معين وليس العيوب جزءاً من المبيع، وليس لها مقابل من الثمن، على أنّه يلزم ذلك في صورة التفصيل؛ لأنَّه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مردّداً بين المبيع الموجود فيه هذا النقص وغيره، على أنه منقوض بنظائره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ما في هذا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التبري يكون بالنسبة إلى الموجودة حال العقد، وما تكون حادثة بعد العقد وقبل القبض، وما تكون حادثة حين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فهنا مسألتان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معنويّة، ولفظيّة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يصح التبري عن العيوب المتأخّرة عن العقد وقبل القبض، أو ما تكون حادثة حين العقد، أو لا يصح؟</w:t>
      </w:r>
    </w:p>
    <w:p>
      <w:pPr>
        <w:pStyle w:val="BookText"/>
        <w:rPr/>
      </w:pPr>
      <w:r>
        <w:rPr>
          <w:rFonts w:ascii="Amiri" w:hAnsi="Amiri" w:eastAsia="Amiri" w:cs="Amiri"/>
          <w:color w:val="111111"/>
          <w:sz w:val="28"/>
          <w:sz w:val="28"/>
          <w:szCs w:val="28"/>
          <w:rtl w:val="true"/>
          <w:lang w:bidi="ar-SA"/>
        </w:rPr>
        <w:t xml:space="preserve">وبعضهم قال بعدم الصحة؛ لأنَّه براءة مما لم يجب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وأجابوا عنه بأنَّه ليس براءة مما لا يجب؛ لأنّ مراده التبري من الخيار الثابت بسببهما بالعقد </w:t>
      </w:r>
      <w:r>
        <w:rPr>
          <w:rStyle w:val="FootnoteAnchor"/>
          <w:rtl w:val="true"/>
        </w:rPr>
        <w:footnoteReference w:id="347"/>
      </w:r>
      <w:r>
        <w:rPr>
          <w:rFonts w:ascii="Amiri" w:hAnsi="Amiri" w:eastAsia="Amiri" w:cs="Amiri"/>
          <w:color w:val="111111"/>
          <w:sz w:val="28"/>
          <w:sz w:val="28"/>
          <w:szCs w:val="28"/>
          <w:rtl w:val="true"/>
          <w:lang w:bidi="ar-SA"/>
        </w:rPr>
        <w:t xml:space="preserve">، ولكنه منعه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مراده التبري 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بسبب العيوب، لا بسبب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قال برئت من جميع عيوبها، فهل ينصرف إلى العيوب الثابتة قبل العقد </w:t>
      </w:r>
      <w:r>
        <w:rPr>
          <w:rStyle w:val="FootnoteAnchor"/>
          <w:rtl w:val="true"/>
        </w:rPr>
        <w:footnoteReference w:id="348"/>
      </w:r>
      <w:r>
        <w:rPr>
          <w:rFonts w:ascii="Amiri" w:hAnsi="Amiri" w:eastAsia="Amiri" w:cs="Amiri"/>
          <w:color w:val="111111"/>
          <w:sz w:val="28"/>
          <w:sz w:val="28"/>
          <w:szCs w:val="28"/>
          <w:rtl w:val="true"/>
          <w:lang w:bidi="ar-SA"/>
        </w:rPr>
        <w:t xml:space="preserve">، أو يكون شاملًا لجميع العيوب حتّى المتأخرة عن العقد </w:t>
      </w:r>
      <w:r>
        <w:rPr>
          <w:rStyle w:val="FootnoteAnchor"/>
          <w:rtl w:val="true"/>
        </w:rPr>
        <w:footnoteReference w:id="3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فبعضهم قال بأنَّه من قبيل المشتق، وهو حقيقة في المتلبس بالعيب بالفعل، لا ما يصير معيباً في المستقبل</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ضعفه؛ لأنَّه ليس من قبيل المشتق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قال بذلك؛ نظراً إلى انصرافه إلى الموجودة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ما فيه، بل الجمع المحلّى باللام يفيد العموم، فيشمل العيوب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العيوب التي لم تظهر إلا بعد مضيّ سنة، أو ستة أشهر؛ لكونه عاقراً، أو ممن لا تحيض وهي في سنّ من تحيض؟</w:t>
      </w:r>
    </w:p>
    <w:p>
      <w:pPr>
        <w:pStyle w:val="BookText"/>
        <w:rPr/>
      </w:pPr>
      <w:r>
        <w:rPr>
          <w:rFonts w:ascii="Amiri" w:hAnsi="Amiri" w:eastAsia="Amiri" w:cs="Amiri"/>
          <w:color w:val="111111"/>
          <w:sz w:val="28"/>
          <w:sz w:val="28"/>
          <w:szCs w:val="28"/>
          <w:rtl w:val="true"/>
          <w:lang w:bidi="ar-SA"/>
        </w:rPr>
        <w:t xml:space="preserve">الظاهر نعم؛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حال العقد غاية ما في الباب أنَّه لم تظهر عليه، والتبري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من المسقطات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بالعيب حين العقد؛ للأصل، ولمفهوم الخبر السابق حيث حكم بالأرش في صورة عدم التبيّن، فيكون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عالماً به حين العقد لم يكن له خيار، ولانصراف معقد الإجماع والأخبار إلى صورة الجهل دون صورة العلم؛ ولأنَّه على تقدير العلم مُقْدِمٌ على ضرره، فلا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الأخير لا يُمكن جعله دليلاً على حِدة؛ بناءً على ما تقدّم </w:t>
      </w:r>
      <w:r>
        <w:rPr>
          <w:rStyle w:val="FootnoteAnchor"/>
          <w:rtl w:val="true"/>
        </w:rPr>
        <w:footnoteReference w:id="352"/>
      </w:r>
      <w:r>
        <w:rPr>
          <w:rFonts w:ascii="Amiri" w:hAnsi="Amiri" w:eastAsia="Amiri" w:cs="Amiri"/>
          <w:color w:val="111111"/>
          <w:sz w:val="28"/>
          <w:sz w:val="28"/>
          <w:szCs w:val="28"/>
          <w:rtl w:val="true"/>
          <w:lang w:bidi="ar-SA"/>
        </w:rPr>
        <w:t>من أنّ ثبوت هذا الخيار تعبدي لا من باب نفي الضرر ، فهنا شيئان لا بدَّ من بيانهما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إسقاط العلم بالعيب الخَيارَ ، هل يختص بالعلم حال العقد، أو لا يختص، بل يعمّ ما لو علم بالعيب قبل القبض فقبض فيما لو كان المبيع كليّاً؟ وإن قلنا بأنَّ الصحة المستفادة وصف للمبيع، فلا يكون المقبوض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للمبيع؛ لأنَّ المبيع الحيوان الصحيح لا المعيب، فتكون معاملة على حدة لا ربط لها بالمعاملة السابقة، فتكون معاطاة، فإن صححناها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للزوم،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تكن الصحة وصفاً للمبيع، بل كان المبيع مطلق الحيوان لا الصحيح منه، فالمقبوض فرد منه ، فالعلم بالعيب يكون مسقطاً للخيار ، كما لو علم في حال العقد؛ لجريان الأدلّة فيه، وإن كان ظاهر الخبر هو العلم به حين الاشتراء، لكن إقدامه على القبض رضا منه به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العلم بالعيب حين العقد، هل يصح إبقاء الخيار أم لا ؟ </w:t>
      </w:r>
    </w:p>
    <w:p>
      <w:pPr>
        <w:pStyle w:val="BookText"/>
        <w:rPr/>
      </w:pPr>
      <w:r>
        <w:rPr>
          <w:rFonts w:ascii="Amiri" w:hAnsi="Amiri" w:eastAsia="Amiri" w:cs="Amiri"/>
          <w:color w:val="111111"/>
          <w:sz w:val="28"/>
          <w:sz w:val="28"/>
          <w:szCs w:val="28"/>
          <w:rtl w:val="true"/>
          <w:lang w:bidi="ar-SA"/>
        </w:rPr>
        <w:t xml:space="preserve">والظاهر إنّه مبني على أنّ سبب الخيار هو مطلق العيب ولو كان معلوماً، أو يكون سببه العيب المجهول أولاً حين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بالأول يصح إبقاؤه ولا مانع منه، وإن قلنا بالثاني لم يصح؛ لأنَّه شرط مخالف للسّنة؛ لأنَّ هذا الخيار لم يجعل على تقدير العلم، ولا سيّما إذا أبقى الأرش؛ لجهالة الثمن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بأنَّه ليس فيه جهالة، بل الثمن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عدم الصحة لوجه آخر بأنَّ إبقاء الأرش معناه التزام البائع بمال تعليقاً، والتعليق فيه غير صحيح؛ لأنَّه بمنزلة أن يقول للبائع لي عليك درهم على تقدير أخذي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من قبيل الشرط حتّى يتوجه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الخيار حين العقد أو بعده ، وبعضهم يجعل عدم صحته</w:t>
      </w:r>
      <w:r>
        <w:rPr>
          <w:rStyle w:val="FootnoteAnchor"/>
          <w:rtl w:val="true"/>
        </w:rPr>
        <w:footnoteReference w:id="353"/>
      </w:r>
      <w:r>
        <w:rPr>
          <w:rFonts w:ascii="Amiri" w:hAnsi="Amiri" w:eastAsia="Amiri" w:cs="Amiri"/>
          <w:color w:val="111111"/>
          <w:sz w:val="28"/>
          <w:sz w:val="28"/>
          <w:szCs w:val="28"/>
          <w:rtl w:val="true"/>
          <w:lang w:bidi="ar-SA"/>
        </w:rPr>
        <w:t>بناءً على أنّه إسقاط ما لم يجب؛ لأنّ ظهور العيب يكون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إسقاط ما يجب؛ لأنَّ سبب الخيار هو العقد، وأمّا سببيته بواسطة العيوب، والظاهر أنَه مبتن على ما ذكرناه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الخيار هو العيب، فهو ثابت الآن، فيصح إسقاطه، وإنْ كان سببه ظهور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الأخبار وبعض العبائر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بثابت، فلا يصح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من المسقطات التصرّف في المبيع، والوجوه المحتملة هنا ثلاثة، بل أقوال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يسقط الردّ والأرش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إثباتهما معاً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الردّ والأرش، بأن الأول يسقط، دون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إذا علم بالعيب ثم تصرف فيه فقد أقدم على ضرره، فتصرفه كاشف عن رضاه بالمعيب، والخيار علّته أو حكمته دفع الضرر الوارد على المشتري بواسطة لزوم العقد، فإذا رضي بالضرر فما السبب في إثبات الخيار؟</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بالاستصحاب، فإن ثبت دام بحكم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مطلقاً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سيّما في مثل بعض التصرّفات من مثل الأمر بإغلاق الباب ، وإلّا فالعلماء يحكمون بجواز الردّ في العيوب الظاهرة بعد السنة، أو بعد ستة أشهر </w:t>
      </w:r>
      <w:r>
        <w:rPr>
          <w:rStyle w:val="FootnoteAnchor"/>
          <w:rtl w:val="true"/>
        </w:rPr>
        <w:footnoteReference w:id="354"/>
      </w:r>
      <w:r>
        <w:rPr>
          <w:rFonts w:ascii="Amiri" w:hAnsi="Amiri" w:eastAsia="Amiri" w:cs="Amiri"/>
          <w:color w:val="111111"/>
          <w:sz w:val="28"/>
          <w:sz w:val="28"/>
          <w:szCs w:val="28"/>
          <w:rtl w:val="true"/>
          <w:lang w:bidi="ar-SA"/>
        </w:rPr>
        <w:t>، مع عدم الانفكاك من مثل هذه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دليل على رضاه بالمبيع لا بالمعيب،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راض به مع عدم أخذ الأرش؛ لأنَّه لا منافاة بين الرِّضا بالمبيع وأخذ الأرش لا عقلاً، ولا شرعاً، ولا عرفاً؛ لأنَّهم لا يجعلون التصرّف دليلاً على الرِّضا المطلق، ولا ينافيه الخبر المذكور في أثناء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أجده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تصرف المشتري رضا منه سواء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حكم الرضا،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الرضا مسقط كذلك التصرّف مسقطٌ، أو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كاشف عن الرضا، فالرضا 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إسقاط التصرّف في الأول من باب التعبُّد، وفي الثاني من حيث كونه كاشفاً عن الرضا؛ لأنّ المنافاة متفرعة على عدم جواز اجتماع الرضا بالبيع مع قصد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يكون التفصيل متجهاً، وإن استقرب الأستاذ الأول وفاقاً لجماعة من المحققين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والخامس من المسقطات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العيب سواء كان بعد القبض أو قبله، وبعد العلم بالعيب وقبله، والوجوه المحتملة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إسقاطهما معاً؛ لأنّ منشأ الخيار هو العيب، فبعد زوال العيب لم يكن حتّى يثبت بسببه شيء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إثباتهما معاً بحكم الاستصحاب؛ ولأنَّ وجود السبب في الآن الأول كافٍ في بقائه، فلا يحتاج في بقائه إلى علّة أخرى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بسقوط الردّ وثبوت الأرش، ومتمسكه في الدعويين مركب من الأول والثاني، ففي الأول يتمسّك بأن السبب هو العيب، وقد زال، فلا بُدَّ أن يزول مسبّبه، وفي الثاني الاستصحاب؛ ولأنَّ الأرش من الحقوق الماليّة لا يضرّ ثبوته بالعقد ولزومه، بخلاف الردّ، فإنّه يعارضه أصالة اللزوم،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التمسك بالاستصحاب؛ فلأن الاستصحاب جارٍ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اندفاع الثاني؛ فلأنّ الأرش يحتمل معاني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الأرش هو جزء من الثمن، يكون في مقابله وصف الصحة، فكأنَّ المثمن مركبٌ من الشيء ووصف الصحة </w:t>
      </w:r>
      <w:r>
        <w:rPr>
          <w:rStyle w:val="FootnoteAnchor"/>
          <w:rtl w:val="true"/>
        </w:rPr>
        <w:footnoteReference w:id="357"/>
      </w:r>
      <w:r>
        <w:rPr>
          <w:rFonts w:ascii="Amiri" w:hAnsi="Amiri" w:eastAsia="Amiri" w:cs="Amiri"/>
          <w:color w:val="111111"/>
          <w:sz w:val="28"/>
          <w:sz w:val="28"/>
          <w:szCs w:val="28"/>
          <w:rtl w:val="true"/>
          <w:lang w:bidi="ar-SA"/>
        </w:rPr>
        <w:t>، فإذا ارتفع الصحة، فكأنَّه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جزء من الثمن زِيد لأجل الوصف، لا في مقابل الوصف حتّى تتبعّض الصفقة بالتخلّف، فالمبيع والثمن هو ذلك الشيء خاصة، لكن داعي المشتري على ازدياد الثمن، وهو وصف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غرامة مستقلة لا ربط له بالثمن والمثمن </w:t>
      </w:r>
      <w:r>
        <w:rPr>
          <w:rStyle w:val="FootnoteAnchor"/>
          <w:rtl w:val="true"/>
        </w:rPr>
        <w:footnoteReference w:id="358"/>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جزء لهما جعله الشارع بسبب كون المبيع معيوباً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عيّن أخذه من الثمن، كتعلّق حق الديّان بالتركة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يتعيّن أخذه، بل حقٌّ على البائع مطلقاً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كل من المعاني الثلاثة، أو الأربعة، يكون الأرش لأصل العيب، فإذا لم يكن عيب </w:t>
      </w:r>
    </w:p>
    <w:p>
      <w:pPr>
        <w:pStyle w:val="BookText"/>
        <w:rPr/>
      </w:pPr>
      <w:r>
        <w:rPr>
          <w:rFonts w:ascii="Amiri" w:hAnsi="Amiri" w:eastAsia="Amiri" w:cs="Amiri"/>
          <w:color w:val="111111"/>
          <w:sz w:val="28"/>
          <w:sz w:val="28"/>
          <w:szCs w:val="28"/>
          <w:rtl w:val="true"/>
          <w:lang w:bidi="ar-SA"/>
        </w:rPr>
        <w:t>فلم يتحقق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بسقوطهما معاً؛ لانصراف الأدلّة ومعاقد الإجماعات إلى غير ذلك الموضع، مضافاً إلى أنّ الحكم بثبوت الخيار معلّق على الوصف، وهو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وتعليق الحكم على الوصف ظاهر في أنّ العلّة الفعليّة للحكم ذاك، ومنتفٍ بانتفائها، فتعيّن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من المسقطات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تأخر الاختيار عن العلم بالعيب، وذلك بناءً على أنّ هذا الخيار فوريّ، ولكن المشهور </w:t>
      </w:r>
      <w:r>
        <w:rPr>
          <w:rStyle w:val="FootnoteAnchor"/>
          <w:rtl w:val="true"/>
        </w:rPr>
        <w:footnoteReference w:id="359"/>
      </w:r>
      <w:r>
        <w:rPr>
          <w:rFonts w:ascii="Amiri" w:hAnsi="Amiri" w:eastAsia="Amiri" w:cs="Amiri"/>
          <w:color w:val="111111"/>
          <w:sz w:val="28"/>
          <w:sz w:val="28"/>
          <w:szCs w:val="28"/>
          <w:rtl w:val="true"/>
          <w:lang w:bidi="ar-SA"/>
        </w:rPr>
        <w:t xml:space="preserve">هو التراخي، وهذا منافٍ لما اختاروه </w:t>
      </w:r>
      <w:r>
        <w:rPr>
          <w:rStyle w:val="FootnoteAnchor"/>
          <w:rtl w:val="true"/>
        </w:rPr>
        <w:footnoteReference w:id="360"/>
      </w:r>
      <w:r>
        <w:rPr>
          <w:rFonts w:ascii="Amiri" w:hAnsi="Amiri" w:eastAsia="Amiri" w:cs="Amiri"/>
          <w:color w:val="111111"/>
          <w:sz w:val="28"/>
          <w:sz w:val="28"/>
          <w:szCs w:val="28"/>
          <w:rtl w:val="true"/>
          <w:lang w:bidi="ar-SA"/>
        </w:rPr>
        <w:t>في باقي الخيارات من القول بالفوريّة؛ لأنَّ مدركهم على الحكم بتراخي هذا الخيار هو الاستصحاب، وهو جارٍ في باقي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الوجه في تفصيلهم هو ما ذكرنا سابقاً </w:t>
      </w:r>
      <w:r>
        <w:rPr>
          <w:rStyle w:val="FootnoteAnchor"/>
          <w:rtl w:val="true"/>
        </w:rPr>
        <w:footnoteReference w:id="361"/>
      </w:r>
      <w:r>
        <w:rPr>
          <w:rFonts w:ascii="Amiri" w:hAnsi="Amiri" w:eastAsia="Amiri" w:cs="Amiri"/>
          <w:color w:val="111111"/>
          <w:sz w:val="28"/>
          <w:sz w:val="28"/>
          <w:szCs w:val="28"/>
          <w:rtl w:val="true"/>
          <w:lang w:bidi="ar-SA"/>
        </w:rPr>
        <w:t xml:space="preserve">من أنّ مدرك باقي الخيارات هي قاعدة نفي الضرر ، والضرر ينفى بالفوريّة، وفي ثاني الزمان يجري قاعدة الوفاء بالعقد، وأمّا هذا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مدركه الأخبار الخاصة، فهي مطلقة بين أول الأزمنة أو ثانيها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منع الإطلاق،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واردة لبيان أصل الخيار، ولا ربط لها بزمان من الأزمنة، فلا يكون نظرها إلى الفوريّة والتراخي ، فلم يكن فيها إطلاق من هذه الجهة حتّى يتمسك به، ولم يثبت حجيّة الاستصحاب حتّى في مثل هذا المقام؛ لأنَّه إمّا من باب الظن فالظن بخلافه، وإمّا من باب التعبّد، فيدعى انصرافها إلى غير هذا الموضع، وكذلك الشهرة ليست بحجّة؛ لأنَّها على تقدير حجيتها تكون من باب الظن، فالظن بخلافها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والسابع من المسقطات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كون الإسقاط فيه حقيقة بالنسبة إلى أحدهما والآخر ساقط بدلیل آخر، فاطلقوا عليه مسقط الردّ والأرش تسامحاً، وهو في ثلاثة مواضع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المعيب الذي لا يُمكن أخذ الأرش فيه؛ لكونه ربويّاً ويحصل الرِّبا، فإذا تصرف المشتري يسقط الردّ، والأرش ساقط من أصله ؛ لأنَّه لو أخذ الأرش حصل الزيادة في الجنس الواحد، فكأنَّ المتبايعين بنيا على عدم أخذ الأرش لو ظهر معيباً، وإنْ شاء الردّ ردَّه مجاناً، وبناؤهم على عدم جعل الوصف بإزاء جزء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المعيب بالعيب الذي لا يختلف الثمن به لكون البغل 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العيب في المبيع بالعيب المذكور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فيه عيب سابقاً، ثم تجدّد فيه العيب المذكور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بعضهم في سقوط الردّ </w:t>
      </w:r>
      <w:r>
        <w:rPr>
          <w:rStyle w:val="FootnoteAnchor"/>
          <w:rtl w:val="true"/>
        </w:rPr>
        <w:footnoteReference w:id="362"/>
      </w:r>
      <w:r>
        <w:rPr>
          <w:rFonts w:ascii="Amiri" w:hAnsi="Amiri" w:eastAsia="Amiri" w:cs="Amiri"/>
          <w:color w:val="111111"/>
          <w:sz w:val="28"/>
          <w:sz w:val="28"/>
          <w:szCs w:val="28"/>
          <w:rtl w:val="true"/>
          <w:lang w:bidi="ar-SA"/>
        </w:rPr>
        <w:t>لورود الضرر ، مع عدم ثبوت الأرش هنا، بخلاف الصورة السابقة، فإنه تصرّف مع علمه، وفي هذا المقام لم يعلم بالعيب، والظاهر أنَّه بمحلّه</w:t>
      </w:r>
      <w:r>
        <w:rPr>
          <w:rFonts w:eastAsia="Amiri" w:cs="Amiri" w:ascii="Amiri" w:hAnsi="Amiri"/>
          <w:color w:val="111111"/>
          <w:sz w:val="28"/>
          <w:szCs w:val="28"/>
          <w:rtl w:val="true"/>
          <w:lang w:bidi="ar-SA"/>
        </w:rPr>
        <w:t xml:space="preserve">. </w:t>
      </w:r>
      <w:bookmarkStart w:id="291" w:name="pg9195_77161"/>
    </w:p>
    <w:p>
      <w:pPr>
        <w:pStyle w:val="Heading5"/>
        <w:numPr>
          <w:ilvl w:val="4"/>
          <w:numId w:val="1"/>
        </w:numPr>
        <w:rPr/>
      </w:pPr>
      <w:bookmarkStart w:id="292" w:name="__RefHeading___Toc3921811_2870459653"/>
      <w:bookmarkStart w:id="293" w:name="_Toc102"/>
      <w:bookmarkEnd w:id="291"/>
      <w:bookmarkEnd w:id="292"/>
      <w:r>
        <w:rPr>
          <w:rtl w:val="true"/>
        </w:rPr>
        <w:t>[</w:t>
      </w:r>
      <w:r>
        <w:rPr>
          <w:rtl w:val="true"/>
        </w:rPr>
        <w:t>الكلام في ما يسقط به الردّ دون الأرش</w:t>
      </w:r>
      <w:r>
        <w:rPr>
          <w:rtl w:val="true"/>
        </w:rPr>
        <w:t>]</w:t>
      </w:r>
      <w:bookmarkEnd w:id="293"/>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يسقط الردّ دون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بالعقد والرِّضا به وإسقاط الردّ،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بالعقد وأمضيته، أو أسقطتُ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أسقطتهما، أو أسقطتُ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سقوط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بعد العلم، فإنّه مسقط للردّ دون الأرش؛ بمقتضى الأخبار، وما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ينافيه، ولم يظهر مخالف إلا ابن حمزة</w:t>
      </w:r>
      <w:r>
        <w:rPr>
          <w:rStyle w:val="FootnoteAnchor"/>
          <w:rtl w:val="true"/>
        </w:rPr>
        <w:footnoteReference w:id="363"/>
      </w:r>
      <w:r>
        <w:rPr>
          <w:rFonts w:ascii="IRNazanin" w:hAnsi="IRNazanin" w:eastAsia="IRNazanin"/>
          <w:color w:val="111111"/>
          <w:sz w:val="28"/>
          <w:sz w:val="28"/>
          <w:szCs w:val="28"/>
          <w:rtl w:val="true"/>
          <w:lang w:bidi="fa-IR"/>
        </w:rPr>
        <w:t>فأسقطهما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فههنا أمور لا بُدَّ من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التصرّف مسقط للعيوب الموجودة في حال العقد، أو يسقط العيوب مطلقاً؟</w:t>
      </w:r>
    </w:p>
    <w:p>
      <w:pPr>
        <w:pStyle w:val="BookText"/>
        <w:rPr/>
      </w:pPr>
      <w:r>
        <w:rPr>
          <w:rFonts w:ascii="Amiri" w:hAnsi="Amiri" w:eastAsia="Amiri" w:cs="Amiri"/>
          <w:color w:val="111111"/>
          <w:sz w:val="28"/>
          <w:sz w:val="28"/>
          <w:szCs w:val="28"/>
          <w:rtl w:val="true"/>
          <w:lang w:bidi="ar-SA"/>
        </w:rPr>
        <w:t>والظاهر من الأخبار هو الأول؛ لأنَّه حكم بثبوت الأرش على تقدير ظهور العيب؛ لأنّ لفظ الرواية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اشترى شيئاً فيه عيب، أو عوار، ولم يتبرأ إليه منه، ولم يتبيّن له، فما حدث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بذلك العيب والعوار، فإنه يمضي عليه البيع </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ويتبادر منه أنّ التصرّف بعد القبض وبعد العلم، فلا يكون شاملاً للعيوب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الإنصاف أنَّه كما يحتمل أن يكون العلم من متعلّقات العقد، كذلك يحتمل أنْ يكون جملة مستقلة لا ربط له بالسابق، فيكون المعنى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فأحدث بعد القبض وعلم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يكون هذا أظهر ، مضافاً إلى الشهرة، بل الإجماع المنقول</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هل العلم بمعنى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يعمّ الظن، بل الشك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إشكال من حيث إنّه يصدق على تقدير الظن، بل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أقدم على الضرر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على تقدير الظن ، والمناط في الإسقاط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 مقْدماً على ضرره، ومن أنَّ الأخبار معلّق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وكذلك كلمات الأصحاب</w:t>
      </w:r>
      <w:r>
        <w:rPr>
          <w:rStyle w:val="FootnoteAnchor"/>
          <w:rtl w:val="true"/>
        </w:rPr>
        <w:footnoteReference w:id="367"/>
      </w:r>
      <w:r>
        <w:rPr>
          <w:rFonts w:ascii="Amiri" w:hAnsi="Amiri" w:eastAsia="Amiri" w:cs="Amiri"/>
          <w:color w:val="111111"/>
          <w:sz w:val="28"/>
          <w:sz w:val="28"/>
          <w:szCs w:val="28"/>
          <w:rtl w:val="true"/>
          <w:lang w:bidi="ar-SA"/>
        </w:rPr>
        <w:t xml:space="preserve">، وكذلك معقد الإجماع هو العلم </w:t>
      </w:r>
      <w:r>
        <w:rPr>
          <w:rStyle w:val="FootnoteAnchor"/>
          <w:rtl w:val="true"/>
        </w:rPr>
        <w:footnoteReference w:id="368"/>
      </w:r>
      <w:r>
        <w:rPr>
          <w:rFonts w:ascii="Amiri" w:hAnsi="Amiri" w:eastAsia="Amiri" w:cs="Amiri"/>
          <w:color w:val="111111"/>
          <w:sz w:val="28"/>
          <w:sz w:val="28"/>
          <w:szCs w:val="28"/>
          <w:rtl w:val="true"/>
          <w:lang w:bidi="ar-SA"/>
        </w:rPr>
        <w:t xml:space="preserve">، فلا يصرف اللفظ عن معناه الحقيقي إلى غيره، مع فرض كون المناط هو الإقدام أيضاً؛ لأنَّ الشخص مع كونه شاكاً، لا يُقال له إنّه أقدم على ضرره، وإلّا لما ثبت الخيار أبداً؛ لأنَّه لا أقلّ من الشك، وقلّما يكون الشخص غير ملتفت، فكيف يصرف الأخبار وكلمات الأصحاب إليه ؟ وكذلك الظن، على أنّ المناط في الإسقاط ليس الإقدام على الضرر، والرِّضا بالمعيب، بل المنشأ هو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هل يعمّ مطلق التصرّف، ولو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بإغلاق الباب، وسقي الماء، أو التصرّف بحسب العرف، أو التصرّف المغيّر للعين بتغيّر وصفها، أو حالها، أو ذاتها ؟</w:t>
      </w:r>
    </w:p>
    <w:p>
      <w:pPr>
        <w:pStyle w:val="BookText"/>
        <w:rPr/>
      </w:pPr>
      <w:r>
        <w:rPr>
          <w:rFonts w:ascii="Amiri" w:hAnsi="Amiri" w:eastAsia="Amiri" w:cs="Amiri"/>
          <w:color w:val="111111"/>
          <w:sz w:val="28"/>
          <w:sz w:val="28"/>
          <w:szCs w:val="28"/>
          <w:rtl w:val="true"/>
          <w:lang w:bidi="ar-SA"/>
        </w:rPr>
        <w:t xml:space="preserve">أكثر الأخبار دالةٌ على الإطلاق،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حدث فيه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دالّ على العيب المغيّر للعين،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كانت قائمة يرد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إنّ مطلق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يعدّ في العرف تصرّفاً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مسقطاً؛ لأنَّه يُمكن معه دعوى عدم قيام العين، بل يكون مغيّره؛ لأنّ هذا الخبر أتقن وأولى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 مما يسقط الردّ دون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العيب في يد المشتري، ولكن لا مطلقاً، بل العيب الذي لا يكون مضموناً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الصور التي يكون فيها مضموناً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الذي حدث قبل القبض، والصورة الأخرى ما لو كان بعد القبض، ولكن في زمان الخيار المختص بالمشتري، ومن هذه الصورة مسألتان؛ لأنّ الكلام في خيار العيب، وهو مختص بالمشتري، فلا بُدَّ من عدم سقوط الخيار بالحدوث، والحال أنَّهم قالوا بسقوط الخيار فيلزم من وجوده عدمه، فلا بُدَّ أن يكون مرادهم غير هذه الصورة، بل يكون المراد عند الاشتراط صورة تبري البائع من العيوب الحادثة، بحيث لم يكن مضموناً عليه، بل يكون ضمانه على المشتري، أو يكون الصورة المخرجة هي الصورة التي لا يكون الخيار فيها مختصاً بالمشتري، بل يكون مشتركاً، فإنّ في هاتين الصورتين يكون الضمان على البائع، دون الصورة التي فرضناها أولاً، فالكلام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جواز الردّ وسقوطه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حدوث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بالصورة التي لا يعطي المشتري أرشه للبائع، حتّى لو ردَّه مع دفع الأرش لجاز الردّ، أو لا يجوز الردّ مطلقاً حتّى مع دفع الردّ </w:t>
      </w:r>
      <w:r>
        <w:rPr>
          <w:rStyle w:val="FootnoteAnchor"/>
          <w:rtl w:val="true"/>
        </w:rPr>
        <w:footnoteReference w:id="371"/>
      </w:r>
      <w:r>
        <w:rPr>
          <w:rFonts w:ascii="Amiri" w:hAnsi="Amiri" w:eastAsia="Amiri" w:cs="Amiri"/>
          <w:color w:val="111111"/>
          <w:sz w:val="28"/>
          <w:sz w:val="28"/>
          <w:szCs w:val="28"/>
          <w:rtl w:val="true"/>
          <w:lang w:bidi="ar-SA"/>
        </w:rPr>
        <w:t>أيضاً ؟</w:t>
      </w:r>
    </w:p>
    <w:p>
      <w:pPr>
        <w:pStyle w:val="BookText"/>
        <w:rPr/>
      </w:pPr>
      <w:r>
        <w:rPr>
          <w:rFonts w:ascii="Amiri" w:hAnsi="Amiri" w:eastAsia="Amiri" w:cs="Amiri"/>
          <w:color w:val="111111"/>
          <w:sz w:val="28"/>
          <w:sz w:val="28"/>
          <w:szCs w:val="28"/>
          <w:rtl w:val="true"/>
          <w:lang w:bidi="ar-SA"/>
        </w:rPr>
        <w:t xml:space="preserve">فيه إشكال، فإن قلنا بأنّ منشأ ثبوت الخيار المزبور هو عدم الضرر، فلا بُدَّ أنْ يجوز الردّ مع دفع الأرش؛ لأن الضرر منتفٍ، وإنْ قلنا بأن منشأه الأخبار والتعبد، فلا يجوز الردّ حتّى مع دفع الأرش؛ لأنّ الأخبار مطلقة، بأنَّه إذا كانت العين قائمة يردُّ، وإلا فلا، وهو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رضي البائع بردّ المبيع إليه ولو مع عدم الأرش، هل يجوز الردّ أم لا؟</w:t>
      </w:r>
    </w:p>
    <w:p>
      <w:pPr>
        <w:pStyle w:val="BookText"/>
        <w:rPr/>
      </w:pPr>
      <w:r>
        <w:rPr>
          <w:rFonts w:ascii="Amiri" w:hAnsi="Amiri" w:eastAsia="Amiri" w:cs="Amiri"/>
          <w:color w:val="111111"/>
          <w:sz w:val="28"/>
          <w:sz w:val="28"/>
          <w:szCs w:val="28"/>
          <w:rtl w:val="true"/>
          <w:lang w:bidi="ar-SA"/>
        </w:rPr>
        <w:t xml:space="preserve">فيجري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 في المقام الأول من أنّ المنشأ إن كان نفى الضرر فلا بُدَّ من أنْ يجوز، وإن كان منشؤه الأخبار، فالأخبار مطلقة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الإنصاف إِنَّ إطلاقَ الأخبار منصرفٌ إلى غير هذا الموضع وهو عدم رضا </w:t>
      </w:r>
    </w:p>
    <w:p>
      <w:pPr>
        <w:pStyle w:val="BookText"/>
        <w:rPr/>
      </w:pPr>
      <w:r>
        <w:rPr>
          <w:rFonts w:ascii="Amiri" w:hAnsi="Amiri" w:eastAsia="Amiri" w:cs="Amiri"/>
          <w:color w:val="111111"/>
          <w:sz w:val="28"/>
          <w:sz w:val="28"/>
          <w:szCs w:val="28"/>
          <w:rtl w:val="true"/>
          <w:lang w:bidi="ar-SA"/>
        </w:rPr>
        <w:t>البائع؛ لأنّ عدم الردّ حقٌّ جُعِلَ للبائع، فإذا أسقطه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أموراً لا بُدَّ من أن يُنَبَّه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حدث عيب لم يُنْقصْ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كالخصاء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عدم الردّ ثابتاً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وجهان من أنَّ سقوط الردّ معلّق على تغيّر العين، وعدم بقائها على حالها، وهو حاصل، فلا بُدَّ أن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السقوط ضررٌ على المشتري حيث لا يُمكن له أخذ الأرش؛ حيث لا تتفاوت القيمة بسبب العيب، والضرر منفيٌّ، فلا بُدَّ أنْ يكون إطلاق الأخبار منزّلاً على غير هذه الصورة، وهي التي حدث عيبٌ تتفاوت القيمة بسببه حتّى يجبر ضرر المشتري بأخذ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حدث في المبيع شيء يُنْقص القيمة، ولكن لا يسمّى عيباً في العرف، فهل يسقط بسببه الردّ أم لا؟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الردّ معلَّق في كلماتهم على حدوث العيب، لا على مطلق النقص، ومن أنّ الإطلاق بواسطة الغالب من أنّ كلّ ما ينقص القيمة فهو عيب، ومن أنّ بعض الأخبار معلّق على عدم قيام العين بحاله وتغيّره ، فلا بُدَّ أنْ يكون ساقطاً، 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تنقص القيمة، ولا يكون عيباً في العرف، ولكن يكون مغيّراً، ففي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نأخذ بالأخبار الواردة على التغيّر، إلا أنّ الأخبار منصرفةٌ إلى غير هذه الصورة، فههنا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العيبين المذكورين اللذين ضمانهما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الحادث قبل القبض، والعيب الحادث في زمان خيار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وحكمهما بالنظر إلى أنفسهما في أنَّهما هل يوجبان الردّ والأرش معاً، أو يوجبان الردّ دون الأرش، أو يوجبان الأرش دون الردّ؟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يظهر من كلمات العلماء أنّهما يُوجَبان معاً،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يوجبان الخيار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يحتمل فيهما احتمال آخر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واحد منهما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العيب الحادث قبل القبض؛ فلأنّ قاعدة لزوم العقد تقتضي عدم الردّ والأرش، لكن لمّا كان الضرر منفياً في الشرع، فلا بُدَّ من أن نرفع اليد عن قاعدة أصالة اللزوم بقدر دفع الضرر والضرر مندفع بثبوت الأرش فقط ، ولا حاجة إلى مخالفة القاعدة بأزيد من هذا،ويحتمل ثبوت الردّ دون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فهذان الاحتمالان محتملان في العيب الحادث في زمان خيار المشتري، بل احتمال ثبوت الأرش دون الردّ أظهر؛ لأنَّ قاعدتهم أنّ التلف في زمان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بالأرش دون الردّ، إلّا أنّ الشهرة قائمة، بل الإجماع على ثبوتهما</w:t>
      </w:r>
      <w:r>
        <w:rPr>
          <w:rStyle w:val="FootnoteAnchor"/>
          <w:rtl w:val="true"/>
        </w:rPr>
        <w:footnoteReference w:id="374"/>
      </w:r>
      <w:r>
        <w:rPr>
          <w:rFonts w:ascii="Amiri" w:hAnsi="Amiri" w:eastAsia="Amiri" w:cs="Amiri"/>
          <w:color w:val="111111"/>
          <w:sz w:val="28"/>
          <w:sz w:val="28"/>
          <w:szCs w:val="28"/>
          <w:rtl w:val="true"/>
          <w:lang w:bidi="ar-SA"/>
        </w:rPr>
        <w:t>لأنَّه إنّما يكون سبباً لواحد منهما بواسطة كونه عيباً، فاذا كان عيباً فالعيبُ يُثْبت الخيارَ خَرَجَ منه ما كان مضموناً على المشتري خاصة،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الثاني في ملاحظتهما بالنسبة إلى العيب السابق الذي كان فيه حال العقد، أمّا الأرش، فيتعدد قطعاً بتعدد العيوب التي كانت مضمونة على البائع، وأمّا الردّ، فظاهر بعض الأخبار، وكلمات الأصحاب أنَّه لا يتعدد؛ لأنّ الخبر ظاهر في العيوب الموجودة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الإنصاف أنّ الفرق غير متجه؛ لأنّ سبب الردّ والأرش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 تداخل الأسباب، فالذي أثبت الخيار أولاً هو العيب، فالحادثُ أيضاً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 ثابت أولاً، ولا معنى لثبوته ثانياً، ولا يترتب على ثبوته ثانياً أثرٌ، بخلاف الأرش، فإنَّ في إثباته ثانياً أثراً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أنَّه ليس له أثر في إثباته ثانياً، وتظهر الثمرة فيما لو أسقط المشتري الردّ بالعيوب الحاصلة حال العقد، واللاتي مما تُسقط الردّ دون الأرش، أو شراؤه من ينعتق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فسنذكر حكمه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ألحقوا به تلفها، بل التحقيق إنَّه لا يختص بما ذكر، بل كلّ الانتقالات موجب 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كإعارته، وإجارته، ونقله إلى غيره؛ لأنّ المناط في ثبوت الردّ هو القيام بحاله، وليست العين قائمة</w:t>
      </w:r>
      <w:r>
        <w:rPr>
          <w:rFonts w:eastAsia="Amiri" w:cs="Amiri" w:ascii="Amiri" w:hAnsi="Amiri"/>
          <w:color w:val="111111"/>
          <w:sz w:val="28"/>
          <w:szCs w:val="28"/>
          <w:rtl w:val="true"/>
          <w:lang w:bidi="ar-SA"/>
        </w:rPr>
        <w:t xml:space="preserve">. </w:t>
      </w:r>
      <w:bookmarkStart w:id="294" w:name="pg9195_77167"/>
    </w:p>
    <w:p>
      <w:pPr>
        <w:pStyle w:val="Heading5"/>
        <w:numPr>
          <w:ilvl w:val="4"/>
          <w:numId w:val="1"/>
        </w:numPr>
        <w:rPr/>
      </w:pPr>
      <w:bookmarkStart w:id="295" w:name="__RefHeading___Toc3921813_2870459653"/>
      <w:bookmarkStart w:id="296" w:name="_Toc103"/>
      <w:bookmarkEnd w:id="294"/>
      <w:bookmarkEnd w:id="295"/>
      <w:r>
        <w:rPr>
          <w:rtl w:val="true"/>
        </w:rPr>
        <w:t>(</w:t>
      </w:r>
      <w:r>
        <w:rPr>
          <w:rtl w:val="true"/>
        </w:rPr>
        <w:t xml:space="preserve">ما يُسقط الأرش دون الردّ </w:t>
      </w:r>
      <w:r>
        <w:rPr>
          <w:rtl w:val="true"/>
        </w:rPr>
        <w:t>)</w:t>
      </w:r>
      <w:bookmarkEnd w:id="296"/>
    </w:p>
    <w:p>
      <w:pPr>
        <w:pStyle w:val="BookText"/>
        <w:rPr/>
      </w:pPr>
      <w:r>
        <w:rPr>
          <w:rFonts w:ascii="Amiri" w:hAnsi="Amiri" w:eastAsia="Amiri" w:cs="Amiri"/>
          <w:color w:val="111111"/>
          <w:sz w:val="28"/>
          <w:sz w:val="28"/>
          <w:szCs w:val="28"/>
          <w:rtl w:val="true"/>
          <w:lang w:bidi="ar-SA"/>
        </w:rPr>
        <w:t xml:space="preserve">وأمّا المسقط للأرش دون الردّ، فثلاثةٌ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الإسقاط ، كأن يقول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حال العقد أو بعده، ولا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المبيع معيوباً بالعيب الذي لا ينقص القيمة، سواء زاد القيمة، أو يكون مساوياً في القيمة للصحيح؛ لأنّ الأرش هو تفاوت القيمتين الصحيح والمعيب،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يصير سبباً للنقص لا تفاوت، فلا أرش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 مسألتان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يتصور الأرش هنا ويكون ساقطاً، أو لا يتصور الأرش حتّى يكون ساقطاً؟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العيب الذي لا يُنقص القيمة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عبارة عن عدم العيب، ويحصل العيب بانتفائها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الذي انتفاؤه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قيمة ومقصودية بحسب العرف، كالفحولة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فإنّها شيء يتعلّق الغرض به ، ويكون داعياً إلى ازدياد المال بإزائه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وعدمها يكون مفوّتاً لذلك النفع معيباً من الجنس، سواء كان بعضه كذلك أو كلّه، إمّا أنْ يكون ظهور العيب بعد التفرّق،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يكون له الخيار بين الردّ ، والفسخ، والإمساك بغير أرش، إذا كان العوضان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للزوم الرِّبا، بناءً على ثبوت الرِّبا لمثله، والحق خلافه؛ لأنّ الأرش غرامة مستقلة ليس جزءاً من الثمن والمثمن، والمضرّ هو الزيادة في المعاوضة، لا مطلق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الأرش إذا كانا مخالفين في الجنس، وليس له الإبدال؛ لعدم تناول العقد 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بعد التفرّق فله الفسخ، أمّا ثبوت الأرش، ففيه كلام من حيث ثبوت الرِّبا إذا كانا </w:t>
      </w:r>
    </w:p>
    <w:p>
      <w:pPr>
        <w:pStyle w:val="BookText"/>
        <w:rPr/>
      </w:pPr>
      <w:r>
        <w:rPr>
          <w:rFonts w:ascii="Amiri" w:hAnsi="Amiri" w:eastAsia="Amiri" w:cs="Amiri"/>
          <w:color w:val="111111"/>
          <w:sz w:val="28"/>
          <w:sz w:val="28"/>
          <w:szCs w:val="28"/>
          <w:rtl w:val="true"/>
          <w:lang w:bidi="ar-SA"/>
        </w:rPr>
        <w:t xml:space="preserve">متجانسين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من حيث الصرف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ناس </w:t>
      </w:r>
      <w:r>
        <w:rPr>
          <w:rStyle w:val="FootnoteAnchor"/>
          <w:rtl w:val="true"/>
        </w:rPr>
        <w:footnoteReference w:id="377"/>
      </w:r>
      <w:r>
        <w:rPr>
          <w:rFonts w:ascii="Amiri" w:hAnsi="Amiri" w:eastAsia="Amiri" w:cs="Amiri"/>
          <w:color w:val="111111"/>
          <w:sz w:val="28"/>
          <w:sz w:val="28"/>
          <w:szCs w:val="28"/>
          <w:rtl w:val="true"/>
          <w:lang w:bidi="ar-SA"/>
        </w:rPr>
        <w:t>إلى أنّه يجوز أخذ الأرش إذا كان من غير النقدين؛ لعدم كونه من المعاوضة الصرفيّة، فلم يعتبر فيه التقابض في المجلس، فيكون هنا معاوضة صرفيّة بالنسبة إلى غير الأرش، وقد تحقق القبض فيه ومنع بالنسبة إلى الأرش، فلم يعتبر فيه التقابض؛ لأنَّه عاوض حقيقة النقد الثابت في الذّمة بالعروض، فلم يكن من الصرف، وإن أخذ الأرش من النقدين، فلا يمكن أخذ الأرش؛ لكونه من الصرف، ولم يتحقق شرطه، وهو التقابض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الأرش جزء من الثمن، والمعتبر منه النقد الغالب، فيثبت في الذّمة نقداً بإزاء ذلك الجزء الذي بإزاء وصف الصحة، فوقعت المعاوضة على النقدين على أنَّه يثبت حق للمشتري بواسطة ظهور العيب وعدم الصحة والمعتبر في الضمانات هو النقود الغالبة ، فكيف إذا كان بواسطة نقصان في أحد المتعاوضين؟</w:t>
      </w:r>
    </w:p>
    <w:p>
      <w:pPr>
        <w:pStyle w:val="BookText"/>
        <w:rPr/>
      </w:pPr>
      <w:r>
        <w:rPr>
          <w:rFonts w:ascii="Amiri" w:hAnsi="Amiri" w:eastAsia="Amiri" w:cs="Amiri"/>
          <w:color w:val="111111"/>
          <w:sz w:val="28"/>
          <w:sz w:val="28"/>
          <w:szCs w:val="28"/>
          <w:rtl w:val="true"/>
          <w:lang w:bidi="ar-SA"/>
        </w:rPr>
        <w:t>ودفع هذا الإشكال بأنَّه وإن ثبت في الذّمة نقد في أصل المعاوضة، إلا أنَّه لم يتعين الأرش إلا بعد اختياره، فكأنَّ المعاوضة وقعت في حال الاختيار، وفي هذا الحال وقعت المعاوضة على النقد والعروض، لا على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هذا بأنَّه على هذا يكفي القبض في مجلس الاختيار لو أخذ الأرش من النقدين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جواز أخذ الأرش مطلقاً؛ لأنَّه غرامة مستقلة جعله الشارع بواسطة فقدان وصف الصحة، وليس معاوضة أصلاً حتّى يلزم فيها التقابض، هذا الكلام فيما لو اشترى معيّناً بمعيّن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كلّها </w:t>
      </w:r>
      <w:r>
        <w:rPr>
          <w:rStyle w:val="FootnoteAnchor"/>
          <w:rtl w:val="true"/>
        </w:rPr>
        <w:footnoteReference w:id="378"/>
      </w:r>
      <w:r>
        <w:rPr>
          <w:rFonts w:ascii="Amiri" w:hAnsi="Amiri" w:eastAsia="Amiri" w:cs="Amiri"/>
          <w:color w:val="111111"/>
          <w:sz w:val="28"/>
          <w:sz w:val="28"/>
          <w:szCs w:val="28"/>
          <w:rtl w:val="true"/>
          <w:lang w:bidi="ar-SA"/>
        </w:rPr>
        <w:t xml:space="preserve">في الذّمة بكلّ </w:t>
      </w:r>
      <w:r>
        <w:rPr>
          <w:rStyle w:val="FootnoteAnchor"/>
          <w:rtl w:val="true"/>
        </w:rPr>
        <w:footnoteReference w:id="379"/>
      </w:r>
      <w:r>
        <w:rPr>
          <w:rFonts w:ascii="Amiri" w:hAnsi="Amiri" w:eastAsia="Amiri" w:cs="Amiri"/>
          <w:color w:val="111111"/>
          <w:sz w:val="28"/>
          <w:sz w:val="28"/>
          <w:szCs w:val="28"/>
          <w:rtl w:val="true"/>
          <w:lang w:bidi="ar-SA"/>
        </w:rPr>
        <w:t xml:space="preserve">في الذّمة، مثلًا عشرة دراهم بعشرة </w:t>
      </w:r>
    </w:p>
    <w:p>
      <w:pPr>
        <w:pStyle w:val="BookText"/>
        <w:rPr/>
      </w:pPr>
      <w:r>
        <w:rPr>
          <w:rFonts w:ascii="Amiri" w:hAnsi="Amiri" w:eastAsia="Amiri" w:cs="Amiri"/>
          <w:color w:val="111111"/>
          <w:sz w:val="28"/>
          <w:sz w:val="28"/>
          <w:szCs w:val="28"/>
          <w:rtl w:val="true"/>
          <w:lang w:bidi="ar-SA"/>
        </w:rPr>
        <w:t xml:space="preserve">دراهم، وقبض كل منهما، فظهر في المقبوض عيبٌ، إمّا أن يكون مخالفاً في الجنس لما وقع عليه العقد، أو موافقاً له، ويكون العيب من جنسه، وعلى كل تقدير إمّا أن يكون العيب في جميع المقبوض أو في بعضه، وعلى تقدير كون العيب من غير المعقود عليه، يبطل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الإبدال بفرد آخر من الكلّي إذا كان في المجلس، ويبطل العقد إذا كان بعد التفرّق، وإنْ كان الجميع يبطل الجميع، وإنْ كان البعض يبطل البعض ، وثبت خيار تبعّض الصفقة للمشتري، وكذا للبائع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العيب من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كلمات للعلماء، وقبل الخوض في كلماتهم فلنقدّم مسائل أربع بها يتعين مرادهم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إذا قبض الكلّي، هل يتعيّن الكلّي بحيث يكون مصبّ العقد ومحلّه هو هذا الفرد، فكأنه من أول الأمر وقع العقد على هذا الفرد؛ لأنّ الكلّي لا وجود له إلا بالفرد،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قبض الفرد يوجد في ضمنه لا غيره، فالموجود الذي وقع عليه العقد هو هذا الفرد، بحيث لو بطل هذا القبض بطل أصل العقد، أو يكون محل العقد بعد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وتعيب المقبوض لا يبطل أصل العقد، بل له الإبدال بفرد آخر من الكلّي، أو الإمساك مع الأرش إذا كان قبل التفرّق وكانا متخالفين، أو يكون هناك معاوضتان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معاوضةٌ في أصل العقد على الكلّي، ومعاوضةٌ أخرى للكلي بهذا المقبوض ، فكأنه قيّد الكلّي بهذا المقبوض، فصارت المعاوضة كأنها وقعت على الكلّي المقيد بهذا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فيُلاحظ في هذا الاحتمال الجهتان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المعاوضة على الكلّي، وجهة تقيّده بالفرد ومعاوضته به، فيكون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الفسخ ؛ لأنّ الكلّي عاوض بهذا الفرد، فصار المبيع الكلّي المقيّد به، فإذا ذهب القيد ذهب المقيّد، وبين الإبدال، أو الإمساك بالأرش أو بغير الأرش باعتبار الجهة الثانية، وباعتبار وقوع العقد على الكلّي حقيقة أولاً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احتمالات ثلاثة، أقواها أوسطها؛ لأنَّ القبض لا يغيّر متعلّق العقد، ولا يكون هناك معاوضة ثانية،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وفاء الدين، فإذا ظهر معيباً يكون مخيّراً </w:t>
      </w:r>
    </w:p>
    <w:p>
      <w:pPr>
        <w:pStyle w:val="BookText"/>
        <w:rPr/>
      </w:pPr>
      <w:r>
        <w:rPr>
          <w:rFonts w:ascii="Amiri" w:hAnsi="Amiri" w:eastAsia="Amiri" w:cs="Amiri"/>
          <w:color w:val="111111"/>
          <w:sz w:val="28"/>
          <w:sz w:val="28"/>
          <w:szCs w:val="28"/>
          <w:rtl w:val="true"/>
          <w:lang w:bidi="ar-SA"/>
        </w:rPr>
        <w:t>بين الإبدال والإمساك مع الأرش، إذا كان الجنسان مختلفين، وبلا أرش إذا كانا متفقين 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هل يكون الأرش غرامة مستقلة لا دخل لها بالمعاوضة، وليس داخلاً في المتعاوضين ، أو يكون داخلاً في المتعاوضين، ويكون جزءاً من الثمن؟</w:t>
      </w:r>
    </w:p>
    <w:p>
      <w:pPr>
        <w:pStyle w:val="BookText"/>
        <w:rPr/>
      </w:pPr>
      <w:r>
        <w:rPr>
          <w:rFonts w:ascii="Amiri" w:hAnsi="Amiri" w:eastAsia="Amiri" w:cs="Amiri"/>
          <w:color w:val="111111"/>
          <w:sz w:val="28"/>
          <w:sz w:val="28"/>
          <w:szCs w:val="28"/>
          <w:rtl w:val="true"/>
          <w:lang w:bidi="ar-SA"/>
        </w:rPr>
        <w:t>وعلى تقدير كونه جزءاً من الثمن، يكون مقابلاً لوصف الصحة، أو يكون مقابلاً لجزء من المثمن؟</w:t>
      </w:r>
    </w:p>
    <w:p>
      <w:pPr>
        <w:pStyle w:val="BookText"/>
        <w:rPr/>
      </w:pPr>
      <w:r>
        <w:rPr>
          <w:rFonts w:ascii="Amiri" w:hAnsi="Amiri" w:eastAsia="Amiri" w:cs="Amiri"/>
          <w:color w:val="111111"/>
          <w:sz w:val="28"/>
          <w:sz w:val="28"/>
          <w:szCs w:val="28"/>
          <w:rtl w:val="true"/>
          <w:lang w:bidi="ar-SA"/>
        </w:rPr>
        <w:t xml:space="preserve">وعلى الأول لا يلزم الرِّبا أصلاً، ولا يُشترط كون قبضه في المجلس أولاً؛ لعدم كونه من الصرف، لعدم معاوضته 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كونه جزءاً من الثمن يلزم الرِّبا في متحدي الجنس، ويكون من الصرف على تقدير كونه مقابلاً لجزء من المثمن، فلا يجوز أخذه بعد التفرّق، ويبطل مقابله من المثمن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أنّه غرامة مستقلة، لا يجري فيه الرِّبا ولا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هل يكون الأرش خاصاً بالعقود، بل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وروده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يجري في مطلق المعاوضات، حتّى فيما كان بمنزلة المعاوضة، مثل وفاء الدين، حتّى لو وفى الدَّين بشي فظهر معيباً، يكون الموفى له مخيّراً بين الردّ والإمساك مع الأرش؟</w:t>
      </w:r>
    </w:p>
    <w:p>
      <w:pPr>
        <w:pStyle w:val="BookText"/>
        <w:rPr/>
      </w:pPr>
      <w:r>
        <w:rPr>
          <w:rFonts w:ascii="Amiri" w:hAnsi="Amiri" w:eastAsia="Amiri" w:cs="Amiri"/>
          <w:color w:val="111111"/>
          <w:sz w:val="28"/>
          <w:sz w:val="28"/>
          <w:szCs w:val="28"/>
          <w:rtl w:val="true"/>
          <w:lang w:bidi="ar-SA"/>
        </w:rPr>
        <w:t xml:space="preserve">الأظهر إنّه يختص بالبيع ؛ لكون دليله التعبّد والأخبار، وهي واردة في البيع، ويكون مخالفاً للأصل، فلا بُدَّ أنْ نقتصر على مورد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وإثباته في غيره مخالف للأصل، محتاج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يعتبر في قبض الصرف كون المقبوض مملوكاً مطلقاً، ولو لم يكن مستمراً، أو يعتبر </w:t>
      </w:r>
    </w:p>
    <w:p>
      <w:pPr>
        <w:pStyle w:val="BookText"/>
        <w:rPr/>
      </w:pPr>
      <w:r>
        <w:rPr>
          <w:rFonts w:ascii="Amiri" w:hAnsi="Amiri" w:eastAsia="Amiri" w:cs="Amiri"/>
          <w:color w:val="111111"/>
          <w:sz w:val="28"/>
          <w:sz w:val="28"/>
          <w:szCs w:val="28"/>
          <w:rtl w:val="true"/>
          <w:lang w:bidi="ar-SA"/>
        </w:rPr>
        <w:t>فيه المملوك المستمر ؟</w:t>
      </w:r>
    </w:p>
    <w:p>
      <w:pPr>
        <w:pStyle w:val="BookText"/>
        <w:rPr/>
      </w:pPr>
      <w:r>
        <w:rPr>
          <w:rFonts w:ascii="Amiri" w:hAnsi="Amiri" w:eastAsia="Amiri" w:cs="Amiri"/>
          <w:color w:val="111111"/>
          <w:sz w:val="28"/>
          <w:sz w:val="28"/>
          <w:szCs w:val="28"/>
          <w:rtl w:val="true"/>
          <w:lang w:bidi="ar-SA"/>
        </w:rPr>
        <w:t xml:space="preserve">فإن قلنا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العيب فيه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بطلان أصل المعاملة ولو حصل التفرّق، ولا يلزم القبض في بدله، وإنْ قلنا بالثاني يلزم فيه القبض لو لم يحصل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البطلان لو حصل التفرّق قبل قبض البدل؛ لعدم استمرار ملكيته لإبداله، والمعتبر هو المملوك المستمر، لا مطلق المملوك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الأظهر إنّه يكفي في القبض مطلق المملوك، ولو لم يكن مستمراً؛ لأنّ المفهوم من أدلّة اشتراط القبض هو اشتراط قبض المتعاوضين مطلقاً، ولو لم يكن مستمراً</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9195_77173"/>
      <w:bookmarkStart w:id="298" w:name="pg9195_77173"/>
      <w:bookmarkEnd w:id="298"/>
    </w:p>
    <w:p>
      <w:pPr>
        <w:pStyle w:val="Heading3"/>
        <w:numPr>
          <w:ilvl w:val="2"/>
          <w:numId w:val="1"/>
        </w:numPr>
        <w:rPr/>
      </w:pPr>
      <w:bookmarkStart w:id="299" w:name="pg9195_77173"/>
      <w:bookmarkStart w:id="300" w:name="__RefHeading___Toc3921815_2870459653"/>
      <w:bookmarkStart w:id="301" w:name="_Toc104"/>
      <w:bookmarkEnd w:id="299"/>
      <w:bookmarkEnd w:id="300"/>
      <w:r>
        <w:rPr>
          <w:rtl w:val="true"/>
        </w:rPr>
        <w:t>(</w:t>
      </w:r>
      <w:r>
        <w:rPr>
          <w:rtl w:val="true"/>
        </w:rPr>
        <w:t>الكلام في أصل مسألة خيار العيب</w:t>
      </w:r>
      <w:r>
        <w:rPr>
          <w:rtl w:val="true"/>
        </w:rPr>
        <w:t>)</w:t>
      </w:r>
      <w:bookmarkEnd w:id="301"/>
    </w:p>
    <w:p>
      <w:pPr>
        <w:pStyle w:val="BookText"/>
        <w:rPr/>
      </w:pPr>
      <w:r>
        <w:rPr>
          <w:rFonts w:ascii="Amiri" w:hAnsi="Amiri" w:eastAsia="Amiri" w:cs="Amiri"/>
          <w:color w:val="111111"/>
          <w:sz w:val="28"/>
          <w:sz w:val="28"/>
          <w:szCs w:val="28"/>
          <w:rtl w:val="true"/>
          <w:lang w:bidi="ar-SA"/>
        </w:rPr>
        <w:t>إذا تمهدت هذه المسائل فلنشرع في أصل المسألة، وفي بيان كلمات الفقهاء،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وقع العقد على الكلّي وقبض معيّناً، لا يخلو حال المقبوض عن أحد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يظهر مخالفاً في الجنس للمبيع، وتارةً يظهر مخالفاً للوصف، وتارةً يظهر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أنَّه يبطل البيع في الأول، إذا كان الظهور بعد التصرّف؛ لكون البيع صرفاً، وعدم حصول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المجلس؛ إذ المفروض أنّ المقبوض ليس فرداً للكلّي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بطلان العقد، هل يكفي تراضيهما في انتقال العوضين، أو لا يكفي التراضي، بل يحتاج إلى سبب آخر ؟</w:t>
      </w:r>
    </w:p>
    <w:p>
      <w:pPr>
        <w:pStyle w:val="BookText"/>
        <w:rPr/>
      </w:pPr>
      <w:r>
        <w:rPr>
          <w:rFonts w:ascii="Amiri" w:hAnsi="Amiri" w:eastAsia="Amiri" w:cs="Amiri"/>
          <w:color w:val="111111"/>
          <w:sz w:val="28"/>
          <w:sz w:val="28"/>
          <w:szCs w:val="28"/>
          <w:rtl w:val="true"/>
          <w:lang w:bidi="ar-SA"/>
        </w:rPr>
        <w:t xml:space="preserve">الأظهر عند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كفايته؛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لامرئ إلا بطيب من نفسه</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عدم كفايته هل يكون من قبيل المعاطاة أو لا؟</w:t>
      </w:r>
    </w:p>
    <w:p>
      <w:pPr>
        <w:pStyle w:val="BookText"/>
        <w:rPr/>
      </w:pPr>
      <w:r>
        <w:rPr>
          <w:rFonts w:ascii="Amiri" w:hAnsi="Amiri" w:eastAsia="Amiri" w:cs="Amiri"/>
          <w:color w:val="111111"/>
          <w:sz w:val="28"/>
          <w:sz w:val="28"/>
          <w:szCs w:val="28"/>
          <w:rtl w:val="true"/>
          <w:lang w:bidi="ar-SA"/>
        </w:rPr>
        <w:t xml:space="preserve">فإن قلنا في المعاطاة بالتعاطي من جانب واحد حقيقة، ومن طرف آخر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المعاملات النسيئة، فيكون من قبيل المعاطاة، وإنْ لم نقل بكفايته، بل لا بدَّ من التعاطي من الجانبين، فإنْ قلنا إنّ ما في الذّمة مقبوضٌ،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المعاطاة، وإلا فلا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ظهر المقبوض مخالفاً للوصف فحكموا بالصحة، وله الخيار، والحال أنّ مقتضى القواعد عدم صحته؛ لأنّ الموصوف بالوصف غير العاري عن الوصف 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يتحقق قبض المبيع؛ لأنَّ المبيع هو الموصوف، والعاري غيره، فما وجه حكمهم بالصحة هنا، وحكمهم بالفساد ثمة؟</w:t>
      </w:r>
    </w:p>
    <w:p>
      <w:pPr>
        <w:pStyle w:val="BookText"/>
        <w:rPr/>
      </w:pPr>
      <w:r>
        <w:rPr>
          <w:rFonts w:ascii="Amiri" w:hAnsi="Amiri" w:eastAsia="Amiri" w:cs="Amiri"/>
          <w:color w:val="111111"/>
          <w:sz w:val="28"/>
          <w:sz w:val="28"/>
          <w:szCs w:val="28"/>
          <w:rtl w:val="true"/>
          <w:lang w:bidi="ar-SA"/>
        </w:rPr>
        <w:t xml:space="preserve">و محض كون التخلّف هناك في الذاتي وهنا في العرضي لا يوجب الفرق بعد كون المبيع والمقصود هو المجموع ، فمقتضى القاعدة هو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إلا أن يُدعى فهم عرفي على دخول الذاتي في المبيع، وخروج العرضي عن المبيع من العقد نظير فهم الصحة من مطلق العقد، وهو مشكلٌ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ظهر معيباً من الجنس فهنا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قبل التفرّق، وصورة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العوضان مختلفي الجنس، أو متحدي الجنس،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مخيّراً بين الإبدال فيه، والإمساك مع الأرش، والإمساك بلا أرش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مخيّراً فيه بين الإبدال والإمساك بلا أرش، دون أخذ الأرش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تحقق الرِّبا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الأظهر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ثلاثة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والإبدال، والإمساك مع الأرش مع الاختلاف</w:t>
      </w:r>
      <w:r>
        <w:rPr>
          <w:rStyle w:val="FootnoteAnchor"/>
          <w:rtl w:val="true"/>
        </w:rPr>
        <w:footnoteReference w:id="383"/>
      </w:r>
      <w:r>
        <w:rPr>
          <w:rFonts w:ascii="Amiri" w:hAnsi="Amiri" w:eastAsia="Amiri" w:cs="Amiri"/>
          <w:color w:val="111111"/>
          <w:sz w:val="28"/>
          <w:sz w:val="28"/>
          <w:szCs w:val="28"/>
          <w:rtl w:val="true"/>
          <w:lang w:bidi="ar-SA"/>
        </w:rPr>
        <w:t xml:space="preserve">، وبدونه مع الاتحاد، كالشيخ </w:t>
      </w:r>
      <w:r>
        <w:rPr>
          <w:rStyle w:val="FootnoteAnchor"/>
          <w:rtl w:val="true"/>
        </w:rPr>
        <w:footnoteReference w:id="384"/>
      </w:r>
      <w:r>
        <w:rPr>
          <w:rFonts w:ascii="Amiri" w:hAnsi="Amiri" w:eastAsia="Amiri" w:cs="Amiri"/>
          <w:color w:val="111111"/>
          <w:sz w:val="28"/>
          <w:sz w:val="28"/>
          <w:szCs w:val="28"/>
          <w:rtl w:val="true"/>
          <w:lang w:bidi="ar-SA"/>
        </w:rPr>
        <w:t xml:space="preserve">، والعلّامة في بعض كتبه كالإرشاد </w:t>
      </w:r>
      <w:r>
        <w:rPr>
          <w:rStyle w:val="FootnoteAnchor"/>
          <w:rtl w:val="true"/>
        </w:rPr>
        <w:footnoteReference w:id="385"/>
      </w:r>
      <w:r>
        <w:rPr>
          <w:rFonts w:ascii="IRNazanin" w:hAnsi="IRNazanin" w:eastAsia="IRNazanin"/>
          <w:color w:val="111111"/>
          <w:sz w:val="28"/>
          <w:sz w:val="28"/>
          <w:szCs w:val="28"/>
          <w:rtl w:val="true"/>
          <w:lang w:bidi="fa-IR"/>
        </w:rPr>
        <w:t xml:space="preserve">، وهو ظاهر المحقق </w:t>
      </w:r>
      <w:r>
        <w:rPr>
          <w:rStyle w:val="FootnoteAnchor"/>
          <w:rtl w:val="true"/>
        </w:rPr>
        <w:footnoteReference w:id="38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وإن وقع على الكلّي، إلا أنَّه بواسطة القبض يصير معيَّناً، حتّى كأنّ الشخص هو المبيع، وبعد ظهوره معيباً ليس له المطالبة بالبدل، بل لا بُدَّ أنْ يفسخ</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مبتنٍ على الوجه الثالث من الوجوه المحتملة في المسألة الأولى، وهو تقيّد الكلّي بالمعيّن، حتّى كأنَّه عاوض الكلي بالمعيّن وتقيده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عدم الفسخ ؛ لأنّ العقد واقع على الكلّي، والمقبوض بواسطة القبض لا يصير مصبَّ العقد، وليس معاوضة، بل وفاء الدين، فإذا ظهر معيباً يُطالب بالبدل إن شاء، فالقول بالفسخ قبل التفرّق غير متّجه إلّا أن يكون مرادهم بعد التفرّق، وهو بعيد عن كلامهم، بل بعض كلماتهم ناصٌّ في خلافه، هذا حال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التفرّق، ففيه مسائل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جواز المطالبة بالبدل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 العقد بواسطة عدم قبض البدل أو لا؟</w:t>
      </w:r>
    </w:p>
    <w:p>
      <w:pPr>
        <w:pStyle w:val="BookText"/>
        <w:rPr/>
      </w:pPr>
      <w:r>
        <w:rPr>
          <w:rFonts w:ascii="Amiri" w:hAnsi="Amiri" w:eastAsia="Amiri" w:cs="Amiri"/>
          <w:color w:val="111111"/>
          <w:sz w:val="28"/>
          <w:sz w:val="28"/>
          <w:szCs w:val="28"/>
          <w:rtl w:val="true"/>
          <w:lang w:bidi="ar-SA"/>
        </w:rPr>
        <w:t xml:space="preserve">فهنا أقوال ثلاثة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بالبطلان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بعدمه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بعدمه إذا كان ظهور العيب قبل يومين، والبطلان إذا كان بعد يومين ،وهو المنقول عن أبي علي</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فالحقُّ من هذه هو الوسط؛ لأن شرط الصرف هو القبض، وقد تحقق، والفسخ يكون من حينه، ولا يرفع أثر القبض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الأول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وقع القبض، إلا أنه بعد ظهور العيب، واختيار الفسخ والإبدال يظْهر أنّ هذا لم يكن من المبيع، ولم يتحقق القبض أصلاً بالنسبة إلى ما هو مبيع حقيقة، وهو البدل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المفروض أنّ المقبوض من الكلّى، وبواسطة القبض صار ملكاً للمشتري، وبواسطة الفسخ يخرج عن الملك من حين الفسخ، ومن هنا كان النماء للمشتري إلى زمان الفسخ ، والقول بالبطلان متّجه؛ بناءً على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كون القبض كلا قبض؛ بواسطة </w:t>
      </w:r>
    </w:p>
    <w:p>
      <w:pPr>
        <w:pStyle w:val="BookText"/>
        <w:rPr/>
      </w:pPr>
      <w:r>
        <w:rPr>
          <w:rFonts w:ascii="Amiri" w:hAnsi="Amiri" w:eastAsia="Amiri" w:cs="Amiri"/>
          <w:color w:val="111111"/>
          <w:sz w:val="28"/>
          <w:sz w:val="28"/>
          <w:szCs w:val="28"/>
          <w:rtl w:val="true"/>
          <w:lang w:bidi="ar-SA"/>
        </w:rPr>
        <w:t>ظهور العيب، وهو باطل؛ للزوم البطلان على تقدير الإمساك أيضاً، أو كأن الفسخ يكون من حين القبض، وكلاهما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أنَّ ما هو المعتبر في قبض الصرف، هو المملوك المستمر، والعيب كاشف عن عدم استمرار ملكيته، بل وعدم 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تَخَيُّلٌ محضٌ لا واقعيّة له؛ ولأنّ المعتبر هو قبض العوضين المملوكين بواسطة القبض لا المستمر ملكه ، وإلا لبطل البيع ولو باعه بغيره، وهو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الثالث مستنده رواية ضعيفة السند، بل ضعيفة الدّلالة؛ لظهور الاستحباب منه، ولا جابر له، بل أعرض الأصحاب عنها ، فلا يصلح للإستناد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جواز الإبدال، هل يلزم قبض البدل أم لا ؟</w:t>
      </w:r>
    </w:p>
    <w:p>
      <w:pPr>
        <w:pStyle w:val="BookText"/>
        <w:rPr/>
      </w:pPr>
      <w:r>
        <w:rPr>
          <w:rFonts w:ascii="Amiri" w:hAnsi="Amiri" w:eastAsia="Amiri" w:cs="Amiri"/>
          <w:color w:val="111111"/>
          <w:sz w:val="28"/>
          <w:sz w:val="28"/>
          <w:szCs w:val="28"/>
          <w:rtl w:val="true"/>
          <w:lang w:bidi="ar-SA"/>
        </w:rPr>
        <w:t>وجه لزوم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المبيع بواسطة عدم الرِّضا بالمعيب هو البدل، فيلزم قبضه، فكأنّ المعاوضة وقعت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المعتبر هو القبض في مجلس العقد، لا في زمان الملك، غاية ما في الباب أنّ ملك البدل حصل الآن، والعقد وقع على الكلّي، وقد قبض ما هو فرد له، فالأظهر عدم لزوم القبض ؛ لصحة المعاملة بواسطة القبض الأول، وظهور العيب صار سبباً لإزالة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يُمكن أخذ الأرش أم لا؟</w:t>
      </w:r>
    </w:p>
    <w:p>
      <w:pPr>
        <w:pStyle w:val="BookText"/>
        <w:rPr/>
      </w:pPr>
      <w:r>
        <w:rPr>
          <w:rFonts w:ascii="Amiri" w:hAnsi="Amiri" w:eastAsia="Amiri" w:cs="Amiri"/>
          <w:color w:val="111111"/>
          <w:sz w:val="28"/>
          <w:sz w:val="28"/>
          <w:szCs w:val="28"/>
          <w:rtl w:val="true"/>
          <w:lang w:bidi="ar-SA"/>
        </w:rPr>
        <w:t xml:space="preserve">وجهان مبتنيان على جريان الأرش في مطلق المعاوضات، وما كان شبه المعاوضة، كوفاء الدين، وعدم جريانه، بل اختصاصه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فنقتصر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بالبيع، أو المعاوضات، فلا يجري في وفاء الدين، فلا يكون الأرش في هذا المقام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في أنَّه على فرض جواز أخذ الأرش، هل يلزم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bookmarkStart w:id="302" w:name="pg9195_77177"/>
    </w:p>
    <w:p>
      <w:pPr>
        <w:pStyle w:val="BookText"/>
        <w:rPr/>
      </w:pPr>
      <w:bookmarkEnd w:id="302"/>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مبتنيان على كونه غرامة، وكونه جزءاً من الثمن؛ وإذ قد أشرنا سابقاً </w:t>
      </w:r>
      <w:r>
        <w:rPr>
          <w:rStyle w:val="FootnoteAnchor"/>
          <w:rtl w:val="true"/>
        </w:rPr>
        <w:footnoteReference w:id="389"/>
      </w:r>
      <w:r>
        <w:rPr>
          <w:rFonts w:ascii="Amiri" w:hAnsi="Amiri" w:eastAsia="Amiri" w:cs="Amiri"/>
          <w:color w:val="111111"/>
          <w:sz w:val="28"/>
          <w:sz w:val="28"/>
          <w:szCs w:val="28"/>
          <w:rtl w:val="true"/>
          <w:lang w:bidi="ar-SA"/>
        </w:rPr>
        <w:t xml:space="preserve">كونه غرامةً لا يلزم قبضه، بل لو كان جزءاً من الثمن لا يلزم قبضه، بناءً على أنَّه يبطل المعاوضة بالنسبة إليه بعد التفرّق لو كان مقابله جزءاً من الثمن، وتبطل المعاملة بالنسبة إليه ومقابله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الإبدال له مطلقاً، قبل التفرّق وبعده؛ لأنّ المقبوض كان من جنس المبيع، وقد قبض ، فتحقق شرط الصحة ، وهو قبض العوض في المعاوضة، والإبدال بواسطة تدارك الوصف الفائت، وهو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قبض البدل في مجلس الردّ؛ لأنّ الإبدال ليس من الصرف، خلافاً لبعض </w:t>
      </w:r>
      <w:r>
        <w:rPr>
          <w:rStyle w:val="FootnoteAnchor"/>
          <w:rtl w:val="true"/>
        </w:rPr>
        <w:footnoteReference w:id="390"/>
      </w:r>
      <w:r>
        <w:rPr>
          <w:rFonts w:ascii="Amiri" w:hAnsi="Amiri" w:eastAsia="Amiri" w:cs="Amiri"/>
          <w:color w:val="111111"/>
          <w:sz w:val="28"/>
          <w:sz w:val="28"/>
          <w:szCs w:val="28"/>
          <w:rtl w:val="true"/>
          <w:lang w:bidi="ar-SA"/>
        </w:rPr>
        <w:t>، حيث اشترط القبض في مجلس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أيضاً جواز أخذ الأرش مطلقاً أيضاً ولا يلزم الرِّبا، ولا يلزم قبضه أيضاً، بناءً على ما حكمنا من كونه غرامةً، جعلها الشارع بواسطة فقدان وصف الصحة، وليس جزءاً من الثمن حتّى يكون من الصرف، حتّى يلزم قبضه ، وحتّى يلزم الرِّبا، خصوصاً في مختلف الجنس</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3921817_2870459653"/>
      <w:bookmarkStart w:id="304" w:name="_Toc105"/>
      <w:bookmarkEnd w:id="303"/>
      <w:r>
        <w:rPr>
          <w:rtl w:val="true"/>
        </w:rPr>
        <w:t xml:space="preserve">( </w:t>
      </w:r>
      <w:r>
        <w:rPr>
          <w:rtl w:val="true"/>
        </w:rPr>
        <w:t xml:space="preserve">فيما لو حدث العيب أو التلف عند المشتري </w:t>
      </w:r>
      <w:r>
        <w:rPr>
          <w:rtl w:val="true"/>
        </w:rPr>
        <w:t>)</w:t>
      </w:r>
      <w:bookmarkEnd w:id="304"/>
    </w:p>
    <w:p>
      <w:pPr>
        <w:pStyle w:val="BookText"/>
        <w:rPr/>
      </w:pPr>
      <w:r>
        <w:rPr>
          <w:rFonts w:ascii="Amiri" w:hAnsi="Amiri" w:eastAsia="Amiri" w:cs="Amiri"/>
          <w:color w:val="111111"/>
          <w:sz w:val="28"/>
          <w:sz w:val="28"/>
          <w:szCs w:val="28"/>
          <w:rtl w:val="true"/>
          <w:lang w:bidi="ar-SA"/>
        </w:rPr>
        <w:t xml:space="preserve">هذا كله من جواز الإبدال وعدمه على تقدير عدم تعيّب المقبوض أو التلف عند المشتري، أمّا لو تعيب المقبوض ، أو تلف عند المشتري، فنتكلّم في هذا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تصارفا على معيّنين، ثم نقيس الكليين والمقبوض عليه، فنقول وبالله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تصارفا على معيّنين، وقبض كلٌّ منهما، وتعيّب المبيع، أو تلف عند المشتري، ثم ظهر أنّه كان معيباً، تارةً يكون العيب السابق الظاهر من غير الجنس، وتارة يكون العيب من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الصورة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البيع بعد التفرّق مطلقاً، وأمّا قبل التفرّق فلا يبطل البيع لو قبض فردٌ من الجنس، غاية ما في الباب أنّه يكون ضمان التالف عليه إن كان مثلياً، مثل النقود يضمن بالمثل، وإن كان قيمياً يضمن بالقيمة، وكذا يضمن تفاوت القيمة في صورة التعيّب؛ لعدم تحقق شرط الصرف، وهو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فيصحُّ البيع، وليس له الردّ؛ للتعيّب عنده والتلف عنده، كما قرروه في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ممن له الخيار يُسقط ردَّه ، ولا يكون له إلا أخذ الأرش</w:t>
      </w:r>
      <w:r>
        <w:rPr>
          <w:rStyle w:val="FootnoteAnchor"/>
          <w:rtl w:val="true"/>
        </w:rPr>
        <w:footnoteReference w:id="391"/>
      </w:r>
      <w:r>
        <w:rPr>
          <w:rFonts w:ascii="Amiri" w:hAnsi="Amiri" w:eastAsia="Amiri" w:cs="Amiri"/>
          <w:color w:val="111111"/>
          <w:sz w:val="28"/>
          <w:sz w:val="28"/>
          <w:szCs w:val="28"/>
          <w:rtl w:val="true"/>
          <w:lang w:bidi="ar-SA"/>
        </w:rPr>
        <w:t>وهو يُمكن مع اختلاف الجنس؛ لعدم لزوم الرِّبا على مذاقهم، وإن كان يتأتى الكلام فيه بالنسبة إلى الصرف وعدمه، بناءً على مذهب بعض من القول بكونه جزءاً من الثمن</w:t>
      </w:r>
      <w:r>
        <w:rPr>
          <w:rStyle w:val="FootnoteAnchor"/>
          <w:rtl w:val="true"/>
        </w:rPr>
        <w:footnoteReference w:id="392"/>
      </w:r>
      <w:r>
        <w:rPr>
          <w:rFonts w:ascii="Amiri" w:hAnsi="Amiri" w:eastAsia="Amiri" w:cs="Amiri"/>
          <w:color w:val="111111"/>
          <w:sz w:val="28"/>
          <w:sz w:val="28"/>
          <w:szCs w:val="28"/>
          <w:rtl w:val="true"/>
          <w:lang w:bidi="ar-SA"/>
        </w:rPr>
        <w:t xml:space="preserve">، وفي مقابل جزء من المثمن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اتحاد الجنس فيشكل الأمر على المشهور ؛ لأنَّه ليس للمشتري الردّ بواسطة تصرفه، وليس له أخذ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لزوم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الضرر على المشتري، ولا يدفع ضرره بشيء أصلاً، لا بالردّ ولا بالأرش، وأمّا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فسحةٍ من هذا، بناءً على ما اخترناه</w:t>
      </w:r>
      <w:r>
        <w:rPr>
          <w:rStyle w:val="FootnoteAnchor"/>
          <w:rtl w:val="true"/>
        </w:rPr>
        <w:footnoteReference w:id="393"/>
      </w:r>
      <w:r>
        <w:rPr>
          <w:rFonts w:ascii="Amiri" w:hAnsi="Amiri" w:eastAsia="Amiri" w:cs="Amiri"/>
          <w:color w:val="111111"/>
          <w:sz w:val="28"/>
          <w:sz w:val="28"/>
          <w:szCs w:val="28"/>
          <w:rtl w:val="true"/>
          <w:lang w:bidi="ar-SA"/>
        </w:rPr>
        <w:t>من كونه غرامة خارجيّة، ولا ربط له بالعوضين، ونقول هنا بجواز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هنا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بالالتزام بهذا الضرر ، وهذه المعاملة الضرريّة، والمعاملة الضرريّة في الشرع كثيرةً، هي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مشكلٌ غاية الإشكال؛ لمنافاته لأدلّة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هنا بجواز الردّ؛ لأنّ جواز الردّ يكون مدركُهُ وجهين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ثبت في باب خيار العيب يكون من باب التعبّد والأخبار، لا من باب الضرر؛ لأنّ الضرر مندفعٌ بالأرش، فلا يكون المدرك إلا التعبّد، والردّ الذي يسقط بالتصرّف هو الذي كان ثابتاً في خيار العيب وهذا لا ينافي ثبوت الردّ هنا من باب الضرر لا من باب التعبّد، والذي يسقط غير ما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كان سبب التعيّب هو المشتري، فالالتزام بالضرر، وهذه المعاملة الضرريّة؛ لأنَّه أقْدَمَ على ضرره؛ لأنَّه ناشئ منه، وبين ما لا يكون سبب التعيّب، فالالتزام بالردّ ، والقول في صورة التلف بالالتزام بالمثل أو القيمة ثم أخذ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في النظر هو الوسط، وكذا حال الكلّيين، فتأتي فيه الوجوه، وأحسنها هو الوسط، بل جريان هذا الوجه فيه أحسن؛ لأنّ العيب عند المشتري، والتالف عنده ليس هو المبيع حقيقةً، وإن قلنا بتعيّن الكلّي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الدالّة على سقوط الردّ جاريةٌ في المبيع، لا ما هو فرد للمبيع، فيمكن فيه الردّ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تجري أحكام التعيّب عند المشتري على نقصان القيمة عنده، وأحكام التلف على ذهاب الماليّة عنده، حتّى لا يجوز له الردّ لو نقص قيمة المبيع عنده أو ذهبت قيمته؟ وإن كان هو لا يتصور في بيع الصرف؛ باعتبار لزوم كون المتعاوضين نقدين، ولا تذهب ماليّتهما بالمرّة، غاية الأمر تنقص قيمتهما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العامة </w:t>
      </w:r>
      <w:r>
        <w:rPr>
          <w:rStyle w:val="FootnoteAnchor"/>
          <w:rtl w:val="true"/>
        </w:rPr>
        <w:footnoteReference w:id="394"/>
      </w:r>
      <w:r>
        <w:rPr>
          <w:rFonts w:ascii="Amiri" w:hAnsi="Amiri" w:eastAsia="Amiri" w:cs="Amiri"/>
          <w:color w:val="111111"/>
          <w:sz w:val="28"/>
          <w:sz w:val="28"/>
          <w:szCs w:val="28"/>
          <w:rtl w:val="true"/>
          <w:lang w:bidi="ar-SA"/>
        </w:rPr>
        <w:t xml:space="preserve">إلى إلحاق نقصان القيمة بالتعيّب عنده، وقال بعدم جواز الردّ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 وجهان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كونه ضرراً على البائع كالتعيّب، ومن كون عدم جواز الردّ تعبّدياً، فيقتصر على </w:t>
      </w:r>
    </w:p>
    <w:p>
      <w:pPr>
        <w:pStyle w:val="BookText"/>
        <w:rPr/>
      </w:pPr>
      <w:r>
        <w:rPr>
          <w:rFonts w:ascii="Amiri" w:hAnsi="Amiri" w:eastAsia="Amiri" w:cs="Amiri"/>
          <w:color w:val="111111"/>
          <w:sz w:val="28"/>
          <w:sz w:val="28"/>
          <w:szCs w:val="28"/>
          <w:rtl w:val="true"/>
          <w:lang w:bidi="ar-SA"/>
        </w:rPr>
        <w:t>مورده، وهو التعيَّب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إلحاقهما بهما؛ لأنّ الأدلّة الدالّة على سقوط الردّ خاصة بالتعيّب، وهو نقصان صفة في المثلي، أو حدوث صفة فيه في ذاته، وههنا المبيع لم يحدث فيه صفة، بل كان بحاله الأول، ولو كان ذهاب الماليّة عنه لا بواسطة حدوث صفة فيه موجبة لذلك، بل بواسطة كثرته وعدم الرغبة فيه أبداً، كان مثل التلف فلا بُدَّ أن يقولوا بضمان الغاصب المثل أو القيمة لو نقصت قيمته في يده، أو ذهبت ماليّته عنده مع بقاء العين المغصوبة بحالها، والحال أنَّهم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اشترى شيئاً فدفع الزائد، فلا يخلو من أن تكون الزيادة في المعيّنين بأن يبيع المعيّن الزائد بالمعيّن الناقص، مثلاً يبيعهما بعنوان أنهَّما حقتان، فتبين زيادة أحدهما، أو يكون في الكلّي والمعيّن أو يبيع الكلّي بالكلّي، فدفع أحدهما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الزيادة في المدفوع، فحكموا في المعيّن، وفيما لو باع المعين الزائد بالكلّي الناقص بحسب نوعه، وفي الكلّيين اللذين يكون أحدهما ناقصاً عن الآخر بحسب نوعه، فحكموا بالبطلان في متحدي الجنس، وبالخيار في مختلفي الجنس، ومقتضى حكمهم هذا كون المتعلّق يكون جميع الزائد لا ما يكون بقدر الناقص، وهذا مشكلٌ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وإن وقع على المعيّن، إلا أنَّه وقع عليه بعنوان إنّه موصوف بكونه حقة مثلاً، والرِّضا تعلّق حقيقةً بالمقيّد لا بمطلق المعيّن، والمقيّد المقصود غير ما وقع عليه العقد، فما حكموا به لم يقصد ؛ لأنّ المقصود هو المقيّد بكونه حقة، والمقيّد لم يحكموا به، بل بالمجموع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 في تعارض الاسم والإشارة آتٍ هنا، والحال أنَّهم لم يلتفتوا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 بل حكموا بالإطلاق، وببطلان البيع في متحدي الجنس بواسطة لزوم الرِّبا، وفي مختلفي الجنس بالخيار ، هذا إذا كانت الزيادة زيادةً لا يُتسامح بها، وأمّا إذا كانت الزيادة يسيرةً يُتسامح بها، فحكموا بعدم لزوم الرِّبا؛ بواسطة أن المدار على الزيادة العرفية، وحكموا </w:t>
      </w:r>
    </w:p>
    <w:p>
      <w:pPr>
        <w:pStyle w:val="BookText"/>
        <w:rPr/>
      </w:pPr>
      <w:r>
        <w:rPr>
          <w:rFonts w:ascii="Amiri" w:hAnsi="Amiri" w:eastAsia="Amiri" w:cs="Amiri"/>
          <w:color w:val="111111"/>
          <w:sz w:val="28"/>
          <w:sz w:val="28"/>
          <w:szCs w:val="28"/>
          <w:rtl w:val="true"/>
          <w:lang w:bidi="ar-SA"/>
        </w:rPr>
        <w:t>بكونه ملك القابض؛ لأنّ كلاً منهما تراضيا على بيع الوزنة مثلاً، وهي وزنة في العرف نظير اغتفار التسامح في المصداق فيما لو علّق الحكم على مقدّر في الشريعة، مثل المسافة الشرعية الموجبة للقصر يكون الحكم معلّقاً على أذرعات معيّنة، فيتسامحون في الاختلاف الحاصل بواسطة اختلاف الذراع المتعارف، دون التسامح في الإطلاق بأن يطلق أهل العرف المسافة على ثمانية فراسخ إلا شبراً، وذلك التسامح غير مغتفر؛ لأنّ الحكم معلّق على المقدار الخاص من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الزيادة في المعيّنين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الزيادة في المدفوع عن الكلّيين، فحكموا بكونها ملك صاحبها، وكونها أمانةً في یده سواءً أكانت الزيادة بواسطة التعمد، أم بواسطة الغلط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هناك بالإطلاق وكون الزيادة داخلة في البيع دون هنا، مشكلٌ، فهناك يقدّمون الإشارة على العنوان دون هنا، والحال أنّ الخلاف في تعارض الاسم والإشارة يجري في المقامين وليس فرق في المقامين غايته كون الزيادة عندية، وهنا وفائية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كون الزيادة مال الدافع هل تكون مضمونة على القابض أو لا ؟</w:t>
      </w:r>
    </w:p>
    <w:p>
      <w:pPr>
        <w:pStyle w:val="BookText"/>
        <w:rPr/>
      </w:pPr>
      <w:r>
        <w:rPr>
          <w:rFonts w:ascii="Amiri" w:hAnsi="Amiri" w:eastAsia="Amiri" w:cs="Amiri"/>
          <w:color w:val="111111"/>
          <w:sz w:val="28"/>
          <w:sz w:val="28"/>
          <w:szCs w:val="28"/>
          <w:rtl w:val="true"/>
          <w:lang w:bidi="ar-SA"/>
        </w:rPr>
        <w:t xml:space="preserve">ذهب بعض إلى كونها مضمونة </w:t>
      </w:r>
      <w:r>
        <w:rPr>
          <w:rStyle w:val="FootnoteAnchor"/>
          <w:rtl w:val="true"/>
        </w:rPr>
        <w:footnoteReference w:id="396"/>
      </w:r>
      <w:r>
        <w:rPr>
          <w:rFonts w:ascii="Amiri" w:hAnsi="Amiri" w:eastAsia="Amiri" w:cs="Amiri"/>
          <w:color w:val="111111"/>
          <w:sz w:val="28"/>
          <w:sz w:val="28"/>
          <w:szCs w:val="28"/>
          <w:rtl w:val="true"/>
          <w:lang w:bidi="ar-SA"/>
        </w:rPr>
        <w:t xml:space="preserve">، واستدل عليه بوجوه ثلاثة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مردودة </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وقعت على أنّها عوضٌ في المعاوضة، وتكون حالها حال ما لو تعلّق العقد على الزيادة فتكون مضمونة؛ لأنّ ما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في المعقود عليه، لا في المدفوع عن العوض، وقاعدة الضمان في متعلّق العقد والمعوض، وبعد تبيّن الزيادة ظهر أنّ الزيادة ليست عوضاً حتّى يضمن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الضمان في المقبوض بالسَّوم، فيكون الضمان هنا أولى؛ لأنّ المقبوض بالسوم يكون مأذوناً فيه صريحاً، دون المقبوض هنا، فإنه يكون بواسطة الاشتباه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في المقيس عليه، وهو المقبوض بالسَّوم، ونقول بعدم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هناك بواسطة أنه يشتمل على شرط الردّ في التحليل،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الدافع هناك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فإنْ رضيت به وإلا 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الضمان بواسطة شرط الردّ دونه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ما نحن فيه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 ونحن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مجملة من حيث المتعلّق، أهو الضمان أو الحفظ ؟ لِمَ لا يكون المراد الحفظ، ونحن نقول بوجوب حفظها حتّى تؤديه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الأخذ هو مطالبة القابض، وبدونها يكون إعطاء،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بل يُقال أعطاه ، فتكون الرواية منصرفةً إلى غير هذا المورد بواسطة أنّ المورد مورد الإعطاء؛ لأنَّه لم يسأل عنه، فلا يكون دليلاً على الضمان، فيكون على الأصل، وهو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عدم الضمان، وكونها أمانة في يد القابض هل تكون مالكيّة، أو شرعيّة؟ وجهان مبنيان على أن الأمانة المالكية هي مطلق كون الأخذ بإذنه، أو تكون الأمانةالمالكيّة ما تأمنها المالك، وهنا لم يقصد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الثاني، فلا تكون من الأمانة المالكيّة، خصوصاً إذا كان الدفع غلطاً، بل إذا كانت تعمداً، وإن كانت المالكيّة في الثاني أظهر دون الأول؛ لأنّ الأمانة المالكيّة ليست بمجرد كون الدفع بإذن المالك، وإلا لكانت الأمانة مالكية لو دفع صندوقاً فيه متاع وإن لم يعلم المدفوع إليه، ولم يكن كذلك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تقدير كون الأمانة يجب ردّها إلى المالك على الفور، أو إعلام المالك بها، وإلا فلا، بل عند مطالبته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الزيادة من مال الدافع بالاشاعة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للآخذ الخيار لعيب الشركة إذا لم يعلم بها، ويكون له الإبدال إذا كان قبل التفرّق، أو مطلقاً على ما أمرنا من جواز الإبدال مطلقاً ولو كان بعد التفرّق، والإمساك مجاناً مع اتحاد الجنس، ومع اختلاف الجنس يمكن أخذ الأرش على مذاق المشهور </w:t>
      </w:r>
      <w:r>
        <w:rPr>
          <w:rStyle w:val="FootnoteAnchor"/>
          <w:rtl w:val="true"/>
        </w:rPr>
        <w:footnoteReference w:id="399"/>
      </w:r>
      <w:r>
        <w:rPr>
          <w:rFonts w:ascii="Amiri" w:hAnsi="Amiri" w:eastAsia="Amiri" w:cs="Amiri"/>
          <w:color w:val="111111"/>
          <w:sz w:val="28"/>
          <w:sz w:val="28"/>
          <w:szCs w:val="28"/>
          <w:rtl w:val="true"/>
          <w:lang w:bidi="ar-SA"/>
        </w:rPr>
        <w:t xml:space="preserve">، ويمكن أخذ الأرش على ما أخترناه </w:t>
      </w:r>
      <w:r>
        <w:rPr>
          <w:rStyle w:val="FootnoteAnchor"/>
          <w:rtl w:val="true"/>
        </w:rPr>
        <w:footnoteReference w:id="400"/>
      </w:r>
      <w:r>
        <w:rPr>
          <w:rFonts w:ascii="Amiri" w:hAnsi="Amiri" w:eastAsia="Amiri" w:cs="Amiri"/>
          <w:color w:val="111111"/>
          <w:sz w:val="28"/>
          <w:sz w:val="28"/>
          <w:szCs w:val="28"/>
          <w:rtl w:val="true"/>
          <w:lang w:bidi="ar-SA"/>
        </w:rPr>
        <w:t>مطلقاً، ولا يكون له الفسخ لأنّ ضرر العيب مندفع بالردّ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هنا جواز الفسخ </w:t>
      </w:r>
      <w:r>
        <w:rPr>
          <w:rStyle w:val="FootnoteAnchor"/>
          <w:rtl w:val="true"/>
        </w:rPr>
        <w:footnoteReference w:id="401"/>
      </w:r>
      <w:r>
        <w:rPr>
          <w:rFonts w:ascii="Amiri" w:hAnsi="Amiri" w:eastAsia="Amiri" w:cs="Amiri"/>
          <w:color w:val="111111"/>
          <w:sz w:val="28"/>
          <w:sz w:val="28"/>
          <w:szCs w:val="28"/>
          <w:rtl w:val="true"/>
          <w:lang w:bidi="ar-SA"/>
        </w:rPr>
        <w:t xml:space="preserve">، وهو غيرُ مسلّمٍ؛ لأنّ ، وهو غير مسلّم؛ لأنّ عيب الشركة ليس له خصوصيّة، بل هو كسائر العيوب، فعدمُ جواز الفسخ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والقولُ بالجواز هنا غيرُ متّجه </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9195_77185"/>
      <w:bookmarkStart w:id="306" w:name="pg9195_77185"/>
      <w:bookmarkEnd w:id="306"/>
    </w:p>
    <w:p>
      <w:pPr>
        <w:pStyle w:val="Heading3"/>
        <w:numPr>
          <w:ilvl w:val="2"/>
          <w:numId w:val="1"/>
        </w:numPr>
        <w:rPr/>
      </w:pPr>
      <w:bookmarkStart w:id="307" w:name="pg9195_77185"/>
      <w:bookmarkStart w:id="308" w:name="__RefHeading___Toc3921819_2870459653"/>
      <w:bookmarkStart w:id="309" w:name="_Toc106"/>
      <w:bookmarkEnd w:id="307"/>
      <w:bookmarkEnd w:id="308"/>
      <w:r>
        <w:rPr>
          <w:rtl w:val="true"/>
        </w:rPr>
        <w:t>[</w:t>
      </w:r>
      <w:r>
        <w:rPr>
          <w:rtl w:val="true"/>
        </w:rPr>
        <w:t>مسألة</w:t>
      </w:r>
      <w:r>
        <w:rPr>
          <w:rtl w:val="true"/>
        </w:rPr>
        <w:t xml:space="preserve">: </w:t>
      </w:r>
      <w:r>
        <w:rPr>
          <w:rtl w:val="true"/>
        </w:rPr>
        <w:t>في بيع الدرهم بدرهم مع اشتراط الصياغة</w:t>
      </w:r>
      <w:r>
        <w:rPr>
          <w:rtl w:val="true"/>
        </w:rPr>
        <w:t>]</w:t>
      </w:r>
      <w:bookmarkEnd w:id="309"/>
    </w:p>
    <w:p>
      <w:pPr>
        <w:pStyle w:val="BookText"/>
        <w:rPr/>
      </w:pPr>
      <w:r>
        <w:rPr>
          <w:rFonts w:ascii="IRNazanin" w:hAnsi="IRNazanin" w:eastAsia="IRNazanin"/>
          <w:color w:val="111111"/>
          <w:sz w:val="28"/>
          <w:sz w:val="28"/>
          <w:szCs w:val="28"/>
          <w:rtl w:val="true"/>
          <w:lang w:bidi="fa-IR"/>
        </w:rPr>
        <w:t>والمسألة الحالية في جواز ابتیاع در هم بدرهم مع اشتراط الصياغة، وورد به رواية</w:t>
      </w:r>
      <w:r>
        <w:rPr>
          <w:rStyle w:val="FootnoteAnchor"/>
          <w:rtl w:val="true"/>
        </w:rPr>
        <w:footnoteReference w:id="402"/>
      </w:r>
      <w:r>
        <w:rPr>
          <w:rFonts w:ascii="Amiri" w:hAnsi="Amiri" w:eastAsia="Amiri" w:cs="Amiri"/>
          <w:color w:val="111111"/>
          <w:sz w:val="28"/>
          <w:sz w:val="28"/>
          <w:szCs w:val="28"/>
          <w:rtl w:val="true"/>
          <w:lang w:bidi="ar-SA"/>
        </w:rPr>
        <w:t xml:space="preserve">تكون مخالفة للقواعد، والعمومات القاضية بعدم جواز الرِّبا؛ لأنَّها صريحة في جواز بيع الدرهم بالدرهم مع شرط صياغة الخاتم والرواية قويَّة بل صحيحة معتضدة بعمل الأصحاب بها، حتّى نقل </w:t>
      </w:r>
      <w:r>
        <w:rPr>
          <w:rStyle w:val="FootnoteAnchor"/>
          <w:rtl w:val="true"/>
        </w:rPr>
        <w:footnoteReference w:id="403"/>
      </w:r>
      <w:r>
        <w:rPr>
          <w:rFonts w:ascii="Amiri" w:hAnsi="Amiri" w:eastAsia="Amiri" w:cs="Amiri"/>
          <w:color w:val="111111"/>
          <w:sz w:val="28"/>
          <w:sz w:val="28"/>
          <w:szCs w:val="28"/>
          <w:rtl w:val="true"/>
          <w:lang w:bidi="ar-SA"/>
        </w:rPr>
        <w:t>أنّ المخالف ابن حمزة ، وتردد ابن إدريس من وجهين</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 من باب أصله وهو عدم العمل بخبر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ليست هي العين، بل وقعت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 بعضٌ من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المعتبر من الزيادة في باب الرِّبا هي الزيادة العينيّة لا المنافع</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وهنا الزيادة تكون منفعة وعملًا ، لا عيناً، فلا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بعيد منه، وهو أجل شأناً من أن يقول بهذه المقالة؛ حيث إنّ الزيادة ممنوعةٌ مطلقاً، بل مراده أنّ مورد الرواية هو صحة العمل بوقوع هذا الإبدال؛ لأن الزيادة اشترطت في أصل العقد، فَلْنُقَدِّم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الخوض في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زيادة الوصف غير مضر في الرِّبا، فلو باع حنطة رديئة بحنطة جيدة لم يكن من الرِّبا، وكذا لو باع فضة مصوغة بفضة غير مصوغة، وهذا يُشكَل من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بينه وبين زيادة الأجل ؛ حيث إنّهم حكموا في زيادة الأجل بالرِّبا، دون زيادة الوصف، والحال أنّ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في العوض، حيث يكون العوض مؤجلاً ؟</w:t>
      </w:r>
    </w:p>
    <w:p>
      <w:pPr>
        <w:pStyle w:val="BookText"/>
        <w:rPr/>
      </w:pPr>
      <w:r>
        <w:rPr>
          <w:rFonts w:ascii="Amiri" w:hAnsi="Amiri" w:eastAsia="Amiri" w:cs="Amiri"/>
          <w:color w:val="111111"/>
          <w:sz w:val="28"/>
          <w:sz w:val="28"/>
          <w:szCs w:val="28"/>
          <w:rtl w:val="true"/>
          <w:lang w:bidi="ar-SA"/>
        </w:rPr>
        <w:t xml:space="preserve">ويُمكن دفع هذا الإشكال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الأجل ليس وصفاً للعوض قائماً به، بحيث يُعدّ من أوصاف الشيء، بل هو وصف للعقد، والبيع حيث يكون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من الزيادة ما يقابل بالعوض، والوصف ليس مقابلاً بالعوض بل هو مما يزيد وينقص، بخلاف الأجل فإنَّه مقابل بالعوض، لا بمعنى أن جزءاً من الثمن في مقابل الأجل، كيف ولو كان كذلك لما يحصل الرِّبا لو كان أحد العوضين مؤجلاً، أو هما؛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الضميمة، والحال أنَّه ليس كذلك، بل بمعنى أنه يمكن إبداله ومصالحته، نظير حق الخيار، وحق الشفعة فيكون موجباً للرّبا دون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من باب التعبد والأخبار، حيث تكون دالة على حصول الرِّبا بمجرّد زيادة الأجل، والأخبار متضافرة به وهذا الوجه أحسن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من الإشكالين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الفرق بين الأجل، وبين اشتراط موضع التسليم والحال أنَّه ربَّما تكون قيمة الشيء في بلد العقد توماناً، وفي البلد المشترط فيه التسليم تومانين، فتكون الزيادة حاصلة حينئذٍ، والحال أنّهم لم يحكموا بالرِّبا في شرط موضع التسليم، وحكموا في الأجل، والحال أنَّ كلا منهما مزيد للقيمة، وموجب لازدياد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الإشكال بأنّ الزيادة الحاصلة في اشتراط موضع التسليم اتفاقيّة، دون الزيادة في الأجل، حيث تكون شأنيّة، بمعنى إن شاء هو ازدياد القيمة مطلقاً، بخلاف الأول، فإنه قد يكون وقد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صولح عمل على إيقاع بيع الربوي المتساوي فعلاً، على نحو كون البيع جعالة على العمل، أو أجرة على العمل، وعليه يحمل كلام ابن إدريس</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الغشّ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قسم يكون موجباً لرداءة المغشوش، وجيادة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يكون موجباً لاختلاط المغشوش وتركيبه، بحيث يعدّ شيئاً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والزيادة في الأول توجب الرِّبا، دون الثاني؛ لأنّ اختلاطه صار بمنزلة الضميمة، وتكون الضميمة حقيقة ، والزيادة تنصرف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صرف كلّ إلى ما يخالفه في 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يحصل الرِّبا وإن حصل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تمهدت هذه المسائل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المشهور </w:t>
      </w:r>
      <w:r>
        <w:rPr>
          <w:rStyle w:val="FootnoteAnchor"/>
          <w:rtl w:val="true"/>
        </w:rPr>
        <w:footnoteReference w:id="406"/>
      </w:r>
      <w:r>
        <w:rPr>
          <w:rFonts w:ascii="Amiri" w:hAnsi="Amiri" w:eastAsia="Amiri" w:cs="Amiri"/>
          <w:color w:val="111111"/>
          <w:sz w:val="28"/>
          <w:sz w:val="28"/>
          <w:szCs w:val="28"/>
          <w:rtl w:val="true"/>
          <w:lang w:bidi="ar-SA"/>
        </w:rPr>
        <w:t>حكموا في أصل المسألة بالجواز،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القواعد، والأخبار، والآيات، عدم جوازه، إلا إنا خرجنا عن مقتضاها في هذا المورد بواسطة ورود النص على جوازه </w:t>
      </w:r>
      <w:r>
        <w:rPr>
          <w:rStyle w:val="FootnoteAnchor"/>
          <w:rtl w:val="true"/>
        </w:rPr>
        <w:footnoteReference w:id="407"/>
      </w:r>
      <w:r>
        <w:rPr>
          <w:rFonts w:ascii="Amiri" w:hAnsi="Amiri" w:eastAsia="Amiri" w:cs="Amiri"/>
          <w:color w:val="111111"/>
          <w:sz w:val="28"/>
          <w:sz w:val="28"/>
          <w:szCs w:val="28"/>
          <w:rtl w:val="true"/>
          <w:lang w:bidi="ar-SA"/>
        </w:rPr>
        <w:t>، وحملوا الرواية على ظاهرها من اشتراط العمل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ينبغي أنْ يعْلَم أنّ مورد الرواية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زيادة قطعاً ومضرٌّ، وليس من الزيادة الوصفيّة، ومثل بيع الفضة الصائغة </w:t>
      </w:r>
      <w:r>
        <w:rPr>
          <w:rStyle w:val="FootnoteAnchor"/>
          <w:rtl w:val="true"/>
        </w:rPr>
        <w:footnoteReference w:id="408"/>
      </w:r>
      <w:r>
        <w:rPr>
          <w:rFonts w:ascii="Amiri" w:hAnsi="Amiri" w:eastAsia="Amiri" w:cs="Amiri"/>
          <w:color w:val="111111"/>
          <w:sz w:val="28"/>
          <w:sz w:val="28"/>
          <w:szCs w:val="28"/>
          <w:rtl w:val="true"/>
          <w:lang w:bidi="ar-SA"/>
        </w:rPr>
        <w:t>بالفضة الغير الصائغة، وهو ليس بمضرّ يقيناً؛ لأنَّه ليس زيادة حتّى يعدّ من الرِّبا، وإن كان قيمة الصائغة أكثر من غيرها، كيف، ولو كان كذلك لا بُدَّ أنْ يعدّ من الرِّبا لو بيع الجيد بالرديء؟ وهو مخالف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توهم بعضٌ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زيادة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مضر؛ لأنَّه لو كانت زيادةً وموجبة للرِّبا، فلا بُدَّ أن يكون بيع الصائغ بغيره أيضاً ربا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فهمت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مع الفارق، وبعضهم لم يعملوا بالرواية، وخرّجوها عن ظاهرها، وحملوها كل إلى تأويل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الرواية هو اشتراط الإبدال في الصياغة لا عكسه</w:t>
      </w:r>
      <w:r>
        <w:rPr>
          <w:rStyle w:val="FootnoteAnchor"/>
          <w:rtl w:val="true"/>
        </w:rPr>
        <w:footnoteReference w:id="410"/>
      </w:r>
      <w:r>
        <w:rPr>
          <w:rFonts w:ascii="Amiri" w:hAnsi="Amiri" w:eastAsia="Amiri" w:cs="Amiri"/>
          <w:color w:val="111111"/>
          <w:sz w:val="28"/>
          <w:sz w:val="28"/>
          <w:szCs w:val="28"/>
          <w:rtl w:val="true"/>
          <w:lang w:bidi="ar-SA"/>
        </w:rPr>
        <w:t xml:space="preserve">، وهو غير مضرٍّ، </w:t>
      </w:r>
    </w:p>
    <w:p>
      <w:pPr>
        <w:pStyle w:val="BookText"/>
        <w:rPr/>
      </w:pPr>
      <w:r>
        <w:rPr>
          <w:rFonts w:ascii="Amiri" w:hAnsi="Amiri" w:eastAsia="Amiri" w:cs="Amiri"/>
          <w:color w:val="111111"/>
          <w:sz w:val="28"/>
          <w:sz w:val="28"/>
          <w:szCs w:val="28"/>
          <w:rtl w:val="true"/>
          <w:lang w:bidi="ar-SA"/>
        </w:rPr>
        <w:t xml:space="preserve">نظير ما قلناه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في نظر العرف؛ لأنَّهم لا يفرّقون بين تقديم الشرط أو تأخره، ويعدّونه من الشرط في البيع، إلا أنَّه غير بعيد بحسب ظاهر لفظ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مبادلةٌ لا بيع</w:t>
      </w:r>
      <w:r>
        <w:rPr>
          <w:rStyle w:val="FootnoteAnchor"/>
          <w:rtl w:val="true"/>
        </w:rPr>
        <w:footnoteReference w:id="411"/>
      </w:r>
      <w:r>
        <w:rPr>
          <w:rFonts w:ascii="Amiri" w:hAnsi="Amiri" w:eastAsia="Amiri" w:cs="Amiri"/>
          <w:color w:val="111111"/>
          <w:sz w:val="28"/>
          <w:sz w:val="28"/>
          <w:szCs w:val="28"/>
          <w:rtl w:val="true"/>
          <w:lang w:bidi="ar-SA"/>
        </w:rPr>
        <w:t>، ولا يضرُّ في المبادلة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المبادلة المطلقة بمنزلة التمليك،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بينهما، والتمليك المطلق والمبادلة المطلقة ينصرفان إلى البيع؛ لأنَّه الأصل في العقود، بناءً على ما فسرنا أصليته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الصياغة وحده على المبادلة </w:t>
      </w:r>
      <w:r>
        <w:rPr>
          <w:rStyle w:val="FootnoteAnchor"/>
          <w:rtl w:val="true"/>
        </w:rPr>
        <w:footnoteReference w:id="412"/>
      </w:r>
      <w:r>
        <w:rPr>
          <w:rFonts w:ascii="Amiri" w:hAnsi="Amiri" w:eastAsia="Amiri" w:cs="Amiri"/>
          <w:color w:val="111111"/>
          <w:sz w:val="28"/>
          <w:sz w:val="28"/>
          <w:szCs w:val="28"/>
          <w:rtl w:val="true"/>
          <w:lang w:bidi="ar-SA"/>
        </w:rPr>
        <w:t>، يقول للصائغ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 لي هذا الخاتم، وأنا لا أفعل لك كذا إلا أنَّ صياغة الخاتم شرطٌ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نقول بظاهرها؛ لكون الرواية صحيحة، ومعتضدة بعمل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العمل بها هل يتعدى من مورد الرواية إلى غيرها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الأظهرُ عدم التعدّي؛ لأنَّه حكم مخالف للقواعد، فلا بُدَّ أنْ يقتصر على موردها، والتعدي عن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يُلقى وصف الخاتميّة، ويتعدى إلى مطلق الصياغة، أو بإلقاء الصياغة والتعدّي إلى مطلق شرط العمل، أو بإلقاء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 إلى مطلق الشروط، ويمكن التعدّي بوجوه أُخر</w:t>
      </w:r>
      <w:r>
        <w:rPr>
          <w:rFonts w:eastAsia="Amiri" w:cs="Amiri" w:ascii="Amiri" w:hAnsi="Amiri"/>
          <w:color w:val="111111"/>
          <w:sz w:val="28"/>
          <w:szCs w:val="28"/>
          <w:rtl w:val="true"/>
          <w:lang w:bidi="ar-SA"/>
        </w:rPr>
        <w:t xml:space="preserve">. </w:t>
      </w:r>
      <w:bookmarkStart w:id="310" w:name="pg9195_77189"/>
    </w:p>
    <w:p>
      <w:pPr>
        <w:pStyle w:val="Heading3"/>
        <w:numPr>
          <w:ilvl w:val="2"/>
          <w:numId w:val="1"/>
        </w:numPr>
        <w:rPr/>
      </w:pPr>
      <w:bookmarkStart w:id="311" w:name="__RefHeading___Toc3921821_2870459653"/>
      <w:bookmarkStart w:id="312" w:name="_Toc107"/>
      <w:bookmarkEnd w:id="310"/>
      <w:bookmarkEnd w:id="311"/>
      <w:r>
        <w:rPr>
          <w:rtl w:val="true"/>
        </w:rPr>
        <w:t xml:space="preserve">[ </w:t>
      </w:r>
      <w:r>
        <w:rPr>
          <w:rtl w:val="true"/>
        </w:rPr>
        <w:t xml:space="preserve">الكلام في بيع الأواني الذهبية والفضيّة </w:t>
      </w:r>
      <w:r>
        <w:rPr>
          <w:rtl w:val="true"/>
        </w:rPr>
        <w:t>]</w:t>
      </w:r>
      <w:bookmarkEnd w:id="312"/>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الأواني المصوغة من الذهب والفضة، وقبل الخوض في المطلب وكلمات الأصحاب، نتكلم في أشياء ترتبط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لو بيع الفضة المطلاة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تعدّ طلائية في العرف ذهباً، ولم تعد بواسطته مختلطة، نظير ماء الذهب الذي يُزَيّن به المصاحف والكتب، هل يكون ذلك موجباً للزيادة في المبيع لو بيع الفضة المطلاة بفضة خالصة، ويحصل بسببها الرِّبا، أو لا يكون ذلك موجباً للرّبا، ولم تكن زيادة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حرمة الرِّبا معلّقة على الزيادة الواقعيّة، لا على الزيادة الظاهرية العلميّة، وتكون الطلائية زيادة في الواقع؛ ولذا لم تكن في نظر العرف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الرِّبا وإن كان معلّقاً على الزيادة الواقعية، إلا أنَّه لا بُدَّ أنْ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العرف؛ لأنّ الأحكام تدور في الشرع مدار الأسماء العرفية، فحرمة الرِّبا معلّقة على الزيادة المُسمّاة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لا تسمّى الطلائية زيادةً واقعيّة في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هو الثاني، فلا يكون هذا الاختلاط موجباً للرِّبا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لو كان بين العوضين زيادةٌ في حال دون حال، وباعتبار دون اعتبار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بيع ههنا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يكونان متساويين في السكة والمعاملة، ويحكم بالتساوي في مقام المعاملة والسكة ، مثلاً يحكمون بكون كلٍّ منهما مثقالاً، ولكن كان بينهما زيادة في مقام الكسر ، ويحكم بكون أحدهما زائداً عن الآخر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يكون المدار على حال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الزيادة؛ لصدق الزيادة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المدار على حال عدم الزيادة، لكن حرمة الرِّبا مخالفة للعمومات، فلا بُدَّ أنْ يقتصر فيها على المتيقن ، وهو الزيادة مطلقاً ، أو يلحق كلاً حكمُهُ، فإن كان في مقام المعاملة يحكم بعدم الزيادة، وعدم الرِّبا، وإن كان في مقام الكسر والصياغة يحكم بالرِّبا؛ لعدم صدق الزيادة في الأول، وصدقها في الثاني؟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واحتمالات، الأظهر الأخير؛ لما قلناه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على مذاق من اغتفر الجهالة فيما لم يكن مقصوداً بالبيع، بل يكون تابعاً في القصد كالشهيد </w:t>
      </w:r>
      <w:r>
        <w:rPr>
          <w:rStyle w:val="FootnoteAnchor"/>
          <w:rtl w:val="true"/>
        </w:rPr>
        <w:footnoteReference w:id="413"/>
      </w:r>
      <w:r>
        <w:rPr>
          <w:rFonts w:ascii="Amiri" w:hAnsi="Amiri" w:eastAsia="Amiri" w:cs="Amiri"/>
          <w:color w:val="111111"/>
          <w:sz w:val="28"/>
          <w:sz w:val="28"/>
          <w:szCs w:val="28"/>
          <w:rtl w:val="true"/>
          <w:lang w:bidi="ar-SA"/>
        </w:rPr>
        <w:t xml:space="preserve">، هل تكون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مغتفرةً في التابع القصدي أم لا؟</w:t>
      </w:r>
    </w:p>
    <w:p>
      <w:pPr>
        <w:pStyle w:val="BookText"/>
        <w:rPr/>
      </w:pPr>
      <w:r>
        <w:rPr>
          <w:rFonts w:ascii="Amiri" w:hAnsi="Amiri" w:eastAsia="Amiri" w:cs="Amiri"/>
          <w:color w:val="111111"/>
          <w:sz w:val="28"/>
          <w:sz w:val="28"/>
          <w:szCs w:val="28"/>
          <w:rtl w:val="true"/>
          <w:lang w:bidi="ar-SA"/>
        </w:rPr>
        <w:t>نحن وإن قلنا بعدم اغتفار الجهالة فيه أيضاً، بل مغتفر في التابع الحكمي، والشرعي، والحقيقي كالحمل الذي في بطن المبيع، إلا إنّا نتكلّم على مذاقه، الظاهر عدم الاغتفار في الزيادة؛ لأنّ العلم إنّما يعتبر في المبيع، وغير المقصود بالبيع لم يكن بيعاً حقيقة، ومدركه الغرر، والشيء إذا لم يكن مقصوداً لم يكن الغرر حاصلاً أبداً، بخلافه هنا، فإنّ الحرمة معلّق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الزيادة في العوضين أعم من أن تكون 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احتمال الزيادة مضرٌّ أم لا؟</w:t>
      </w:r>
    </w:p>
    <w:p>
      <w:pPr>
        <w:pStyle w:val="BookText"/>
        <w:rPr/>
      </w:pPr>
      <w:r>
        <w:rPr>
          <w:rFonts w:ascii="IRNazanin" w:hAnsi="IRNazanin" w:eastAsia="IRNazanin"/>
          <w:color w:val="111111"/>
          <w:sz w:val="28"/>
          <w:sz w:val="28"/>
          <w:szCs w:val="28"/>
          <w:rtl w:val="true"/>
          <w:lang w:bidi="fa-IR"/>
        </w:rPr>
        <w:t xml:space="preserve">نحن وإن قلنا سابقاً </w:t>
      </w:r>
      <w:r>
        <w:rPr>
          <w:rStyle w:val="FootnoteAnchor"/>
          <w:rtl w:val="true"/>
        </w:rPr>
        <w:footnoteReference w:id="414"/>
      </w:r>
      <w:r>
        <w:rPr>
          <w:rFonts w:ascii="Amiri" w:hAnsi="Amiri" w:eastAsia="Amiri" w:cs="Amiri"/>
          <w:color w:val="111111"/>
          <w:sz w:val="28"/>
          <w:sz w:val="28"/>
          <w:szCs w:val="28"/>
          <w:rtl w:val="true"/>
          <w:lang w:bidi="ar-SA"/>
        </w:rPr>
        <w:t>بمضرّية احتمال الزيادة؛ لأنّ البيع أولاً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ربوي، وقسم غير 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يحرم دون الثاني، فيكون عدم الحرمة معلّقاً على عدم الزيادة، والعلم بعدمها، وهو لا يحصل مع احتمال الزيادة، لا أنّ العمومات قاضيّة بالصحة أولاً، ثم أخرج البيع الربوي، وحينئذٍ يكون مخالفاً للقاعدة، فيقتصر على المتيقن 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لا تبنى مضرّية احتمال الزيادة على هذا، بل لو قلنا، ولا تتخصص العمومات الأولية بالرِّبا، يضر الاحتمال؛ لأنّ الرِّبا معلّق على الزيادة الواقعيَّة، لا على العلمية حتّى لا يضر احتمال الزيادة؛ لعدم معلوميتها، الآن حكمنا هناك بالمضرّية فيما يُمكن الاختبار، وأمّا فيما لا يُمكن الاختبار كالأواني المصوغة، والفضة المسكوكة إلّا بالقرع والأنبيق</w:t>
      </w:r>
      <w:r>
        <w:rPr>
          <w:rStyle w:val="FootnoteAnchor"/>
          <w:rtl w:val="true"/>
        </w:rPr>
        <w:footnoteReference w:id="415"/>
      </w:r>
      <w:r>
        <w:rPr>
          <w:rFonts w:ascii="IRNazanin" w:hAnsi="IRNazanin" w:eastAsia="IRNazanin"/>
          <w:color w:val="111111"/>
          <w:sz w:val="28"/>
          <w:sz w:val="28"/>
          <w:szCs w:val="28"/>
          <w:rtl w:val="true"/>
          <w:lang w:bidi="fa-IR"/>
        </w:rPr>
        <w:t xml:space="preserve">، فلا نقول به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المضرّية لاستهلاكه لو كان، فلا يكون 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كان خارجاً عن محلّ الكلام؛ إذ يجري في جميع المعاملات إلا أنّ له نوع خصوصيّة به إنَّ معلوميّة الجملة والمجموع كافٍ؛ إذ لا بُدَّ من معلوميّة قدر كلّ واحد من الذهب والفضة في الأواني المصوغة منهما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المبيع هو المجموع، ويكون معلوماً، ولا يعتبر العلم في أجزاء المبيع، ومن أنّه يحصل بواسطة عدم العلم بقدر كلّ منهما يحصل غرر عظيم؛ لاختلافهما في القيمة؛ لأنَّه يحتمل فيما لو باع أربعة مثاقيل من المخلوط، بثلث مثقال من الذهب ومثقال من الفضة، وكان ثلاثة مثاقيل من المخلوط 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اعتبار العلم فيما يُمكن التخلّص، دون غيره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وإنْ قلنا بعدم الاعتبار سابقاً، إمّا فيما يفسد بالاختبار، وإمّا فيما لا يفسد بالاختبار، فمن يقول بعدم اعتباره؛ لحصول الضرر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منهي عنه في الشريعة</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9195_77193"/>
      <w:bookmarkStart w:id="314" w:name="pg9195_77193"/>
      <w:bookmarkEnd w:id="314"/>
    </w:p>
    <w:p>
      <w:pPr>
        <w:pStyle w:val="Heading3"/>
        <w:numPr>
          <w:ilvl w:val="2"/>
          <w:numId w:val="1"/>
        </w:numPr>
        <w:rPr/>
      </w:pPr>
      <w:bookmarkStart w:id="315" w:name="pg9195_77193"/>
      <w:bookmarkStart w:id="316" w:name="__RefHeading___Toc3921823_2870459653"/>
      <w:bookmarkStart w:id="317" w:name="_Toc108"/>
      <w:bookmarkEnd w:id="315"/>
      <w:bookmarkEnd w:id="316"/>
      <w:r>
        <w:rPr>
          <w:rtl w:val="true"/>
        </w:rPr>
        <w:t>(</w:t>
      </w:r>
      <w:r>
        <w:rPr>
          <w:rtl w:val="true"/>
        </w:rPr>
        <w:t xml:space="preserve">في مشكلات خيار المجلس </w:t>
      </w:r>
      <w:r>
        <w:rPr>
          <w:rtl w:val="true"/>
        </w:rPr>
        <w:t xml:space="preserve">: </w:t>
      </w:r>
      <w:r>
        <w:rPr>
          <w:rtl w:val="true"/>
        </w:rPr>
        <w:t xml:space="preserve">فيما لو أُكره كلٌّ منهما </w:t>
      </w:r>
      <w:r>
        <w:rPr>
          <w:rtl w:val="true"/>
        </w:rPr>
        <w:t>)</w:t>
      </w:r>
      <w:bookmarkEnd w:id="3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مشكلات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أُكره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أنَّه لو أُكره كلٌّ من المتبايعين، أو أحدهما، أو اضطرا إلى التفرّق ومُنعا من التخاير، لم يسقط خيارهما، أو أحدهما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الاستدلال هذا المدعى على وجه ينطبق عليه، وعلى ما ذكروه في فروع المطلب في غاية الإشكال؛ حيث إنَّ مناط حكمهم إن 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البيّعان بالخيار ما لم يفترقا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حيث إنّ مقتضاه سقوط الخيار بالافتراق سواء كان مع المنع من التخاير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المستند هو حديث رفع أثر الإكراه </w:t>
      </w:r>
      <w:r>
        <w:rPr>
          <w:rStyle w:val="FootnoteAnchor"/>
          <w:rtl w:val="true"/>
        </w:rPr>
        <w:footnoteReference w:id="418"/>
      </w:r>
      <w:r>
        <w:rPr>
          <w:rFonts w:ascii="Amiri" w:hAnsi="Amiri" w:eastAsia="Amiri" w:cs="Amiri"/>
          <w:color w:val="111111"/>
          <w:sz w:val="28"/>
          <w:sz w:val="28"/>
          <w:szCs w:val="28"/>
          <w:rtl w:val="true"/>
          <w:lang w:bidi="ar-SA"/>
        </w:rPr>
        <w:t xml:space="preserve">، فلا يمكن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الصورتين ، لو أغمضنا عن عدم جريانه في الأحكام الوضعيّة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الحال لو كان المستند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دعوى تبادر الافتراق الذي يكون عدمه غايةً إلى صورة الرِّضا بالبيع؛ من جهة كون الغالب من الافتراق عن المجلس الواقع في الخارج هو مع الرِّضا بالبيع، فينصرف مطلق الافتراق إليه، أو من جهة ظهور </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Amiri" w:hAnsi="Amiri" w:eastAsia="Amiri" w:cs="Amiri"/>
          <w:color w:val="111111"/>
          <w:sz w:val="28"/>
          <w:sz w:val="28"/>
          <w:szCs w:val="28"/>
          <w:rtl w:val="true"/>
          <w:lang w:bidi="ar-SA"/>
        </w:rPr>
        <w:t>الفعل في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ودلالة صحيحة الفضيل </w:t>
      </w:r>
      <w:r>
        <w:rPr>
          <w:rStyle w:val="FootnoteAnchor"/>
          <w:rtl w:val="true"/>
        </w:rPr>
        <w:footnoteReference w:id="419"/>
      </w:r>
      <w:r>
        <w:rPr>
          <w:rFonts w:ascii="Amiri" w:hAnsi="Amiri" w:eastAsia="Amiri" w:cs="Amiri"/>
          <w:color w:val="111111"/>
          <w:sz w:val="28"/>
          <w:sz w:val="28"/>
          <w:szCs w:val="28"/>
          <w:rtl w:val="true"/>
          <w:lang w:bidi="ar-SA"/>
        </w:rPr>
        <w:t>على كون المعتبر من الافتراق هو ما يكون عن رضا منهما بالبيع، فالافتراق مع المنع من التخاير غير مسقط، لكنه مبنيٌّ على تسليم التبادر، وهو ممنوعٌ، خصوصاً لو لم نقل بانصراف الافتراق إلى الافتراق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وتسليم 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بالعقد بعد التروّي لا الرِّضا بأصل البيع، أو الرِّضا بالافتراق ويُمكن منعه، بل يحتمل فيه ما ذُكر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سبيل إلى تعيين ما ذكروا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كونه مسوقاً لبيان شرطيّة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ممنوعٌ، بل ظاهره أنّه لبيان حال الافتراق، وأنه يكون الرِّضا حاصلاً بعد الافتراق، فلاوجه للخيار، ولا نفهم منه شرطيّة الرِّضا؛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فإذا افترقا فلا خيار لهما بعد الرضا </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ليس كلاماً مستقلاً، بل من توابع الكلام الأول؛ حيث إنّه بيان لمفهومه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عدم ذكر الرِّضا في صدر الرواية، بل القائل في نفس الفقرة يشهد بأنَّه ليس بصدد مطلب جديد، بل الظاهر أنّ حاصل الكلام أنه بعدما حصل الافتراق فقد حصل الرِّضا، فلا خيار بعد ذلك، فالخيار حقيقة لأجل الالتزام بالبيع، فقد حصل لكشف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يشكل حكمهم بمسقطية الافتراق مع التمكن من التخاير، ولو كان الافتراق اضطرارياً؛ حيث إنّ الدليل لا يشمل الافتراق الاضطراري بوجه أولاً، ولا يكون الافتراق كاشفاً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إلا أن يدعى سببيّة الافتراق مطلقاً؛ للزوم العقد عند العرف، ولو كان الافتراق اضطرارياً، فالافتراق مطلقاً سبب لانقطاع اليد عن البيع عرفاً، فحينئذٍ لو كان أحد المتبايعين متمكناً من التخاير أو كلاهما، فلم يفسخا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علمهما بأنّ الافتراق سبب لقطع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فتفرّقا ولو اضطراراً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افترقا راضيين بالعقد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يدعى أنّ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يكون افتراقاً مع الرِّضا عرفاً، يكون سبباً </w:t>
      </w:r>
    </w:p>
    <w:p>
      <w:pPr>
        <w:pStyle w:val="BookText"/>
        <w:rPr/>
      </w:pPr>
      <w:r>
        <w:rPr>
          <w:rFonts w:ascii="Amiri" w:hAnsi="Amiri" w:eastAsia="Amiri" w:cs="Amiri"/>
          <w:color w:val="111111"/>
          <w:sz w:val="28"/>
          <w:sz w:val="28"/>
          <w:szCs w:val="28"/>
          <w:rtl w:val="true"/>
          <w:lang w:bidi="ar-SA"/>
        </w:rPr>
        <w:t>للسقوط، لكنه ممنوعٌ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التسليم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مانع من التمسك بحديث الرفع لرفع حكم الافتراق، إذا كان إكراهياً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 حديث الرفع في الأحكام مطلقاً وضعيّة، وتكليفيّة، والتامة، والناقصة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قلنا باختصاصه بالمؤاخذة فلا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قلنا بكون مورده الأحكام الجعلية، والسببيّةُ الناقصة ليست جعلية، بل عقليّة؛ حيث إنّ العقل بعدما فهم بكون المركب سبباً، يحكم بكون أجزاء المركب أسباباً ناقصة، فالسبب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وحديث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كان ثابتاً من قبل الشارع، بخلاف ما لو قلنا بكون السببيّة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جعليّة كما أنۀ السببيّة التامة جعليّة؛ حيث إنّ جعل الكل جعلٌ للأجزاء بمقتضى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سببيّة الافتراق حينئذٍ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مفاده رفع الآثار ، والسبب الناقص ليس له أثر، وإنّما الأثر لتمام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حينئذٍ بما إذا كان الافتراق جزءاً أخيراً؛ حيث إنّ الأثر دائر مداره، لكن يُمكن دفع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أن يستفاد من الأدلّة أنّ الافتراق وإنْ كان جزءاً للمسقط، إلّا أنّ الجزء الأعظم منه هو الرِّضا، بل هو المؤثر الحقيقي المستند إليه الأثر مستقلاً، كما قد يدعى في باب العقود إنّ العقد المكره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 بعد الحوق الرِّضا؛ من جهة أن المؤثر حقيقةً هو الرِّضا، فيدور الحكم مداره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غاية ما يُمكن أن يؤاخذ به مثبوتهم بعدم مسقطيّة الافتراق مع الإكراه عليه، وعلى ترك التخاير، لكن بعد ذلك كلماتهم 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أُكره كلّ منهما على التفرّق</w:t>
      </w:r>
      <w:r>
        <w:rPr>
          <w:rFonts w:eastAsia="Amiri" w:cs="Amiri" w:ascii="Amiri" w:hAnsi="Amiri"/>
          <w:color w:val="111111"/>
          <w:sz w:val="28"/>
          <w:szCs w:val="28"/>
          <w:rtl w:val="true"/>
          <w:lang w:bidi="ar-SA"/>
        </w:rPr>
        <w:t xml:space="preserve">. </w:t>
      </w:r>
      <w:bookmarkStart w:id="318" w:name="pg9195_77196"/>
    </w:p>
    <w:p>
      <w:pPr>
        <w:pStyle w:val="Heading3"/>
        <w:numPr>
          <w:ilvl w:val="2"/>
          <w:numId w:val="1"/>
        </w:numPr>
        <w:rPr/>
      </w:pPr>
      <w:bookmarkStart w:id="319" w:name="__RefHeading___Toc3921825_2870459653"/>
      <w:bookmarkStart w:id="320" w:name="_Toc109"/>
      <w:bookmarkEnd w:id="318"/>
      <w:bookmarkEnd w:id="319"/>
      <w:r>
        <w:rPr>
          <w:rtl w:val="true"/>
        </w:rPr>
        <w:t>(</w:t>
      </w:r>
      <w:r>
        <w:rPr>
          <w:rtl w:val="true"/>
        </w:rPr>
        <w:t>فيما لو أكره أحدهما</w:t>
      </w:r>
      <w:r>
        <w:rPr>
          <w:rtl w:val="true"/>
        </w:rPr>
        <w:t>)</w:t>
      </w:r>
      <w:bookmarkEnd w:id="320"/>
    </w:p>
    <w:p>
      <w:pPr>
        <w:pStyle w:val="BookText"/>
        <w:rPr/>
      </w:pPr>
      <w:r>
        <w:rPr>
          <w:rFonts w:ascii="Amiri" w:hAnsi="Amiri" w:eastAsia="Amiri" w:cs="Amiri"/>
          <w:color w:val="111111"/>
          <w:sz w:val="28"/>
          <w:sz w:val="28"/>
          <w:szCs w:val="28"/>
          <w:rtl w:val="true"/>
          <w:lang w:bidi="ar-SA"/>
        </w:rPr>
        <w:t xml:space="preserve">وأمّا لو أُكره أحدهما، فالمعروف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إليهم</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منع الآخر من المصاحبة، فلا أثر للافتراق بوجه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لم يمنع الآخر من المصاحبة، وترك المصاحبة اختياراً، فهل يسقط الخياران معاً بناءً على أنّ الغاية هو افتراق أحدهما عن الآخر ولو كان مع الرضا؛ لعدم دلالة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يفترقا على أزيد من هذا؛ إذ لو اعتبرنا كون الافتراق اختيارياً من جهة ظهور الإسناد إلى الفاعل في اختياريّة الفعل؛ إذ يُمكن أن تكون نسبة الفعل إلى الشخصين، وذكرهما لبيان طرفي الافتراق، لا لبيان تعدد الفعل، أو يثبت الخياران معاً؛ نظراً إلى أنّ المسقط هو التفرّق الاختياري من كلّ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وظاهر القضيّة أن مجموع الافتراقين غاية لمطلق الخيار ، أو يسقط خيار المختار دون المضطر ؛ بدعوى أنّ المسقط لخيار كلّ منهما افتراقُ كلٍّ منهما اختياراً، وقد حصل ذلك من طرف المختار، فيسقط خياره دون الآخر ، أو يُفَصَّل بين ما إذا كان المختار باقياً في المجلس، فلا يسقط خياره؛ لعدم حصول الفعل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ذهابه عن المجلس، فيسقط خياره خاصة، أو الخياران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استظهر من عبارة الإيضاح </w:t>
      </w:r>
      <w:r>
        <w:rPr>
          <w:rStyle w:val="FootnoteAnchor"/>
          <w:rtl w:val="true"/>
        </w:rPr>
        <w:footnoteReference w:id="422"/>
      </w:r>
      <w:r>
        <w:rPr>
          <w:rFonts w:ascii="IRNazanin" w:hAnsi="IRNazanin" w:eastAsia="IRNazanin"/>
          <w:color w:val="111111"/>
          <w:sz w:val="28"/>
          <w:sz w:val="28"/>
          <w:szCs w:val="28"/>
          <w:rtl w:val="true"/>
          <w:lang w:bidi="fa-IR"/>
        </w:rPr>
        <w:t xml:space="preserve">والقواعد </w:t>
      </w:r>
      <w:r>
        <w:rPr>
          <w:rStyle w:val="FootnoteAnchor"/>
          <w:rtl w:val="true"/>
        </w:rPr>
        <w:footnoteReference w:id="423"/>
      </w:r>
      <w:r>
        <w:rPr>
          <w:rFonts w:ascii="IRNazanin" w:hAnsi="IRNazanin" w:eastAsia="IRNazanin"/>
          <w:color w:val="111111"/>
          <w:sz w:val="28"/>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وجوه، بل أقوال يُمكن ترجيح الأول منها؛ لأنّ غاية ما يُستفاد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حصول تفرّق بينهما في الخارج، غاية الأمر كونه اختيارياً من جهة ظهور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دليل على كون التفرقين الاختياريين مسقطاً؛ إذ يُمكن أن تكون التثنية لبيان تعدد المفترقين، لا لبيان تعدد الافتراق، فكأنّه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يفترق أحدهما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يستفاد من الرواية إلا كون المسقط افتراقاً اختيارياً واحداً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يلزم كون التفرّق عن اختيار كلّ منهما لو كان ذكر الفاعل لأجل حدوث الفعل من كلٍّ منهما، وقيامه بكلٍّ منهما موجداً للافتراق، إمّا بأن يكون الافتراق معنى واحداً قائماً بالشخصين نظير فخ القلعة الذي يكون قائماً بمجموع العسكر، فهما موجدان لافتراق واحد، أو بأن يكون الافتراق قائماً بكل منهما بحيث يكون كلّ منهما مفرّقاً، فيكون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يفترق هذا، ويفترق 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غاية الأمر أن يكون الطرف الآخر للافتراق في كلّ منهما الشخص الآخر، فيكون المسقط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من التقديرين، لا يبعد كون القضيّة ظاهرة في اختيارية الطرفين والمفرقين، وأمّا لو قلنا بكون التشبيه؛ لبيان طرفي الافتراق، فلا يكون المسقط إلا افتراقاً واحداً اختيارياً، أو الأعم منه ومن الاضطراري، وهو حاصل يسقط الخياران معاً، ولا يعتبر إلا رضا واحد، ولو قلنا بتبادر الرِّضا بالبيع من الافتراق؛ لأنّ المتبادر إلى الرِّضا هو الافتراق، وقد ذكرنا أنّ المتيقن من هذا الكلام هو الافتراق الواحد لا الافتراقان حتّى ينصرف إلى رضا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w:t>
      </w:r>
      <w:r>
        <w:rPr>
          <w:rStyle w:val="FootnoteAnchor"/>
          <w:rtl w:val="true"/>
        </w:rPr>
        <w:footnoteReference w:id="424"/>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وتبادر تقيّده بكونه عن رضا كليهما ممنوعٌ، بل المتيقن اعتبار رضا أحدهما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ابتناء تماميّة المدعى على هذا التكلّف، بل يتم المطلب ولو قلنا بكون الغاية هو افتراق كلٍّ منهما عن الآخر، لكن بعد تسليم ظهوره في الاختيارية مطلقاً، أو من الطرفين، نقول فيما نحن فيه أيضاً حصل ذلك، والتبادر إلى الرِّضا ليس من جهة الانصراف إلى الاختياري، وإلا لما كان في صورة الاضطرار، والحال أنّ الشيخ صرّح بكون الرضا متبادراً سواء قلنا باعتبار الاختيارية من الطرفين، أم من أحدهما، أم لعدم الاعتبار مطلقاً،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التبادر غلبة وقوع الافتراق في الخارج، أمّا مع اختيارية الافتراق فواضح ، وكذلك مع اضطراريته؛ حيث إنّ اضطرارية الافتراق لا توجب </w:t>
      </w:r>
    </w:p>
    <w:p>
      <w:pPr>
        <w:pStyle w:val="BookText"/>
        <w:rPr/>
      </w:pPr>
      <w:r>
        <w:rPr>
          <w:rFonts w:ascii="Amiri" w:hAnsi="Amiri" w:eastAsia="Amiri" w:cs="Amiri"/>
          <w:color w:val="111111"/>
          <w:sz w:val="28"/>
          <w:sz w:val="28"/>
          <w:szCs w:val="28"/>
          <w:rtl w:val="true"/>
          <w:lang w:bidi="ar-SA"/>
        </w:rPr>
        <w:t>المنع من التخاير المانع من الرِّضا، وصورة المنع من التخاير نادر جداً، فينصرف الافتراق المطلق إلى صورة الرضا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لم يعلم كون الغالب من الافتراق هو مع عدم المنع من التخاير أصلاً، لا من الطرف الواحد، ولا من الطرفين، بل الغالب هو التمكّن من التخاير في الجملة، فينصرف إلى الرِّضا في الجملة، فيكفي التفرّق الحاصل عن رضا أحدهما بناءً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ينافيه صحيحة الفضيل بن يسار المشتملة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تفرّقا فلا خيار لهما بعد الرِّضا</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لإمكان أن يكون ذكر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ما يكشف عنه الافتراق ولو نوعاً، من غير اعتبار الرِّضا أصلاً، أو يكون المراد هو الرِّضا الأولي بالبيع، لا الالتزام بالعقد بعد البيع، أو يكون المراد بالرضا عدم الفسخ ، فلا يثبت التقييد بالرضا حتّى يدور الأمر مداره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ظهوره في القيديّة، فهي معارضة بإطلاق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استوجبتها قمتُ فمشيت خطاً؛ ليجب البيع حين افترقنا</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 حيث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البيع مترتباً على مجرد مشيه ، مع قطع النظر عن حصول رضا الآخر وعدمه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القاعدة الكلية، وإنْ كان تقديم الصحيحة؛ حملاً للمطلق على المقيد، لكن يُمكن دعوى تقدّم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المقيّد في خصوص المورد؛ لكونه مطابقاً للأخبار الكثيرة المطلقة الواردة في مقام البيان، ومطابقاً لفتوى العلماء في الفروع المتعددة،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مات أحدهما، أو جنّ، أو غفل، أو تردد في الالتزام وافترق الآخر، فإن الظاهر منهم سقوط الخيار </w:t>
      </w:r>
      <w:r>
        <w:rPr>
          <w:rStyle w:val="FootnoteAnchor"/>
          <w:rtl w:val="true"/>
        </w:rPr>
        <w:footnoteReference w:id="428"/>
      </w:r>
      <w:r>
        <w:rPr>
          <w:rFonts w:ascii="Amiri" w:hAnsi="Amiri" w:eastAsia="Amiri" w:cs="Amiri"/>
          <w:color w:val="111111"/>
          <w:sz w:val="28"/>
          <w:sz w:val="28"/>
          <w:szCs w:val="28"/>
          <w:rtl w:val="true"/>
          <w:lang w:bidi="ar-SA"/>
        </w:rPr>
        <w:t xml:space="preserve">، بل ادعي عدم الخلاف في بعضها، فيكون ذلك كله موجباً لضعف </w:t>
      </w:r>
      <w:bookmarkStart w:id="321" w:name="pg9195_77199"/>
    </w:p>
    <w:p>
      <w:pPr>
        <w:pStyle w:val="BookText"/>
        <w:rPr/>
      </w:pPr>
      <w:bookmarkEnd w:id="321"/>
      <w:r>
        <w:rPr>
          <w:rFonts w:ascii="Amiri" w:hAnsi="Amiri" w:eastAsia="Amiri" w:cs="Amiri"/>
          <w:color w:val="111111"/>
          <w:sz w:val="28"/>
          <w:sz w:val="28"/>
          <w:szCs w:val="28"/>
          <w:rtl w:val="true"/>
          <w:lang w:bidi="ar-SA"/>
        </w:rPr>
        <w:t>الصحيحة عن مقاومة المطلق، بل يُمكن أن يُدّعى أنّ ذكر الافتراق ليس لأجل موضوعيته؛ بحيث يكون علّة لسقوط الخيار، بل يكون ذكره من جهة كونه رافعاً لموضوع الخيار، وهو اجتماع البيعي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للخيار هو البيع ما دام الاجتماع، وفي هذه المدة، نظير الثلاثة في خيار الحيوان، ويفصح عن ذلك ذكر خيار المجلس في ذيل خيار الحيوان، الذي يكون كاشفاً عن كونه مثله في ثبوته من زمان إلى زمان </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الزمان لا أنّ الافتراق مؤثر في سقوط الخيار ، وبهذا يمكن الجمع بين فتاويهم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يمكن الجمع بين الدليل، وما صار مورد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 الخيارين، فيما لو مات أحدهما، أو جنّ، أو غفل، وفارق الآخر اختياراً، إلا بالتزام أحد الأُمور، إمّا أن يكون الرِّضا هو مجرد عدم الفسخ ، وهذا وإن كان خلاف الظاهر، إلا أنه لا بُدَّ من التزامه؛ لتأليف الفتاوى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المراد الرضا بالبيع لا الرِّضا الثانوي، أو يقال بعدم مؤثريّة شيء من الافتراق والرِّضا في سقوط الخيار ، بل ذكر الافتراق لأجل بيان منتهى زمان الخيار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الثالث من زمان البيع في خيار الحيوان، وعلى كل منهما يكون مجرد الافتراق كافياً</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3921827_2870459653"/>
      <w:bookmarkStart w:id="323" w:name="_Toc110"/>
      <w:bookmarkEnd w:id="322"/>
      <w:r>
        <w:rPr>
          <w:rtl w:val="true"/>
        </w:rPr>
        <w:t>(</w:t>
      </w:r>
      <w:r>
        <w:rPr>
          <w:rtl w:val="true"/>
        </w:rPr>
        <w:t>صورة ما لو مات أحدهما في المجلس</w:t>
      </w:r>
      <w:r>
        <w:rPr>
          <w:rtl w:val="true"/>
        </w:rPr>
        <w:t>)</w:t>
      </w:r>
      <w:bookmarkEnd w:id="323"/>
    </w:p>
    <w:p>
      <w:pPr>
        <w:pStyle w:val="BookText"/>
        <w:rPr/>
      </w:pPr>
      <w:r>
        <w:rPr>
          <w:rFonts w:ascii="IRNazanin" w:hAnsi="IRNazanin" w:eastAsia="IRNazanin"/>
          <w:color w:val="111111"/>
          <w:sz w:val="28"/>
          <w:sz w:val="28"/>
          <w:szCs w:val="28"/>
          <w:rtl w:val="true"/>
          <w:lang w:bidi="fa-IR"/>
        </w:rPr>
        <w:t>هذا بقي الكلام في بعض الفروع التي لا تخلو من إشكال، وهو أنَّه لو مات أحدهما في المجلس، وكان الآخر باقياً اختياراً ، فهل تكون الغاية شاملة له نفياً أو إثباتاً، أو يكون خارجاً عنها نفياً وإثباتاً، مع دخوله في المغیّى، أو مع خروجه منه أيضاً؟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 بل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داخلاً في الغاية بدعوى أنّ المسقط هو افتراق الإنسانين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البدنين، ولا مجرّد الروحين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حاصل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المناط هو زوال علقَة الاجتماع، وهو موجود فيما نحن فيه بنحو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بدخوله في النفي؛ حيث إنّ المدار على افتراق الشخصين، ولم يحصل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بخروجه عن الغاية نفياً وإثباتاً، مع دخوله في المغيّى؛ بدعوى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لم يتفرقا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سلب الافتراق، ولو لأجل عدم قابلية الموضوع له، حتّى يكون التقابل من قبيل تقابل الإيجاب والسلب، بل المراد عدم الافتراق عمّن من شأنه الافتراق، والميت ليس من شأنه الافتراق، فيكون خارجاً عنه، مع دخول ما نحن فيه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البيعان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لعموم اللفظ له من دون مخصص، غاية الأمر ثبوت الخيار له إمّا مطلقاً بناءً على الاستصحاب، أو فوراً بناءً على عدم وجود المناط بعد الزمان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خیار ثبت إجمالاً ولم يعلم غايته، أو عدم دخوله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 صيرورة عدم وجود الغاية قرينة لصرف العموم عنه؛ لأن الموضوع والحكم في مورد الغاية لا في غيره، لكن يُمكن دعوى أظهريّة الوجه الثالث من حيث الدليل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لو كان الآخر في مجلس العقد، وأمّا لو فارق المجلس، فالمعروف منهم، بل ادعي عليه الإجماع </w:t>
      </w:r>
      <w:r>
        <w:rPr>
          <w:rStyle w:val="FootnoteAnchor"/>
          <w:rtl w:val="true"/>
        </w:rPr>
        <w:footnoteReference w:id="431"/>
      </w:r>
      <w:r>
        <w:rPr>
          <w:rFonts w:ascii="Amiri" w:hAnsi="Amiri" w:eastAsia="Amiri" w:cs="Amiri"/>
          <w:color w:val="111111"/>
          <w:sz w:val="28"/>
          <w:sz w:val="28"/>
          <w:szCs w:val="28"/>
          <w:rtl w:val="true"/>
          <w:lang w:bidi="ar-SA"/>
        </w:rPr>
        <w:t>سقوط الخيارين، وإقامة الدليل عليه على النحو الذي عرفت، هذا كلّه في خيار المجلس</w:t>
      </w:r>
      <w:r>
        <w:rPr>
          <w:rFonts w:eastAsia="Amiri" w:cs="Amiri" w:ascii="Amiri" w:hAnsi="Amiri"/>
          <w:color w:val="111111"/>
          <w:sz w:val="28"/>
          <w:szCs w:val="28"/>
          <w:rtl w:val="true"/>
          <w:lang w:bidi="ar-SA"/>
        </w:rPr>
        <w:t xml:space="preserve">. </w:t>
      </w:r>
      <w:bookmarkStart w:id="324" w:name="pg9195_77201"/>
    </w:p>
    <w:p>
      <w:pPr>
        <w:pStyle w:val="Heading3"/>
        <w:numPr>
          <w:ilvl w:val="2"/>
          <w:numId w:val="1"/>
        </w:numPr>
        <w:rPr/>
      </w:pPr>
      <w:bookmarkStart w:id="325" w:name="__RefHeading___Toc3921829_2870459653"/>
      <w:bookmarkStart w:id="326" w:name="_Toc111"/>
      <w:bookmarkEnd w:id="324"/>
      <w:bookmarkEnd w:id="325"/>
      <w:r>
        <w:rPr>
          <w:rtl w:val="true"/>
        </w:rPr>
        <w:t xml:space="preserve">( </w:t>
      </w:r>
      <w:r>
        <w:rPr>
          <w:rtl w:val="true"/>
        </w:rPr>
        <w:t>في خيار الحيوان</w:t>
      </w:r>
      <w:r>
        <w:rPr>
          <w:rtl w:val="true"/>
        </w:rPr>
        <w:t>)</w:t>
      </w:r>
      <w:bookmarkEnd w:id="326"/>
    </w:p>
    <w:p>
      <w:pPr>
        <w:pStyle w:val="Heading4"/>
        <w:numPr>
          <w:ilvl w:val="3"/>
          <w:numId w:val="1"/>
        </w:numPr>
        <w:rPr/>
      </w:pPr>
      <w:bookmarkStart w:id="327" w:name="__RefHeading___Toc3921831_2870459653"/>
      <w:bookmarkStart w:id="328" w:name="_Toc112"/>
      <w:bookmarkEnd w:id="327"/>
      <w:r>
        <w:rPr>
          <w:rtl w:val="true"/>
        </w:rPr>
        <w:t>إشارة</w:t>
      </w:r>
      <w:bookmarkEnd w:id="328"/>
    </w:p>
    <w:p>
      <w:pPr>
        <w:pStyle w:val="BookText"/>
        <w:rPr/>
      </w:pPr>
      <w:r>
        <w:rPr>
          <w:rFonts w:ascii="IRNazanin" w:hAnsi="IRNazanin" w:eastAsia="IRNazanin"/>
          <w:color w:val="111111"/>
          <w:sz w:val="28"/>
          <w:sz w:val="28"/>
          <w:szCs w:val="28"/>
          <w:rtl w:val="true"/>
          <w:lang w:bidi="fa-IR"/>
        </w:rPr>
        <w:t>ومن الخيارات خيار الحيوان، لا خلاف ولا إشكال في ثبوته إجمالاً، وإنّما الكلام فيه من حيث المورد تارةً، ومن حيث من له الخيار تارةً أخرى، ومن حيث كون المسقط فيه أيّ شیء؟</w:t>
      </w:r>
    </w:p>
    <w:p>
      <w:pPr>
        <w:pStyle w:val="BookText"/>
        <w:rPr/>
      </w:pPr>
      <w:r>
        <w:rPr>
          <w:rFonts w:ascii="Amiri" w:hAnsi="Amiri" w:eastAsia="Amiri" w:cs="Amiri"/>
          <w:color w:val="111111"/>
          <w:sz w:val="28"/>
          <w:sz w:val="28"/>
          <w:szCs w:val="28"/>
          <w:rtl w:val="true"/>
          <w:lang w:bidi="ar-SA"/>
        </w:rPr>
        <w:t>وأمّا الأول، فالظاهر أنَّه لا إشكال في ثبوته في كلّ ما يصدق بيع الحيوان، من غير فرق بين الحيوانات؛ عملاً بعموم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في بعض الأفراد من جهة أنّ الظاهر أنّ المراد ببيع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ما يكون المقصود فيه جهة الحيوانيّة، لا جهة اللحميّة نوعاً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في العرف بيع الحيوان، وفي مثل الجراد المحرز في الإناء، والسمك الخارج عن الماء لا يُقال في العرف إنّه باع الحيوان،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اللحم؛ حيث إنّ الوصف العنواني مأخوذ فيه، فالموضوع لهذا الخيار هو ما يكون المقصود فيه جهة الحيوانيَّة، وليس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كون المقصود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جهة اللحميَّة، فلو قصد شراء الغنم لأجل ذبحه يكون خارجاً؛ إذ ليس العبرة بالقصد الشخصي، بل ولا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يصرْ منشأ لتغيير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يُمكن القول بعدم ورود الإشكال بالصيد الذي أصابه السهم، ويقطع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يختص بما إذا كان البيع وارداً على الشخص، أو يعمّ الكلّي أيضاً؟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يدعى الاختصاص؛ بقرينة التعليلات الواردة في أخبار الخيار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علّل بأنَّه لمكان وجود شيء في المبيع، وبقرينة التحديد بثلاثة أيام</w:t>
      </w:r>
      <w:r>
        <w:rPr>
          <w:rStyle w:val="FootnoteAnchor"/>
          <w:rtl w:val="true"/>
        </w:rPr>
        <w:footnoteReference w:id="433"/>
      </w:r>
      <w:r>
        <w:rPr>
          <w:rFonts w:ascii="Amiri" w:hAnsi="Amiri" w:eastAsia="Amiri" w:cs="Amiri"/>
          <w:color w:val="111111"/>
          <w:sz w:val="28"/>
          <w:sz w:val="28"/>
          <w:szCs w:val="28"/>
          <w:rtl w:val="true"/>
          <w:lang w:bidi="ar-SA"/>
        </w:rPr>
        <w:t xml:space="preserve">، حيث إنّه لو كان جارياً في الكلّي لكان حال هذا المبيع حال سائر المبيعات؛ لأنّ منشأ الفرق هو وجود شيء </w:t>
      </w:r>
      <w:bookmarkStart w:id="329" w:name="pg9195_77202"/>
    </w:p>
    <w:p>
      <w:pPr>
        <w:pStyle w:val="BookText"/>
        <w:rPr/>
      </w:pPr>
      <w:bookmarkEnd w:id="329"/>
      <w:r>
        <w:rPr>
          <w:rFonts w:ascii="Amiri" w:hAnsi="Amiri" w:eastAsia="Amiri" w:cs="Amiri"/>
          <w:color w:val="111111"/>
          <w:sz w:val="28"/>
          <w:sz w:val="28"/>
          <w:szCs w:val="28"/>
          <w:rtl w:val="true"/>
          <w:lang w:bidi="ar-SA"/>
        </w:rPr>
        <w:t>مخفيّ في المبيع الذي لا يطلع عليه غالباً إلا بعد مضي زمان، والكلّي بما هو كلّي لا يجري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يكون مبيعاً حقيقة لا يجري فيه ذلك، وأمّا هو بملاحظة الأفراد يجري فيه ما ذكر، فيمكن جعل الخيار إلى ثلاثة؛ لأجل اختيار المدفوع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المختار عند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3921833_2870459653"/>
      <w:bookmarkStart w:id="331" w:name="_Toc113"/>
      <w:bookmarkEnd w:id="330"/>
      <w:r>
        <w:rPr>
          <w:rtl w:val="true"/>
        </w:rPr>
        <w:t xml:space="preserve">[ </w:t>
      </w:r>
      <w:r>
        <w:rPr>
          <w:rtl w:val="true"/>
        </w:rPr>
        <w:t xml:space="preserve">الكلام في من له الخيار </w:t>
      </w:r>
      <w:r>
        <w:rPr>
          <w:rtl w:val="true"/>
        </w:rPr>
        <w:t>]</w:t>
      </w:r>
      <w:bookmarkEnd w:id="331"/>
    </w:p>
    <w:p>
      <w:pPr>
        <w:pStyle w:val="BookText"/>
        <w:rPr/>
      </w:pPr>
      <w:r>
        <w:rPr>
          <w:rFonts w:ascii="Amiri" w:hAnsi="Amiri" w:eastAsia="Amiri" w:cs="Amiri"/>
          <w:color w:val="111111"/>
          <w:sz w:val="28"/>
          <w:sz w:val="28"/>
          <w:szCs w:val="28"/>
          <w:rtl w:val="true"/>
          <w:lang w:bidi="ar-SA"/>
        </w:rPr>
        <w:t>هذا، وأمّا من له الخيار،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باختصاصه بالمشتري، وهو المعروف بينهم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بكونه مثل خيار المجلس، في ثبوته لكلٍّ من البائع والمشتري مطلقاً، وهو المنسوب إلى المرتضى </w:t>
      </w:r>
      <w:r>
        <w:rPr>
          <w:rStyle w:val="FootnoteAnchor"/>
          <w:rtl w:val="true"/>
        </w:rPr>
        <w:footnoteReference w:id="435"/>
      </w:r>
      <w:r>
        <w:rPr>
          <w:rFonts w:ascii="IRNazanin" w:hAnsi="IRNazanin" w:eastAsia="IRNazanin"/>
          <w:color w:val="111111"/>
          <w:sz w:val="28"/>
          <w:sz w:val="28"/>
          <w:szCs w:val="28"/>
          <w:rtl w:val="true"/>
          <w:lang w:bidi="fa-IR"/>
        </w:rPr>
        <w:t>، وابن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بثبوته لمن انتقل إليه الحيوان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لصاحب الحيوان مطلقاً، من غير فرق بين كونه بائعاً، أو مشترياً، أو كليهما، وهو المنسوب إلى جمع من المتأخرين، منهم الشهيد في المسالك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الأقوى من الجميع هو الأول، ويدل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الدالة على اللزوم مطلقاً، أو بعد المجلس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أَوْفُوا بِالْعُقُودِ أ</w:t>
      </w:r>
      <w:r>
        <w:rPr>
          <w:rFonts w:eastAsia="Amiri" w:cs="Amiri" w:ascii="Amiri" w:hAnsi="Amiri"/>
          <w:color w:val="111111"/>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افترقا فلا خيار</w:t>
      </w:r>
      <w:r>
        <w:rPr>
          <w:rFonts w:eastAsia="IRNazanin" w:cs="IRNazanin"/>
          <w:color w:val="111111"/>
          <w:sz w:val="28"/>
          <w:szCs w:val="28"/>
          <w:rtl w:val="true"/>
          <w:lang w:bidi="fa-IR"/>
        </w:rPr>
        <w:t>»</w:t>
      </w:r>
      <w:r>
        <w:rPr>
          <w:rStyle w:val="FootnoteAnchor"/>
          <w:rtl w:val="true"/>
        </w:rPr>
        <w:footnoteReference w:id="439"/>
      </w:r>
      <w:r>
        <w:rPr>
          <w:rFonts w:ascii="Amiri" w:hAnsi="Amiri" w:eastAsia="Amiri" w:cs="Amiri"/>
          <w:color w:val="111111"/>
          <w:sz w:val="28"/>
          <w:sz w:val="28"/>
          <w:szCs w:val="28"/>
          <w:rtl w:val="true"/>
          <w:lang w:bidi="ar-SA"/>
        </w:rPr>
        <w:t xml:space="preserve">خرّج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الباقي تحت العمومات، ولا دليل على خروجه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 الدالّة على اختصاص الخيار المزبور بالمشتري</w:t>
      </w:r>
      <w:r>
        <w:rPr>
          <w:rStyle w:val="FootnoteAnchor"/>
          <w:rtl w:val="true"/>
        </w:rPr>
        <w:footnoteReference w:id="440"/>
      </w:r>
      <w:r>
        <w:rPr>
          <w:rFonts w:ascii="Amiri" w:hAnsi="Amiri" w:eastAsia="Amiri" w:cs="Amiri"/>
          <w:color w:val="111111"/>
          <w:sz w:val="28"/>
          <w:sz w:val="28"/>
          <w:szCs w:val="28"/>
          <w:rtl w:val="true"/>
          <w:lang w:bidi="ar-SA"/>
        </w:rPr>
        <w:t>، وعدم ثبوته لغيره بالمفهوم الذي يُمكن أن يُقال بكونه أقوى من المنطوق بمراتب، مع تأيّد بعضها ببعض، مع موافقتها للمشهور روايةً،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كون القيد وارداً مورد الغالب، فلا يكون له مفهوم </w:t>
      </w:r>
      <w:r>
        <w:rPr>
          <w:rStyle w:val="FootnoteAnchor"/>
          <w:rtl w:val="true"/>
        </w:rPr>
        <w:footnoteReference w:id="441"/>
      </w:r>
      <w:r>
        <w:rPr>
          <w:rFonts w:ascii="Amiri" w:hAnsi="Amiri" w:eastAsia="Amiri" w:cs="Amiri"/>
          <w:color w:val="111111"/>
          <w:sz w:val="28"/>
          <w:sz w:val="28"/>
          <w:szCs w:val="28"/>
          <w:rtl w:val="true"/>
          <w:lang w:bidi="ar-SA"/>
        </w:rPr>
        <w:t>، مدفوعة؛ بمنع ثبوت الغلبة، كدعوى اختصاص موردها ببيع الحيوان الذي يختص الخيار بالمشتري منه على ما ستعرف 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الحكمة في هذا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النظرة؛ لانكشاف العيب ونحوه على ما يستفاد من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المشتري دون البائع غالباً، فلا يثبت فيه؛ حيث إِنَّ الغالب أنَّ الحيوان هو المبيع لا الثمن، ولا يخفى ما فيه،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يستدل السيد المرتضى في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الانتصار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بهذين الدليلين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بأصالة جواز العقد من الطرفين بعد ثبوت خيار</w:t>
      </w:r>
    </w:p>
    <w:p>
      <w:pPr>
        <w:pStyle w:val="BookText"/>
        <w:rPr/>
      </w:pPr>
      <w:r>
        <w:rPr>
          <w:rFonts w:ascii="Amiri" w:hAnsi="Amiri" w:eastAsia="Amiri" w:cs="Amiri"/>
          <w:color w:val="111111"/>
          <w:sz w:val="28"/>
          <w:sz w:val="28"/>
          <w:szCs w:val="28"/>
          <w:rtl w:val="true"/>
          <w:lang w:bidi="ar-SA"/>
        </w:rPr>
        <w:t>المجلس، وبصحيحة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المتبايعان بالخيار ثلاثة أيام في الحيوان، وما هو ذلك في بيع حتّى يفترقا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الصحيحة تدلّ على ثبوت الخيار لكل من البائع والمشتري بالمنطوق، ولا معارض لها أصلاً؛ لكون التقييد في الأخبار وارداً مورد الغالب، فلا تدل على عدم ثبوته لغير المشتري، وعلى تقدير دلالتها يكون بالمفهوم، والمنطوق مقدّم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الأصل؛ فلأنَّه مبنيٌّ على عدم جواز التمسك بالعموم بعد خروج فرد منه، إذا شك في بعض أحوال هذا الفرد، وهو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ثبوت العموم الأحوالي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مسلّم عند الجميع أولاً، فيمكن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مبنيٌّ على كون الجنس في جميع أفراد الخيار متحداً، وإنّما الاختلاف في المدّة، فحينئذٍ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الخيار إذا شك في ثبوته بعده للبائع، وأمّا لو كان مختلفاً في الحقيقة، فلا يُمكن الاستصحاب حتى، بناءً على جواز استصحاب الجنس أيضاً؛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ثبت الجنس إجمالاً، وتردد أمره بين كونه في ضمن القصير حتّى يكون مرتفعاً، وبين كونه في ضمن طويل العمر حتّى يكون باقياً، ففيما نحن فيه علم ثبوته في ضمن القصير؛ حيث إنّه ثبت خيار المجلس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ببقاء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استصحاب الجنس على وجه ضعيف لا يمكن القول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الأخبار، فلا إشكال في دلالتها على الاختصاص؛ لمنع الغلبة المذكورة بحدٍّ يوجب ذلك، كيف وهذه الأخبار المتضافرة متطابقة على ذكر القيد وترك البائع، بل قيّد ما كان مطلقاً بالمشتري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موثقة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الحيوان المشتري بالخيار </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إشكال في قوة دلالتها ولو كانت بالمفهوم، وتقدمها على الصحيحة؛ لمعاضدة بعضها ببعض، واشتهارها بينهم روايةً وفتوى، فلا تقاومها الصحيحة، فلا بُدَّ من صرفها </w:t>
      </w:r>
    </w:p>
    <w:p>
      <w:pPr>
        <w:pStyle w:val="BookText"/>
        <w:rPr/>
      </w:pPr>
      <w:r>
        <w:rPr>
          <w:rFonts w:ascii="IRNazanin" w:hAnsi="IRNazanin" w:eastAsia="IRNazanin"/>
          <w:color w:val="111111"/>
          <w:sz w:val="28"/>
          <w:sz w:val="28"/>
          <w:szCs w:val="28"/>
          <w:rtl w:val="true"/>
          <w:lang w:bidi="fa-IR"/>
        </w:rPr>
        <w:t>عن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صاحب القول الثالث بإطلاق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الحيوان بالخيار</w:t>
      </w:r>
      <w:r>
        <w:rPr>
          <w:rFonts w:eastAsia="IRNazanin" w:cs="IRNazanin"/>
          <w:color w:val="111111"/>
          <w:sz w:val="28"/>
          <w:szCs w:val="28"/>
          <w:rtl w:val="true"/>
          <w:lang w:bidi="fa-IR"/>
        </w:rPr>
        <w:t xml:space="preserve">» </w:t>
      </w:r>
      <w:r>
        <w:rPr>
          <w:rStyle w:val="FootnoteAnchor"/>
          <w:rtl w:val="true"/>
        </w:rPr>
        <w:footnoteReference w:id="445"/>
      </w:r>
      <w:r>
        <w:rPr>
          <w:rFonts w:ascii="Amiri" w:hAnsi="Amiri" w:eastAsia="Amiri" w:cs="Amiri"/>
          <w:color w:val="111111"/>
          <w:sz w:val="28"/>
          <w:sz w:val="28"/>
          <w:szCs w:val="28"/>
          <w:rtl w:val="true"/>
          <w:lang w:bidi="ar-SA"/>
        </w:rPr>
        <w:t>بعد اعتضاده بالحكمة فيه الجارية في حق من انتقل إليه الحيوان، سواء كان بائعاً أو مشترياً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التقييد بالمشتري، لا لكونه وارداً مورد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لكون الاختصاص من جهة كون موردها بيع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يظهر من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هو ذلك من بيع </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حيث إنَّ البيع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الأمر يرجع إلى التفصيل بين المبيع بكونه حيواناً وغير حيوان، بل مورد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بحكم الغلبة التي ينصرف إطلاق السؤال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ينافيه تقيّد صاحب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كموثقة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التقييد إمّا من جهة الغلبة، أو لأجل دفع توهم كون الخيار للبائع، بحمل السائل صاحب الحيوان على صاحبه السابق لا الفعلي، 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ابن مسلم بعد صرفها عن ظاهرها؛ بحملها على ما إذا كان كلٍّ من الطرفين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لا يخفى ما فيه؛ حيث إنّه ليس في المقام شيء إلا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بُدَّ من تقييده بمقتضى الأخبار الكثيرة؛ لعدم تسليم الدعوى المذكورة، كيف ولو كانت متحققة لكانت سبباً لانصراف المطلق أيضاً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أنَّه لم يصل إلى حد انصراف المطلق، بخلاف مقام ورود التقييد مورد الغالب؛ حيث يكتفي فيه بغلبةٍ ما، حيث إنّ المحتاج إليه فيه النكتة، ويكفي فيها ذلك، بل يُمكن منع </w:t>
      </w:r>
      <w:bookmarkStart w:id="332" w:name="pg9195_77206"/>
    </w:p>
    <w:p>
      <w:pPr>
        <w:pStyle w:val="BookText"/>
        <w:rPr/>
      </w:pPr>
      <w:bookmarkEnd w:id="332"/>
      <w:r>
        <w:rPr>
          <w:rFonts w:ascii="Amiri" w:hAnsi="Amiri" w:eastAsia="Amiri" w:cs="Amiri"/>
          <w:color w:val="111111"/>
          <w:sz w:val="28"/>
          <w:sz w:val="28"/>
          <w:szCs w:val="28"/>
          <w:rtl w:val="true"/>
          <w:lang w:bidi="ar-SA"/>
        </w:rPr>
        <w:t>الإطلاق أيضاً؛ حيث إنّ صاحب الحيوان في بيع الحيوان غالباً هو المشتري، فينصرف إليه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الاستبداد بالحكمة لو سلّمت؛ لأنَّها حكمة لا علّة، حتّى يدور الحكم مدارها،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القول المشهور</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3921835_2870459653"/>
      <w:bookmarkStart w:id="334" w:name="_Toc114"/>
      <w:bookmarkEnd w:id="333"/>
      <w:r>
        <w:rPr>
          <w:rtl w:val="true"/>
        </w:rPr>
        <w:t xml:space="preserve">[ </w:t>
      </w:r>
      <w:r>
        <w:rPr>
          <w:rtl w:val="true"/>
        </w:rPr>
        <w:t xml:space="preserve">الكلام في مبدأ الخيار </w:t>
      </w:r>
      <w:r>
        <w:rPr>
          <w:rtl w:val="true"/>
        </w:rPr>
        <w:t>]</w:t>
      </w:r>
      <w:bookmarkEnd w:id="334"/>
    </w:p>
    <w:p>
      <w:pPr>
        <w:pStyle w:val="BookText"/>
        <w:rPr/>
      </w:pPr>
      <w:r>
        <w:rPr>
          <w:rFonts w:ascii="IRNazanin" w:hAnsi="IRNazanin" w:eastAsia="IRNazanin"/>
          <w:color w:val="111111"/>
          <w:sz w:val="28"/>
          <w:sz w:val="28"/>
          <w:szCs w:val="28"/>
          <w:rtl w:val="true"/>
          <w:lang w:bidi="fa-IR"/>
        </w:rPr>
        <w:t xml:space="preserve">وأمّا مبدأ الخيار المذكور، فالظاهر أنّه من حينه على النحو الذي قرر في خيار المجلس، لا من حين صدور اللفظ، بل من حين تمامية البيع، ويدل عليه ظاهر الأخبار، خصوصاً صحيحة الفضيل بن يسار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الشرط في الحيوان؟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أيام للمشتري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الشرط في غير الحيوان؟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البيعان بالخيار ما لم يفترقا </w:t>
      </w:r>
      <w:r>
        <w:rPr>
          <w:rFonts w:eastAsia="IRNazanin" w:cs="IRNazanin"/>
          <w:color w:val="111111"/>
          <w:sz w:val="28"/>
          <w:szCs w:val="28"/>
          <w:rtl w:val="true"/>
          <w:lang w:bidi="fa-IR"/>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موردهما، فيكون مبدؤه البيع كالمجلس، مضافاً إلى أنّ علّة الخيار هو البيع، فيُحَقق عند تحققه، فظهر مما ذُكر عدم جواز التمسّك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التمسك بلزوم اجتماع السببين على مُسبّب واحد؛ حيث إنّه لم يظهر من الأخبار كون كلّ منهما علّة تامة؛ لجواز العقد حتّى يلزم من اجتماعها عند الاجتماع ذلك، بل الظاهر منها كون كلّ منهما علّة في الجملة، ويكفي في ذلك كون كلّ علّة في حال عدم الآخر أو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ظهر من الأخبار ذلك لا بُدَّ بحكم العقل التفكيك بينهما من حيث الزمان، وأنّى هذا من ظاهر الأخبار؟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دخول الليلتين المتوسطتين في زمان الخيار، بمعنى ثبوت الخيار فيهما، وكذا الليلة الأولى، سواء وقع العقد في أول الليلة، أو فيما قبلهما من ثلث اليوم، أو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يحتاج إلى التلفيق بالآخر لأجل الكسر؛ إذ الظاهر كفاية التلفيق هنا، لكن من </w:t>
      </w:r>
    </w:p>
    <w:p>
      <w:pPr>
        <w:pStyle w:val="BookText"/>
        <w:rPr/>
      </w:pPr>
      <w:r>
        <w:rPr>
          <w:rFonts w:ascii="Amiri" w:hAnsi="Amiri" w:eastAsia="Amiri" w:cs="Amiri"/>
          <w:color w:val="111111"/>
          <w:sz w:val="28"/>
          <w:sz w:val="28"/>
          <w:szCs w:val="28"/>
          <w:rtl w:val="true"/>
          <w:lang w:bidi="ar-SA"/>
        </w:rPr>
        <w:t>اليوم دون الليل؛ حيث إن الظاهر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خصوص أول طلوع الشمس إلى الغروب من دون فصل، بل المراد مقدار اليوم مع كونه من اليوم؛ عملاً بمقتضى ظاهر اللفظ حيث إن الظاهر أن ذكر اليوم ليس لأجل مجرّد بيان المقدار، بل المراد اثنا عشر ساعة منه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أنَّه ليس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استعمال اليوم فيهما، أو في مقدار النهار ولو من الليل، بل المراد أنَّ اليوم استُعمل في معناه الحقيقي، وإنَّما أريد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من القرينة الخارجيّة، وهي ظهور اللفظ في اتصال مدّة الخيار، وعدم انقطاعها في أصل المراد أنّ مدّة الخيار ثلاثة أيام مع لياليها أي ليالي الأيام من حيث المجموع، لا ليالي كلّ واحد حتّى يلزم منه دخول الليلة الأخيرة</w:t>
      </w:r>
      <w:r>
        <w:rPr>
          <w:rFonts w:eastAsia="Amiri" w:cs="Amiri" w:ascii="Amiri" w:hAnsi="Amiri"/>
          <w:color w:val="111111"/>
          <w:sz w:val="28"/>
          <w:szCs w:val="28"/>
          <w:rtl w:val="true"/>
          <w:lang w:bidi="ar-SA"/>
        </w:rPr>
        <w:t xml:space="preserve">. </w:t>
      </w:r>
      <w:bookmarkStart w:id="335" w:name="pg9195_77208"/>
    </w:p>
    <w:p>
      <w:pPr>
        <w:pStyle w:val="Heading4"/>
        <w:numPr>
          <w:ilvl w:val="3"/>
          <w:numId w:val="1"/>
        </w:numPr>
        <w:rPr/>
      </w:pPr>
      <w:bookmarkStart w:id="336" w:name="__RefHeading___Toc3921837_2870459653"/>
      <w:bookmarkStart w:id="337" w:name="_Toc115"/>
      <w:bookmarkEnd w:id="335"/>
      <w:bookmarkEnd w:id="336"/>
      <w:r>
        <w:rPr>
          <w:rtl w:val="true"/>
        </w:rPr>
        <w:t xml:space="preserve">[ </w:t>
      </w:r>
      <w:r>
        <w:rPr>
          <w:rtl w:val="true"/>
        </w:rPr>
        <w:t>الكلام في مسقطات خيار الحيوان</w:t>
      </w:r>
      <w:r>
        <w:rPr>
          <w:rtl w:val="true"/>
        </w:rPr>
        <w:t>]</w:t>
      </w:r>
      <w:bookmarkEnd w:id="337"/>
    </w:p>
    <w:p>
      <w:pPr>
        <w:pStyle w:val="BookText"/>
        <w:rPr/>
      </w:pPr>
      <w:r>
        <w:rPr>
          <w:rFonts w:ascii="Amiri" w:hAnsi="Amiri" w:eastAsia="Amiri" w:cs="Amiri"/>
          <w:color w:val="111111"/>
          <w:sz w:val="28"/>
          <w:sz w:val="28"/>
          <w:szCs w:val="28"/>
          <w:rtl w:val="true"/>
          <w:lang w:bidi="ar-SA"/>
        </w:rPr>
        <w:t>بقي الكلام في مسقطات هذا الخيار، ويسقط بثلاثة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سقوطه، والظاهر سقوطه، ولا وقع للاستشكال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إسقاطه بعد العقد، والظاهر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إشكال فيه،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استُشكل </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الحيوان ولا إشكال في كونه مسقطاً في الجملة، ويدلّ عليه الأخبار المتضافرة </w:t>
      </w:r>
      <w:r>
        <w:rPr>
          <w:rStyle w:val="FootnoteAnchor"/>
          <w:rtl w:val="true"/>
        </w:rPr>
        <w:footnoteReference w:id="451"/>
      </w:r>
      <w:r>
        <w:rPr>
          <w:rFonts w:ascii="IRNazanin" w:hAnsi="IRNazanin" w:eastAsia="IRNazanin"/>
          <w:color w:val="111111"/>
          <w:sz w:val="28"/>
          <w:sz w:val="28"/>
          <w:szCs w:val="28"/>
          <w:rtl w:val="true"/>
          <w:lang w:bidi="fa-IR"/>
        </w:rPr>
        <w:t xml:space="preserve">، بل الإجماع محققاً </w:t>
      </w:r>
      <w:r>
        <w:rPr>
          <w:rStyle w:val="FootnoteAnchor"/>
          <w:rtl w:val="true"/>
        </w:rPr>
        <w:footnoteReference w:id="452"/>
      </w:r>
      <w:r>
        <w:rPr>
          <w:rFonts w:ascii="Amiri" w:hAnsi="Amiri" w:eastAsia="Amiri" w:cs="Amiri"/>
          <w:color w:val="111111"/>
          <w:sz w:val="28"/>
          <w:sz w:val="28"/>
          <w:szCs w:val="28"/>
          <w:rtl w:val="true"/>
          <w:lang w:bidi="ar-SA"/>
        </w:rPr>
        <w:t xml:space="preserve">ومنقولًا مستفيضاً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الإشكال في تعيّنه، وأنّه مطلق التصرّف حتّى مثل الاستخدام بشيء خفيف،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اسقني، أو التصرّف الدال على الرِّضا بالعقد والالتزام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يكشف عن الرِّضا به كشفاً نوعياً، أو يختص بالتصرّفات التي ورد النصُّ بها ؟</w:t>
      </w:r>
    </w:p>
    <w:p>
      <w:pPr>
        <w:pStyle w:val="BookText"/>
        <w:rPr/>
      </w:pPr>
      <w:r>
        <w:rPr>
          <w:rFonts w:ascii="Amiri" w:hAnsi="Amiri" w:eastAsia="Amiri" w:cs="Amiri"/>
          <w:color w:val="111111"/>
          <w:sz w:val="28"/>
          <w:sz w:val="28"/>
          <w:szCs w:val="28"/>
          <w:rtl w:val="true"/>
          <w:lang w:bidi="ar-SA"/>
        </w:rPr>
        <w:t>والظاهر لا وقع للإشكال في عدم كونه مطلقاً مسقطاً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والتمسكُ له بإطلاق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أحدث المشتري فيما اشترى حدثاً قبل ثلاثة أيام، فذلك رضى منه، ولا شرط له </w:t>
      </w:r>
      <w:r>
        <w:rPr>
          <w:rFonts w:eastAsia="IRNazanin" w:cs="IRNazanin"/>
          <w:color w:val="111111"/>
          <w:sz w:val="28"/>
          <w:szCs w:val="28"/>
          <w:rtl w:val="true"/>
          <w:lang w:bidi="fa-IR"/>
        </w:rPr>
        <w:t xml:space="preserve">... )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أولاً؛ فلأنَّه يُمكن منع إطلاق الحديث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التمسك به؛ حيث إنّ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أصل كون التصرّف مسقطاً، لا بيان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فلأنَّه على تقدير كونه مطلقاً بحسب المعنى اللغوي، لكن المتبادر منه عرفاً هو ما يكون له جهة حداثة وتجدد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التي لا تعقل إلا في المملوك، بل الأخص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الأفعال التي لها عظم عرفاً، لا سيّما بمعونة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ويشهد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السائل عن الحدث، ولو كان الحدث بمعناه اللغوي لما احتاج إلى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فيُعْلم منه أنّ المراد ليس معناه الحقيقي مطلقاً، مضافاً إلى ما يظهر من الأمثلة من كون المثل هو ما يكون بمثابتها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التصرّف؛ لمكان النظر الذي مثل الاستخدام أو أسهل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يُمكن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ليس مطلق النظر ، بل المراد منه النظر الذي هو مع الاستمتاع غالباً، كالنظر في منظورة الأب التي يحرم على الولد نكاحها، ولو كان المراد مطلق التصرّف لكان الفرد الأخفى أولى بالتمثيل، بل يُمكن استفادة ذلك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فذلك رضى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إنَّ الظاهر أنّ ذلك ليس حكماً تعبدياً مطلقاً، أو مع الإشارة إلى حكمة الحكم، بل الظاهر أنّه إشارة إلى علّة الحكم، فيستفاد منه أنّ المناط هو الرِّضا، فيكون المسقط هو التصرّف الكاشف عن الرِّضا، إمّا نوعاً، أو شخصاً، لكن لمّا لم يمكن الالتزام بالثاني؛ لكونه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الإجماع، فلا بُدَّ من حمله على الرِّضا النوعي</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الرِّضا النوعي ليس في مطلق التصرّف؛ لأنّ الغالب وقوعها مع التردد أو الغفلة، مضافاً إلى أنّه يظهر من بعض الأخبار الواردة في خيار العيب أنّ المدار على قيام العين بحالها وتغيّرها، بضميمة دعوى اتحاد المراد من الحدث فيهما ، واتحاد العامين من حيث </w:t>
      </w:r>
    </w:p>
    <w:p>
      <w:pPr>
        <w:pStyle w:val="BookText"/>
        <w:rPr/>
      </w:pPr>
      <w:r>
        <w:rPr>
          <w:rFonts w:ascii="IRNazanin" w:hAnsi="IRNazanin" w:eastAsia="IRNazanin"/>
          <w:color w:val="111111"/>
          <w:sz w:val="28"/>
          <w:sz w:val="28"/>
          <w:szCs w:val="28"/>
          <w:rtl w:val="true"/>
          <w:lang w:bidi="fa-IR"/>
        </w:rPr>
        <w:t>المراد فتوى ونصاً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ويشهد لذلك أنّ الظاهر من كلمات الأكثرين </w:t>
      </w:r>
      <w:r>
        <w:rPr>
          <w:rStyle w:val="FootnoteAnchor"/>
          <w:rtl w:val="true"/>
        </w:rPr>
        <w:footnoteReference w:id="456"/>
      </w:r>
      <w:r>
        <w:rPr>
          <w:rFonts w:ascii="Amiri" w:hAnsi="Amiri" w:eastAsia="Amiri" w:cs="Amiri"/>
          <w:color w:val="111111"/>
          <w:sz w:val="28"/>
          <w:sz w:val="28"/>
          <w:szCs w:val="28"/>
          <w:rtl w:val="true"/>
          <w:lang w:bidi="ar-SA"/>
        </w:rPr>
        <w:t>التعليل بكون التصرّف دليل الرِّضا في كلا البابين، فإذا كان المناط في جواز الردّ بقاء العين بحالها في ذلك الباب ولو وقع التصرّف، كذلك هنا لم يكن مطلق التصرّف مسقطاً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فذلك 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أشرنا إليه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w:t>
      </w:r>
      <w:r>
        <w:rPr>
          <w:rFonts w:eastAsia="IRNazanin" w:cs="IRNazanin"/>
          <w:color w:val="111111"/>
          <w:sz w:val="28"/>
          <w:szCs w:val="28"/>
          <w:rtl w:val="true"/>
          <w:lang w:bidi="fa-IR"/>
        </w:rPr>
        <w:t>]</w:t>
      </w:r>
      <w:r>
        <w:rPr>
          <w:rStyle w:val="FootnoteAnchor"/>
          <w:rtl w:val="true"/>
        </w:rPr>
        <w:footnoteReference w:id="457"/>
      </w:r>
      <w:r>
        <w:rPr>
          <w:rFonts w:ascii="Amiri" w:hAnsi="Amiri" w:eastAsia="Amiri" w:cs="Amiri"/>
          <w:color w:val="111111"/>
          <w:sz w:val="28"/>
          <w:sz w:val="28"/>
          <w:szCs w:val="28"/>
          <w:rtl w:val="true"/>
          <w:lang w:bidi="ar-SA"/>
        </w:rPr>
        <w:t>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جواباً للشرط، فيكون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التصرّف حكمه عندنا حكم الرِّضا، فيكون مطلق التصرّف مسقطاً، ولو مع قيام القرينة على عدم رضاه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وإن كان مناسباً لما يظهر من بعضهم </w:t>
      </w:r>
      <w:r>
        <w:rPr>
          <w:rStyle w:val="FootnoteAnchor"/>
          <w:rtl w:val="true"/>
        </w:rPr>
        <w:footnoteReference w:id="458"/>
      </w:r>
      <w:r>
        <w:rPr>
          <w:rFonts w:ascii="Amiri" w:hAnsi="Amiri" w:eastAsia="Amiri" w:cs="Amiri"/>
          <w:color w:val="111111"/>
          <w:sz w:val="28"/>
          <w:sz w:val="28"/>
          <w:szCs w:val="28"/>
          <w:rtl w:val="true"/>
          <w:lang w:bidi="ar-SA"/>
        </w:rPr>
        <w:t xml:space="preserve">من التعميم إلى مطلق التصرّف من هذه الجهة، لكن لا يناسبه تعليلهم ذلك بدلالته على الرِّضا؛ حيث إنّه من المستبعد إرادتهم الرِّضا التعبدي، ولا يناسبه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ظاهره الالتزام القلبي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الجزاء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شرطاً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فذلك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حكمة الحكم ،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تصويره بوجهين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يتصرّف في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إشارة إلى ما هو ثابت عند العرف، من كون التصرّف في قوة الرِّضا، فكون التصرّف في قوّة الرِّضا عند العرف يكون حكمةً لحكم الشارع على مطلق التصرّف بكونه مسقطاً، لكن لا بُدَّ من جعل القضيّة غالبيّة؛ حيث إنّ مطلق التصرّف 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بهذه المثابة، فحينئذٍ لا حاجة إلى التصرّف في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سنشير إليه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تكون القضية إشارةً إلى أنّ حكمة الحكم على مطلق التصرّف، هو كونه كاشفاً عن الرِّضا غالباً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يناسبه حمل الرِّضا على التصرّف من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حمل المباين على المباين؛ حيث إنَّ الرِّضا ليس متحداً مع التصرّف بوجه، وهو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أغمضنا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الحمل كليّة؛ حيث إنَّ التصرّفات مطلقاً لم يكن مع الرِّضا، غاية الأمر كونها في الغالب مع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تصحيح الأول بعلاقة السببيّة والمسبيّة؛ حيث إنّ التصرّف مسبّب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العلاقة مصححة للإطلاق، لا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إطلاق متضمّن للحمل ، فتكون مصحّحة الحمل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الالزام، فيكون التصرّف التزاماً فعليّاً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الغالب في التصرّفات عدم إنشاء الالتزام بها، فكيف يكون التزاماً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بأنْ يحمل على ظاهره والحمل باعتبار الغالب لا تقدير الغالب في الحمل، بل القضيّة دائمة منشؤها التسامح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الجزاء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فذلك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علّة للحكم، فيكون مفاد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التصرّف رضاً نوعاً، وكشفه الغالبي بل الكشف الدائمي؛ حيث إنّ حال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الأمارة، فيكون كاشفاً دائمياً، نظير الأمارة حيث إنّها كاشفة حتّى في صورة الشك، فيخرج ما كان مقروناً بالقرينة الدالة على عدم الرضا؛ حيث إنّ الظهور النوعي لا يجتمع مع القطع بالخلاف</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يخرج غالب التصرّفات؛ لعدم الظهور النوعي فيها، مثل ما وقع في حال الغفلة والتردد، بل مطلق بعض التصرّفات</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9195_77213"/>
      <w:bookmarkStart w:id="339" w:name="pg9195_77213"/>
      <w:bookmarkEnd w:id="339"/>
    </w:p>
    <w:p>
      <w:pPr>
        <w:pStyle w:val="Heading3"/>
        <w:numPr>
          <w:ilvl w:val="2"/>
          <w:numId w:val="1"/>
        </w:numPr>
        <w:rPr/>
      </w:pPr>
      <w:bookmarkStart w:id="340" w:name="pg9195_77213"/>
      <w:bookmarkStart w:id="341" w:name="__RefHeading___Toc3921839_2870459653"/>
      <w:bookmarkStart w:id="342" w:name="_Toc116"/>
      <w:bookmarkEnd w:id="340"/>
      <w:bookmarkEnd w:id="341"/>
      <w:r>
        <w:rPr>
          <w:rtl w:val="true"/>
        </w:rPr>
        <w:t>(</w:t>
      </w:r>
      <w:r>
        <w:rPr>
          <w:rtl w:val="true"/>
        </w:rPr>
        <w:t xml:space="preserve">الكلام في ولاية عدول المؤمنين </w:t>
      </w:r>
      <w:r>
        <w:rPr>
          <w:rtl w:val="true"/>
        </w:rPr>
        <w:t>)</w:t>
      </w:r>
      <w:bookmarkEnd w:id="342"/>
    </w:p>
    <w:p>
      <w:pPr>
        <w:pStyle w:val="BookText"/>
        <w:rPr/>
      </w:pPr>
      <w:r>
        <w:rPr>
          <w:rFonts w:ascii="Amiri" w:hAnsi="Amiri" w:eastAsia="Amiri" w:cs="Amiri"/>
          <w:color w:val="111111"/>
          <w:sz w:val="28"/>
          <w:sz w:val="28"/>
          <w:szCs w:val="28"/>
          <w:rtl w:val="true"/>
          <w:lang w:bidi="ar-SA"/>
        </w:rPr>
        <w:t xml:space="preserve">أمّا ولاية العدول، فمقتضى الأصل الأولي هو الاقتصار 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ثبوتها عند تعذّر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يعلم عدم مشروطيته بنظر الحاكم حتّى عند تعذّره، فلو شك في كون تصرّفٍ مشروطاً، فلا يجوز لهم التصرّف فيه؛ بمقتضى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يكون مطلوباً للشارع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فرق بين الأزمنة والحالات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مقتضى الأصل في الحاكم هو اقتصاره على ما عُلِمَ مطلوبّيته مطلقاً، من غير مشروطيته بنظر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ينافي ذلك الإطلاقات الواردة في جواز التصرّف مثل عون الضعيف؛ إذ مفادها ثبوت الحكم على الإحسان، والمعروف، والصدقة التي لا تتحقق إلّا فيما لم يكن صاحب، ومن يقوم به، وإلّا فليس التصرّف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الاقتصار على العدول لا الفسّاق، فالتعدّي عنهم محتاج إلى الدليل، وإثباته موقوف على تماميّة الإطلاقات الواردة، وسلامتها عن الإشكالات، مثل القول بأنَّها لم تكن واردة في بيان الموضوع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تَقْرَبُوا مَالَ الْيَتِيمِ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أيضاً، وإنْ كان القول به فيه محلّ تأمل؛ لكون الخطاب عاماً للمؤمنين ، لكن المستفاد من الإطلاقات والأخبار الواردة في الباب كفاية الوثاقة، وعدم لزوم العدالة؛ لأنّ ما يدل على اعتبار العدالة إنّما هو في جواز الشراء لا في أصل التصرّف، ونحن نقول به فيه أيضاً،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إطلاق الآية دوران الجواز وعدمه، دوران كون التصرّف أحسن واقعاً، فالفاسق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التصرّف الأحسن، بل رجحانه ووجوبه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تكليف نفسه، وأمّا تكليف الغير </w:t>
      </w:r>
    </w:p>
    <w:p>
      <w:pPr>
        <w:pStyle w:val="BookText"/>
        <w:rPr/>
      </w:pPr>
      <w:r>
        <w:rPr>
          <w:rFonts w:ascii="Amiri" w:hAnsi="Amiri" w:eastAsia="Amiri" w:cs="Amiri"/>
          <w:color w:val="111111"/>
          <w:sz w:val="28"/>
          <w:sz w:val="28"/>
          <w:szCs w:val="28"/>
          <w:rtl w:val="true"/>
          <w:lang w:bidi="ar-SA"/>
        </w:rPr>
        <w:t xml:space="preserve">بالنسبة إلى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أخذه منه قهراً؛ لأنّ كون المال عند الفاسق في معرض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وملازمة الفاسق، ومراقبة المال مع كونه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حرج مدفوع، فلا بُدَّ من 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اللازم تفتيش الأمر؟</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اللّازم على العدول،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مال اليتيم؟ هل يكون عند العادل أو الفاسق في معرض التلف أم لا؟</w:t>
      </w:r>
    </w:p>
    <w:p>
      <w:pPr>
        <w:pStyle w:val="BookText"/>
        <w:rPr/>
      </w:pPr>
      <w:r>
        <w:rPr>
          <w:rFonts w:ascii="Amiri" w:hAnsi="Amiri" w:eastAsia="Amiri" w:cs="Amiri"/>
          <w:color w:val="111111"/>
          <w:sz w:val="28"/>
          <w:sz w:val="28"/>
          <w:szCs w:val="28"/>
          <w:rtl w:val="true"/>
          <w:lang w:bidi="ar-SA"/>
        </w:rPr>
        <w:t>الظاهر عدمه؛ لعدم الدليل عليه، بل غاية ما يستفاد من الأدلّة حفظ مال اليتيم عن التلف، لا بأنْ يكون واجباً مطلقاً حتّى يلزم التتبع ، بل لو كان في معرض التلف يجب حفظه، فحينئذٍ لو كان في يد مجهول الحال لا يجب 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الأدلّة مثل الآية الشريفة وغيرها، جواز التصرّف أو رجحانه، إذا كان بطريق الأحسن من معانيه، فهل ذلك في جميع التصرّفات أم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التصرّفات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يكون داخلاً في المعروف والإحسان، والأحسن، فلا إشكال في جوازه؛ بمقتضى الإطلاقات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 يكون لازماً للمخالطة والمعاشرة مع اليتيم وهو تعاطي من عنده اليتيم مع اليتيم في طعامه وشرابه مثل أن يأكل طعامه اليوم، ويعطي عوضه اليوم الآخر،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الخبر </w:t>
      </w:r>
      <w:r>
        <w:rPr>
          <w:rStyle w:val="FootnoteAnchor"/>
          <w:rtl w:val="true"/>
        </w:rPr>
        <w:footnoteReference w:id="460"/>
      </w:r>
      <w:r>
        <w:rPr>
          <w:rFonts w:ascii="Amiri" w:hAnsi="Amiri" w:eastAsia="Amiri" w:cs="Amiri"/>
          <w:color w:val="111111"/>
          <w:sz w:val="28"/>
          <w:sz w:val="28"/>
          <w:szCs w:val="28"/>
          <w:rtl w:val="true"/>
          <w:lang w:bidi="ar-SA"/>
        </w:rPr>
        <w:t>، فالظاهر جواز مثل هذا التصرّف لمن كان معاشراً مع اليتيم؛ بمقتضى الآية الشريفة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تُخَالِطُوهُمْ فَإِخْوَانُكُمْ وَاللَّهُ يَعْلَمُ الْمُفْسِدَ مِنَ الْمُصْلِحِ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 xml:space="preserve">إنّه يستفاد من صدره أنَّه يُعامل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المخالطة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مقابلة المصلح بالمفسد يُعلم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يفسد، فجوازه ليس موقوفاً على المصلحة الفعليّة، بل الظاهر أنّ الشارع لاحظ ثبوت المصلحة النوعيّة لليتيم، ولمن عنده في المخالطة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التصرّف إمّا نفسها أو لازمها، فلو لم تُرَخَصّ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هذه التصرّفات إلا مع المصلحة، ولا يقتنع بعدم المفسدة، لأدى ذلك إلى ضرر اليتيم، وإعراض الفاسق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وجوب التصرّف الأحسن، بل غاية ما يُستفاد من الأدلّة رجحانه، فهل الراجح هو عنوان الإصلاح بحيث يكون هو المأمور به، أو يكون المأمور به التصرّفات التي تكون مع المصلحة؟</w:t>
      </w:r>
    </w:p>
    <w:p>
      <w:pPr>
        <w:pStyle w:val="BookText"/>
        <w:rPr/>
      </w:pPr>
      <w:r>
        <w:rPr>
          <w:rFonts w:ascii="Amiri" w:hAnsi="Amiri" w:eastAsia="Amiri" w:cs="Amiri"/>
          <w:color w:val="111111"/>
          <w:sz w:val="28"/>
          <w:sz w:val="28"/>
          <w:szCs w:val="28"/>
          <w:rtl w:val="true"/>
          <w:lang w:bidi="ar-SA"/>
        </w:rPr>
        <w:t>وعلى تقدير الأول، فهل المعتبر ذلك في جميع الأشخاص حتّى من يشتري، أو يخص البائع، حيث إنّه المتصرف حقيقة، ولا يكون للمشتري إلّا قبول صرف؟</w:t>
      </w:r>
    </w:p>
    <w:p>
      <w:pPr>
        <w:pStyle w:val="BookText"/>
        <w:rPr/>
      </w:pPr>
      <w:r>
        <w:rPr>
          <w:rFonts w:ascii="Amiri" w:hAnsi="Amiri" w:eastAsia="Amiri" w:cs="Amiri"/>
          <w:color w:val="111111"/>
          <w:sz w:val="28"/>
          <w:sz w:val="28"/>
          <w:szCs w:val="28"/>
          <w:rtl w:val="true"/>
          <w:lang w:bidi="ar-SA"/>
        </w:rPr>
        <w:t xml:space="preserve">ويثمر الكلام في جريان أصالة الصحة في فعل البائع، وجواز الشراء منه، حيث إنّه إنْ كان المأمور به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الآية الشريفة، لا يجري الأصل المزبور ؛ لأنَّه لا يكون في العنوان المذكور صحيح وفاسد، فلا يجري الأصل، ولو قلنا بكون الخطاب مخصوصاً بالبائع ، وإن كان المأمور به هو الفعل مع المصلحة يُمكن إجراؤه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اختصاص الخطاب بالبائع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لا يكفي مجرّد صحة بيع البائع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لكن قد يظهر من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فرائده، عدم جريان أصالة الصحة في أمثال الواقعة وغيره مما يكون مبنياً على الفساد </w:t>
      </w:r>
      <w:r>
        <w:rPr>
          <w:rStyle w:val="FootnoteAnchor"/>
          <w:rtl w:val="true"/>
        </w:rPr>
        <w:footnoteReference w:id="462"/>
      </w:r>
      <w:r>
        <w:rPr>
          <w:rFonts w:ascii="Amiri" w:hAnsi="Amiri" w:eastAsia="Amiri" w:cs="Amiri"/>
          <w:color w:val="111111"/>
          <w:sz w:val="28"/>
          <w:sz w:val="28"/>
          <w:szCs w:val="28"/>
          <w:rtl w:val="true"/>
          <w:lang w:bidi="ar-SA"/>
        </w:rPr>
        <w:t xml:space="preserve">، ومقتضاه عدم جريانه في هذا المورد أيضاً، لكن لا يخفى عدم وجود مانع من إجرائه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جريانه حتّى في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ارتضاه في ردِّ المحقق الثاني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343" w:name="pg9195_77216"/>
    </w:p>
    <w:p>
      <w:pPr>
        <w:pStyle w:val="Heading3"/>
        <w:numPr>
          <w:ilvl w:val="2"/>
          <w:numId w:val="1"/>
        </w:numPr>
        <w:rPr/>
      </w:pPr>
      <w:bookmarkStart w:id="344" w:name="__RefHeading___Toc3921841_2870459653"/>
      <w:bookmarkStart w:id="345" w:name="_Toc117"/>
      <w:bookmarkEnd w:id="343"/>
      <w:bookmarkEnd w:id="344"/>
      <w:r>
        <w:rPr>
          <w:rtl w:val="true"/>
        </w:rPr>
        <w:t xml:space="preserve">( </w:t>
      </w:r>
      <w:r>
        <w:rPr>
          <w:rtl w:val="true"/>
        </w:rPr>
        <w:t>في موارد أصالة الصحة والضابط فيها</w:t>
      </w:r>
      <w:r>
        <w:rPr>
          <w:rtl w:val="true"/>
        </w:rPr>
        <w:t>)</w:t>
      </w:r>
      <w:bookmarkEnd w:id="345"/>
    </w:p>
    <w:p>
      <w:pPr>
        <w:pStyle w:val="BookText"/>
        <w:rPr/>
      </w:pPr>
      <w:r>
        <w:rPr>
          <w:rFonts w:ascii="Amiri" w:hAnsi="Amiri" w:eastAsia="Amiri" w:cs="Amiri"/>
          <w:color w:val="111111"/>
          <w:sz w:val="28"/>
          <w:sz w:val="28"/>
          <w:szCs w:val="28"/>
          <w:rtl w:val="true"/>
          <w:lang w:bidi="ar-SA"/>
        </w:rPr>
        <w:t xml:space="preserve">لمّا انتهى الأمر إلى هذا المقام، لا بأس بأن نشير إلى بيان موارد جريان أصالة الصحّة، وبيان الضابط لها إجمالاً ، فنقول وبالله الاستعانة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المدرك للأصل المزبور لم يكن إلا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الإجماع </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وبناء العقلاء، ولم یكن دليل لفظي يتمسك بإطلاقه، فلا بُدَّ من الأخذ بموارد السيرة، وما هو المتيقن منها، فنقول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يجري في كلّ ما يكون مترتباً على الفعل الصحيح الصادر من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إنّه صادر منه لا من جميع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إحراز صدوره منه عرفاً، وشك في شروط صحّته، فيحكم بصحة نفس ذلك الفعل الذي أحرز صدوره منه ، وترتيب أثره من حيث إنّه صادر منه، فتترتب عليه الأحكام المترتبة على الفعل الصحيح منه ، فلا يجري فيما يكون مترتباً على عنوان لا يكون فيه صحيح وفاسد، أو يكون العنوان معتبراً فيه، وهذا واضح لاسترة فيه، وكذا يجري في الفعل المذكور ، ويحكم بترتب ما هو ثابت لنفس الفعل المزبور؛ من حيث إنّه صادر منه لا من جميع الجهات، ويتفرّع عليه عدم جواز الشراء ممن يدعي الوكالة بمجرّد الأصل المزبور؛ إذ لا يمكن إحراز صدور الشراء من المالك بنفسه، أو بوكيله من فعله بمجرّد الأصل، والحال أنّ الظاهر من الأدلّة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تشتر إلّا من مالكها</w:t>
      </w:r>
      <w:r>
        <w:rPr>
          <w:rFonts w:eastAsia="IRNazanin" w:cs="IRNazanin"/>
          <w:color w:val="111111"/>
          <w:sz w:val="28"/>
          <w:szCs w:val="28"/>
          <w:rtl w:val="true"/>
          <w:lang w:bidi="fa-IR"/>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الشرط المذكور عنواناً يجب إحرازه، ويستفاد منها كون البيع والشراء من المالك بنفسه، أو بوكيله موضوعاً ، فلا يُمكن إحرازه بنفس إجراء الأصل في فعل البائع، وبذلك افترق الشرط المذكور عن سائر الشروط المعتبرة في البيع؛ حيث يُمكن إجراء الأصل لو شك من جهتها بخلافه، حتّى مثل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تفصيل بين الأركان وغيرها، خلافاً لجماعة </w:t>
      </w:r>
      <w:r>
        <w:rPr>
          <w:rStyle w:val="FootnoteAnchor"/>
          <w:rtl w:val="true"/>
        </w:rPr>
        <w:footnoteReference w:id="466"/>
      </w:r>
      <w:r>
        <w:rPr>
          <w:rFonts w:ascii="Amiri" w:hAnsi="Amiri" w:eastAsia="Amiri" w:cs="Amiri"/>
          <w:color w:val="111111"/>
          <w:sz w:val="28"/>
          <w:sz w:val="28"/>
          <w:szCs w:val="28"/>
          <w:rtl w:val="true"/>
          <w:lang w:bidi="ar-SA"/>
        </w:rPr>
        <w:t>حيث خصّوها بغير الأركان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ونظير ما قلنا في عدم جريان أصالة الصحة، ما ذكروه من عدم جريان أصالة الصحة في فعل الأجير في مقام الحكم ببراءة ذمة الميّت، ولا يكتفون بعمل الفاسق، بل يعتبرون العدالة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ووجهه ما ذكرناه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في فعل الأجير، إنّما يصحح فعله من حيث إنّه أجير، ولا يحرز صدور العمل من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إنّ الظاهر ثبوت الفرق بين هذا الشرط وسائر الشرائط، بدعوى استفادة موضوعيته لهذا الشرط، من جهة استفادة كون المالكيّة مؤثرة في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يجري الأصل في الفعل الذي لم يحرز صدوره من الشخص، مثلاً صدور الإيجاب، إنّما يثبت صحة نفس الإيجاب دون القبول، وكذلك صدور الإيجاب والقبول لا يصحح المعاملة حتّى يحكم بوقوع بيع الصرف مثلاً بمجرّد إحراز صدور الإيجاب والقبول والحكم بوقوع القبض أيضاً؛ حيث إنّ القبض فعل، والإيجاب والقبول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الحكم بالصحة مع إحراز عنوان المعاملة من المتبايعين، والعلم بكونها في مقام بيع الصرف، والاشتغال به أيضاً، وإن كان التأمل فيه أيضاً في محلّه، مع عدم العلم بصدور القبض فيها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عرفت ذلك، تعلم عدم جريان أصالة الصحة في فعل البائع، والحكم بجواز الشراء منه فيما نحن فيه، حيث إنّه لا يعتبر الإصلاح في فعل المتبايعين كليهما، أو في فعل البائع مجرّداً، فعدم جريانه واضح، أو يعتبر كون الفعل مع المصلحة في كليهما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الشراء بدون إحراز المصلحة، بل لو قلنا بعدم اعتبار المصلحة إلا في فعل البائع؛ بدعوى عدم تحوّل الخطابات للمشتري، بل موردها المالك للتصرف، كما يشهد به ملاحظة نظائر الخطاب الواردة في المقام،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تُؤْتُوا </w:t>
      </w:r>
    </w:p>
    <w:p>
      <w:pPr>
        <w:pStyle w:val="BookText"/>
        <w:rPr/>
      </w:pPr>
      <w:r>
        <w:rPr>
          <w:rFonts w:ascii="Amiri" w:hAnsi="Amiri" w:eastAsia="Amiri" w:cs="Amiri"/>
          <w:color w:val="111111"/>
          <w:sz w:val="28"/>
          <w:sz w:val="28"/>
          <w:szCs w:val="28"/>
          <w:rtl w:val="true"/>
          <w:lang w:bidi="ar-SA"/>
        </w:rPr>
        <w:t xml:space="preserve">السُّفَهَاءَ أَمْوَالَكُمُ </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آنَسْتُمْ مِنْهُمْ رُشْدًا فَادْفَعُوا إِلَيْهِمْ أَمْوَالَهُمْ </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حيث إنّ الخطابات المذكورة لمن كان مباشراً لأمرهم ، لا يجوز الشراء بمجرّد بيع البائع؛ بدعوى كونه مصلحة، من جهة ما ذكرنا من استفادة لزوم كون البيع والشراء من المالك بنفسه، أو بوكيله ووصيه، وثبوت الفرق بين الشرط المذكور، وهو كون البيع والشراء من المالك، وغيره من الشروط، حيث إنّه يستفاد من الأدلّة كون الشراء من المالك عنواناً، فلا يُمكن إحرازه بمجرّد إجراء أصالة الصحة في فعل البائع على التقريب الذي ذكر ، وهذا بخلاف ما لو علم بوقوع المعاملة بين المتبايعين على مال اليتيم، أو على غيره، فإنه يجوز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اجراء أصالة الصحة في فعلها، بناءً على كون المأمور به هو الفعل مع المصلحة، وكذا لو كان المأمور به هو الإصلاح على تأمل فيه عندي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كان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تَقْرَبُوا مَالَ الْيَتِيمِ إِلَّا بِالَّتِي هِيَ أَحْسَنُ </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 هو التصرّفات، لا الأعم من الفعل والترك، ولا غيره من الوجوه الأربعة المحتملة، يلزم كون إمساك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كالتصرّفات الأُخر؛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w:t>
      </w:r>
      <w:r>
        <w:rPr>
          <w:rFonts w:eastAsia="Amiri" w:cs="Amiri" w:ascii="Amiri" w:hAnsi="Amiri"/>
          <w:color w:val="111111"/>
          <w:sz w:val="28"/>
          <w:szCs w:val="28"/>
          <w:rtl w:val="true"/>
          <w:lang w:bidi="ar-SA"/>
        </w:rPr>
        <w:t xml:space="preserve">. </w:t>
      </w:r>
      <w:bookmarkStart w:id="346" w:name="pg9195_77219"/>
    </w:p>
    <w:p>
      <w:pPr>
        <w:pStyle w:val="Heading3"/>
        <w:numPr>
          <w:ilvl w:val="2"/>
          <w:numId w:val="1"/>
        </w:numPr>
        <w:rPr/>
      </w:pPr>
      <w:bookmarkStart w:id="347" w:name="__RefHeading___Toc3921843_2870459653"/>
      <w:bookmarkStart w:id="348" w:name="_Toc118"/>
      <w:bookmarkEnd w:id="346"/>
      <w:bookmarkEnd w:id="347"/>
      <w:r>
        <w:rPr>
          <w:rtl w:val="true"/>
        </w:rPr>
        <w:t>(</w:t>
      </w:r>
      <w:r>
        <w:rPr>
          <w:rtl w:val="true"/>
        </w:rPr>
        <w:t>مسألة في شرائط العوضين</w:t>
      </w:r>
      <w:r>
        <w:rPr>
          <w:rtl w:val="true"/>
        </w:rPr>
        <w:t>)</w:t>
      </w:r>
      <w:bookmarkEnd w:id="348"/>
    </w:p>
    <w:p>
      <w:pPr>
        <w:pStyle w:val="BookText"/>
        <w:rPr/>
      </w:pPr>
      <w:r>
        <w:rPr>
          <w:rFonts w:ascii="Amiri" w:hAnsi="Amiri" w:eastAsia="Amiri" w:cs="Amiri"/>
          <w:color w:val="111111"/>
          <w:sz w:val="28"/>
          <w:sz w:val="28"/>
          <w:szCs w:val="28"/>
          <w:rtl w:val="true"/>
          <w:lang w:bidi="ar-SA"/>
        </w:rPr>
        <w:t>ومنها كون العوض متموّلاً، فيخرج ما لا يكون مالاً، إمّا شرعاً كالخمر و الخنزير، أو عرفاً، إمّا لقلته كحبّة حنطة، أو لخسّته كالحشرات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بعضهم</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مبادلة</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مال بمال فيخرج غير المال، ولو كان من الحقوق الماليّة، كحقِّ التحجير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متقوّماً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يُقال لمالكه في اللغة 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جيز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تقسيم المشهور ، وذكره إنّ البيع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مبادلة مال بمال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الأولى في المقام أنْ يُقال في مقام 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تحقق كونه مالاً عرفاً، فلا إشكال في عدم صحة بيعه، ما لم يتحقق فيه ذلك، فإنْ كان أكلُ المال في مقابله أكلاً للمال بالباطل عرفاً، فكذا لا يصح بيعه، وإلا فإن وردَ دليلٌ شرعي بعدم صحة بيعه فهو ، وإلّا يجب الرجوع إلى العمومات 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فيه صلاح يجوز بيعه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اعترافه في أول المسألة بأنّ البيع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مبادلة مال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p>
    <w:p>
      <w:pPr>
        <w:pStyle w:val="BookText"/>
        <w:rPr/>
      </w:pPr>
      <w:r>
        <w:rPr>
          <w:rFonts w:ascii="IRNazanin" w:hAnsi="IRNazanin" w:eastAsia="IRNazanin"/>
          <w:color w:val="111111"/>
          <w:sz w:val="28"/>
          <w:sz w:val="28"/>
          <w:szCs w:val="28"/>
          <w:rtl w:val="true"/>
          <w:lang w:bidi="fa-IR"/>
        </w:rPr>
        <w:t xml:space="preserve">مستقیم؛ حيث إنّ الظاهر منه التمسّك بالعام في الشبهة المصداقيَّة، وهو غير صحيح، لكن نسبة هذا المطلب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غاية البُعْد، مع اعتراضه كثيراً على مَنْ تمسك بالعام في الشبهات المصداقيَّة </w:t>
      </w:r>
      <w:r>
        <w:rPr>
          <w:rStyle w:val="FootnoteAnchor"/>
          <w:rtl w:val="true"/>
        </w:rPr>
        <w:footnoteReference w:id="477"/>
      </w:r>
      <w:r>
        <w:rPr>
          <w:rFonts w:ascii="Amiri" w:hAnsi="Amiri" w:eastAsia="Amiri" w:cs="Amiri"/>
          <w:color w:val="111111"/>
          <w:sz w:val="28"/>
          <w:sz w:val="28"/>
          <w:szCs w:val="28"/>
          <w:rtl w:val="true"/>
          <w:lang w:bidi="ar-SA"/>
        </w:rPr>
        <w:t>، فيمكن أن يكون الكلام المذكور عدولاً عما ذكره أولاً، وذكره هنا بناءً على ما ذكره المشهور، كما يشعر بذلك عدوله عما ذكروه ونسبته بخلاف الأولى، بل لا يعتبر عنده لزوم كون البيع مبادلة المال بالمال، بل المعتبر فيه عدم العلم بعدم كونه مالاً، وعدم العلم بكون أكل المال في مقابله أكلاً للمال بالباطل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يحتاج إلى ذكر الشقّ الأول في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عدم الماليّة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لاشتمال الثاني عليه، فافهم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الظاهر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الخبر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وكل ما فيه صلاح لهم يجوز بيعه </w:t>
      </w:r>
      <w:r>
        <w:rPr>
          <w:rFonts w:eastAsia="IRNazanin" w:cs="IRNazanin"/>
          <w:color w:val="111111"/>
          <w:sz w:val="28"/>
          <w:szCs w:val="28"/>
          <w:rtl w:val="true"/>
          <w:lang w:bidi="fa-IR"/>
        </w:rPr>
        <w:t>»</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بصدد نفي اشتراط الماليّة شرعاً، وكفاية مجرّد الصلاح في البيع، بل بصدد بيان اعتبار الصلاح من غير جهة الماليّة، وبعد تحقق البيع، فحينئذٍ لا ينافي ذلك مع اشتراط الماليّة في البيع كما هو الظاهر ؛ لعدم صدقه في غير نقل المال</w:t>
      </w:r>
      <w:r>
        <w:rPr>
          <w:rFonts w:eastAsia="Amiri" w:cs="Amiri" w:ascii="Amiri" w:hAnsi="Amiri"/>
          <w:color w:val="111111"/>
          <w:sz w:val="28"/>
          <w:szCs w:val="28"/>
          <w:rtl w:val="true"/>
          <w:lang w:bidi="ar-SA"/>
        </w:rPr>
        <w:t xml:space="preserve">. </w:t>
      </w:r>
      <w:bookmarkStart w:id="349" w:name="pg9195_77221"/>
    </w:p>
    <w:p>
      <w:pPr>
        <w:pStyle w:val="BookText"/>
        <w:rPr/>
      </w:pPr>
      <w:bookmarkEnd w:id="349"/>
      <w:r>
        <w:rPr>
          <w:rFonts w:ascii="Amiri" w:hAnsi="Amiri" w:eastAsia="Amiri" w:cs="Amiri"/>
          <w:color w:val="111111"/>
          <w:sz w:val="28"/>
          <w:sz w:val="28"/>
          <w:szCs w:val="28"/>
          <w:rtl w:val="true"/>
          <w:lang w:bidi="ar-SA"/>
        </w:rPr>
        <w:t>ثم إنهم احترزوا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عن بيع الأراضي المفتوحة عنوةً، ووجه الاحتراز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ملكاً على حد سائر الأملاك، بحيث يكون لكلٍّ من المسلمين جزء معيّن، أو مشاع، ولذا لا يورَّث، بل ملكيته للمسلمين بمعنى كون مصرفها مصالح المسلمين</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3921845_2870459653"/>
      <w:bookmarkStart w:id="351" w:name="_Toc119"/>
      <w:bookmarkEnd w:id="350"/>
      <w:r>
        <w:rPr>
          <w:rtl w:val="true"/>
        </w:rPr>
        <w:t xml:space="preserve">( </w:t>
      </w:r>
      <w:r>
        <w:rPr>
          <w:rtl w:val="true"/>
        </w:rPr>
        <w:t xml:space="preserve">في أقسام الأراضي وأحكامها </w:t>
      </w:r>
      <w:r>
        <w:rPr>
          <w:rtl w:val="true"/>
        </w:rPr>
        <w:t>)</w:t>
      </w:r>
      <w:bookmarkEnd w:id="351"/>
    </w:p>
    <w:p>
      <w:pPr>
        <w:pStyle w:val="Heading4"/>
        <w:numPr>
          <w:ilvl w:val="3"/>
          <w:numId w:val="1"/>
        </w:numPr>
        <w:rPr/>
      </w:pPr>
      <w:bookmarkStart w:id="352" w:name="__RefHeading___Toc3921847_2870459653"/>
      <w:bookmarkStart w:id="353" w:name="_Toc120"/>
      <w:bookmarkEnd w:id="352"/>
      <w:r>
        <w:rPr>
          <w:rtl w:val="true"/>
        </w:rPr>
        <w:t>[</w:t>
      </w:r>
      <w:r>
        <w:rPr>
          <w:rtl w:val="true"/>
        </w:rPr>
        <w:t>أولاً</w:t>
      </w:r>
      <w:r>
        <w:rPr>
          <w:rtl w:val="true"/>
        </w:rPr>
        <w:t xml:space="preserve">:] ( </w:t>
      </w:r>
      <w:r>
        <w:rPr>
          <w:rtl w:val="true"/>
        </w:rPr>
        <w:t xml:space="preserve">في الموات وأنها ملكُ الإمام </w:t>
      </w:r>
      <w:r>
        <w:rPr>
          <w:rtl w:val="true"/>
        </w:rPr>
        <w:t>)</w:t>
      </w:r>
      <w:bookmarkEnd w:id="353"/>
    </w:p>
    <w:p>
      <w:pPr>
        <w:pStyle w:val="BookText"/>
        <w:rPr/>
      </w:pPr>
      <w:r>
        <w:rPr>
          <w:rFonts w:ascii="Amiri" w:hAnsi="Amiri" w:eastAsia="Amiri" w:cs="Amiri"/>
          <w:color w:val="111111"/>
          <w:sz w:val="28"/>
          <w:sz w:val="28"/>
          <w:szCs w:val="28"/>
          <w:rtl w:val="true"/>
          <w:lang w:bidi="ar-SA"/>
        </w:rPr>
        <w:t>ولمّا انجرَّ الكلام إلى ذكر الأرض، لا بأس بالإشارة إلى أقسام الأرض وأحكامها إجمالاً،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إمّا أن تكون مواتاً، أو مُحياةً، وعلى كلٍّ من التقديرين، إمّا يكون كذلك أصالةً، أو بالعرض، ولنقدّم الكلام في الموات الأصليَّة من حيث مالكها، وصيرورتها مملوكةً للغير، واعتبار إذنه،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بل المقطوع به كونها مِلْكَ الإمام؛ ويدل عليه الكتاب والسنة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عَنِ الْأَنْفَالِ قُلِ الْأَنْفَالُ لِلَّهِ وَالرَّسُولِ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بناءً على كونها من الأنفال على ما صرَّح به جماعة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السنة، فعليه مستفيضة،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متواترة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الكليني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لِلَّهِ يُورِثُهَا </w:t>
      </w:r>
    </w:p>
    <w:p>
      <w:pPr>
        <w:pStyle w:val="BookText"/>
        <w:rPr/>
      </w:pPr>
      <w:r>
        <w:rPr>
          <w:rFonts w:ascii="Amiri" w:hAnsi="Amiri" w:eastAsia="Amiri" w:cs="Amiri"/>
          <w:color w:val="111111"/>
          <w:sz w:val="28"/>
          <w:sz w:val="28"/>
          <w:szCs w:val="28"/>
          <w:rtl w:val="true"/>
          <w:lang w:bidi="ar-SA"/>
        </w:rPr>
        <w:t xml:space="preserve">مَنْ يَشَاءُ مِنْ عِبَادِهِ وَالْعَاقِبَةُ لِلْمُتَّقِينَ </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 xml:space="preserve">، أنا وأهل بيتي الذين أورَثنا الله الأرض، ونحنُ المتقون، والأرضُ كلُّها لنا، فمن أحيا من الأرض من المسلمين فليعمرها، وليؤدّ خراجها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من الأخبار الكثيرة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رجل أتى خربة بائرة، فاستخرجها، وكرى أنهارها ، وعمّرها، فإنَّ عليه فيها الصدقة، فإن كانت أرضاً لرجل قبله، فغاب عنها وتركها وأخربها، ثم جاء بعد فطلبها فإنَّ الأرضَ لله عزّ وجلَّ ولمن عمرها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تهذيب الأحكام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أحكام الأرضين،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ودعوى عدم دلالتها على كونها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بالملكية المتعارفة، بل ملكيتها له نظير ملكية الأرض لله، ليست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يعتبرها العقلاء، بل اعتبار أعم، مدفوعةٌ بظهور الأخبار المذكورة في الملكيّة المتعارفة، بل صريحها؛ للتصريح بكونها مال الإمام في بعض الأخبار </w:t>
      </w:r>
      <w:r>
        <w:rPr>
          <w:rStyle w:val="FootnoteAnchor"/>
          <w:rtl w:val="true"/>
        </w:rPr>
        <w:footnoteReference w:id="485"/>
      </w:r>
      <w:r>
        <w:rPr>
          <w:rFonts w:ascii="IRNazanin" w:hAnsi="IRNazanin" w:eastAsia="IRNazanin"/>
          <w:color w:val="111111"/>
          <w:sz w:val="28"/>
          <w:sz w:val="28"/>
          <w:szCs w:val="28"/>
          <w:rtl w:val="true"/>
          <w:lang w:bidi="fa-IR"/>
        </w:rPr>
        <w:t xml:space="preserve">، فصرفها عن مقتضاها لا وجه له، فحينئذٍ فمقتضى القاعدة المستفادة من العقل والنقل عدم جواز التصرّف فيها إلا بإذنهم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في الأخبار الكثيرة ما ينافي بظاهرها ذلك،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الإحیاء</w:t>
      </w:r>
      <w:r>
        <w:rPr>
          <w:rStyle w:val="FootnoteAnchor"/>
          <w:rtl w:val="true"/>
        </w:rPr>
        <w:footnoteReference w:id="486"/>
      </w:r>
      <w:r>
        <w:rPr>
          <w:rFonts w:ascii="Amiri" w:hAnsi="Amiri" w:eastAsia="Amiri" w:cs="Amiri"/>
          <w:color w:val="111111"/>
          <w:sz w:val="28"/>
          <w:sz w:val="28"/>
          <w:szCs w:val="28"/>
          <w:rtl w:val="true"/>
          <w:lang w:bidi="ar-SA"/>
        </w:rPr>
        <w:t xml:space="preserve">حيث إنّها تدل على سببيّة الإحياء للملك مطلقاً؛ لأنّ حملها على مجرّد الإذن بعيدٌ عن مساقها، خصوصاً في بعضها </w:t>
      </w:r>
      <w:r>
        <w:rPr>
          <w:rStyle w:val="FootnoteAnchor"/>
          <w:rtl w:val="true"/>
        </w:rPr>
        <w:footnoteReference w:id="487"/>
      </w:r>
      <w:r>
        <w:rPr>
          <w:rFonts w:ascii="Amiri" w:hAnsi="Amiri" w:eastAsia="Amiri" w:cs="Amiri"/>
          <w:color w:val="111111"/>
          <w:sz w:val="28"/>
          <w:sz w:val="28"/>
          <w:szCs w:val="28"/>
          <w:rtl w:val="true"/>
          <w:lang w:bidi="ar-SA"/>
        </w:rPr>
        <w:t>الوارد في مقام التعليل؛ لجواز شراء الأرض من اليهود والنصارى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حملها على الإهمال بعيدٌ غاية البعد؛ حيث إنّه من المستبعد صدور جميع هذه الأخبار في مقام الإهمال، خصوصاً فيما ذكر في مقام التعليل؛ حيث إنّه لا يناسب التعليل بما هو جزء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فتدلُّ الأخبار المذكورة بمقتضى إطلاقها على كون الإحياء سبباً تاماً في الملك، ولو لم يقترن بالإذن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وملاحظة بعض نظائر العمومات المذكورة، لا توجب صرفها عن ظاهرها، وحملها على الإهمال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لزوم تقييدها ببعض الأراضي الميّتة التي اشتريت عن مالكها، حيث إنّ المعروف فيها عدم خروجها عن ملک صاحبها، وبقاؤها على ملكه لا يوجب الحمل على الإهمال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ويرشد إلى ما ذكرناه من الدّعويين فَهْمُ العلماء منها السببيّة المطلقة</w:t>
      </w:r>
      <w:r>
        <w:rPr>
          <w:rStyle w:val="FootnoteAnchor"/>
          <w:rtl w:val="true"/>
        </w:rPr>
        <w:footnoteReference w:id="488"/>
      </w:r>
      <w:r>
        <w:rPr>
          <w:rFonts w:ascii="Amiri" w:hAnsi="Amiri" w:eastAsia="Amiri" w:cs="Amiri"/>
          <w:color w:val="111111"/>
          <w:sz w:val="28"/>
          <w:sz w:val="28"/>
          <w:szCs w:val="28"/>
          <w:rtl w:val="true"/>
          <w:lang w:bidi="ar-SA"/>
        </w:rPr>
        <w:t xml:space="preserve">حيث إنهم فرّقوا بين زمان الحضور والغيبة، وحكموا بسقوط اعتبار الإذن في الغيبة دون الحضور </w:t>
      </w:r>
      <w:r>
        <w:rPr>
          <w:rStyle w:val="FootnoteAnchor"/>
          <w:rtl w:val="true"/>
        </w:rPr>
        <w:footnoteReference w:id="489"/>
      </w:r>
      <w:r>
        <w:rPr>
          <w:rFonts w:ascii="IRNazanin" w:hAnsi="IRNazanin" w:eastAsia="IRNazanin"/>
          <w:color w:val="111111"/>
          <w:sz w:val="28"/>
          <w:sz w:val="28"/>
          <w:szCs w:val="28"/>
          <w:rtl w:val="true"/>
          <w:lang w:bidi="fa-IR"/>
        </w:rPr>
        <w:t xml:space="preserve">، وصيرورتها ملكاً للمحيي ولو كان الإحياء بغير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الغيبة، ولو فهموا منها الإذن يكون الإذن ثابتاً في زمان الغيبة، فلا معنى للفرق بين الزمانين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الإذن الخاص، فيكون حاصل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الإذن العام في زمان الحضور ولو كان حاصلاً، وهو بعيدٌ؛ إذ لا يعتبر في التصرّف في مال الغير غير الطيب، سواء كان حاصلاً بالإذن الخاص أو العام، فلا معنى لاعتبار الإذن </w:t>
      </w:r>
    </w:p>
    <w:p>
      <w:pPr>
        <w:pStyle w:val="BookText"/>
        <w:rPr/>
      </w:pP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حمل قولهم بعدم الاحتياج إلى الإذن في زمان الغيبة على عدم الاحتياج؛ لأجل 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بل ظاهرهم عدم وجود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إنّهم فهموا منها السببيّة وإطلاقها، وإلا لما اكتفوا بمجرّد الإحياء في زمان الغيبة في حصول الملك، والتمسك 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مرادهم بالإذن هو مطلق الإذن بالنسبة إلى جميع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خصوص طائفة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لا يتم، ولو كان مرادهم بالإذن هو مطلق الإذن؛ إذ هو حاصل في كلا الزمانين، كما تدل عليه الأخبار الدالّة على أنّ ما كان لهم فهو لشيعتهم </w:t>
      </w:r>
      <w:r>
        <w:rPr>
          <w:rStyle w:val="FootnoteAnchor"/>
          <w:rtl w:val="true"/>
        </w:rPr>
        <w:footnoteReference w:id="490"/>
      </w:r>
      <w:r>
        <w:rPr>
          <w:rFonts w:ascii="Amiri" w:hAnsi="Amiri" w:eastAsia="Amiri" w:cs="Amiri"/>
          <w:color w:val="111111"/>
          <w:sz w:val="28"/>
          <w:sz w:val="28"/>
          <w:szCs w:val="28"/>
          <w:rtl w:val="true"/>
          <w:lang w:bidi="ar-SA"/>
        </w:rPr>
        <w:t>، وهم محلّلون لشيعتهم، منع دلالة الأخبار المذكورة على الإذن في التصرّف، بل يكون المراد بالتحليل هو تحليل الأثر،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الحلية على نحو يحصل به طيب الولادة، ويُمكن تصويره بأن لا يكون الشخص راضياً بالتصرّف أولاً، لكن لو تصرّف في ملكه يكون راضياً، ويكون حاله على نحو لا يرضى بثبوت حق موجب للعقاب له على غيره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مقتضى الإطلاقات هو كون الإحياء ولو لم يكن مع الإذن، مع شهادة فَهْم العلماء منها ذلك، حتّى أنّ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بهذه الأخبار على عدم </w:t>
      </w:r>
    </w:p>
    <w:p>
      <w:pPr>
        <w:pStyle w:val="BookText"/>
        <w:rPr/>
      </w:pPr>
      <w:r>
        <w:rPr>
          <w:rFonts w:ascii="Amiri" w:hAnsi="Amiri" w:eastAsia="Amiri" w:cs="Amiri"/>
          <w:color w:val="111111"/>
          <w:sz w:val="28"/>
          <w:sz w:val="28"/>
          <w:szCs w:val="28"/>
          <w:rtl w:val="true"/>
          <w:lang w:bidi="ar-SA"/>
        </w:rPr>
        <w:t xml:space="preserve">اعتبار الإذن حتّى في زمان الحضور أيضاً، لكنّه ليس بصحيح عندنا، لا لما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ثبوت الأخبار المقيّدة أيضاً، فلا بُدَّ من تقييدها بها كالأخبار التي قيدت الأرض بكونها لا مالك لها، أو لا ربَّ لها؛ لأنّ الظاهر انصراف هذا القيد إلى غير الإمام؛ للزوم لغويّة الإطلاق مطلقاً؛ لعدم ثبوت مورد لعدم القيد حتّى يصحح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الظاهر بل المقطوع به لزوم الإذن في زمان الحضور، 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مال امرئ مسلم إلا عن طيب من نفسه</w:t>
      </w:r>
      <w:r>
        <w:rPr>
          <w:rFonts w:eastAsia="IRNazanin" w:cs="IRNazanin"/>
          <w:color w:val="111111"/>
          <w:sz w:val="28"/>
          <w:szCs w:val="28"/>
          <w:rtl w:val="true"/>
          <w:lang w:bidi="fa-IR"/>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لكونه معارضاً لها؛ لأنّ النسبة بينه وبين الإطلاقات عموم من وجه؛ حيث إنّ مفادها سببيّة الإحياء للملك، سواء وجد معه الإذن أم لا، ومفاد الخبر عدم حليّة شيء من التصرّفات، سواء كان من الأسباب الناقلة أو غيرها بدون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افتراق الأول عن الثاني، هو الإحياء بدون الطيب، ومورد افتراق الثاني عن الأول هو البيع بدون رضا المالك، ومورد الاجتماع هو الإحياء مع الإذن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الأمر كذلك، فلا بُدَّ من الرجوع أولاً إلى المرجحات الدلاليّة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منتفيةٌ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وثانياً إلى المرجحات الخارجيّة، فلا يكفي نفس دليل الطيب في تقييد المطلقات؛ لعدم كونه مقيّداً ولا حاكماً عليها، بل معارِضاً لها بالتباين الجزئي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الكلي كما قد يتوهم ؛ من جهة أنّ مفاد المطلقات هي النسبة التامة ومفاده توقف الإحياء على الطيب، فيصير الحال هنا هو الحال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ثمنُ العَذَرة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لأنّ المدلول المطابقي للمطلقات ليس هو كون الإحياء سبباً تاماً، بل مفادها المطابقي هي سببيّة الإحياء بنحو الإطلاق، وفي ضمن أيّ فرد وُججِد، وهذا المدلول مُعارضٌ مع ذلك المدلول بنحو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يتخيّل كون دليل الطيب عاماً، ودليل الإحياء خاصاً، فتأمل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لا يصلح نفس دليل الطيب لتقييد المطلقات، بل المقيّد لها الإجماع القائم </w:t>
      </w:r>
    </w:p>
    <w:p>
      <w:pPr>
        <w:pStyle w:val="BookText"/>
        <w:rPr/>
      </w:pPr>
      <w:r>
        <w:rPr>
          <w:rFonts w:ascii="IRNazanin" w:hAnsi="IRNazanin" w:eastAsia="IRNazanin"/>
          <w:color w:val="111111"/>
          <w:sz w:val="28"/>
          <w:sz w:val="28"/>
          <w:szCs w:val="28"/>
          <w:rtl w:val="true"/>
          <w:lang w:bidi="fa-IR"/>
        </w:rPr>
        <w:t xml:space="preserve">على اعتبار الإذن منقولاً </w:t>
      </w:r>
      <w:r>
        <w:rPr>
          <w:rStyle w:val="FootnoteAnchor"/>
          <w:rtl w:val="true"/>
        </w:rPr>
        <w:footnoteReference w:id="495"/>
      </w:r>
      <w:r>
        <w:rPr>
          <w:rFonts w:ascii="Amiri" w:hAnsi="Amiri" w:eastAsia="Amiri" w:cs="Amiri"/>
          <w:color w:val="111111"/>
          <w:sz w:val="28"/>
          <w:sz w:val="28"/>
          <w:szCs w:val="28"/>
          <w:rtl w:val="true"/>
          <w:lang w:bidi="ar-SA"/>
        </w:rPr>
        <w:t xml:space="preserve">، بل محصلًا </w:t>
      </w:r>
      <w:r>
        <w:rPr>
          <w:rStyle w:val="FootnoteAnchor"/>
          <w:rtl w:val="true"/>
        </w:rPr>
        <w:footnoteReference w:id="496"/>
      </w:r>
      <w:r>
        <w:rPr>
          <w:rFonts w:ascii="Amiri" w:hAnsi="Amiri" w:eastAsia="Amiri" w:cs="Amiri"/>
          <w:color w:val="111111"/>
          <w:sz w:val="28"/>
          <w:sz w:val="28"/>
          <w:szCs w:val="28"/>
          <w:rtl w:val="true"/>
          <w:lang w:bidi="ar-SA"/>
        </w:rPr>
        <w:t xml:space="preserve">؛ لكون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 لا يُعبأ به، وبه يمكن ترجيح دليل الطيب على دليل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يبقى الكلام في أنّ المعتبر من الإذن، هو الإذن في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الإذن في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من التقديرين، يُمكن كون الإذن من أجزاء السبب؛ بأن يكون سبب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والإذن، ويُمكن أن يكون الإحياء سبباً تاماً، ويكون الإذن من خصوصيات السبب وقيوده، وبمنزلة علّة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المعتبر من الإذن، هو الإذن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التملّك </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ولا يكفي الإذن في السبب بذاته مع عدم الرضا بالمسبب؛ لكون التملك يصير قهراً على المالك، فيكون منفياً بحكم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يتوهم كفاية الإذن في السبب، مع علم الآذن بترتب المسبب عليه قهراً،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علم الآذن أنَّه يترتب على الإحياء الملك، ولو مع كونه مع الرِّضا، فإذنُه في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 المسبب فيكفي الإذن في الإحياء ولو كان جزء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موقوف على علمه بترتب المسبب عليه قهراً، وهو مبني على عدم اعتبار الإذن في المسبب؛ حيث إنّه لو اعتبر الإذن فيه لا تتحقق القهرية، بل يلزم الإذن الزائد، وهو الإذن في التملك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على تقدير اعتبار الإذن، ولزوم تقييد المطلقات الدالة على سببيّة الإحياء للملك، فهل اللازم تقييد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الإحياء الخاص، وهو المقرون بالإذن </w:t>
      </w:r>
    </w:p>
    <w:p>
      <w:pPr>
        <w:pStyle w:val="BookText"/>
        <w:rPr/>
      </w:pPr>
      <w:r>
        <w:rPr>
          <w:rFonts w:ascii="Amiri" w:hAnsi="Amiri" w:eastAsia="Amiri" w:cs="Amiri"/>
          <w:color w:val="111111"/>
          <w:sz w:val="28"/>
          <w:sz w:val="28"/>
          <w:szCs w:val="28"/>
          <w:rtl w:val="true"/>
          <w:lang w:bidi="ar-SA"/>
        </w:rPr>
        <w:t>سبباً لا المطلق، أو تقييد ترتّب الجزاء على الشرط، وهو حصول الملكية، بمعنى كون الترتّب في الجملة لا مطلقاً، فيكون مفاد القضية الشرطيّة سببيّة الإحياء المطلق للترتب في الجملة، ذلك مبني على رؤية كون أي الظهورين أقوى من الآخر ظهور الشرط في الإطلاق، أو ظهور ترتّب الجزاء على الشرط في الإطلاق، وعدم كونه في الجملة؟</w:t>
      </w:r>
    </w:p>
    <w:p>
      <w:pPr>
        <w:pStyle w:val="BookText"/>
        <w:rPr/>
      </w:pPr>
      <w:r>
        <w:rPr>
          <w:rFonts w:ascii="Amiri" w:hAnsi="Amiri" w:eastAsia="Amiri" w:cs="Amiri"/>
          <w:color w:val="111111"/>
          <w:sz w:val="28"/>
          <w:sz w:val="28"/>
          <w:szCs w:val="28"/>
          <w:rtl w:val="true"/>
          <w:lang w:bidi="ar-SA"/>
        </w:rPr>
        <w:t>الظاهر كون الأخير أقوى من الأول؛ إذ بالتصرّف فيه يلزم رفع اليد عن مفاد القضيّة الشرطيّة، التي مفادها ترتّب الجزاء على الشرط، سواء وجد معه شيء من الدنيا</w:t>
      </w:r>
      <w:r>
        <w:rPr>
          <w:rStyle w:val="FootnoteAnchor"/>
          <w:rtl w:val="true"/>
        </w:rPr>
        <w:footnoteReference w:id="499"/>
      </w:r>
      <w:r>
        <w:rPr>
          <w:rFonts w:ascii="Amiri" w:hAnsi="Amiri" w:eastAsia="Amiri" w:cs="Amiri"/>
          <w:color w:val="111111"/>
          <w:sz w:val="28"/>
          <w:sz w:val="28"/>
          <w:szCs w:val="28"/>
          <w:rtl w:val="true"/>
          <w:lang w:bidi="ar-SA"/>
        </w:rPr>
        <w:t>، أو لم يوجد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كلّه اشتراط الإذن في الإحياء في زمان الحضور؛ للإجماع</w:t>
      </w:r>
      <w:r>
        <w:rPr>
          <w:rStyle w:val="FootnoteAnchor"/>
          <w:rtl w:val="true"/>
        </w:rPr>
        <w:footnoteReference w:id="500"/>
      </w:r>
      <w:r>
        <w:rPr>
          <w:rFonts w:ascii="IRNazanin" w:hAnsi="IRNazanin" w:eastAsia="IRNazanin"/>
          <w:color w:val="111111"/>
          <w:sz w:val="28"/>
          <w:sz w:val="28"/>
          <w:szCs w:val="28"/>
          <w:rtl w:val="true"/>
          <w:lang w:bidi="fa-IR"/>
        </w:rPr>
        <w:t xml:space="preserve">،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يحل </w:t>
      </w:r>
      <w:r>
        <w:rPr>
          <w:rFonts w:eastAsia="IRNazanin" w:cs="IRNazanin"/>
          <w:color w:val="111111"/>
          <w:sz w:val="28"/>
          <w:szCs w:val="28"/>
          <w:rtl w:val="true"/>
          <w:lang w:bidi="fa-IR"/>
        </w:rPr>
        <w:t xml:space="preserve">»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ترجيحه على المطلقات بالإجماع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تمسّك به بعض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التحليل للشيعة في سقوط الإذن للشيعة، فمع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من أصله؛ حيث إنّ ظاهرها اختصاصها بزمان قصور اليد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باستيلاء والي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زمان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بغيبته عجل الله فرجه، وأمّا زمان الغيبة، فالظاهر جواز تملكها بالإحياء من دون اعتبار الإذن فيه لا عموماً ولا خصوصاً، لا لما يلوح من بعضٍ من أنّ عدم الاحتياج إلى الإذن لأجل حصوله؛ لدلالة أخبار الإحياء على الإذن، وكذلك أخبار التحليل للشيعة؛ لأنّ أخبار الإحياء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النصوص بضميمة بعض القرائن التي في بعضها، مثل تعليل جواز الشراء من أرض اليهود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قوم أحيوا </w:t>
      </w:r>
      <w:r>
        <w:rPr>
          <w:rFonts w:eastAsia="Amiri" w:cs="Amiri" w:ascii="Amiri" w:hAnsi="Amiri"/>
          <w:color w:val="111111"/>
          <w:sz w:val="28"/>
          <w:szCs w:val="28"/>
          <w:rtl w:val="true"/>
          <w:lang w:bidi="ar-SA"/>
        </w:rPr>
        <w:t>...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السيّة المطلقة، مع أنه لو سلّم يلزم عدم الاحتياج إلى الإذن في زمان الحضور أيضاً، وهو خلاف الإجماع القطعي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خروجه بالإجماع، ولولاه لم يكن احتياج إليه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مجازفةٌ واضحةٌ، على أنّه لو كان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دليلاً على حصول الملكيّة؛ إذ الدليل ليس غيرها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وتسليم عدم حصول الملكيّة، تسليم من لا روّية له بالفقه وكلمات الفقهاء، فلا يكون في محلّه ، وكذلك الحال في أخبار التحليل؛ حيث إنّه لا يُمكن الأخذ بظاهرها؛ لاشتمالها على ما لا يقول به أحدٌ إلا نادراً، مثل تحليل الخمس مطلقاً، وتحليل الخراج الذي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على الأرض، كما في خبر مسمع</w:t>
      </w:r>
      <w:r>
        <w:rPr>
          <w:rStyle w:val="FootnoteAnchor"/>
          <w:rtl w:val="true"/>
        </w:rPr>
        <w:footnoteReference w:id="5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05"/>
      </w:r>
      <w:r>
        <w:rPr>
          <w:rFonts w:ascii="Amiri" w:hAnsi="Amiri" w:eastAsia="Amiri" w:cs="Amiri"/>
          <w:color w:val="111111"/>
          <w:sz w:val="28"/>
          <w:sz w:val="28"/>
          <w:szCs w:val="28"/>
          <w:rtl w:val="true"/>
          <w:lang w:bidi="ar-SA"/>
        </w:rPr>
        <w:t>وخبر حرث بن المغيرة</w:t>
      </w:r>
      <w:r>
        <w:rPr>
          <w:rStyle w:val="FootnoteAnchor"/>
          <w:rtl w:val="true"/>
        </w:rPr>
        <w:footnoteReference w:id="506"/>
      </w:r>
      <w:r>
        <w:rPr>
          <w:rFonts w:ascii="IRNazanin" w:hAnsi="IRNazanin" w:eastAsia="IRNazanin"/>
          <w:color w:val="111111"/>
          <w:sz w:val="28"/>
          <w:sz w:val="28"/>
          <w:szCs w:val="28"/>
          <w:rtl w:val="true"/>
          <w:lang w:bidi="fa-IR"/>
        </w:rPr>
        <w:t xml:space="preserve">، ولمعارضتها </w:t>
      </w:r>
    </w:p>
    <w:p>
      <w:pPr>
        <w:pStyle w:val="BookText"/>
        <w:rPr/>
      </w:pPr>
      <w:r>
        <w:rPr>
          <w:rFonts w:ascii="Amiri" w:hAnsi="Amiri" w:eastAsia="Amiri" w:cs="Amiri"/>
          <w:color w:val="111111"/>
          <w:sz w:val="28"/>
          <w:sz w:val="28"/>
          <w:szCs w:val="28"/>
          <w:rtl w:val="true"/>
          <w:lang w:bidi="ar-SA"/>
        </w:rPr>
        <w:t>ببعض الأخبار الأُخر الدالة على عدم التحليل، واشتماله على لعن مانعي حقوقهم؛ لعدم إرادة ظاهر الحلِّ مطلقاً؛ حيث إنّ الإمام لا يُشَرَّع له التحليل بالنسبة إلى غير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تحليله من حيث الإمامة لا من حيث الشخص، حتّى لا يتعدّى من زمانه إلى غير زمانه ، فلا بُدَّ من صرفها عن ظاهرها؛ بحملها على معنى آخر، مثل ما أشرنا إليه وغيره، من كون التحليل بمعنى رفع الأثر، وهو كون الولد ولد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ليس عدم الاحتياج إلى الإذن؛ لأجل حصول الإذن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بشاهد</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الحال؛ حيث إنّ الإمام لا يرضى ببقاء الأرض خراباً مواتاً؛ لأنَّه لا يقتضي الإذن الذي كلامنا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الإذن بنفي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يقتضي إذنه الا في الإحياء، وهو لا يقتضي الإذن في التملّك كما هو واضح، مع أنَّه لا يتم في حق المخالفين، مع أنّ المدعى أعمّ، ولا لما ذكره المحقق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لو كان الإذن شرطاً لامتنع الإحياء</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هذا كلامه، فالمقدّمة الأخيرة مطوية، وهو إثبات بطلان التالي، فكأنَّه تركه لوضوحه عنده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المشروع، لا مطلق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لغير المشروع منه؛ حيث إنّه يحصل بدون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شرطاً؛ لأنَّه إن كان مراده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الإذن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ملازمة بينه وبين امتناع الإحياء؛ إذ يحصل بالإذن العام، ولا دليل على اعتبار الإذن الخاص بخصوصه؛ إذ المناط في الجواز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بالعامّ أيضاً، وإنْ كان مراده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مطلق الإذن، فالملازمة ثابتة بعد تقييد الإحياء بالمشروع، لكن نطالبه بدليل بطلان التالي، وإن كان هو الإجماع، وإطلاق أخبار الإحياء، فقد رجعنا إليها، فلا يكون دليلاً على حِدةٍ، وإنْ كان غيره، ففيه منع ظاهر، بل عدم اعتبار الإذن في زمان الغيبة؛ للمطلقات الواردة في الإحياء؛ حيث إنّ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p>
    <w:p>
      <w:pPr>
        <w:pStyle w:val="BookText"/>
        <w:rPr/>
      </w:pPr>
      <w:r>
        <w:rPr>
          <w:rFonts w:ascii="Amiri" w:hAnsi="Amiri" w:eastAsia="Amiri" w:cs="Amiri"/>
          <w:color w:val="111111"/>
          <w:sz w:val="28"/>
          <w:sz w:val="28"/>
          <w:szCs w:val="28"/>
          <w:rtl w:val="true"/>
          <w:lang w:bidi="ar-SA"/>
        </w:rPr>
        <w:t xml:space="preserve">بضميمة بعض الشواهد الثابتة فيها، المقوّية للإطلاق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اعتبار الإذن مطلقاً حتّى في زمان الحضور أيضاً، لكن الإجماع قام على اعتباره فيه، خرجنا عن مقتضاها فيه، فنعمل بإطلاقها في غير مورد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عدم إطلاقها، أو كونها في مقام الإذن، قد عرفت وهنها سابقاً، فراجع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يبقى الإشكال في إحياء الكفار مطلقاً، وإحياء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الإذن في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أخبار التحليل إذناً؛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إحياء المخالف، إذ أخبار الإذن مختص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ما ذكرناه من عدم اعتبار الإذن في الإحياء، حتّى يحتاج إلى جعل أخبار التحليل إذناً، فالظاهر عدم الإشكال في إحياء المخالف ؛ عملاً بالإطلاقات الواردة في الإحياء، وعدم ثبوت مقيّد لها، لا من الإجماع ولا غيره من الروايات الواردة الدالة على اعتبار الطيب؛ إذ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 سابقاً</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إذ بينها عموم من وجه، لا بُدَّ من الرجوع إلى المرجّحات والترجيح للإطلاقات بعد قيام الشهرة على عدم اعتبار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إحياء الكافر، ففيه وجهان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الأخبار، خصوصاً مع ملاحظة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الأراضي المفتوحة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المحياة فيها للمسلمين دون الإمام </w:t>
      </w:r>
      <w:r>
        <w:rPr>
          <w:rStyle w:val="FootnoteAnchor"/>
          <w:rtl w:val="true"/>
        </w:rPr>
        <w:footnoteReference w:id="511"/>
      </w:r>
      <w:r>
        <w:rPr>
          <w:rFonts w:ascii="IRNazanin" w:hAnsi="IRNazanin" w:eastAsia="IRNazanin"/>
          <w:color w:val="111111"/>
          <w:sz w:val="28"/>
          <w:sz w:val="28"/>
          <w:szCs w:val="28"/>
          <w:rtl w:val="true"/>
          <w:lang w:bidi="fa-IR"/>
        </w:rPr>
        <w:t xml:space="preserve">حيث إنَّه يشهد بعدم اعتبار الإذن؛ إذ بعد اعتبار الإذن لا يملك الكافر بالإحياء، فبقي الموات على ملك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معنى لنقله إلى المسلمين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كلمات العلماء هي الأراضي المفتوحة عنوةً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هي المقطوع بكونها مفتوحة عنوةً، وأمّا غيرها فما يكون في زمان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354" w:name="pg9195_77231"/>
    </w:p>
    <w:p>
      <w:pPr>
        <w:pStyle w:val="BookText"/>
        <w:rPr/>
      </w:pPr>
      <w:bookmarkEnd w:id="354"/>
      <w:r>
        <w:rPr>
          <w:rFonts w:ascii="Amiri" w:hAnsi="Amiri" w:eastAsia="Amiri" w:cs="Amiri"/>
          <w:color w:val="111111"/>
          <w:sz w:val="28"/>
          <w:sz w:val="28"/>
          <w:szCs w:val="28"/>
          <w:rtl w:val="true"/>
          <w:lang w:bidi="ar-SA"/>
        </w:rPr>
        <w:t>نادر، وما يكون في زمان عمر لا يكون فما قطع بكونه المفتوحة عنوةً بإذن الإمام، فالغالب من هذه الأراضي إنّما هو قبل صدور الأخبار التي حكم فيها بكون الموات ملك الإمام، لكن لا يخفى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تقييد الإحياء في بعض الأخبار بالمسلم</w:t>
      </w:r>
      <w:r>
        <w:rPr>
          <w:rStyle w:val="FootnoteAnchor"/>
          <w:rtl w:val="true"/>
        </w:rPr>
        <w:footnoteReference w:id="512"/>
      </w:r>
      <w:r>
        <w:rPr>
          <w:rFonts w:ascii="Amiri" w:hAnsi="Amiri" w:eastAsia="Amiri" w:cs="Amiri"/>
          <w:color w:val="111111"/>
          <w:sz w:val="28"/>
          <w:sz w:val="28"/>
          <w:szCs w:val="28"/>
          <w:rtl w:val="true"/>
          <w:lang w:bidi="ar-SA"/>
        </w:rPr>
        <w:t xml:space="preserve">، فيقيّد به الأخبار المطلقة، خصوصاً مع ذهاب المشهور إلى عدم حصول الملْك بإحيائهم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الأظهر هو عدم اعتبار الإسلام؛ عملاً بالأخبار المطلقة الغير المقيدة بشيء؛ لعدم ورود مقيّد لها، ولا يكون مفهوم للقيد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حقق في محلّه من عدم ثبوت مفهوم الوصف </w:t>
      </w:r>
      <w:r>
        <w:rPr>
          <w:rStyle w:val="FootnoteAnchor"/>
          <w:rtl w:val="true"/>
        </w:rPr>
        <w:footnoteReference w:id="514"/>
      </w:r>
      <w:r>
        <w:rPr>
          <w:rFonts w:ascii="Amiri" w:hAnsi="Amiri" w:eastAsia="Amiri" w:cs="Amiri"/>
          <w:color w:val="111111"/>
          <w:sz w:val="28"/>
          <w:sz w:val="28"/>
          <w:szCs w:val="28"/>
          <w:rtl w:val="true"/>
          <w:lang w:bidi="ar-SA"/>
        </w:rPr>
        <w:t>، هذا كلّه في أراضي الموات التي لم يسبق إليها ملك أحد</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3921849_2870459653"/>
      <w:bookmarkStart w:id="356" w:name="_Toc121"/>
      <w:bookmarkEnd w:id="355"/>
      <w:r>
        <w:rPr>
          <w:rtl w:val="true"/>
        </w:rPr>
        <w:t>[</w:t>
      </w:r>
      <w:r>
        <w:rPr>
          <w:rtl w:val="true"/>
        </w:rPr>
        <w:t xml:space="preserve">ثانياً </w:t>
      </w:r>
      <w:r>
        <w:rPr>
          <w:rtl w:val="true"/>
        </w:rPr>
        <w:t xml:space="preserve">: </w:t>
      </w:r>
      <w:r>
        <w:rPr>
          <w:rtl w:val="true"/>
        </w:rPr>
        <w:t>الأرضُ الموات التي سبق إليها ملْك أحد</w:t>
      </w:r>
      <w:r>
        <w:rPr>
          <w:rtl w:val="true"/>
        </w:rPr>
        <w:t>]</w:t>
      </w:r>
      <w:bookmarkEnd w:id="356"/>
    </w:p>
    <w:p>
      <w:pPr>
        <w:pStyle w:val="BookText"/>
        <w:rPr/>
      </w:pPr>
      <w:r>
        <w:rPr>
          <w:rFonts w:ascii="IRNazanin" w:hAnsi="IRNazanin" w:eastAsia="IRNazanin"/>
          <w:color w:val="111111"/>
          <w:sz w:val="28"/>
          <w:sz w:val="28"/>
          <w:szCs w:val="28"/>
          <w:rtl w:val="true"/>
          <w:lang w:bidi="fa-IR"/>
        </w:rPr>
        <w:t xml:space="preserve">وأمّا ما سبق إليها ملك أحد، فإنْ كان مالكها معروفاً، فالظاهر بقاؤه على ملكه، وفي صحة إحياء غيره، بدون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إحيائه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وجهان، بل قولان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يكن مالكها معروفاً، يكون حكمها حكم المجهول المالك، وأمّا المحياة منها، فما كان منها محياة بالأصالة،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بالأخبار الدالة على أنّ جميع الأرض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5"/>
      </w:r>
      <w:r>
        <w:rPr>
          <w:rFonts w:ascii="Amiri" w:hAnsi="Amiri" w:eastAsia="Amiri" w:cs="Amiri"/>
          <w:color w:val="111111"/>
          <w:sz w:val="28"/>
          <w:sz w:val="28"/>
          <w:szCs w:val="28"/>
          <w:rtl w:val="true"/>
          <w:lang w:bidi="ar-SA"/>
        </w:rPr>
        <w:t xml:space="preserve">، وأمّا المحياة بالعرض بأنْ كانت مواتاً أولاً ثم صارت محياة، فحينئذٍ </w:t>
      </w:r>
    </w:p>
    <w:p>
      <w:pPr>
        <w:pStyle w:val="BookText"/>
        <w:rPr/>
      </w:pPr>
      <w:r>
        <w:rPr>
          <w:rFonts w:ascii="Amiri" w:hAnsi="Amiri" w:eastAsia="Amiri" w:cs="Amiri"/>
          <w:color w:val="111111"/>
          <w:sz w:val="28"/>
          <w:sz w:val="28"/>
          <w:szCs w:val="28"/>
          <w:rtl w:val="true"/>
          <w:lang w:bidi="ar-SA"/>
        </w:rPr>
        <w:t xml:space="preserve">فإن كانت بيد المسلمين، وكونهم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المحيين</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 فلا إشكال في ثبوتها في ملكهم، وأمّا ما كانت في أيدي الكفار، فإن كانت في دار الإسلام، فحكمها حكم الأراضي التي بيد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اعتبار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دار الحرب، فيزول ملكهم عنها بما يزول به ملك المسلم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أو طرو الخراب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وبالاغتنام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والاغتنام إنّما هو في غير أرض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والأراضي التي أسلم عليها أهلها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الأراضي التي كانت بيد الكفار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أن تكون مما أسلم عليها أهلها طوعاً، فهي ملكهم كسائر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تكون مما وقع الصلح عليها، بأن تكون الأرض لهم بما يؤدونه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ما شرط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أن يقع الصلح على أن تكون الأرض للمسلمين، والجزية على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مما فتحت عنوةً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الأوّل والثاني، فلا شبهة في كونهما ملكاً لأربابها ، وأمّا الثالث والرابع، فهما ملْك للمسلمين</w:t>
      </w:r>
      <w:r>
        <w:rPr>
          <w:rFonts w:eastAsia="Amiri" w:cs="Amiri" w:ascii="Amiri" w:hAnsi="Amiri"/>
          <w:color w:val="111111"/>
          <w:sz w:val="28"/>
          <w:szCs w:val="28"/>
          <w:rtl w:val="true"/>
          <w:lang w:bidi="ar-SA"/>
        </w:rPr>
        <w:t xml:space="preserve">. </w:t>
      </w:r>
      <w:bookmarkStart w:id="357" w:name="pg9195_77233"/>
    </w:p>
    <w:p>
      <w:pPr>
        <w:pStyle w:val="Heading3"/>
        <w:numPr>
          <w:ilvl w:val="2"/>
          <w:numId w:val="1"/>
        </w:numPr>
        <w:rPr/>
      </w:pPr>
      <w:bookmarkStart w:id="358" w:name="__RefHeading___Toc3921851_2870459653"/>
      <w:bookmarkStart w:id="359" w:name="_Toc122"/>
      <w:bookmarkEnd w:id="357"/>
      <w:bookmarkEnd w:id="358"/>
      <w:r>
        <w:rPr>
          <w:rtl w:val="true"/>
        </w:rPr>
        <w:t>[</w:t>
      </w:r>
      <w:r>
        <w:rPr>
          <w:rtl w:val="true"/>
        </w:rPr>
        <w:t>الكلام في أحكام الأرض المفتوحة عنوةً</w:t>
      </w:r>
      <w:r>
        <w:rPr>
          <w:rtl w:val="true"/>
        </w:rPr>
        <w:t>]</w:t>
      </w:r>
      <w:bookmarkEnd w:id="359"/>
    </w:p>
    <w:p>
      <w:pPr>
        <w:pStyle w:val="BookText"/>
        <w:rPr/>
      </w:pPr>
      <w:r>
        <w:rPr>
          <w:rFonts w:ascii="Amiri" w:hAnsi="Amiri" w:eastAsia="Amiri" w:cs="Amiri"/>
          <w:color w:val="111111"/>
          <w:sz w:val="28"/>
          <w:sz w:val="28"/>
          <w:szCs w:val="28"/>
          <w:rtl w:val="true"/>
          <w:lang w:bidi="ar-SA"/>
        </w:rPr>
        <w:t xml:space="preserve">والكلام هنا في القسم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الأرض التي فتحت عنوةً بخيل وركاب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الخمس فيها وعدمه،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لا خلاف في ثبوت الخمس فيها، ولم يُحكَ الخلاف إلا عن صاحب الحدائق </w:t>
      </w:r>
      <w:r>
        <w:rPr>
          <w:rStyle w:val="FootnoteAnchor"/>
          <w:rtl w:val="true"/>
        </w:rPr>
        <w:footnoteReference w:id="517"/>
      </w:r>
      <w:r>
        <w:rPr>
          <w:rFonts w:ascii="Amiri" w:hAnsi="Amiri" w:eastAsia="Amiri" w:cs="Amiri"/>
          <w:color w:val="111111"/>
          <w:sz w:val="28"/>
          <w:sz w:val="28"/>
          <w:szCs w:val="28"/>
          <w:rtl w:val="true"/>
          <w:lang w:bidi="ar-SA"/>
        </w:rPr>
        <w:t xml:space="preserve">، بل ادعى عليه الإجماع في المدارك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لعموم الغنيمة للأراضي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الغنيمة مطلق الفائدة المكتسبة، كما يظهر ذلك من كلام بعض اللغويّين </w:t>
      </w:r>
      <w:r>
        <w:rPr>
          <w:rStyle w:val="FootnoteAnchor"/>
          <w:rtl w:val="true"/>
        </w:rPr>
        <w:footnoteReference w:id="520"/>
      </w:r>
      <w:r>
        <w:rPr>
          <w:rFonts w:ascii="Amiri" w:hAnsi="Amiri" w:eastAsia="Amiri" w:cs="Amiri"/>
          <w:color w:val="111111"/>
          <w:sz w:val="28"/>
          <w:sz w:val="28"/>
          <w:szCs w:val="28"/>
          <w:rtl w:val="true"/>
          <w:lang w:bidi="ar-SA"/>
        </w:rPr>
        <w:t>، وكلام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 في التذكرة</w:t>
      </w:r>
      <w:r>
        <w:rPr>
          <w:rStyle w:val="FootnoteAnchor"/>
          <w:rtl w:val="true"/>
        </w:rPr>
        <w:footnoteReference w:id="521"/>
      </w:r>
      <w:r>
        <w:rPr>
          <w:rFonts w:ascii="Amiri" w:hAnsi="Amiri" w:eastAsia="Amiri" w:cs="Amiri"/>
          <w:color w:val="111111"/>
          <w:sz w:val="28"/>
          <w:sz w:val="28"/>
          <w:szCs w:val="28"/>
          <w:rtl w:val="true"/>
          <w:lang w:bidi="ar-SA"/>
        </w:rPr>
        <w:t>، والشهيد في البيان</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عنهما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الأخبار كخبر محمد بن سنان عن عبد الصمد عن حكيم،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الإفادة يوماً بيوم</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قلنا بكونها خصوص ما يغنمه الغانمون في الحرب؛ إذ هي عبارة عما يحصل للشخص بسبب الحرب،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ظهور الغنيمة المطلقة في المنقول، أو الغنيمة المقيّدة بسبب الحرب دعوى بلا بينة، فلا يصغى إليها</w:t>
      </w:r>
    </w:p>
    <w:p>
      <w:pPr>
        <w:pStyle w:val="BookText"/>
        <w:rPr/>
      </w:pPr>
      <w:r>
        <w:rPr>
          <w:rFonts w:ascii="Amiri" w:hAnsi="Amiri" w:eastAsia="Amiri" w:cs="Amiri"/>
          <w:color w:val="111111"/>
          <w:sz w:val="28"/>
          <w:sz w:val="28"/>
          <w:szCs w:val="28"/>
          <w:rtl w:val="true"/>
          <w:lang w:bidi="ar-SA"/>
        </w:rPr>
        <w:t>ومِنْ السُّنة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ثبوت الخمس في الغنائم لا بنحو الانحصار، كما في خبر عبد الله بن سنان </w:t>
      </w:r>
      <w:r>
        <w:rPr>
          <w:rStyle w:val="FootnoteAnchor"/>
          <w:rtl w:val="true"/>
        </w:rPr>
        <w:footnoteReference w:id="526"/>
      </w:r>
      <w:r>
        <w:rPr>
          <w:rFonts w:ascii="Amiri" w:hAnsi="Amiri" w:eastAsia="Amiri" w:cs="Amiri"/>
          <w:color w:val="111111"/>
          <w:sz w:val="28"/>
          <w:sz w:val="28"/>
          <w:szCs w:val="28"/>
          <w:rtl w:val="true"/>
          <w:lang w:bidi="ar-SA"/>
        </w:rPr>
        <w:t xml:space="preserve">، أو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ابن أبي عمير </w:t>
      </w:r>
      <w:r>
        <w:rPr>
          <w:rStyle w:val="FootnoteAnchor"/>
          <w:rtl w:val="true"/>
        </w:rPr>
        <w:footnoteReference w:id="527"/>
      </w:r>
      <w:r>
        <w:rPr>
          <w:rFonts w:ascii="Amiri" w:hAnsi="Amiri" w:eastAsia="Amiri" w:cs="Amiri"/>
          <w:color w:val="111111"/>
          <w:sz w:val="28"/>
          <w:sz w:val="28"/>
          <w:szCs w:val="28"/>
          <w:rtl w:val="true"/>
          <w:lang w:bidi="ar-SA"/>
        </w:rPr>
        <w:t>، وتقريبهما كالتقريب في الآية بعينه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حمزة الثمالي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جعل لنا أهل البيت سهاماً ثلاثة في جميع الفيء، 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 xml:space="preserve">، فنحن أصحاب الخمس والفيء، وقد حرّمناه على جميع الناس، ما خلا شيعتنا، والله يا أبا حمزة، ما من أرض تفتح، ولا خُمس يُخمس، فيصرف علی شيء منه إلا كان حراماً على من يُصيبه فرجاً أو مالاً </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وبفقراته الثلاث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جميع الفيء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العموم بالنسبة إلى جميع أجزاء الفيء </w:t>
      </w:r>
    </w:p>
    <w:p>
      <w:pPr>
        <w:pStyle w:val="BookText"/>
        <w:rPr/>
      </w:pPr>
      <w:r>
        <w:rPr>
          <w:rFonts w:ascii="Amiri" w:hAnsi="Amiri" w:eastAsia="Amiri" w:cs="Amiri"/>
          <w:color w:val="111111"/>
          <w:sz w:val="28"/>
          <w:sz w:val="28"/>
          <w:szCs w:val="28"/>
          <w:rtl w:val="true"/>
          <w:lang w:bidi="ar-SA"/>
        </w:rPr>
        <w:t>خاصةً، أو هو مع العموم بالنسبة إلى الأفراد أيضاً؛ حيث إنّ الظاهر من الجميع في أمثال المقام إنّما هو العموم المجموعي،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جميعَ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وبإضافة الجميع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الاستغراق بالنسبة إلى أفراد الفيء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العموم منصرفاً إلى خصوص الأفراد، حتّى يُقال بعدم دلالتها على ثبوت الخمس في جميع أجزائه حتّى في غير المنقول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بالآية؛ حيث إنّه يكشف عن ثبوت الخمس في مطلق الفائدة، ويُمكن استكشاف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الآية، والرواية من الآخر على التقريب الذي ذكر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أرض تفتح ، ولا خمس يُخمَّس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على كون الأخير عطفاً تفسيرياً للفقرة الأولى، وكانت توطئةً لذكر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يُبَعِّده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له ظهوراً ما في كونها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خمس يُخمَّس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مال يُخَمَّس ؛ لكون الخمس عبارة عمّا يخمَّس، أو خمس يُفرض ويقسّم، فيضرب على شيء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ضرب اليد على شيء منه، ويكون كنايةً عن التصرّفات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ويُبَعِّد ما ذكرنا من 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مالاً كان أو فرجاً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الظاهر أنّ المال والفرج هو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المذكور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والمال ظاهره في المنقول، خصوصاً بعد تعلّق الضرب وليصيب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شيء قوتل على شهادة أن لا إله إلا الله، ففيه الخمس</w:t>
      </w:r>
      <w:r>
        <w:rPr>
          <w:rFonts w:eastAsia="IRNazanin" w:cs="IRNazanin"/>
          <w:color w:val="111111"/>
          <w:sz w:val="28"/>
          <w:szCs w:val="28"/>
          <w:rtl w:val="true"/>
          <w:lang w:bidi="fa-IR"/>
        </w:rPr>
        <w:t xml:space="preserve">»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موثقة سماعة عن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قليل أو كثير</w:t>
      </w:r>
      <w:r>
        <w:rPr>
          <w:rFonts w:eastAsia="IRNazanin" w:cs="IRNazanin"/>
          <w:color w:val="111111"/>
          <w:sz w:val="28"/>
          <w:szCs w:val="28"/>
          <w:rtl w:val="true"/>
          <w:lang w:bidi="fa-IR"/>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حيث إنَّ الإفادة ظاهرة، بل صريحة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الأخبار، ولا يكون لها معارضٌ سوى الأخبار الدالّة على كيفية تقسيم </w:t>
      </w:r>
    </w:p>
    <w:p>
      <w:pPr>
        <w:pStyle w:val="BookText"/>
        <w:rPr/>
      </w:pPr>
      <w:r>
        <w:rPr>
          <w:rFonts w:ascii="Amiri" w:hAnsi="Amiri" w:eastAsia="Amiri" w:cs="Amiri"/>
          <w:color w:val="111111"/>
          <w:sz w:val="28"/>
          <w:sz w:val="28"/>
          <w:szCs w:val="28"/>
          <w:rtl w:val="true"/>
          <w:lang w:bidi="ar-SA"/>
        </w:rPr>
        <w:t>الغنيمة؛ حيث إنّ مفادها انقسام الغنيمة بقول مطلق إلى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للإمام، وأربعة أقسام للمقاتلين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إنّ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سوى الأرض؛ لعدم ثبوت حقّ للمقاتلين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إنّهم مقاتلون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فذكر الغنيمة في هذه الأخبار بقول مطلق، مع كون المراد خصوص المنقول، يرشد إلى كون المراد من الغنيمة في أخبار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مرسلة حماد الطويلة،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والأرضون التي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 وركاب، فهي موقوفة متروكة في أيدي من يعمّرها ويحييها، ويقوم عليها، على ما يصالحهم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من ذلك قليل ولا كثير </w:t>
      </w:r>
      <w:r>
        <w:rPr>
          <w:rFonts w:eastAsia="Amiri" w:cs="Amiri" w:ascii="Amiri" w:hAnsi="Amiri"/>
          <w:color w:val="111111"/>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حيث إنّ ظاهر الجمع المحلّى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العموم، وعمومه بالنسبة إلى جميع الأرض المأخوذة عنوةً، لا بالنسبة إلى الأفراد التي تؤخذ في كلّ حرب، فيفيد أنّ جميع الأرض مالُ المسلمين من دون استثناء شيء منها، وكذلك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له من ذلك قليل ولا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عدم ثبوت الخمس، وإلّا لكان له في الأراضي شيء ومن منافعها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لا يخفى عدم صلاحيتها لمعارضة الإطلاقات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أخبار القسمة؛ فلأنَّها بصدد كيفيّة القسمة، ولا يكون بصدد بيان الموضوع أيضاً، ولو سلّمنا إطلاقها، فهي لمعارضة الأخبار السابقة قاصرة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وكثرةً، واعتضاداً بالشهرة، بل بالإجماع، وبالكتاب، مع أنَّه لو وقع التعارض بينها لا يوجب ذلك رفع اليد عن 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معارضة لها، معارضة لها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الأخبار ، مع كون المراد خصوص المنقول، يوجب معهوديّة للغنائم في المنقول في لسان الأخبار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مطلقاً ، فافهم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الحال في المرسلة؛ لعدم تسليم ثبوت العموم فيها بالنسبة إلى أجزاء الأراضي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لا يكون العموم بالنسبة إلى أفراد الأراضي؟ بل هو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لا دلالة فيه على المدّعى؛ إذ هو تابع للموضوع في أول الخبر، ولا يُعلم إرادة العموم منه ، مع أنَّه مع الغضّ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الأخذ بظاهره؛ حيث إنّه من أحد أفراد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فالظاهر عدم الإشكال في ثبوت الخمس فيها، فما يظهر من صاحب الحدائق </w:t>
      </w:r>
      <w:r>
        <w:rPr>
          <w:rStyle w:val="FootnoteAnchor"/>
          <w:rtl w:val="true"/>
        </w:rPr>
        <w:footnoteReference w:id="533"/>
      </w:r>
      <w:r>
        <w:rPr>
          <w:rFonts w:ascii="IRNazanin" w:hAnsi="IRNazanin" w:eastAsia="IRNazanin"/>
          <w:color w:val="111111"/>
          <w:sz w:val="28"/>
          <w:sz w:val="28"/>
          <w:szCs w:val="28"/>
          <w:rtl w:val="true"/>
          <w:lang w:bidi="fa-IR"/>
        </w:rPr>
        <w:t>لاوجه له جداً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الكلام في أنّه مُحَلَّل للشيعة في زمان الغيبة، أو يكون حاله كسائر الأخماس، فلا ربط له بهذا المقام</w:t>
      </w:r>
      <w:r>
        <w:rPr>
          <w:rFonts w:eastAsia="Amiri" w:cs="Amiri" w:ascii="Amiri" w:hAnsi="Amiri"/>
          <w:color w:val="111111"/>
          <w:sz w:val="28"/>
          <w:szCs w:val="28"/>
          <w:rtl w:val="true"/>
          <w:lang w:bidi="ar-SA"/>
        </w:rPr>
        <w:t xml:space="preserve">. </w:t>
      </w:r>
      <w:bookmarkStart w:id="360" w:name="pg9195_77238"/>
    </w:p>
    <w:p>
      <w:pPr>
        <w:pStyle w:val="Heading3"/>
        <w:numPr>
          <w:ilvl w:val="2"/>
          <w:numId w:val="1"/>
        </w:numPr>
        <w:rPr/>
      </w:pPr>
      <w:bookmarkStart w:id="361" w:name="__RefHeading___Toc3921853_2870459653"/>
      <w:bookmarkStart w:id="362" w:name="_Toc123"/>
      <w:bookmarkEnd w:id="360"/>
      <w:bookmarkEnd w:id="361"/>
      <w:r>
        <w:rPr>
          <w:rtl w:val="true"/>
        </w:rPr>
        <w:t>[</w:t>
      </w:r>
      <w:r>
        <w:rPr>
          <w:rtl w:val="true"/>
        </w:rPr>
        <w:t>الكلام في حكم بقيّة أقسام الأرضين</w:t>
      </w:r>
      <w:r>
        <w:rPr>
          <w:rtl w:val="true"/>
        </w:rPr>
        <w:t>]</w:t>
      </w:r>
      <w:bookmarkEnd w:id="362"/>
    </w:p>
    <w:p>
      <w:pPr>
        <w:pStyle w:val="BookText"/>
        <w:rPr/>
      </w:pPr>
      <w:r>
        <w:rPr>
          <w:rFonts w:ascii="Amiri" w:hAnsi="Amiri" w:eastAsia="Amiri" w:cs="Amiri"/>
          <w:color w:val="111111"/>
          <w:sz w:val="28"/>
          <w:sz w:val="28"/>
          <w:szCs w:val="28"/>
          <w:rtl w:val="true"/>
          <w:lang w:bidi="ar-SA"/>
        </w:rPr>
        <w:t xml:space="preserve">فالمهم الآن أنْ نَصْرف عِنان الكلام إلى الكلام في حكم الأقسام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الأراضي، فنقول وبالله التوفيق، وعليه التكلان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ملكها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نقلها إمّا مستقلةً، أو تابعةً للآثار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التصرّف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قليل الثمرة من حيث العمل، إلا أنّه لمّا لا يخلو من ثمرة علميّة، لا غرو في التعرّض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يظهر بصريح من جماعة </w:t>
      </w:r>
      <w:r>
        <w:rPr>
          <w:rStyle w:val="FootnoteAnchor"/>
          <w:rtl w:val="true"/>
        </w:rPr>
        <w:footnoteReference w:id="534"/>
      </w:r>
      <w:r>
        <w:rPr>
          <w:rFonts w:ascii="Amiri" w:hAnsi="Amiri" w:eastAsia="Amiri" w:cs="Amiri"/>
          <w:color w:val="111111"/>
          <w:sz w:val="28"/>
          <w:sz w:val="28"/>
          <w:szCs w:val="28"/>
          <w:rtl w:val="true"/>
          <w:lang w:bidi="ar-SA"/>
        </w:rPr>
        <w:t xml:space="preserve">كونها ملكاً للمسلمين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بمعنى صرف منافعها في مصالحهم العامة، وهو الظاهر من أكثر العلماء حيث عبّروا بكونها ملكاً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ظهور العبارة المذكورة في ملك الرقبة، وهو الظاهر من بعض الأخبار المشتملة على هذه العبارة وغيرها أيضاً، ولا بأس بالإشارة إلى بعض الأخبار التي تكون ظاهرةً في ذلك، أو ادُّعي ظهورها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بردة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المسؤول فيها عن بيع أرض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يبيع ذلك؟ هي أرض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يبيعها الذي هي في يده،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ويصنع بخراج المسلمين ماذا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اشترِ حقّه منها، ويحوّل حق المسلمين عليه ولعلّه يكون أقوى بخراجهم، وأولى منه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إنّ ظاهر إنكاره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لبيعه كونها ملك الغير، فكيف يجوز 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w:t>
      </w:r>
    </w:p>
    <w:p>
      <w:pPr>
        <w:pStyle w:val="BookText"/>
        <w:rPr/>
      </w:pPr>
      <w:r>
        <w:rPr>
          <w:rFonts w:ascii="IRNazanin" w:hAnsi="IRNazanin" w:eastAsia="IRNazanin"/>
          <w:color w:val="111111"/>
          <w:sz w:val="28"/>
          <w:sz w:val="28"/>
          <w:szCs w:val="28"/>
          <w:rtl w:val="true"/>
          <w:lang w:bidi="fa-IR"/>
        </w:rPr>
        <w:t xml:space="preserve">الإضافة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أرض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 بل صريحة في الاختصاص بهم، الظاهر في الملك عند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الحقّ ظاهر في حق الأولوية، فيدل على انحصار حق المشتري فيها دون غيره من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ذكرها </w:t>
      </w:r>
      <w:r>
        <w:rPr>
          <w:rStyle w:val="FootnoteAnchor"/>
          <w:rtl w:val="true"/>
        </w:rPr>
        <w:footnoteReference w:id="536"/>
      </w:r>
      <w:r>
        <w:rPr>
          <w:rFonts w:ascii="IRNazanin" w:hAnsi="IRNazanin" w:eastAsia="IRNazanin"/>
          <w:color w:val="111111"/>
          <w:sz w:val="28"/>
          <w:sz w:val="28"/>
          <w:szCs w:val="28"/>
          <w:rtl w:val="true"/>
          <w:lang w:bidi="fa-IR"/>
        </w:rPr>
        <w:t xml:space="preserve">؛ حيث صرّح فيها بكونها أرض المسلمين، وأيضاً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موقوفة متروكة في أيدي من يعمرها</w:t>
      </w:r>
      <w:r>
        <w:rPr>
          <w:rFonts w:eastAsia="IRNazanin" w:cs="IRNazanin"/>
          <w:color w:val="111111"/>
          <w:sz w:val="28"/>
          <w:szCs w:val="28"/>
          <w:rtl w:val="true"/>
          <w:lang w:bidi="fa-IR"/>
        </w:rPr>
        <w:t>»</w:t>
      </w:r>
      <w:r>
        <w:rPr>
          <w:rStyle w:val="FootnoteAnchor"/>
          <w:rtl w:val="true"/>
        </w:rPr>
        <w:footnoteReference w:id="537"/>
      </w:r>
      <w:r>
        <w:rPr>
          <w:rFonts w:ascii="Amiri" w:hAnsi="Amiri" w:eastAsia="Amiri" w:cs="Amiri"/>
          <w:color w:val="111111"/>
          <w:sz w:val="28"/>
          <w:sz w:val="28"/>
          <w:szCs w:val="28"/>
          <w:rtl w:val="true"/>
          <w:lang w:bidi="ar-SA"/>
        </w:rPr>
        <w:t>يشهد لذلك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وأصرح منها صحيحة الحلبي،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السواد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لجميع المسلمين لمن هو اليوم، ولمن دخل في الإسلام بعد اليوم، ولمن لم يخلق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نشتريه من الدهاقين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 إلا أن يشتريها منهم، على أن يصيّرها للمسلمين فإن شاء ولي الأمر أن يأخذها ،أخذها،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عليه رأس ماله، وله ما أكل من غلتها بما عمل</w:t>
      </w:r>
      <w:r>
        <w:rPr>
          <w:rFonts w:eastAsia="IRNazanin" w:cs="IRNazanin"/>
          <w:color w:val="111111"/>
          <w:sz w:val="28"/>
          <w:szCs w:val="28"/>
          <w:rtl w:val="true"/>
          <w:lang w:bidi="fa-IR"/>
        </w:rPr>
        <w:t xml:space="preserve">»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ظاهر في كون رقبة الأرض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تعميمه بالنسبة إلى من لم يخلق بعدُ؛ لعدم كونه عادم النظير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على المسلمين، حيث إنّ الظاهر أنّ رقبة الأرض ملكهم، مع أنَّهم غير موجودين حين 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ينافيه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أن يصيّرها للمسلمين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ليس المراد جعله للمسلمين بعد ذلك، بل المراد شراؤها بعنوان كونها للمسلمين، فيصير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انتقال حق الأولويّة، لا شراء العين وغير ذلك</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ينافي ما ذكر رواية شريح عن شراء الأرض الخراج،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أرض الخراج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يشتريها الرجل وعليه خراجها؟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إلّا </w:t>
      </w:r>
    </w:p>
    <w:p>
      <w:pPr>
        <w:pStyle w:val="BookText"/>
        <w:rPr/>
      </w:pPr>
      <w:r>
        <w:rPr>
          <w:rFonts w:ascii="Amiri" w:hAnsi="Amiri" w:eastAsia="Amiri" w:cs="Amiri"/>
          <w:color w:val="111111"/>
          <w:sz w:val="28"/>
          <w:sz w:val="28"/>
          <w:szCs w:val="28"/>
          <w:rtl w:val="true"/>
          <w:lang w:bidi="ar-SA"/>
        </w:rPr>
        <w:t>أن يستحي من عيب ذلك</w:t>
      </w:r>
      <w:r>
        <w:rPr>
          <w:rFonts w:eastAsia="Amiri" w:cs="Amiri" w:ascii="Amiri" w:hAnsi="Amiri"/>
          <w:color w:val="111111"/>
          <w:sz w:val="28"/>
          <w:szCs w:val="28"/>
          <w:rtl w:val="true"/>
          <w:lang w:bidi="ar-SA"/>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لإمكان حملها على أرض الجزية، ويشهد 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يستحي من 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العيب في أخذ الأرض المفتوحة عنوةً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فالأخبار الظاهرة في كونها ملك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رقبتها ملكاً لهم ،لا مجرد صرف منافعها في مصالحهم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في الغاية فلا يناسب إنكارها بهذا المعنى، هذا ما أفاد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الظاهر عدم ثبوت دليل للملكيّة بهذا المعنى؛ لعدم ثبوت أزيد من الإضافة إليهم من الأخبار المذكورة، التي يكتفى فيها بكونهم مصرفها ، وإنكاره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للبيع ليس لأجل كون الرقبة ملكهم، بل لأجل كون البيع الواقع في السؤال ظاهراً في 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المتعارف</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الملكيّة من غير ثبوت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صار محلّاً للإنكار، ويشهد 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يصنع بخراج المسلمين ماذا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حيث إنّه يظهر منه أنّ المانع من البيع هو الخراج لا غيره، مع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لم يخلق بعد كالصريح في عدم كون المراد من الإضافة هي ملكيّة الرقبة، كيف والحال أن الملكيّة سلطنة عقلائية لا يُمكن اعتبارها بين الملك والمعدوم؟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على هذا يلزم تبدّل الملك كلّ يوم يوم؛ إذ للمسلم الذي يوجد في الزمان اللاحق أي يصير شريكاً للموجودين بمجرد وجوده، فيلزم خروج حصة مما كان لهم سابقاً، مع أنَّه يلزم تملك الشخص حصةً غير معيّنة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حمل رواية شريح على أرض الجزية لا وجه له؛ لعدم الشاهد له حتّى تُرفع اليد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للشاهديّة كما لا يخفى، مع أنَّه يلزم على ما ذكره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تقبيلها وإجارتها؛ إذ يلزم من صحتها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تملك الشخص مال نفسه بالنسبة إلى حصته؛ إذ الإجارة إنّما وقعت على جميع الأرض، </w:t>
      </w:r>
    </w:p>
    <w:p>
      <w:pPr>
        <w:pStyle w:val="BookText"/>
        <w:rPr/>
      </w:pPr>
      <w:r>
        <w:rPr>
          <w:rFonts w:ascii="Amiri" w:hAnsi="Amiri" w:eastAsia="Amiri" w:cs="Amiri"/>
          <w:color w:val="111111"/>
          <w:sz w:val="28"/>
          <w:sz w:val="28"/>
          <w:szCs w:val="28"/>
          <w:rtl w:val="true"/>
          <w:lang w:bidi="ar-SA"/>
        </w:rPr>
        <w:t>الذي يكون مشتركاً بينه وبين غيره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لا دليلَ على ملكيّة الرقبة ، بل الملكيّة لهم بمعنى صرفها في مصالحهم العامة، كما صرح به جماعة من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اللمعة</w:t>
      </w:r>
      <w:r>
        <w:rPr>
          <w:rStyle w:val="FootnoteAnchor"/>
          <w:rtl w:val="true"/>
        </w:rPr>
        <w:footnoteReference w:id="542"/>
      </w:r>
      <w:r>
        <w:rPr>
          <w:rFonts w:ascii="Amiri" w:hAnsi="Amiri" w:eastAsia="Amiri" w:cs="Amiri"/>
          <w:color w:val="111111"/>
          <w:sz w:val="28"/>
          <w:sz w:val="28"/>
          <w:szCs w:val="28"/>
          <w:rtl w:val="true"/>
          <w:lang w:bidi="ar-SA"/>
        </w:rPr>
        <w:t xml:space="preserve">، والأردبيلي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w:t>
      </w:r>
      <w:r>
        <w:rPr>
          <w:rStyle w:val="FootnoteAnchor"/>
          <w:rtl w:val="true"/>
        </w:rPr>
        <w:footnoteReference w:id="543"/>
      </w:r>
      <w:r>
        <w:rPr>
          <w:rFonts w:ascii="Amiri" w:hAnsi="Amiri" w:eastAsia="Amiri" w:cs="Amiri"/>
          <w:color w:val="111111"/>
          <w:sz w:val="28"/>
          <w:sz w:val="28"/>
          <w:szCs w:val="28"/>
          <w:rtl w:val="true"/>
          <w:lang w:bidi="ar-SA"/>
        </w:rPr>
        <w:t xml:space="preserve">، والمحقق السبزواري في الكفاية </w:t>
      </w:r>
      <w:r>
        <w:rPr>
          <w:rStyle w:val="FootnoteAnchor"/>
          <w:rtl w:val="true"/>
        </w:rPr>
        <w:footnoteReference w:id="544"/>
      </w:r>
      <w:r>
        <w:rPr>
          <w:rFonts w:ascii="Amiri" w:hAnsi="Amiri" w:eastAsia="Amiri" w:cs="Amiri"/>
          <w:color w:val="111111"/>
          <w:sz w:val="28"/>
          <w:sz w:val="28"/>
          <w:szCs w:val="28"/>
          <w:rtl w:val="true"/>
          <w:lang w:bidi="ar-SA"/>
        </w:rPr>
        <w:t xml:space="preserve">، وغيرهم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الرقبة ملك بلا مالك، أو مال الإمام، أو لله تعالى؟</w:t>
      </w:r>
    </w:p>
    <w:p>
      <w:pPr>
        <w:pStyle w:val="BookText"/>
        <w:rPr/>
      </w:pPr>
      <w:r>
        <w:rPr>
          <w:rFonts w:ascii="IRNazanin" w:hAnsi="IRNazanin" w:eastAsia="IRNazanin"/>
          <w:color w:val="111111"/>
          <w:sz w:val="28"/>
          <w:sz w:val="28"/>
          <w:szCs w:val="28"/>
          <w:rtl w:val="true"/>
          <w:lang w:bidi="fa-IR"/>
        </w:rPr>
        <w:t xml:space="preserve">لم يظهر دليل على إثبات شيء منها، وإن كان مقتضى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كونها ملكاً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بيعها، وصلحها ، وغيرهما من الوجوه الناقلة، فالظاهر عدم صحتها، سواء كانت مستقلة أو تبعاً للآثار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فالظاهر عدم ثبوت الخلاف، ولم ينقل الخلاف من أحد من العلماء إلا عن صاحب الذخيرة </w:t>
      </w:r>
      <w:r>
        <w:rPr>
          <w:rStyle w:val="FootnoteAnchor"/>
          <w:rtl w:val="true"/>
        </w:rPr>
        <w:footnoteReference w:id="546"/>
      </w:r>
      <w:r>
        <w:rPr>
          <w:rFonts w:ascii="Amiri" w:hAnsi="Amiri" w:eastAsia="Amiri" w:cs="Amiri"/>
          <w:color w:val="111111"/>
          <w:sz w:val="28"/>
          <w:sz w:val="28"/>
          <w:szCs w:val="28"/>
          <w:rtl w:val="true"/>
          <w:lang w:bidi="ar-SA"/>
        </w:rPr>
        <w:t xml:space="preserve">، وبالتالي حكاية الخلاف عن الأردبيلي </w:t>
      </w:r>
      <w:r>
        <w:rPr>
          <w:rStyle w:val="FootnoteAnchor"/>
          <w:rtl w:val="true"/>
        </w:rPr>
        <w:footnoteReference w:id="547"/>
      </w:r>
      <w:r>
        <w:rPr>
          <w:rFonts w:ascii="Amiri" w:hAnsi="Amiri" w:eastAsia="Amiri" w:cs="Amiri"/>
          <w:color w:val="111111"/>
          <w:sz w:val="28"/>
          <w:sz w:val="28"/>
          <w:szCs w:val="28"/>
          <w:rtl w:val="true"/>
          <w:lang w:bidi="ar-SA"/>
        </w:rPr>
        <w:t>، ويدل عليه الأخبار أيضاً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الإشكال والخلاف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بيعها تبعاً للآث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كتبعيّة المفتاح لبيع الدار، وتبعيّة ثياب العبد للعبد، بحيث لا يكون جزءاً للمبيع، بل بمعنى الجزئية والضميمة، نظير العبد الآبق، كما صرّح بذلك الشهيد في المسالك </w:t>
      </w:r>
      <w:r>
        <w:rPr>
          <w:rStyle w:val="FootnoteAnchor"/>
          <w:rtl w:val="true"/>
        </w:rPr>
        <w:footnoteReference w:id="548"/>
      </w:r>
      <w:r>
        <w:rPr>
          <w:rFonts w:ascii="Amiri" w:hAnsi="Amiri" w:eastAsia="Amiri" w:cs="Amiri"/>
          <w:color w:val="111111"/>
          <w:sz w:val="28"/>
          <w:sz w:val="28"/>
          <w:szCs w:val="28"/>
          <w:rtl w:val="true"/>
          <w:lang w:bidi="ar-SA"/>
        </w:rPr>
        <w:t xml:space="preserve">، وذكر جماعة </w:t>
      </w:r>
      <w:r>
        <w:rPr>
          <w:rStyle w:val="FootnoteAnchor"/>
          <w:rtl w:val="true"/>
        </w:rPr>
        <w:footnoteReference w:id="549"/>
      </w:r>
      <w:r>
        <w:rPr>
          <w:rFonts w:ascii="Amiri" w:hAnsi="Amiri" w:eastAsia="Amiri" w:cs="Amiri"/>
          <w:color w:val="111111"/>
          <w:sz w:val="28"/>
          <w:sz w:val="28"/>
          <w:szCs w:val="28"/>
          <w:rtl w:val="true"/>
          <w:lang w:bidi="ar-SA"/>
        </w:rPr>
        <w:t xml:space="preserve">جواز بيعها تبعاً للآثار، </w:t>
      </w:r>
    </w:p>
    <w:p>
      <w:pPr>
        <w:pStyle w:val="BookText"/>
        <w:rPr/>
      </w:pPr>
      <w:r>
        <w:rPr>
          <w:rFonts w:ascii="Amiri" w:hAnsi="Amiri" w:eastAsia="Amiri" w:cs="Amiri"/>
          <w:color w:val="111111"/>
          <w:sz w:val="28"/>
          <w:sz w:val="28"/>
          <w:szCs w:val="28"/>
          <w:rtl w:val="true"/>
          <w:lang w:bidi="ar-SA"/>
        </w:rPr>
        <w:t xml:space="preserve">وأنكره جماعة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والأظهر عدم جواز بيعها لا مستقلة ولا تبعاً؛ لأنّ الجواز محتاج إلى الدليل، وهو مفقود، فبقي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تحت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يتخيل كونه دليلاً، لا دلالة له أصلاً أمّا الأخبار المذكورة سابقاً</w:t>
      </w:r>
      <w:r>
        <w:rPr>
          <w:rStyle w:val="FootnoteAnchor"/>
          <w:rtl w:val="true"/>
        </w:rPr>
        <w:footnoteReference w:id="552"/>
      </w:r>
      <w:r>
        <w:rPr>
          <w:rFonts w:ascii="Amiri" w:hAnsi="Amiri" w:eastAsia="Amiri" w:cs="Amiri"/>
          <w:color w:val="111111"/>
          <w:sz w:val="28"/>
          <w:sz w:val="28"/>
          <w:szCs w:val="28"/>
          <w:rtl w:val="true"/>
          <w:lang w:bidi="ar-SA"/>
        </w:rPr>
        <w:t xml:space="preserve">فلعدم التصريح في شيء منها بجواز نقل الأرض بالنقل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المتعارف </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 xml:space="preserve">الذي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الأرض إلى غيره مع سقوط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محل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حقه</w:t>
      </w:r>
      <w:r>
        <w:rPr>
          <w:rFonts w:eastAsia="IRNazanin" w:cs="IRNazanin"/>
          <w:color w:val="111111"/>
          <w:sz w:val="28"/>
          <w:szCs w:val="28"/>
          <w:rtl w:val="true"/>
          <w:lang w:bidi="fa-IR"/>
        </w:rPr>
        <w:t>»</w:t>
      </w:r>
      <w:r>
        <w:rPr>
          <w:rStyle w:val="FootnoteAnchor"/>
          <w:rtl w:val="true"/>
        </w:rPr>
        <w:footnoteReference w:id="554"/>
      </w:r>
      <w:r>
        <w:rPr>
          <w:rFonts w:ascii="Amiri" w:hAnsi="Amiri" w:eastAsia="Amiri" w:cs="Amiri"/>
          <w:color w:val="111111"/>
          <w:sz w:val="28"/>
          <w:sz w:val="28"/>
          <w:szCs w:val="28"/>
          <w:rtl w:val="true"/>
          <w:lang w:bidi="ar-SA"/>
        </w:rPr>
        <w:t>، ظاهر في عدم جواز غير نقل الحق، الذي يكون المراد به حق الأولوية، أو نفس البناء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يدل على عدم جواز البيع إنكاره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يبيعها ؟</w:t>
      </w:r>
      <w:r>
        <w:rPr>
          <w:rFonts w:eastAsia="IRNazanin" w:cs="IRNazanin"/>
          <w:color w:val="111111"/>
          <w:sz w:val="28"/>
          <w:szCs w:val="28"/>
          <w:rtl w:val="true"/>
          <w:lang w:bidi="fa-IR"/>
        </w:rPr>
        <w:t xml:space="preserve">!»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لا يُعْلَم كون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شريح هي الأرض المفتوحة عنوةً؛ إذ من المحتمل كون المراد بها أرض الجزية، فلا دلالة له في المقام، بل الأخبار المذكورة أدلّة قوية على عدم جواز البيع، ويدل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مرسلة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موقوفةٌ متروكةٌ في أيدي من يعمرها </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الأخبار الواردة في شراء أرض اليهود والنصارى مثل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صحيحة محمد بن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الشراء من أرض اليهود والنصارى،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ليس به بأس، وقد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خيبر مخارجهم، على أن يترك الأرض في أيديهم يعملون بها ويعمّرونها، وما بها بأس إذا اشتريت منها شيئاً ، أيّما قوم أحيوا شيئاً من الأرض أو عملوه، فهم أحقّ بها ، وهي لهم</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 وغيره </w:t>
      </w:r>
      <w:r>
        <w:rPr>
          <w:rStyle w:val="FootnoteAnchor"/>
          <w:rtl w:val="true"/>
        </w:rPr>
        <w:footnoteReference w:id="558"/>
      </w:r>
      <w:r>
        <w:rPr>
          <w:rFonts w:ascii="IRNazanin" w:hAnsi="IRNazanin" w:eastAsia="IRNazanin"/>
          <w:color w:val="111111"/>
          <w:sz w:val="28"/>
          <w:sz w:val="28"/>
          <w:szCs w:val="28"/>
          <w:rtl w:val="true"/>
          <w:lang w:bidi="fa-IR"/>
        </w:rPr>
        <w:t xml:space="preserve">، فلا يُمكن معارضتها للأخبار السابقة، بل لا دلالة لها على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المفتوحة عنوةً؛ لإمكان كون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الأراضي المفتوحة عنوةً، بل ما كان لهم من غير جهة الإحياء أولاً، وإمكان كون الحكم بالجواز في الأراضي الموات حال الفتح؛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قوم أحيوا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الظاهر من الإحياء صيرورة الأرض محياةً، وإخراجها عن المواتيّة، لا مجرد القيام بالعمارة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ينحصر موردها بالموات حال الفتح، بل يُمكن منع كون السؤال عن الأرض المفتوحة عنوةً، وعدم كون أرض خيبر منها، بل يُمكن أن يكون من أراضي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ولا دلالة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كونها من المفتوحة عنوةً، مع أنّه لو تمت دلالتها على جواز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ظاهرها جواز البيع مستقلّة، وهو خلاف الإجماع</w:t>
      </w:r>
      <w:r>
        <w:rPr>
          <w:rStyle w:val="FootnoteAnchor"/>
          <w:rtl w:val="true"/>
        </w:rPr>
        <w:footnoteReference w:id="559"/>
      </w:r>
      <w:r>
        <w:rPr>
          <w:rFonts w:ascii="Amiri" w:hAnsi="Amiri" w:eastAsia="Amiri" w:cs="Amiri"/>
          <w:color w:val="111111"/>
          <w:sz w:val="28"/>
          <w:sz w:val="28"/>
          <w:szCs w:val="28"/>
          <w:rtl w:val="true"/>
          <w:lang w:bidi="ar-SA"/>
        </w:rPr>
        <w:t>، وحملها على بيعها تبعاً للآثار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التمسّك بالسيرة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بناء المسلمين على جعلها مسجداً، أو سقاية، وغير ذلك، فلولا جواز النقل لم يصح وقفها؛ حيث إنّ الوقف تمليك، أو فكّ ملك، فيكشف ذلك عن جواز نقلها تبعا للآثار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قيام السيرة على ذلك، مع أنّ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أساس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أكثرهم يمنعون عن ذلك، بل يُمكن أن يكون ذلك؛ لعدم العلم بكون ما يُوقف من المفتوحة عنوةً، أو كان من مواتها حال الفتح، أو كان من محياتها لكن باعه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لمصلحة المسلمين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معلوميّة وجه السيرة، فكيف يُمكن الأخذ بمثل تلك السيرة، </w:t>
      </w:r>
    </w:p>
    <w:p>
      <w:pPr>
        <w:pStyle w:val="BookText"/>
        <w:rPr/>
      </w:pPr>
      <w:r>
        <w:rPr>
          <w:rFonts w:ascii="Amiri" w:hAnsi="Amiri" w:eastAsia="Amiri" w:cs="Amiri"/>
          <w:color w:val="111111"/>
          <w:sz w:val="28"/>
          <w:sz w:val="28"/>
          <w:szCs w:val="28"/>
          <w:rtl w:val="true"/>
          <w:lang w:bidi="ar-SA"/>
        </w:rPr>
        <w:t xml:space="preserve">مع أنّ تصوير الملكيّة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إذ مراد من يقول بملكيتها تبعاً للآثار هو دوران الملكيّة مدار الآثار، مع أنَّه يلزم على قول القائل المزبور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حصل الأثر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مستقلةً؛ إذ مراده صيرورتها ملكاً بتبعية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بكون الملكيّة تبعيّة لا استقلاليّة، مع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كون الأرض رقبتها ملك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اجتماع مالكين على ملْك واحد، إلا أن يلتزم بخروجها عن ملكية المسلمين بالتصرّف المأذون فيه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يتفاوت فيما ذكرنا بين زمان الغيبة والحضور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استظهرناه من عدم كون الرقبة ملك المسلمين، جواز بيعها بيعاً حقيقياً مع ثبوت الخراج، لكن البيع بهذا المعنى ليس مراد العلماء، بل مرادهم هو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المتعارف </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إلى المشتري من دون ثبوت الخراج، هذا كله في التصرّفات والنواقل الواردة على نفس الرقبة</w:t>
      </w:r>
      <w:r>
        <w:rPr>
          <w:rFonts w:eastAsia="Amiri" w:cs="Amiri" w:ascii="Amiri" w:hAnsi="Amiri"/>
          <w:color w:val="111111"/>
          <w:sz w:val="28"/>
          <w:szCs w:val="28"/>
          <w:rtl w:val="true"/>
          <w:lang w:bidi="ar-SA"/>
        </w:rPr>
        <w:t xml:space="preserve">. </w:t>
      </w:r>
      <w:bookmarkStart w:id="363" w:name="pg9195_77245"/>
    </w:p>
    <w:p>
      <w:pPr>
        <w:pStyle w:val="Heading3"/>
        <w:numPr>
          <w:ilvl w:val="2"/>
          <w:numId w:val="1"/>
        </w:numPr>
        <w:rPr/>
      </w:pPr>
      <w:bookmarkStart w:id="364" w:name="__RefHeading___Toc3921855_2870459653"/>
      <w:bookmarkStart w:id="365" w:name="_Toc124"/>
      <w:bookmarkEnd w:id="363"/>
      <w:bookmarkEnd w:id="364"/>
      <w:r>
        <w:rPr>
          <w:rtl w:val="true"/>
        </w:rPr>
        <w:t>[</w:t>
      </w:r>
      <w:r>
        <w:rPr>
          <w:rtl w:val="true"/>
        </w:rPr>
        <w:t xml:space="preserve">الكلام في التصرّف </w:t>
      </w:r>
      <w:r>
        <w:rPr>
          <w:rtl w:val="true"/>
        </w:rPr>
        <w:t xml:space="preserve">- </w:t>
      </w:r>
      <w:r>
        <w:rPr>
          <w:rtl w:val="true"/>
        </w:rPr>
        <w:t xml:space="preserve">غير البيع </w:t>
      </w:r>
      <w:r>
        <w:rPr>
          <w:rtl w:val="true"/>
        </w:rPr>
        <w:t xml:space="preserve">- </w:t>
      </w:r>
      <w:r>
        <w:rPr>
          <w:rtl w:val="true"/>
        </w:rPr>
        <w:t xml:space="preserve">في الأرض الخراجيّة زمن الحضور </w:t>
      </w:r>
      <w:r>
        <w:rPr>
          <w:rtl w:val="true"/>
        </w:rPr>
        <w:t>]</w:t>
      </w:r>
      <w:bookmarkEnd w:id="365"/>
    </w:p>
    <w:p>
      <w:pPr>
        <w:pStyle w:val="BookText"/>
        <w:rPr/>
      </w:pPr>
      <w:r>
        <w:rPr>
          <w:rFonts w:ascii="Amiri" w:hAnsi="Amiri" w:eastAsia="Amiri" w:cs="Amiri"/>
          <w:color w:val="111111"/>
          <w:sz w:val="28"/>
          <w:sz w:val="28"/>
          <w:szCs w:val="28"/>
          <w:rtl w:val="true"/>
          <w:lang w:bidi="ar-SA"/>
        </w:rPr>
        <w:t>بقي الكلام في جواز التصرّف في الأرض،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في زمان الحضور، فالظاهر أنّه لا إشكال كما أنّه لا خلاف في عدم جواز التصرّف فيها بدون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عدم جواز التصرّف بدون الإذن؛ فلأنَّها ملك الغير، ومقتضى القاعدة العقليّة والنقليّة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جوازه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ولي المسلمين، فله التصرّف في أموالهم المختصة بهم،فكيف في هذا المال الذي يكون مشتركاً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تسليمه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له نقلها إلى </w:t>
      </w:r>
      <w:r>
        <w:rPr>
          <w:rStyle w:val="FootnoteAnchor"/>
          <w:rtl w:val="true"/>
        </w:rPr>
        <w:footnoteReference w:id="561"/>
      </w:r>
      <w:r>
        <w:rPr>
          <w:rFonts w:ascii="Amiri" w:hAnsi="Amiri" w:eastAsia="Amiri" w:cs="Amiri"/>
          <w:color w:val="111111"/>
          <w:sz w:val="28"/>
          <w:sz w:val="28"/>
          <w:szCs w:val="28"/>
          <w:rtl w:val="true"/>
          <w:lang w:bidi="ar-SA"/>
        </w:rPr>
        <w:t xml:space="preserve">الغير، فكيف من أذن له في التصرّف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ولدلالة الأخبار الخاصة على كون أمرها بيد الإمام،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البزنطي</w:t>
      </w:r>
      <w:r>
        <w:rPr>
          <w:rStyle w:val="FootnoteAnchor"/>
          <w:rtl w:val="true"/>
        </w:rPr>
        <w:footnoteReference w:id="562"/>
      </w:r>
      <w:r>
        <w:rPr>
          <w:rFonts w:ascii="Amiri" w:hAnsi="Amiri" w:eastAsia="Amiri" w:cs="Amiri"/>
          <w:color w:val="111111"/>
          <w:sz w:val="28"/>
          <w:sz w:val="28"/>
          <w:szCs w:val="28"/>
          <w:rtl w:val="true"/>
          <w:lang w:bidi="ar-SA"/>
        </w:rPr>
        <w:t>، ورواية صفوان</w:t>
      </w:r>
      <w:r>
        <w:rPr>
          <w:rStyle w:val="FootnoteAnchor"/>
          <w:rtl w:val="true"/>
        </w:rPr>
        <w:footnoteReference w:id="563"/>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يُمكن التمسك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سبق </w:t>
      </w:r>
      <w:r>
        <w:rPr>
          <w:rFonts w:eastAsia="IRNazanin" w:cs="IRNazanin"/>
          <w:color w:val="111111"/>
          <w:sz w:val="28"/>
          <w:szCs w:val="28"/>
          <w:rtl w:val="true"/>
          <w:lang w:bidi="fa-IR"/>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إلى انصرافه بغير هذه الأراضي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نسلّم الخروج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مما لا إشكال فيه، وإنّما إشكال في تصوير فيما دلّ عليه بعضُ الأخبار</w:t>
      </w:r>
      <w:r>
        <w:rPr>
          <w:rStyle w:val="FootnoteAnchor"/>
          <w:rtl w:val="true"/>
        </w:rPr>
        <w:footnoteReference w:id="565"/>
      </w:r>
      <w:r>
        <w:rPr>
          <w:rFonts w:ascii="IRNazanin" w:hAnsi="IRNazanin" w:eastAsia="IRNazanin"/>
          <w:color w:val="111111"/>
          <w:sz w:val="28"/>
          <w:sz w:val="28"/>
          <w:szCs w:val="28"/>
          <w:rtl w:val="true"/>
          <w:lang w:bidi="fa-IR"/>
        </w:rPr>
        <w:t xml:space="preserve">، وصرح به العلماء الأعلام </w:t>
      </w:r>
      <w:r>
        <w:rPr>
          <w:rStyle w:val="FootnoteAnchor"/>
          <w:rtl w:val="true"/>
        </w:rPr>
        <w:footnoteReference w:id="566"/>
      </w:r>
      <w:r>
        <w:rPr>
          <w:rFonts w:ascii="Amiri" w:hAnsi="Amiri" w:eastAsia="Amiri" w:cs="Amiri"/>
          <w:color w:val="111111"/>
          <w:sz w:val="28"/>
          <w:sz w:val="28"/>
          <w:szCs w:val="28"/>
          <w:rtl w:val="true"/>
          <w:lang w:bidi="ar-SA"/>
        </w:rPr>
        <w:t xml:space="preserve">حتّى إنّه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إجماعيٌّ، بل إجماعيٌّ في الجملة</w:t>
      </w:r>
      <w:r>
        <w:rPr>
          <w:rStyle w:val="FootnoteAnchor"/>
          <w:rtl w:val="true"/>
        </w:rPr>
        <w:footnoteReference w:id="567"/>
      </w:r>
      <w:r>
        <w:rPr>
          <w:rFonts w:ascii="Amiri" w:hAnsi="Amiri" w:eastAsia="Amiri" w:cs="Amiri"/>
          <w:color w:val="111111"/>
          <w:sz w:val="28"/>
          <w:sz w:val="28"/>
          <w:szCs w:val="28"/>
          <w:rtl w:val="true"/>
          <w:lang w:bidi="ar-SA"/>
        </w:rPr>
        <w:t>، وهو أنّه يثبت حق لمن كانت هذه الأراضي بيده، يجوز له نقله إلى غيره في الجملة، إمّا في ضمن الآثار أو مستقلاً، ومقتضاه جواز تصرّف المشتري في الأرض كالذي بيده، ويعبّر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الأولويّة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الإشكال إنّه ثابت بنحو الإجمال، ولا يعلم أنَّه بأيِّ شيء يثبت، هل يثبت بمجرّد وجود الأرض تحت اليد، أو به مع انضمام كون الشخص قائماً بعمارتها، أو لا يكفي ذلك، بل لا بُدَّ فيه من التصرّف فيها ببناء أو غرس، أو غيرهما، بمعنى ثبوته تبعاً للتصرفات؟ </w:t>
      </w:r>
    </w:p>
    <w:p>
      <w:pPr>
        <w:pStyle w:val="BookText"/>
        <w:rPr/>
      </w:pP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الحقّ ثابتاً، ولا يعلم موضوعه حتّى يدور مداره، لكن الأظهر هو ثبوت الحق بمجرّد ثبوت اليد، وكون الأرض تحت يد الشخص بإذن الولي، لا مطلق اليد حتّى يثبت في الإجارة والمزارعة، وأمثالهما؛ إذ ليست اليد فيها حقيقة؛ إذ يد المستأجر يد الموجر، فالشيء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تحت المؤجر ومتعلّق استيلائه، بل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اليد العرفيّة ، المراد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تثبت بإعطاء الإمام الأرض له على أن يعطي الخراج، وتكون الأرض باختياره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والدليل عليه صحيحة الحلبي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السواد ما منزلته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الشراء من الدهاقين؟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 إلا أن يشتري منهم على أن يجعلها للمسلمين، فإن شاء وليُّ الأمر أن يأخذها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أخذها منه ؟ قال لا يرد إليه رأس ماله</w:t>
      </w:r>
      <w:r>
        <w:rPr>
          <w:rFonts w:eastAsia="IRNazanin" w:cs="IRNazanin"/>
          <w:color w:val="111111"/>
          <w:sz w:val="28"/>
          <w:szCs w:val="28"/>
          <w:rtl w:val="true"/>
          <w:lang w:bidi="fa-IR"/>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السؤال مع الجواب يدلان على جواز شراء الأرض مع كونها ملك المسلمين، ومن المعلوم عدم إرادة شراء نفس الأرض ، وإلا لا معنى لأخذها منه وأخذ خراجها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على أن يجعلها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يكون المراد ظاهراً بيعها مشروطاً بذلك، لا جعلها للمسلمين فيما بعد، يرشد إلى أن المراد بيع حقّه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فدلّ الخبر على ثبوت حقّ في الأراضي الثابتة في يد الدّهاقين </w:t>
      </w:r>
      <w:r>
        <w:rPr>
          <w:rStyle w:val="FootnoteAnchor"/>
          <w:rtl w:val="true"/>
        </w:rPr>
        <w:footnoteReference w:id="570"/>
      </w:r>
      <w:r>
        <w:rPr>
          <w:rFonts w:ascii="Amiri" w:hAnsi="Amiri" w:eastAsia="Amiri" w:cs="Amiri"/>
          <w:color w:val="111111"/>
          <w:sz w:val="28"/>
          <w:sz w:val="28"/>
          <w:szCs w:val="28"/>
          <w:rtl w:val="true"/>
          <w:lang w:bidi="ar-SA"/>
        </w:rPr>
        <w:t>مطلقاً، من غير تقييد بما إذا وجدت الآثار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ترك القيد ؛ لأجل ثبوته دائماً، أو غالباً في الأرض 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الدهقان، ولا أقل من </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والسفان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وأصرح منه رواية أبي بردة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ترى في شراء أرض الخراج؟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يبيع ذلك، هي أرض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يبيعها الذي هي في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ويصنع بخراج المسلمين 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يشتري حقه منها، ويحوّل حق المسلمين عليه ولعله يكون أقوى عليها، وأملأ بإخراجهم</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حيث يدلّ جواب السائل بعد إنكاره بيعها، بأنَّه يبيعها الذي هي في يده، على أن كون الأرض تحت اليد علّة لجواز البيع، بل يدل على معروفيّة هذا الحكم؛ حيث أجاب به بعد إنكاره، ولاسيما بضميمة تقريرها و عدم ردعه، بل يظهر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يصنع بخراج المسلمين 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المانع عنه إلا مسألة الخراج، مع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اشترى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مقرّرٌ لما سبق، لا مخصّص لما ادعاه السائل، بمعنى كون المقصود اشتراء الحق في موضع 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قوله تسليمُ قولِ السائل، وبصدد إثباته، وإثبات جواز اشترائه، مع تحويل حقّ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نحكم بأنّ المراد من الحق هو ما ذكر؟ لاحتمال أنْ يكون المراد به حصته من الأرض، وهو الظاهر من لفظ الاشتراء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ظهور الحقّ فيما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يُمكن حمل الحقّ على الحصة؛ إذ لا يجوز بيع الحصة الغير المعيّنة على فرض تسليم كون رقبة الأرض للمسلمين، فلا بُدَّ أنْ يكون المراد بالحقّ هو حقّ الأولوية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 ثبوت حق الأولويّة،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التصرّف لمن كانت الأرض في يده، وتحت استيلائه بإذن الإمام ، فيجوز نقله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بيع الحقّ وصلحه ؛ لعمومات الصلح، فيثبت أولويّة التصرّف للمشتري، هذا كله في زمان الحضور</w:t>
      </w:r>
      <w:r>
        <w:rPr>
          <w:rFonts w:eastAsia="Amiri" w:cs="Amiri" w:ascii="Amiri" w:hAnsi="Amiri"/>
          <w:color w:val="111111"/>
          <w:sz w:val="28"/>
          <w:szCs w:val="28"/>
          <w:rtl w:val="true"/>
          <w:lang w:bidi="ar-SA"/>
        </w:rPr>
        <w:t xml:space="preserve">. </w:t>
      </w:r>
      <w:bookmarkStart w:id="366" w:name="pg9195_77249"/>
    </w:p>
    <w:p>
      <w:pPr>
        <w:pStyle w:val="Heading3"/>
        <w:numPr>
          <w:ilvl w:val="2"/>
          <w:numId w:val="1"/>
        </w:numPr>
        <w:rPr/>
      </w:pPr>
      <w:bookmarkStart w:id="367" w:name="__RefHeading___Toc3921857_2870459653"/>
      <w:bookmarkStart w:id="368" w:name="_Toc125"/>
      <w:bookmarkEnd w:id="366"/>
      <w:bookmarkEnd w:id="367"/>
      <w:r>
        <w:rPr>
          <w:rtl w:val="true"/>
        </w:rPr>
        <w:t>[</w:t>
      </w:r>
      <w:r>
        <w:rPr>
          <w:rtl w:val="true"/>
        </w:rPr>
        <w:t xml:space="preserve">الكلام في التصرّفات </w:t>
      </w:r>
      <w:r>
        <w:rPr>
          <w:rtl w:val="true"/>
        </w:rPr>
        <w:t xml:space="preserve">- </w:t>
      </w:r>
      <w:r>
        <w:rPr>
          <w:rtl w:val="true"/>
        </w:rPr>
        <w:t xml:space="preserve">غير البيع </w:t>
      </w:r>
      <w:r>
        <w:rPr>
          <w:rtl w:val="true"/>
        </w:rPr>
        <w:t xml:space="preserve">- </w:t>
      </w:r>
      <w:r>
        <w:rPr>
          <w:rtl w:val="true"/>
        </w:rPr>
        <w:t xml:space="preserve">في الأرض الخراجيّة زمان الغيبة </w:t>
      </w:r>
      <w:r>
        <w:rPr>
          <w:rtl w:val="true"/>
        </w:rPr>
        <w:t>]</w:t>
      </w:r>
      <w:bookmarkEnd w:id="368"/>
    </w:p>
    <w:p>
      <w:pPr>
        <w:pStyle w:val="BookText"/>
        <w:rPr/>
      </w:pPr>
      <w:r>
        <w:rPr>
          <w:rFonts w:ascii="Amiri" w:hAnsi="Amiri" w:eastAsia="Amiri" w:cs="Amiri"/>
          <w:color w:val="111111"/>
          <w:sz w:val="28"/>
          <w:sz w:val="28"/>
          <w:szCs w:val="28"/>
          <w:rtl w:val="true"/>
          <w:lang w:bidi="ar-SA"/>
        </w:rPr>
        <w:t>وأمّا في زمان الغَيبة، فمقتضى القاعدة الأوليّة عدم جواز التصرّف فيها إلّا بإذن الحاكم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نائب عنه فيما هو أعظم من ذلك ؛ لعمومات النيابة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أعظم الناس مصيبة؛ لما غلبتم عليه من منازل العلماء لو كنتم تشعرون، ذلك بأنّ مجاري الأمور والأحكام على أيدي العلماء بالله، الأمناء على حلاله وحرامه، فأنتم المسلوبون تلك المنزلة، وما سلبتم ذلك إلا بتفرّقكم عن الحقّ، واختلافكم في السنّة بعد البينة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فما هو ثابت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لنائبه أيضاً، لكن عند تَمَكُّنه واستيلائه، لا في مثل زماننا هذا، وما ضاهاه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وردت الأخبار الكثيرة بحلِّ قبول الخراج من السلطان الجائر، وحلّيّته موقوف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نفوذ تصرّفه في الأراضي، وإلّا كان الخراج ملك الغير، ونفوذ تصرّفه موقوف على ثبوت ولايته، فولايته ثابتة بمقتضى هذه الأخبار، حتّى ادُّعي الإجماع على صحة تصرّفه، وجواز إذنه، بل حُكي عن المحقق الثاني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عليه في كلمات المحقق الثاني، ولكن ذكر المحقق السبزواري في كفايته أنه مذهب الأصحاب ومحلُّ اتفاقهم،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 الأصحاب أنّه لا يجوز لأحد جحدهما، ولا منعهما، ولا التصرّف فيهما ، إلّا بإذنه، بل ادُّعى بعضهم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وكاشف الغطاء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بحرمة التصرّف في الخراج بدون إذنه ، فيكون هو القدر المتيقن من الولي، والشك في ثبوت الولاية للحاكم حتّى مع بسط يده، فلا بُدَّ من الأخذ به، ووجوب الاستيذان منه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حِليّة قبول الخراج منه ليس لأجل ولايته؛ بل لأن الخراج مال المسلمين، فما يصل إليهم يكون مالهم، ومأذنون في أخذه من جانب الولي الحقيقي، فكيف تثبت الولاية له مع أنّ تصرفه باطل وحرام كما يظهر من الأخبار المتكثرة؟</w:t>
      </w:r>
      <w:r>
        <w:rPr>
          <w:rFonts w:eastAsia="Amiri" w:cs="Amiri" w:ascii="Amiri" w:hAnsi="Amiri"/>
          <w:color w:val="111111"/>
          <w:sz w:val="28"/>
          <w:szCs w:val="28"/>
          <w:rtl w:val="true"/>
          <w:lang w:bidi="ar-SA"/>
        </w:rPr>
        <w:t xml:space="preserve">! </w:t>
      </w:r>
      <w:bookmarkStart w:id="369" w:name="pg9195_77250"/>
    </w:p>
    <w:p>
      <w:pPr>
        <w:pStyle w:val="Heading3"/>
        <w:numPr>
          <w:ilvl w:val="2"/>
          <w:numId w:val="1"/>
        </w:numPr>
        <w:rPr/>
      </w:pPr>
      <w:bookmarkStart w:id="370" w:name="__RefHeading___Toc3921859_2870459653"/>
      <w:bookmarkStart w:id="371" w:name="_Toc126"/>
      <w:bookmarkEnd w:id="369"/>
      <w:bookmarkEnd w:id="370"/>
      <w:r>
        <w:rPr>
          <w:rtl w:val="true"/>
        </w:rPr>
        <w:t>(</w:t>
      </w:r>
      <w:r>
        <w:rPr>
          <w:rtl w:val="true"/>
        </w:rPr>
        <w:t>وجوه صحة التصرّف في هذه الأراضي</w:t>
      </w:r>
      <w:r>
        <w:rPr>
          <w:rtl w:val="true"/>
        </w:rPr>
        <w:t>)</w:t>
      </w:r>
      <w:bookmarkEnd w:id="371"/>
    </w:p>
    <w:p>
      <w:pPr>
        <w:pStyle w:val="BookText"/>
        <w:rPr/>
      </w:pPr>
      <w:r>
        <w:rPr>
          <w:rFonts w:ascii="Amiri" w:hAnsi="Amiri" w:eastAsia="Amiri" w:cs="Amiri"/>
          <w:color w:val="111111"/>
          <w:sz w:val="28"/>
          <w:sz w:val="28"/>
          <w:szCs w:val="28"/>
          <w:rtl w:val="true"/>
          <w:lang w:bidi="ar-SA"/>
        </w:rPr>
        <w:t xml:space="preserve">وحاصل الكلام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المحتملة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التصرّف في هذه الأراضي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أو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التصرّف فيها بإذن السلطان الذي حلّ قبول الخراج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بيد العلماء إنْ كانوا، ولو لم يكن لهم بسط اليد، وإلا فإلى عدول المؤمنين، وإلى الفسّاق إنْ لم يكونوا كسائر الأمور التي تكون ولايتها بيد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من يستحق أُجرة الأرض، بمعنى كونه من مصارف منافع هذه الأراضي وبين غيره، فيجوز التصرّف بدون الإذن للأوّل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الموات والمحياة منها، فيجوز التصرّف في الأوّل بدون الإذن،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المتيقن من جواز التصرّف، هو تصرّف من يستحق أُجرة الأرض بإذن الحاكم العرفي والشرعي، وأمّا غيره فيحتاج إلى قيام الدليل،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مقتضى القاعدة الأوليّة هو كون التصرّف منوطاً بنظر الحاكم الشرعي؛ لأنّ التصرّف في هذه الأراضي للإمام عند حضوره، فليكن لنوّابه في زمان الغيبة؛ عملاً بعموم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مجاري الأمور بيد العلماء الأمناء بالله</w:t>
      </w:r>
      <w:r>
        <w:rPr>
          <w:rFonts w:eastAsia="IRNazanin" w:cs="IRNazanin"/>
          <w:color w:val="111111"/>
          <w:sz w:val="28"/>
          <w:szCs w:val="28"/>
          <w:rtl w:val="true"/>
          <w:lang w:bidi="fa-IR"/>
        </w:rPr>
        <w:t xml:space="preserve">»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الأظهر من جميع ما ورد في هذا الباب،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الحوادث الواقعة، فارجعوا فيها إلى رواة أحاديثنا، فانَّهم حجتي عليكم، وأنا حجّة الله عليكم</w:t>
      </w:r>
      <w:r>
        <w:rPr>
          <w:rFonts w:eastAsia="Amiri" w:cs="Amiri" w:ascii="Amiri" w:hAnsi="Amiri"/>
          <w:color w:val="111111"/>
          <w:sz w:val="28"/>
          <w:szCs w:val="28"/>
          <w:rtl w:val="true"/>
          <w:lang w:bidi="ar-SA"/>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حيث إنَّ جواز التصرّف في هذه الأراضي من الأمور العظام التي تكون مطلوبة الوجود لله، فيكون مشمولاً للخبر الأول، بناءً على تخصيص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مجاري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العظام، وأمّا بناءً على عدم التخصيص كما هو الأظهر، فالأمر أظهر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عدم دلالة هذه الأخبار على الحصر بمدلولها اللفظي، وإنْ أمكن أنْ يُقال باستفادة الحصر من سياقها</w:t>
      </w:r>
      <w:r>
        <w:rPr>
          <w:rFonts w:eastAsia="Amiri" w:cs="Amiri" w:ascii="Amiri" w:hAnsi="Amiri"/>
          <w:color w:val="111111"/>
          <w:sz w:val="28"/>
          <w:szCs w:val="28"/>
          <w:rtl w:val="true"/>
          <w:lang w:bidi="ar-SA"/>
        </w:rPr>
        <w:t xml:space="preserve">. </w:t>
      </w:r>
      <w:bookmarkStart w:id="372" w:name="pg9195_77251"/>
    </w:p>
    <w:p>
      <w:pPr>
        <w:pStyle w:val="BookText"/>
        <w:rPr/>
      </w:pPr>
      <w:bookmarkEnd w:id="372"/>
      <w:r>
        <w:rPr>
          <w:rFonts w:ascii="Amiri" w:hAnsi="Amiri" w:eastAsia="Amiri" w:cs="Amiri"/>
          <w:color w:val="111111"/>
          <w:sz w:val="28"/>
          <w:sz w:val="28"/>
          <w:szCs w:val="28"/>
          <w:rtl w:val="true"/>
          <w:lang w:bidi="ar-SA"/>
        </w:rPr>
        <w:t>لكنّه دعوى بلا دليل لا يُصغى إليها، فالاستناد إليها موقوف على عدم ورود دليل آخر على خلافها</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3921861_2870459653"/>
      <w:bookmarkStart w:id="374" w:name="_Toc127"/>
      <w:bookmarkEnd w:id="373"/>
      <w:r>
        <w:rPr>
          <w:rtl w:val="true"/>
        </w:rPr>
        <w:t>(</w:t>
      </w:r>
      <w:r>
        <w:rPr>
          <w:rtl w:val="true"/>
        </w:rPr>
        <w:t>أدلة الوجه الأول</w:t>
      </w:r>
      <w:r>
        <w:rPr>
          <w:rtl w:val="true"/>
        </w:rPr>
        <w:t>)</w:t>
      </w:r>
      <w:bookmarkEnd w:id="374"/>
    </w:p>
    <w:p>
      <w:pPr>
        <w:pStyle w:val="BookText"/>
        <w:rPr/>
      </w:pPr>
      <w:r>
        <w:rPr>
          <w:rFonts w:ascii="Amiri" w:hAnsi="Amiri" w:eastAsia="Amiri" w:cs="Amiri"/>
          <w:color w:val="111111"/>
          <w:sz w:val="28"/>
          <w:sz w:val="28"/>
          <w:szCs w:val="28"/>
          <w:rtl w:val="true"/>
          <w:lang w:bidi="ar-SA"/>
        </w:rPr>
        <w:t>فلا بُدَّ من التكلّم في الوجه الأول وما يدل عليه،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إنّه قد اشتهر بينهم، بل ادُّعي الإجماع في لسان كثير منهم</w:t>
      </w:r>
      <w:r>
        <w:rPr>
          <w:rStyle w:val="FootnoteAnchor"/>
          <w:rtl w:val="true"/>
        </w:rPr>
        <w:footnoteReference w:id="577"/>
      </w:r>
      <w:r>
        <w:rPr>
          <w:rFonts w:ascii="IRNazanin" w:hAnsi="IRNazanin" w:eastAsia="IRNazanin"/>
          <w:color w:val="111111"/>
          <w:sz w:val="28"/>
          <w:sz w:val="28"/>
          <w:szCs w:val="28"/>
          <w:rtl w:val="true"/>
          <w:lang w:bidi="fa-IR"/>
        </w:rPr>
        <w:t xml:space="preserve">، بل يُمكن دعوى الإجماع المحصّل على حِلّيّة ما يعطي السلطان جائزةً من مال الخراج، ومن المعلوم أنَّ حِلّيّتها موقوفةٌ على صحة المعاملة والتقبيل ، وإلا لكانت الجوائز عين مال المتقبل، فلا يجوز التصرّف فيها بدون إذنه ؛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يحل مال امرئ الا بطيب نفسه</w:t>
      </w:r>
      <w:r>
        <w:rPr>
          <w:rFonts w:eastAsia="IRNazanin" w:cs="IRNazanin"/>
          <w:color w:val="111111"/>
          <w:sz w:val="28"/>
          <w:szCs w:val="28"/>
          <w:rtl w:val="true"/>
          <w:lang w:bidi="fa-IR"/>
        </w:rPr>
        <w:t xml:space="preserve">» </w:t>
      </w:r>
      <w:r>
        <w:rPr>
          <w:rStyle w:val="FootnoteAnchor"/>
          <w:rtl w:val="true"/>
        </w:rPr>
        <w:footnoteReference w:id="578"/>
      </w:r>
      <w:r>
        <w:rPr>
          <w:rFonts w:ascii="Amiri" w:hAnsi="Amiri" w:eastAsia="Amiri" w:cs="Amiri"/>
          <w:color w:val="111111"/>
          <w:sz w:val="28"/>
          <w:sz w:val="28"/>
          <w:szCs w:val="28"/>
          <w:rtl w:val="true"/>
          <w:lang w:bidi="ar-SA"/>
        </w:rPr>
        <w:t>، وليس المقصود من إثبات الولاية للحاكم إلا هذا المقدار لا الولاية بمعنى عدم حرمة تصرّفه، كيف وأنَّه لم يقل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تتمّة غصب منصب الولاية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مستفيضاً كالمحقق الثاني في رسالته الموسومة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قاطعة اللجاج في أرض الخراج</w:t>
      </w:r>
      <w:r>
        <w:rPr>
          <w:rFonts w:eastAsia="Amiri" w:cs="Amiri" w:ascii="Amiri" w:hAnsi="Amiri"/>
          <w:color w:val="111111"/>
          <w:sz w:val="28"/>
          <w:szCs w:val="28"/>
          <w:rtl w:val="true"/>
          <w:lang w:bidi="ar-SA"/>
        </w:rPr>
        <w:t xml:space="preserve">) </w:t>
      </w:r>
      <w:r>
        <w:rPr>
          <w:rStyle w:val="FootnoteAnchor"/>
          <w:rtl w:val="true"/>
        </w:rPr>
        <w:footnoteReference w:id="579"/>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w:t>
      </w:r>
      <w:r>
        <w:rPr>
          <w:rStyle w:val="FootnoteAnchor"/>
          <w:rtl w:val="true"/>
        </w:rPr>
        <w:footnoteReference w:id="581"/>
      </w:r>
      <w:r>
        <w:rPr>
          <w:rFonts w:ascii="Amiri" w:hAnsi="Amiri" w:eastAsia="Amiri" w:cs="Amiri"/>
          <w:color w:val="111111"/>
          <w:sz w:val="28"/>
          <w:sz w:val="28"/>
          <w:szCs w:val="28"/>
          <w:rtl w:val="true"/>
          <w:lang w:bidi="ar-SA"/>
        </w:rPr>
        <w:t xml:space="preserve">، حتّى إنَّ بعضهم </w:t>
      </w:r>
    </w:p>
    <w:p>
      <w:pPr>
        <w:pStyle w:val="BookText"/>
        <w:rPr/>
      </w:pPr>
      <w:r>
        <w:rPr>
          <w:rFonts w:ascii="Amiri" w:hAnsi="Amiri" w:eastAsia="Amiri" w:cs="Amiri"/>
          <w:color w:val="111111"/>
          <w:sz w:val="28"/>
          <w:sz w:val="28"/>
          <w:szCs w:val="28"/>
          <w:rtl w:val="true"/>
          <w:lang w:bidi="ar-SA"/>
        </w:rPr>
        <w:t>صرَّحوا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يجوز سرقة الخراج ، وجحده فيه</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ما سُلَّط متغلّباً بحيث يكون الأمر بيده، ولا يُمكن حفظ بيضة الإسلام لأحد غيره، فلا بُدَّ من دفع ما وضع شرعاً لأمثال تلك المصلحة إليه، ولو كان يصرف بعضه في غير محلّه، فحينئذٍ لو لم يُعط الخراج إليه أحدٌ من الناس يلزم هجوم الكفّار على المسلمين، ولا يتمكن الحاكم الشرعي من الدفع، بخلافه فإنه يقدر على الدفع، فلا بُدَّ من إعطائه شيئاً يصير سبباً لإمكان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باب الصدقات، حيث يظهر منها جواز أخذهم واحتساب المأخوذ من المسلمين زكاة، بل يظهر من بعضها جواز شراء الصدقات المأخوذة، والأخبار الواردة في الخراج وهي كثيرة لا بأس بالإشارة إلى بعضها الذي يكون أظهر دلالةً 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الحلبي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يتقبل الرجل الأرض وأهلها من السلطان، وعن مزارعة أهل الخراج بالنصف، والربع، والثلث،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583"/>
      </w:r>
      <w:r>
        <w:rPr>
          <w:rFonts w:ascii="Amiri" w:hAnsi="Amiri" w:eastAsia="Amiri" w:cs="Amiri"/>
          <w:color w:val="111111"/>
          <w:sz w:val="28"/>
          <w:sz w:val="28"/>
          <w:szCs w:val="28"/>
          <w:rtl w:val="true"/>
          <w:lang w:bidi="ar-SA"/>
        </w:rPr>
        <w:t>وهذا الخبر أظهر دلالةً من جميع ما ورد في هذا الباب، وتقريبه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صريحاً بعدم البأس في تقبيل الأرض الخراجيَّة؛ بقرينة السؤال عن أهل الخراج من السلطان، ومن الظاهر الواضح أنَّ المراد بالسلطان هو السلطان المخالف ؛لانصراف المطلق إلى الأفراد الشائعة، والفرد الشائع في زمان الصدور هو لا العادل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الفيض بن المختار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ما تقول في الأرض أتقبَّلُها من السلطان، ثم أؤاجرها أكرتي على أن ما أخرج الله منها من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من ذلك النصف، والثلث بعد حقّ السلطان؟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كذلك أُعامل </w:t>
      </w:r>
    </w:p>
    <w:p>
      <w:pPr>
        <w:pStyle w:val="BookText"/>
        <w:rPr/>
      </w:pPr>
      <w:r>
        <w:rPr>
          <w:rFonts w:ascii="Amiri" w:hAnsi="Amiri" w:eastAsia="Amiri" w:cs="Amiri"/>
          <w:color w:val="111111"/>
          <w:sz w:val="28"/>
          <w:sz w:val="28"/>
          <w:szCs w:val="28"/>
          <w:rtl w:val="true"/>
          <w:lang w:bidi="ar-SA"/>
        </w:rPr>
        <w:t>أكرتي</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المطلب، بل يُستفاد منها أنّ التقبيل من السلطان صحته مفروغٌ عنها بينهم، حيث لا يسأل عن أصل جوازه، وإنّما يسأل عن أحكامه اللاحقة له، والمراد من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 بالقرينة المذكورة ، بل يظهر من السؤال كون سؤاله عن مورد الابتلاء الفعلي، والابتلاء الفعلي بأرض الخراج إنّما هو بالتقبيل من السلطان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استأجر من السلطان من أرض الخراج بدراهم مسمّاة، أو بطعام مسمّى ، ثم آجرها، وشرط لمن يزرعها أن يقاسمه النصف، أو أقلّ من ذلك أو أكثر، وله في الأرض بعد ذلك فضل، أيصلح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حفر نهراً، أو عمل لهم شيئاً يعينهم بذلك، فله ذلك</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تقريبها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بصحة الإجارة الثانية بعد العمل المذكور، ولا تصح إلا بعد صحة الإجارة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إسماعيل بن الفضل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يتقبَّل بخراج الرّجال، وجزية رؤوسهم، وخراج النخل، والشجر، والآجام، والمصائد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والطير، وهو لا يدري لعل هذا لا يكون أبداً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أيشتريه؟ وفي أيّ زمان يشتريه، ويتقبل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شيئاً واحداً قد أدرك، فاشتره وتقبل به</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تدلّ بعمومها للتقبيل من السلطان المخالف؛ بمقتضى ترك الاستفصال في الجواب، وغير ذلك من الأخبار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لا يخفى عليك أنّ بعضها لا يدل على المطلوب، كغير صحيحة الحلبي </w:t>
      </w:r>
      <w:r>
        <w:rPr>
          <w:rStyle w:val="FootnoteAnchor"/>
          <w:rtl w:val="true"/>
        </w:rPr>
        <w:footnoteReference w:id="588"/>
      </w:r>
      <w:r>
        <w:rPr>
          <w:rFonts w:ascii="Amiri" w:hAnsi="Amiri" w:eastAsia="Amiri" w:cs="Amiri"/>
          <w:color w:val="111111"/>
          <w:sz w:val="28"/>
          <w:sz w:val="28"/>
          <w:szCs w:val="28"/>
          <w:rtl w:val="true"/>
          <w:lang w:bidi="ar-SA"/>
        </w:rPr>
        <w:t xml:space="preserve">حيث إنّ السؤال حقيقة إنّما هو عن الإجارة بأزيد مما تقبلها به، وليست واردة في مقام السؤال عن حكم أصل التقبيل حتّى يؤخذ بإطلاق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الجواب عما ذكر من دلالتها على مفروغيّة صحة التقبيل من السلطان،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التسليم لا يدل على صحة التقبيل منه؛ حيث إنّ المفروغيّة تتحقق إمّا بأن كان مأذوناً من الإمام في أصل القبالة سابقاً، ويسأل عن أحكامها، فلا يمكن الاستشهاد بها حينئذٍ، أو بمعلوميّة صحته من السلطان، وبعد جريان الاحتمالين كيف يمكن الاستشهاد بها، خصوصاً مع كون السائل من الشيعة، المعتقد لكون المخالف غاصباً؛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يكتفي بالتقبيل من السلطان، بل يتقبّل من الإمام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وبعضها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كصحيحة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فيها دلالة معتبرة يُمكن الاستناد إليها في إثبات الحكم المخالف للإصل والعمومات بل المخالف للقاعدة العقليّة،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التصرّف في سلطان الغير، بل يُمكن القول بما ذُكر في البواقي منها أيضاً؛ حيث 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يظهر من الفقرات الأخر التي في صدر الخبر ، والأخبار الأخر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مسوقة لبيان جواز تقبيل الأهل مع الأرض، وإدخاله في القبالة، وعدم حرمة ذلك؛ حيث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ادخال أكرة الأرض المعبَّر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صدر الخبر في التقبيل، والإجارة عن </w:t>
      </w:r>
    </w:p>
    <w:p>
      <w:pPr>
        <w:pStyle w:val="BookText"/>
        <w:rPr/>
      </w:pPr>
      <w:r>
        <w:rPr>
          <w:rFonts w:ascii="IRNazanin" w:hAnsi="IRNazanin" w:eastAsia="IRNazanin"/>
          <w:color w:val="111111"/>
          <w:sz w:val="28"/>
          <w:sz w:val="28"/>
          <w:szCs w:val="28"/>
          <w:rtl w:val="true"/>
          <w:lang w:bidi="fa-IR"/>
        </w:rPr>
        <w:t xml:space="preserve">أهل الأرض الجزية المعمورة ، فأراد بيان جواز إدخالهم في القبالة في التقبيل عن السلطان فليس الخبر مسوقاً لحكم التقبيل لنفس الأرض حتّى يؤخذ بإطلاق السلطان، بل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كون الخبر وارداً لبيان جواز نفس تقبّل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القضيّة في مقام بيان المحمول لا الموضوع، فيكفي في صحة التقبّل من السلطان في الجملة ولو من العادل ،فلا يكون السلطان مطلقاً، بل يكون مهملاً ،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أخذ بالسيف فذلك إلى الوالي</w:t>
      </w:r>
      <w:r>
        <w:rPr>
          <w:rFonts w:eastAsia="IRNazanin" w:cs="IRNazanin"/>
          <w:color w:val="111111"/>
          <w:sz w:val="28"/>
          <w:szCs w:val="28"/>
          <w:rtl w:val="true"/>
          <w:lang w:bidi="fa-IR"/>
        </w:rPr>
        <w:t xml:space="preserve">» </w:t>
      </w:r>
      <w:r>
        <w:rPr>
          <w:rStyle w:val="FootnoteAnchor"/>
          <w:rtl w:val="true"/>
        </w:rPr>
        <w:footnoteReference w:id="589"/>
      </w:r>
      <w:r>
        <w:rPr>
          <w:rFonts w:ascii="Amiri" w:hAnsi="Amiri" w:eastAsia="Amiri" w:cs="Amiri"/>
          <w:color w:val="111111"/>
          <w:sz w:val="28"/>
          <w:sz w:val="28"/>
          <w:szCs w:val="28"/>
          <w:rtl w:val="true"/>
          <w:lang w:bidi="ar-SA"/>
        </w:rPr>
        <w:t>حيث إنّه لا يكون للفظ الوالي إطلاق 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ثبوت الدلالة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معارضةٌ مع الأخبار الدالّة على ثبوت الولاية للحاكم الشرعي بالعموم من وجه؛ حيث إنّ أخبار جواز التقبيل من السلطان خاصة بالأرض، وأخبار الولاية عامة من هذه الجهة، وهي خاصة بزمان الغيبة دونها، فيمكن ترجيح أخبار الولاية بسبب اعتضادها بالقواعد، والأصول والشهرة ولا أقل من التعارض فلا دليل على صحته من السلطان ،بل يُمكن دعوى تقديم أدلة الولاية، بناءً على استفادة الحصر منها؛ حيث إنّها تنفي 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العلماء في الأمور مطلقاً، أو خصوص العظام التي يكون ما نحن فيه منها، بل لو سلّمنا دلالتها وتقديمها على أدلّة الولاية، وعدم منافاتها للقواعد، تكون معارضة بالأخبار الأُخر الدالّة على عدم نفوذ تصرفات المخالفين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العيص بن القاسم،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أُخذ منكم فاحتسبوا به، ولا تعطوهم شيئاً ما استطعتم </w:t>
      </w:r>
      <w:r>
        <w:rPr>
          <w:rFonts w:eastAsia="IRNazanin" w:cs="IRNazanin"/>
          <w:color w:val="111111"/>
          <w:sz w:val="28"/>
          <w:szCs w:val="28"/>
          <w:rtl w:val="true"/>
          <w:lang w:bidi="fa-IR"/>
        </w:rPr>
        <w:t xml:space="preserve">»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الفصل بين الزكاة والخراج</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العزيز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طلبنا الإذن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وأرسلنا إليه، فأرسل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إدخلوا اثنين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أنا ورجل معي، فقلت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w:t>
      </w:r>
    </w:p>
    <w:p>
      <w:pPr>
        <w:pStyle w:val="BookText"/>
        <w:rPr/>
      </w:pPr>
      <w:r>
        <w:rPr>
          <w:rFonts w:ascii="Amiri" w:hAnsi="Amiri" w:eastAsia="Amiri" w:cs="Amiri"/>
          <w:color w:val="111111"/>
          <w:sz w:val="28"/>
          <w:sz w:val="28"/>
          <w:szCs w:val="28"/>
          <w:rtl w:val="true"/>
          <w:lang w:bidi="ar-SA"/>
        </w:rPr>
        <w:t xml:space="preserve">نستأذنه بالمسألة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أبي كان من سبايا بني أمية، وقد علمت أنّ بني أمية لم يكن لهم أن يحرّموا ولا يحلّلوا ، ولم يكن لهم مما في أيديهم قليل ولا كثير، وإنّما ذلك لكم، فإذا ذكرتُ الذي كنتُ فيه دخلني من ذلك ما يكاد يفسد عليَّ ما أنا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مما كان من ذلك، وكلُّ مَنْ كان في مثل حالك من ورائي، فهو في حلٍّ من ذلك</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وتقريبها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السؤال يكون مجملاً؛ حيث لم يعلم أنّ المراد طلب حليّة النسل، أو أنّ المراد أنّ أباه يتصرّف بأمرهم فيما يؤخذ من المسلمين من الخراج، أو غيرها؟ فأجاب من غير استفصال، وذلك يرشد إلى فهمه العموم، مع أنّ السائل ذكر أنّ بني أُميّة ليس لهم شیءٌ ممّا في أيديهم من قليل ولا كثير، ولا يصح تحليلهم ولا تحريمهم، وقرره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التقرير لم يكن فيما هو المقصود، فلم يكن حجّة، بل يشعر ذيل الخبر بأن صدور تلك الأخبار كان لأجل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الأخبار الدالة على حرمة تصرّفهم، وكونهم غاصبين فيما يتصرّفون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فثبت من جميع ذلك أنَّه لا يُمكن رفع اليد بمجرّد تلك الأخبار،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دلالة لها على المطلوب بوجه، كرواية أبي بكر الحضرمي </w:t>
      </w:r>
      <w:r>
        <w:rPr>
          <w:rStyle w:val="FootnoteAnchor"/>
          <w:rtl w:val="true"/>
        </w:rPr>
        <w:footnoteReference w:id="592"/>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العمل بمقتضى القواعد العقلية والنقلية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والنقلية</w:t>
      </w:r>
      <w:r>
        <w:rPr>
          <w:rFonts w:eastAsia="Amiri" w:cs="Amiri" w:ascii="Amiri" w:hAnsi="Amiri"/>
          <w:color w:val="111111"/>
          <w:sz w:val="28"/>
          <w:szCs w:val="28"/>
          <w:rtl w:val="true"/>
          <w:lang w:bidi="ar-SA"/>
        </w:rPr>
        <w:t xml:space="preserve">. </w:t>
      </w:r>
      <w:bookmarkStart w:id="375" w:name="pg9195_77257"/>
    </w:p>
    <w:p>
      <w:pPr>
        <w:pStyle w:val="Heading3"/>
        <w:numPr>
          <w:ilvl w:val="2"/>
          <w:numId w:val="1"/>
        </w:numPr>
        <w:rPr/>
      </w:pPr>
      <w:bookmarkStart w:id="376" w:name="__RefHeading___Toc3921863_2870459653"/>
      <w:bookmarkStart w:id="377" w:name="_Toc128"/>
      <w:bookmarkEnd w:id="375"/>
      <w:bookmarkEnd w:id="376"/>
      <w:r>
        <w:rPr>
          <w:rtl w:val="true"/>
        </w:rPr>
        <w:t xml:space="preserve">[ </w:t>
      </w:r>
      <w:r>
        <w:rPr>
          <w:rtl w:val="true"/>
        </w:rPr>
        <w:t xml:space="preserve">الكلام في حليّة جوائز السلطان لنفوذ التقبّل منه </w:t>
      </w:r>
      <w:r>
        <w:rPr>
          <w:rtl w:val="true"/>
        </w:rPr>
        <w:t>]</w:t>
      </w:r>
      <w:bookmarkEnd w:id="377"/>
    </w:p>
    <w:p>
      <w:pPr>
        <w:pStyle w:val="BookText"/>
        <w:rPr/>
      </w:pPr>
      <w:r>
        <w:rPr>
          <w:rFonts w:ascii="Amiri" w:hAnsi="Amiri" w:eastAsia="Amiri" w:cs="Amiri"/>
          <w:color w:val="111111"/>
          <w:sz w:val="28"/>
          <w:sz w:val="28"/>
          <w:szCs w:val="28"/>
          <w:rtl w:val="true"/>
          <w:lang w:bidi="ar-SA"/>
        </w:rPr>
        <w:t>بقي الكلام على سائر ما يُتمسّك به في إثبات المطلوب، كدعوى الملازمة بين حليّة الجوائز المأخوذة من السلطان، ونفوذ التقبّل منه، وهذه الدعوى وإن كانت لها صورة، لكن ليست لها واقعيّة؛ حيث إنّه يُمكن منع الملازمة؛ لاحتمال أن تكون الحليَّة لأجل التقاص من مال المتقبّل؛ حيث إنّ المتقبّل لا يعطي غير ما دفعه إلى السلطان، ويكون ممتنعاً من ذلك، فيجوز التقاص من ماله، مع أنَّه لو أغضمنا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حرمة التصرّف في مال الغير حتّى في مثل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ولا يُمكن رفع اليد عن القواعد بمجرّد دعوى الإجماع الموهون؛ بمصير جماعة من المتقدمين والمتأخرين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الثالث،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يلزم من ذلك، لزوم إعانته على حفظ بيضة الإسلام؛ بإعطاء المال لا صحة تصرّفه في الأراضي الخراجيَّة، مع أنَّه يرد عليه وجوه أخر تظهر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قيل، أو يُقال للوجه الأول، وعليه من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 وجه ثبوت الولاية للحاكم الشرعي، وأنَّه الأوجه؛ بالنظر إلى القواعد والعمومات، وأمّا وجه صحة تصرّف كل واحد من الشيعة، فهو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أُجرة الأرض ونفس رقبتها؛ حيث إنَّ الأُجرة عوض المنفعة، فبعدما صح تصرّفه في العوض يصح تصرّفه في المعوّض</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التلازم بينهما؛ إذ في زمان الحضور يصح التصرّف في 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المعوّض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التحليل للشيعة، كما استدل بها صاحب المستند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لا يخفى عليك عدم دلالة بعض ما استدل به له بوجه،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لنا، فهو لشيعتنا </w:t>
      </w:r>
      <w:r>
        <w:rPr>
          <w:rFonts w:eastAsia="IRNazanin" w:cs="IRNazanin"/>
          <w:color w:val="111111"/>
          <w:sz w:val="28"/>
          <w:szCs w:val="28"/>
          <w:rtl w:val="true"/>
          <w:lang w:bidi="fa-IR"/>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حيث إنّه لا يُمكن الأخذ بظاهره؛ حيث إنّه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الولاية المطلقة لآحاد الشيعة، ولم يقل به أحدٌ منهم، وإنّما المراد منه التصرّف في أموالهم من الموات وغيرها، لا أملاك المسلمين، وبعضها الآخر وإن كان له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في أيدي شيعتنا من الأرض فهم محللون </w:t>
      </w:r>
      <w:r>
        <w:rPr>
          <w:rFonts w:eastAsia="Amiri" w:cs="Amiri" w:ascii="Amiri" w:hAnsi="Amiri"/>
          <w:color w:val="111111"/>
          <w:sz w:val="28"/>
          <w:szCs w:val="28"/>
          <w:rtl w:val="true"/>
          <w:lang w:bidi="ar-SA"/>
        </w:rPr>
        <w:t>...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تدلّ بإطلاقها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الخراجيَّة التى كانت بيد الشيعة لكن ليس لها إطلاق وظهور مُعْتد به يُمكن إثبات الحكم المخالف للإجماع ظاهراً، كما يظهر من کلام الشهيد الثاني حيث قال في المسالك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أنَّ الأصحاب بين طائفتين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بثبوت الولاية للسلطان، وطائفة أخرى بثبوت الولاية للحاكم الشرعي </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يُمكن أن يكون المراد من الحليّة شيئاً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أشرنا إليه سابقاً في أوائل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جمعاً بين الأخبار المذكورة، والأخبار الآمرة بايصال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 وعدم جواز منعهم، مع أنّه يُمكن منع الإطلاق بدعوى ظهور الرواية في الأراضي الميتة التي هي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Style w:val="FootnoteAnchor"/>
          <w:rtl w:val="true"/>
        </w:rPr>
        <w:footnoteReference w:id="597"/>
      </w:r>
      <w:r>
        <w:rPr>
          <w:rFonts w:ascii="Amiri" w:hAnsi="Amiri" w:eastAsia="Amiri" w:cs="Amiri"/>
          <w:color w:val="111111"/>
          <w:sz w:val="28"/>
          <w:sz w:val="28"/>
          <w:szCs w:val="28"/>
          <w:rtl w:val="true"/>
          <w:lang w:bidi="ar-SA"/>
        </w:rPr>
        <w:t xml:space="preserve">وهو التفصيل بين من يستحق أجرة الأرض وبين غيره، بالجواز في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دعوى الملازمة بين استحقاق العوض واستحقاق المعوّض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بعض الأخبار الدالة على ثبوت النصب للشخص في الأرض، ففيه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ثبوت النصب في نفس الأرض، بل بمعنى ثبوت النصب من </w:t>
      </w:r>
    </w:p>
    <w:p>
      <w:pPr>
        <w:pStyle w:val="BookText"/>
        <w:rPr/>
      </w:pPr>
      <w:r>
        <w:rPr>
          <w:rFonts w:ascii="IRNazanin" w:hAnsi="IRNazanin" w:eastAsia="IRNazanin"/>
          <w:color w:val="111111"/>
          <w:sz w:val="28"/>
          <w:sz w:val="28"/>
          <w:szCs w:val="28"/>
          <w:rtl w:val="true"/>
          <w:lang w:bidi="fa-IR"/>
        </w:rPr>
        <w:t>منفعته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لا يخفى ما فيه؛ فإنّ الأرضَ مِلْك المسلمين على ما قدمناه سابقاً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النصب لا يدل على جواز التصرّف في الأرض بأيِّ نحو، ولو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الإذن </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 مع أنَّ بعض الأخبار الدالّة على ثبوت النصب إنَّما تدلّ على ثبوت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المأخوذ بعنوان الخراج، كرواية أبي بكر الحضرمي، حيث إنّه قال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 ابن أبي سماك أن يبعث إليك بعطائك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لك في بيت المال نصيباً؟</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المراد بما في بيت المال هو الأعم </w:t>
      </w:r>
      <w:r>
        <w:rPr>
          <w:rStyle w:val="FootnoteAnchor"/>
          <w:rtl w:val="true"/>
        </w:rPr>
        <w:footnoteReference w:id="601"/>
      </w:r>
      <w:r>
        <w:rPr>
          <w:rFonts w:ascii="Amiri" w:hAnsi="Amiri" w:eastAsia="Amiri" w:cs="Amiri"/>
          <w:color w:val="111111"/>
          <w:sz w:val="28"/>
          <w:sz w:val="28"/>
          <w:szCs w:val="28"/>
          <w:rtl w:val="true"/>
          <w:lang w:bidi="ar-SA"/>
        </w:rPr>
        <w:t xml:space="preserve">من الخراج وغيره من الصدقات، والنذورات، أو خصوص الخراج كما استفاده بعض </w:t>
      </w:r>
      <w:r>
        <w:rPr>
          <w:rStyle w:val="FootnoteAnchor"/>
          <w:rtl w:val="true"/>
        </w:rPr>
        <w:footnoteReference w:id="602"/>
      </w:r>
      <w:r>
        <w:rPr>
          <w:rFonts w:ascii="Amiri" w:hAnsi="Amiri" w:eastAsia="Amiri" w:cs="Amiri"/>
          <w:color w:val="111111"/>
          <w:sz w:val="28"/>
          <w:sz w:val="28"/>
          <w:szCs w:val="28"/>
          <w:rtl w:val="true"/>
          <w:lang w:bidi="ar-SA"/>
        </w:rPr>
        <w:t xml:space="preserve">، وأمّا بناءً على كون المراد هي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بعض آخر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ربط له بالمطلوب أصلا،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 إفاداته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 منها الدلالة على المطلوب، لكنَّ 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عدم جواز تصرّف غير المستحق، فقد علم مما ذكر سابقاً، فراجع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وجه الرابع، فليس شيء سوى عمومات الإحياء والسبق، بناءً على كونها إذناً، لا بناءً على استفادة السببيّة منها، تتعارض مع الأدلّة الدالّة على عدم جواز التصرّف في مال الغير بدون الإذن فيتساقطان، أو ترجيح الثانية على الأولى بسبب الثانية على الأولى بسبب اعتضادها بالشهرة ،والأدلّة العقليّة،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لا يخفى عليك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عمومات الإحياء؛ فلأنّا قد ذكرنا سابقا </w:t>
      </w:r>
      <w:r>
        <w:rPr>
          <w:rStyle w:val="FootnoteAnchor"/>
          <w:rtl w:val="true"/>
        </w:rPr>
        <w:footnoteReference w:id="604"/>
      </w:r>
      <w:r>
        <w:rPr>
          <w:rFonts w:ascii="Amiri" w:hAnsi="Amiri" w:eastAsia="Amiri" w:cs="Amiri"/>
          <w:color w:val="111111"/>
          <w:sz w:val="28"/>
          <w:sz w:val="28"/>
          <w:szCs w:val="28"/>
          <w:rtl w:val="true"/>
          <w:lang w:bidi="ar-SA"/>
        </w:rPr>
        <w:t>أنَّها دالّة على السببيّة، وصدورها لأجل الإذن بعيد جداً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وكونها مقيّدة بما إذا لم يكن لها مالك وربّ، كما يظهر التقييد به من بعض الأخبار </w:t>
      </w:r>
      <w:r>
        <w:rPr>
          <w:rStyle w:val="FootnoteAnchor"/>
          <w:rtl w:val="true"/>
        </w:rPr>
        <w:footnoteReference w:id="605"/>
      </w:r>
      <w:r>
        <w:rPr>
          <w:rFonts w:ascii="Amiri" w:hAnsi="Amiri" w:eastAsia="Amiri" w:cs="Amiri"/>
          <w:color w:val="111111"/>
          <w:sz w:val="28"/>
          <w:sz w:val="28"/>
          <w:szCs w:val="28"/>
          <w:rtl w:val="true"/>
          <w:lang w:bidi="ar-SA"/>
        </w:rPr>
        <w:t xml:space="preserve">۔ كما أشرنا إليه سابقاً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تشمل ما نحن فيه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عمومات السبق؛ فلعدم ثبوت موضوعها، وهو الشيء الذي لم يسبقه أحدٌ؛ لثبوت سبق المسلمين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تحقق عدم السبق؛ بعدم العلم بالمالك لا يصغى إليها، وإلا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w:t>
      </w:r>
      <w:r>
        <w:rPr>
          <w:rFonts w:eastAsia="IRNazanin" w:cs="IRNazanin"/>
          <w:color w:val="111111"/>
          <w:sz w:val="28"/>
          <w:szCs w:val="28"/>
          <w:rtl w:val="true"/>
          <w:lang w:bidi="fa-IR"/>
        </w:rPr>
        <w:t xml:space="preserve">» </w:t>
      </w:r>
      <w:r>
        <w:rPr>
          <w:rStyle w:val="FootnoteAnchor"/>
          <w:rtl w:val="true"/>
        </w:rPr>
        <w:footnoteReference w:id="607"/>
      </w:r>
      <w:r>
        <w:rPr>
          <w:rFonts w:ascii="Amiri" w:hAnsi="Amiri" w:eastAsia="Amiri" w:cs="Amiri"/>
          <w:color w:val="111111"/>
          <w:sz w:val="28"/>
          <w:sz w:val="28"/>
          <w:szCs w:val="28"/>
          <w:rtl w:val="true"/>
          <w:lang w:bidi="ar-SA"/>
        </w:rPr>
        <w:t>من الأدلة على جواز تملّك اللقطة، والمال المجهول مالكه، ولم يُعْلم تمسكهم به في أمثال هذه المقامات،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في زمان الغيبة للحاكم الشرعي، فلا بُدَّ من التقبّل منه، فهو إنْ كان مبسوط اليد كان متمكناً من صرف الخراج في مصالح المسلمين، ويأخذ الخراج فيصرف فيها، وإنْ لم يكن مبسوط اليد يأذن المتقبّل في التقبّل من السلطان، ودفع الخراج إليه ؛ لعدم تمكّن صرف الخراج في مصالحهم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بنينا على جواز التقبّل من السلطان لا شبهة في أنّه يأخذ في حقنا لا له، بمعنى جواز تصرّفه، وعدم حرمة تصرّفه، بل يكون تصرّفه حراماً؛ لأنَّه من تتمة غصب منصب الولاية عمن جعل الله تعالى هذا المنصب له ، ولا شبهة في ذلك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على التقدير المذكور إنّما هو ثابت في التقبّل من المخالف، لا من سلطان الشيعة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الجائر؛ إذ الوجه في الصحة هي الأخبار </w:t>
      </w:r>
      <w:r>
        <w:rPr>
          <w:rStyle w:val="FootnoteAnchor"/>
          <w:rtl w:val="true"/>
        </w:rPr>
        <w:footnoteReference w:id="608"/>
      </w:r>
      <w:r>
        <w:rPr>
          <w:rFonts w:ascii="Amiri" w:hAnsi="Amiri" w:eastAsia="Amiri" w:cs="Amiri"/>
          <w:color w:val="111111"/>
          <w:sz w:val="28"/>
          <w:sz w:val="28"/>
          <w:szCs w:val="28"/>
          <w:rtl w:val="true"/>
          <w:lang w:bidi="ar-SA"/>
        </w:rPr>
        <w:t xml:space="preserve">، والسلطان المذكور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 إلى الفرد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السلطان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النادر، بل غير الموجود في زمان الصدور، هذا كلّه في أصل الأراضي</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9195_77263"/>
      <w:bookmarkStart w:id="379" w:name="pg9195_77263"/>
      <w:bookmarkEnd w:id="379"/>
    </w:p>
    <w:p>
      <w:pPr>
        <w:pStyle w:val="BookText"/>
        <w:rPr/>
      </w:pPr>
      <w:bookmarkStart w:id="380" w:name="pg9195_77263"/>
      <w:bookmarkEnd w:id="38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3921865_2870459653"/>
      <w:bookmarkStart w:id="382" w:name="_Toc129"/>
      <w:bookmarkEnd w:id="381"/>
      <w:r>
        <w:rPr>
          <w:rtl w:val="true"/>
        </w:rPr>
        <w:t>[</w:t>
      </w:r>
      <w:r>
        <w:rPr>
          <w:rtl w:val="true"/>
        </w:rPr>
        <w:t>الكلام فيما ينفصل من الأراضي</w:t>
      </w:r>
      <w:r>
        <w:rPr>
          <w:rtl w:val="true"/>
        </w:rPr>
        <w:t>]</w:t>
      </w:r>
      <w:bookmarkEnd w:id="382"/>
    </w:p>
    <w:p>
      <w:pPr>
        <w:pStyle w:val="BookText"/>
        <w:rPr/>
      </w:pPr>
      <w:r>
        <w:rPr>
          <w:rFonts w:ascii="Amiri" w:hAnsi="Amiri" w:eastAsia="Amiri" w:cs="Amiri"/>
          <w:color w:val="111111"/>
          <w:sz w:val="28"/>
          <w:sz w:val="28"/>
          <w:szCs w:val="28"/>
          <w:rtl w:val="true"/>
          <w:lang w:bidi="ar-SA"/>
        </w:rPr>
        <w:t>وأمّا الكلامُ فيما ينفصل من تلك الأراضي، فهو إنّ المنفصل منها على قسمين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قسمٌ يعدّ من قبيل المنافع للأرض، كورق الشجر، والأغصان المقطوعة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من قبيل المنافع، كاللّبنة، والآجر،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يكون قابلاً للبقاء، وبعضها الآخر ليس قابلاً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فالظاهر عدم الإشكال في جواز التصرّف فيها، وصرفها في المصالح العامة؛ إذ إبقاؤها تضييع محرّم بالنص </w:t>
      </w:r>
      <w:r>
        <w:rPr>
          <w:rStyle w:val="FootnoteAnchor"/>
          <w:rtl w:val="true"/>
        </w:rPr>
        <w:footnoteReference w:id="609"/>
      </w:r>
      <w:r>
        <w:rPr>
          <w:rFonts w:ascii="IRNazanin" w:hAnsi="IRNazanin" w:eastAsia="IRNazanin"/>
          <w:color w:val="111111"/>
          <w:sz w:val="28"/>
          <w:sz w:val="28"/>
          <w:szCs w:val="28"/>
          <w:rtl w:val="true"/>
          <w:lang w:bidi="fa-IR"/>
        </w:rPr>
        <w:t xml:space="preserve">والإجماع </w:t>
      </w:r>
      <w:r>
        <w:rPr>
          <w:rStyle w:val="FootnoteAnchor"/>
          <w:rtl w:val="true"/>
        </w:rPr>
        <w:footnoteReference w:id="610"/>
      </w:r>
      <w:r>
        <w:rPr>
          <w:rFonts w:ascii="Amiri" w:hAnsi="Amiri" w:eastAsia="Amiri" w:cs="Amiri"/>
          <w:color w:val="111111"/>
          <w:sz w:val="28"/>
          <w:sz w:val="28"/>
          <w:szCs w:val="28"/>
          <w:rtl w:val="true"/>
          <w:lang w:bidi="ar-SA"/>
        </w:rPr>
        <w:t>، وليس حكم تلك الأراضي إلا حكم الأرض الموقوفة، بل هي موقوفةٌ متروكةٌ، فيجري فيها ما يجري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يعد من المنافع ، فمقتضى القاعدة فيها هو جريان حكم نفس الأرض عليها؛ لأنَّها جزء الأرض، فلا يجوز التصرّف فيها إلا بإذن الإمام في زمان الحضور، وبإذن حاكم الشرع في زمان الغيبة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قد يستدل بجواز أخذها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بعنوان التملّك، لا بعنوان الانتفاع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بالسيرة؛ فإنَّ سيرة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عن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جاريةٌ على جواز أخذ مثل هذه الأمور، كأخذ التربة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مشرّفها ألف ألف تحيّة وإكرام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والآجر، والمشارب وغير ذلك، فيكشف ذلك عن ثبوت الإذن منهم ورضاهم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خروج ذلك عن ملك المسلمين بمجرد الانفصال، بل يُمكن القول بكونها داخلة في المباحات، فيدلّ على صحة تملكها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ويؤيده الحثّ العظيم على أخذ التربة الحسينية؛ للاستشفاء بها،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عدم تماميّة شيء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السيرة؛ فلأنَّها إنّما تكون حجّة إذا حصل القطع بكونها ثابتة في 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متمكناً من الردع ولم يردع والمقدّمات كلّها في حيّز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الأولى، خصوصاً بالنسبة إلى بعضها، ولوسلّمنا الثبوت فإنّما نسلّم في الجملة كالتربة، ولا يلزم منه ثبوت المدّعى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الكلية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لاحتمال كون المأخوذ من الموات، أو من خمس الإمام، أو من أملاكهم المختصة بهم واحتمال ثبوت الإذن في خصوص الأشخاص أو العموم، إمّا بالنسبة إلى ذلك الزمان دون غيره من الأزمان فلا يلزم التعدي عنها إلى غيرها، أو عن خصوص الشخص إلى غيره من الأشخاص، وعن خصوص الزمان إلى غيره من الأزمان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دليل السبق ، فقد عرفت </w:t>
      </w:r>
      <w:r>
        <w:rPr>
          <w:rStyle w:val="FootnoteAnchor"/>
          <w:rtl w:val="true"/>
        </w:rPr>
        <w:footnoteReference w:id="612"/>
      </w:r>
      <w:r>
        <w:rPr>
          <w:rFonts w:ascii="Amiri" w:hAnsi="Amiri" w:eastAsia="Amiri" w:cs="Amiri"/>
          <w:color w:val="111111"/>
          <w:sz w:val="28"/>
          <w:sz w:val="28"/>
          <w:szCs w:val="28"/>
          <w:rtl w:val="true"/>
          <w:lang w:bidi="ar-SA"/>
        </w:rPr>
        <w:t>ما في الاستدلال به، فلا حاجة إلى الإعادة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المشتملة على الترغيب والتأكيد في أخذها ، فلا تثمر في شيء؛ إذ ثبوت الشفاء لا يدل على جواز الأخذ مطلقاً، ولو بدون إذن مالكه ، وإنّما هي في مقام بيان الفضيلة والخاصيّة، لكن يشكل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 في التربة المأخوذة من كربلاء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كونها من الأرض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يسهل الخطب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بكونها من الأراضي المفتوحة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بكونها من المحياة حال الفتح، بل لعلّها كانت من الموات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كونها من خمس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الأمر أسهل فيما يشترى من المهادين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والسبحة</w:t>
      </w:r>
      <w:r>
        <w:rPr>
          <w:rFonts w:eastAsia="IRNazanin" w:cs="IRNazanin"/>
          <w:color w:val="111111"/>
          <w:sz w:val="28"/>
          <w:szCs w:val="28"/>
          <w:rtl w:val="true"/>
          <w:lang w:bidi="fa-IR"/>
        </w:rPr>
        <w:t>)</w:t>
      </w:r>
      <w:r>
        <w:rPr>
          <w:rStyle w:val="FootnoteAnchor"/>
          <w:rtl w:val="true"/>
        </w:rPr>
        <w:footnoteReference w:id="613"/>
      </w:r>
      <w:r>
        <w:rPr>
          <w:rFonts w:ascii="Amiri" w:hAnsi="Amiri" w:eastAsia="Amiri" w:cs="Amiri"/>
          <w:color w:val="111111"/>
          <w:sz w:val="28"/>
          <w:sz w:val="28"/>
          <w:szCs w:val="28"/>
          <w:rtl w:val="true"/>
          <w:lang w:bidi="ar-SA"/>
        </w:rPr>
        <w:t>وغيرهما؛ حيث إنّ أصالة حمل فعل المسلم على الصحة ثابتة؛ حيث إنّه يحتمل أنَّهم يأخذون بإذن حكّام الشرع، أو من الأملاك التي يكون يد المسلمين عليها، وغير ذلك</w:t>
      </w:r>
      <w:r>
        <w:rPr>
          <w:rFonts w:eastAsia="Amiri" w:cs="Amiri" w:ascii="Amiri" w:hAnsi="Amiri"/>
          <w:color w:val="111111"/>
          <w:sz w:val="28"/>
          <w:szCs w:val="28"/>
          <w:rtl w:val="true"/>
          <w:lang w:bidi="ar-SA"/>
        </w:rPr>
        <w:t xml:space="preserve">. </w:t>
      </w:r>
      <w:bookmarkStart w:id="383" w:name="pg9195_77265"/>
    </w:p>
    <w:p>
      <w:pPr>
        <w:pStyle w:val="Heading3"/>
        <w:numPr>
          <w:ilvl w:val="2"/>
          <w:numId w:val="1"/>
        </w:numPr>
        <w:rPr/>
      </w:pPr>
      <w:bookmarkStart w:id="384" w:name="__RefHeading___Toc3921867_2870459653"/>
      <w:bookmarkStart w:id="385" w:name="_Toc130"/>
      <w:bookmarkEnd w:id="383"/>
      <w:bookmarkEnd w:id="384"/>
      <w:r>
        <w:rPr>
          <w:rtl w:val="true"/>
        </w:rPr>
        <w:t xml:space="preserve">[ </w:t>
      </w:r>
      <w:r>
        <w:rPr>
          <w:rtl w:val="true"/>
        </w:rPr>
        <w:t>الكلام في تحديد الأرض الخراجيّة، وما العمل حال الشك</w:t>
      </w:r>
      <w:r>
        <w:rPr>
          <w:rtl w:val="true"/>
        </w:rPr>
        <w:t>]</w:t>
      </w:r>
      <w:bookmarkEnd w:id="385"/>
    </w:p>
    <w:p>
      <w:pPr>
        <w:pStyle w:val="BookText"/>
        <w:rPr/>
      </w:pPr>
      <w:r>
        <w:rPr>
          <w:rFonts w:ascii="Amiri" w:hAnsi="Amiri" w:eastAsia="Amiri" w:cs="Amiri"/>
          <w:color w:val="111111"/>
          <w:sz w:val="28"/>
          <w:sz w:val="28"/>
          <w:szCs w:val="28"/>
          <w:rtl w:val="true"/>
          <w:lang w:bidi="ar-SA"/>
        </w:rPr>
        <w:t>بقي الكلام في كيفيّة تشخيص الأراضي المذكورة، وكيفية المعاملة معها في صورة الاشتباه،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الأرض التي علم كونها من المفتوحة عنوةً، فتجري عليها الأحكام المذكورة، ومع فقد العلم وما في حكمه كالبينة لا يبعد اعتبار الظن المتاخم للعلم ومع فقده يرجع إلى الأصول العمليّة؛ لعدم الدليل على حجيّة الظن مطلقاً، وإنْ قال به بعضٌ </w:t>
      </w:r>
      <w:r>
        <w:rPr>
          <w:rStyle w:val="FootnoteAnchor"/>
          <w:rtl w:val="true"/>
        </w:rPr>
        <w:footnoteReference w:id="614"/>
      </w:r>
      <w:r>
        <w:rPr>
          <w:rFonts w:ascii="Amiri" w:hAnsi="Amiri" w:eastAsia="Amiri" w:cs="Amiri"/>
          <w:color w:val="111111"/>
          <w:sz w:val="28"/>
          <w:sz w:val="28"/>
          <w:szCs w:val="28"/>
          <w:rtl w:val="true"/>
          <w:lang w:bidi="ar-SA"/>
        </w:rPr>
        <w:t>من باب الانسداد، لكن جريانه محل تأمل وإشكال، ففي صورة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يُعلم كونها بيد الكفار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مرددة بين احتمالات ثلاثة، أو تكون مرددة بين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يعلم إجمالا بعدم كون خلو الأرض من أحد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فتحت عنوةً، فتكون ملك المسلمين، أو انجلى أهلها، فتكون ملك الإمام، أو صُولِح عليها على أنْ تكون الأرض لهم، أو أسلموا عليها، فتكون باقية على ملكهم، فالظاهر هو الحكم ببقاء الأرض على ملكيّته ؛ لكون الاستصحاب مُحكَّماً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والقولُ بأنّ بقاءها على ملكهم موقوفٌ على ثبوت إسلامهم أو الصلح، فلم يثبت شيء منها، مدفوعٌ بأنّ التوقف ليس بحسب الواقع، بل بحسب العلم بعدم الخلو عن أحد الأمور، فلا يلزم منه الشرطيّة الواقعيّة حتّى يلزم إحرازه، فيجري عليها حكم المجهول مالکه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الأمر مردداً بين الأقل ، كأن يعلم عدم إسلامهم وعدم الصلح على النحو المزبور، لا يمكن الحكم بكونها ملك المسلمين خاصَّة، أو ملك الإمام خاصّة، فلا يبعد الرجوع إلى أصالة الإباحة في التصرّفات، التي لا تكون متوقفة على الملكيَّة، كسكناها وزرعها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بيعها؛ إذ البيع يتوقف على الملك، وإنّما الكلام في أنَّه يجوز سائر التصرّفات </w:t>
      </w:r>
    </w:p>
    <w:p>
      <w:pPr>
        <w:pStyle w:val="BookText"/>
        <w:rPr/>
      </w:pPr>
      <w:r>
        <w:rPr>
          <w:rFonts w:ascii="Amiri" w:hAnsi="Amiri" w:eastAsia="Amiri" w:cs="Amiri"/>
          <w:color w:val="111111"/>
          <w:sz w:val="28"/>
          <w:sz w:val="28"/>
          <w:szCs w:val="28"/>
          <w:rtl w:val="true"/>
          <w:lang w:bidi="ar-SA"/>
        </w:rPr>
        <w:t>غير المتوقفة على الملك، أو لا بُدَّ من إحراز السبب المسوّغ ؛ لأنَّ المال بنفسه مقتضٍ لعدم جواز التصرّف، فلا بُدَّ في الجواز من شيء رافع للمقتضي؟ لا يبعد عدم الاحتياج</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ما أفاده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بفهمنا القاصر، وأسأل الله مِنْ فضله أنْ يرزقنا ما هو خير لنا في الدنيا والآخرة</w:t>
      </w:r>
      <w:r>
        <w:rPr>
          <w:rFonts w:eastAsia="Amiri" w:cs="Amiri" w:ascii="Amiri" w:hAnsi="Amiri"/>
          <w:color w:val="111111"/>
          <w:sz w:val="28"/>
          <w:szCs w:val="28"/>
          <w:rtl w:val="true"/>
          <w:lang w:bidi="ar-SA"/>
        </w:rPr>
        <w:t xml:space="preserve">. </w:t>
      </w:r>
      <w:bookmarkStart w:id="386" w:name="pg9195_77267"/>
    </w:p>
    <w:p>
      <w:pPr>
        <w:pStyle w:val="Heading3"/>
        <w:numPr>
          <w:ilvl w:val="2"/>
          <w:numId w:val="1"/>
        </w:numPr>
        <w:rPr/>
      </w:pPr>
      <w:bookmarkStart w:id="387" w:name="__RefHeading___Toc3921869_2870459653"/>
      <w:bookmarkStart w:id="388" w:name="_Toc131"/>
      <w:bookmarkEnd w:id="386"/>
      <w:bookmarkEnd w:id="387"/>
      <w:r>
        <w:rPr>
          <w:rtl w:val="true"/>
        </w:rPr>
        <w:t>(</w:t>
      </w:r>
      <w:r>
        <w:rPr>
          <w:rtl w:val="true"/>
        </w:rPr>
        <w:t>في مسألة بيع الوقف</w:t>
      </w:r>
      <w:r>
        <w:rPr>
          <w:rtl w:val="true"/>
        </w:rPr>
        <w:t>)</w:t>
      </w:r>
      <w:bookmarkEnd w:id="3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اشترطوا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المبيعُ طلقاً </w:t>
      </w:r>
      <w:r>
        <w:rPr>
          <w:rStyle w:val="FootnoteAnchor"/>
          <w:rtl w:val="true"/>
        </w:rPr>
        <w:footnoteReference w:id="615"/>
      </w:r>
      <w:r>
        <w:rPr>
          <w:rFonts w:ascii="Amiri" w:hAnsi="Amiri" w:eastAsia="Amiri" w:cs="Amiri"/>
          <w:color w:val="111111"/>
          <w:sz w:val="28"/>
          <w:sz w:val="28"/>
          <w:szCs w:val="28"/>
          <w:rtl w:val="true"/>
          <w:lang w:bidi="ar-SA"/>
        </w:rPr>
        <w:t>، وفرّعوا عليه عدم جواز بيع الوقف، والمرهون، وغيرهما مما خرج عن الطلْقيّة؛ بتعلّق بعض الحقوق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يعلم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المراد بها كون الملكيّة تامّة غير منقصة، بحيث تكون العلقة المعبّر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بتمامها، أو يكون المراد بها ثبوت تمام السلطنة على العين، بحيث يجوز للمالك التصرّف فيها بجميع أنحاء التصرّفات؟</w:t>
      </w:r>
    </w:p>
    <w:p>
      <w:pPr>
        <w:pStyle w:val="BookText"/>
        <w:rPr/>
      </w:pPr>
      <w:r>
        <w:rPr>
          <w:rFonts w:ascii="Amiri" w:hAnsi="Amiri" w:eastAsia="Amiri" w:cs="Amiri"/>
          <w:color w:val="111111"/>
          <w:sz w:val="28"/>
          <w:sz w:val="28"/>
          <w:szCs w:val="28"/>
          <w:rtl w:val="true"/>
          <w:lang w:bidi="ar-SA"/>
        </w:rPr>
        <w:t>والظاهر أنَّ المراد هو الثاني، وحينئذٍ يلزم عليهم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رجوع الشرط المذكور إلى محصّل؛ لرجوعه حقيقة بالآخرة إلى أنَّه يشترط في المبيع أن يصح بيعه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كون الطلقيّة بالمعنى المذكور أمراً واقعيّاً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يكون من الشروط الواقعيّة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يكون أمراً انتزاعياً، انتزعوه من عدم تعلّق حق الواقف، أو الموقوف عليه بالعين، وعدم تعلّق حق الراهن، وغير ذلك، فالشرط حقيقة عدم تعلّق الحقوق الثابتة في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بيع ما تعلّق كل منها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المبيع أنْ لا يكون متعلّقاً لحقّ من الحقوق الموجبة لضعف الملكيّة وعلقتها؛ حيث إنّه يُمكن استنباط هذا الشرط من الموارد المحكومة بعدم جواز البيع مثل المرهون والموقوف؛ حيث إنَّ عدم جواز البيع في هذه الموارد ليس إلا لتعلّق الحقّ بها، فيكون الشرط هو عدم تعلّق الحقّ الموجب لضعف الملكيّة بالبيع</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عليك أنَّه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أولاً على ما ذكروه </w:t>
      </w:r>
      <w:bookmarkStart w:id="389" w:name="pg9195_77268"/>
    </w:p>
    <w:p>
      <w:pPr>
        <w:pStyle w:val="Heading3"/>
        <w:numPr>
          <w:ilvl w:val="2"/>
          <w:numId w:val="1"/>
        </w:numPr>
        <w:rPr/>
      </w:pPr>
      <w:bookmarkStart w:id="390" w:name="__RefHeading___Toc3921871_2870459653"/>
      <w:bookmarkStart w:id="391" w:name="_Toc132"/>
      <w:bookmarkEnd w:id="389"/>
      <w:bookmarkEnd w:id="390"/>
      <w:r>
        <w:rPr>
          <w:rtl w:val="true"/>
        </w:rPr>
        <w:t>(</w:t>
      </w:r>
      <w:r>
        <w:rPr>
          <w:rtl w:val="true"/>
        </w:rPr>
        <w:t xml:space="preserve">عدم جواز بیع الوقف </w:t>
      </w:r>
      <w:r>
        <w:rPr>
          <w:rtl w:val="true"/>
        </w:rPr>
        <w:t>)</w:t>
      </w:r>
      <w:bookmarkEnd w:id="391"/>
    </w:p>
    <w:p>
      <w:pPr>
        <w:pStyle w:val="BookText"/>
        <w:rPr/>
      </w:pPr>
      <w:r>
        <w:rPr>
          <w:rFonts w:ascii="Amiri" w:hAnsi="Amiri" w:eastAsia="Amiri" w:cs="Amiri"/>
          <w:color w:val="111111"/>
          <w:sz w:val="28"/>
          <w:sz w:val="28"/>
          <w:szCs w:val="28"/>
          <w:rtl w:val="true"/>
          <w:lang w:bidi="ar-SA"/>
        </w:rPr>
        <w:t>فلنرجع إلى أصل المطلب، وهو عدم جواز بيع الوقف، فنقول وبالله الاستعانة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قام عليه الإجماع </w:t>
      </w:r>
      <w:r>
        <w:rPr>
          <w:rStyle w:val="FootnoteAnchor"/>
          <w:rtl w:val="true"/>
        </w:rPr>
        <w:footnoteReference w:id="616"/>
      </w:r>
      <w:r>
        <w:rPr>
          <w:rFonts w:ascii="Amiri" w:hAnsi="Amiri" w:eastAsia="Amiri" w:cs="Amiri"/>
          <w:color w:val="111111"/>
          <w:sz w:val="28"/>
          <w:sz w:val="28"/>
          <w:szCs w:val="28"/>
          <w:rtl w:val="true"/>
          <w:lang w:bidi="ar-SA"/>
        </w:rPr>
        <w:t xml:space="preserve">، ولم ينكره أحد منهم، بل لا يبعد القول بكونه من الضروريات، ويشهد له تمسّك المجوّزين لبيعه في الموارد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نشير إليها إنْ شاء الله تعالى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الخاصة من العقل والنقل،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البيع مقتضى صحة الوقف؛ حيث إنّ عدم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التصرّفات الناقلة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لمفهوم الوقف؛ حيث إنّه إمّا الحبس أو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قالوا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وحبسُ العين يستلزم عدم الجري، وعدم طروّ الطوارئ عليه ، بحيث لا يتخلّف عنه، ولا يُمكن الانفكاك بينها أصلاً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أنَّ الوقف يستعمل لازماً، ويكون معنى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قائماً، ويستعمل متعدّياً، ويكون بمعنى إقامته، على ما في القاموس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Style w:val="FootnoteAnchor"/>
          <w:rtl w:val="true"/>
        </w:rPr>
        <w:footnoteReference w:id="62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الشيء على أحدٍ، هو إيقافه عليه وإقامته عليه، لا بمعنى نقله عن حالة إلى حال القيام، بل بمعنى إثباته عليه من قبيل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الدابةَ على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بواداشنّ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أنَّه وإنْ لم يكن عين الحبس، إلا أنَّه لازم لماهيَّته بحيث لا يتخلّف عنه، فمعنى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الدار على زيد، هو الحبس عليه، ولو باعتبار مدلوله الالتزامي وتعلقه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يكن على سبيل الحقيقة؛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للاستعلاء، لكنه هنا باعتبار الاستعلاء المجازي؛ حيث إنّ الواقف كأنَّه يضع العين عليه، أو باعتبار المنفعة؛ حيث إنّه يسبّل منفعتها عليه، وليست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يُتوهم، بل يكون وقفتُ عليه، مثل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حفظ على أمتي أربعين حديثاً</w:t>
      </w:r>
      <w:r>
        <w:rPr>
          <w:rFonts w:eastAsia="IRNazanin" w:cs="IRNazanin"/>
          <w:color w:val="111111"/>
          <w:sz w:val="28"/>
          <w:szCs w:val="28"/>
          <w:rtl w:val="true"/>
          <w:lang w:bidi="fa-IR"/>
        </w:rPr>
        <w:t>»</w:t>
      </w:r>
      <w:r>
        <w:rPr>
          <w:rStyle w:val="FootnoteAnchor"/>
          <w:rtl w:val="true"/>
        </w:rPr>
        <w:footnoteReference w:id="62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 إِلَّا عَلَى أَزْوَاجِهِمْ</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 حيث إنَّها بملاحظة المنفعة العائدة إلى متعلّقها، فحينئذٍ يكون نفس مفاد إمضاء الوقف دليلاً على عدم البيع لا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فعدم الجري مأخوذٌ فيه ما دام كونه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لما ذكره بعضهم</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الجري ثابتٌ في مفهوم الوقف، فالوقفيَّة والبيع من التضاد؛ لما قد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الوقف، هو الإقامة اللازمة لعدم الجري، فليس مفهومه عدم الجري، بل لازم ماهيته، كالزوجية للأربعة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ظهر اتجاه الاستدلال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الوقوف على حسب ما يوقفها أهلها</w:t>
      </w:r>
      <w:r>
        <w:rPr>
          <w:rFonts w:eastAsia="IRNazanin" w:cs="IRNazanin"/>
          <w:color w:val="111111"/>
          <w:sz w:val="28"/>
          <w:szCs w:val="28"/>
          <w:rtl w:val="true"/>
          <w:lang w:bidi="fa-IR"/>
        </w:rPr>
        <w:t xml:space="preserve">»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عدم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الكيفيات المرسومة في إنشاء الوقف مما أنشأه الواقف، فلا بدَّ من كونه باقياً على حسب 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أنَّ كونه مسوقاً لبيان الكيفيات المرسومة في إنشاء الوقف، لا ينافي جواز الاستدلال به؛ لعدم جواز البيع كما يظهر من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مكاسبه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والحالة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به هنا لإثبات عدم جواز البيع،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الدوام مأخوذ فيه</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 فكلماته مضطربة غير منطبقة بعضها على بعض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لو لم نقل بكون عدم الجري مأخوذاً فيه بطريق اللزوم، لم يتجه الاستدلال به لما نحن فيه؛ لأنّ عدم جواز البيع من أحكام الوقف ولو أخذ فيه إنشاء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أخذ في الإنشاء يدل على عدم جواز بيع خصوص ما اشترط فيه، لا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استدل به لما نحن فيه ما عن ربعي،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صورة وقف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تصدّق به علي بن أبي طالب، وهو حيٌّ سويٌّ، تصدّق بداره التي في بني رزيق، صدقةً لا تُباع، ولا تُوهب حتّى يرثها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يرث السموات والأرض، وأسكن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w:t>
      </w:r>
      <w:r>
        <w:rPr>
          <w:rFonts w:eastAsia="IRNazanin" w:cs="IRNazanin"/>
          <w:color w:val="111111"/>
          <w:sz w:val="28"/>
          <w:szCs w:val="28"/>
          <w:rtl w:val="true"/>
          <w:lang w:bidi="fa-IR"/>
        </w:rPr>
        <w:t>...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والاستدلال به مبني على ظهور الوصف في كونه وصفاً لنوع الصدقة لا لجنسها، ولا شبهة فيه؛ إذ الصدقات غير الموصوفة بهذا الوصف أكثر من الموصوفة به، ولا لشخصها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على كونه شرطاً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خصوص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بناءً عليه لا يدل على المطلوب بوجه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انحصار الوقف بهذا النوع ؛ بالإجماع أو بغيره، وعدم ثبوت فرد آخر للوقف، لكن مع ذلك لا يبعد ظهور الرواية في المطلوب</w:t>
      </w:r>
    </w:p>
    <w:p>
      <w:pPr>
        <w:pStyle w:val="BookText"/>
        <w:rPr/>
      </w:pPr>
      <w:r>
        <w:rPr>
          <w:rFonts w:ascii="IRNazanin" w:hAnsi="IRNazanin" w:eastAsia="IRNazanin"/>
          <w:color w:val="111111"/>
          <w:sz w:val="28"/>
          <w:sz w:val="28"/>
          <w:szCs w:val="28"/>
          <w:rtl w:val="true"/>
          <w:lang w:bidi="fa-IR"/>
        </w:rPr>
        <w:t xml:space="preserve">و مما استدل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علي بن راشد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اشتريتُ أرضاً إلى جنب ضيعتي، فلمّا عمّرتها خُبّرت أنَّها وقف،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يجوز شراء الوقف، ولا تدخل الغلّة في ملكك، إدفعها إلى ما أُوقفَت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ودلالتها على عدم جواز شراء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شبهة فيها، بل يظهر منه عدم جواز شراء مطلق الوقف أيضاً</w:t>
      </w:r>
      <w:r>
        <w:rPr>
          <w:rFonts w:eastAsia="Amiri" w:cs="Amiri" w:ascii="Amiri" w:hAnsi="Amiri"/>
          <w:color w:val="111111"/>
          <w:sz w:val="28"/>
          <w:szCs w:val="28"/>
          <w:rtl w:val="true"/>
          <w:lang w:bidi="ar-SA"/>
        </w:rPr>
        <w:t xml:space="preserve">. </w:t>
      </w:r>
      <w:bookmarkStart w:id="392" w:name="pg9195_77271"/>
    </w:p>
    <w:p>
      <w:pPr>
        <w:pStyle w:val="Heading3"/>
        <w:numPr>
          <w:ilvl w:val="2"/>
          <w:numId w:val="1"/>
        </w:numPr>
        <w:rPr/>
      </w:pPr>
      <w:bookmarkStart w:id="393" w:name="__RefHeading___Toc3921873_2870459653"/>
      <w:bookmarkStart w:id="394" w:name="_Toc133"/>
      <w:bookmarkEnd w:id="392"/>
      <w:bookmarkEnd w:id="393"/>
      <w:r>
        <w:rPr>
          <w:rtl w:val="true"/>
        </w:rPr>
        <w:t>(</w:t>
      </w:r>
      <w:r>
        <w:rPr>
          <w:rtl w:val="true"/>
        </w:rPr>
        <w:t xml:space="preserve">صورُ ما خَرَجَ عن أصالة منع بيع الوَقف </w:t>
      </w:r>
      <w:r>
        <w:rPr>
          <w:rtl w:val="true"/>
        </w:rPr>
        <w:t>)</w:t>
      </w:r>
      <w:bookmarkEnd w:id="394"/>
    </w:p>
    <w:p>
      <w:pPr>
        <w:pStyle w:val="BookText"/>
        <w:rPr/>
      </w:pPr>
      <w:r>
        <w:rPr>
          <w:rFonts w:ascii="Amiri" w:hAnsi="Amiri" w:eastAsia="Amiri" w:cs="Amiri"/>
          <w:color w:val="111111"/>
          <w:sz w:val="28"/>
          <w:sz w:val="28"/>
          <w:szCs w:val="28"/>
          <w:rtl w:val="true"/>
          <w:lang w:bidi="ar-SA"/>
        </w:rPr>
        <w:t>فظهر من جميع ما ذكرنا أنَّ مقتضى الأصل الأولي في الوقف، هو عدم جواز البيع، لكن خرجت عن تحت الأصل المزبور صور، نشير إليها تفصيلاً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خرب الوقف واضمحلَّ، بحيث لا يمكن الانتفاع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الجهة المقصودة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يجوز بيعه حينئذٍ؛ لوجود المقتضي، وهو الملكية المقتضية لجواز مطلق النقل؛ بمقتضى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 مفقودٌ؛ لأنّ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الإجماع، فغير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الجواز، بل قائم على الجواز؛ إذ لم يحك الخلاف إلّا عن شاذ </w:t>
      </w:r>
      <w:r>
        <w:rPr>
          <w:rStyle w:val="FootnoteAnchor"/>
          <w:rtl w:val="true"/>
        </w:rPr>
        <w:footnoteReference w:id="631"/>
      </w:r>
      <w:r>
        <w:rPr>
          <w:rFonts w:ascii="Amiri" w:hAnsi="Amiri" w:eastAsia="Amiri" w:cs="Amiri"/>
          <w:color w:val="111111"/>
          <w:sz w:val="28"/>
          <w:sz w:val="28"/>
          <w:szCs w:val="28"/>
          <w:rtl w:val="true"/>
          <w:lang w:bidi="ar-SA"/>
        </w:rPr>
        <w:t xml:space="preserve">لا يضرّ خلافه بالإجماع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شراء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للمورد، وانصرافه إلى غيره، وهو ما يكون باقياً على حاله، وأمكن الانتفاع به في الجهة المقصودة، دون مثل ذلك الذي يكون نادراً، خصوصاً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تدخل الغلّة في ملكك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من المعلوم أن محلّ الكلام ما لا يكون له نفع أصلاً بوجه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يعارضه 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عمّرتها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ظهوره في كون محلّ السؤال هي الأرض كانت مخروبة؛ لعدم وجوده في بعض الروايات الأخر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التعمير لا يصلح لكونه قرينة؛ لكون المسؤول عنه مخروباً على النحو الذي هو محلّ الكلام، بل يُمكن دعوى القطع بعدم كون السؤال عن مثل ما ذكر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الشراء المنهي عنه في الاشتراء المتعارف وهو الشراء من البائع لنفسه ولأخْذ الثمن لنفسه، لا مثل شراء الشخص من الولي على البطون اللّاحقة لأجل مراعاة حقهم، فالمنساق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شراء السُرّاق والظلمة، الذين يبيعون العين الموقوفة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سلّمنا عدم الانصراف، يكون الخبر مُعَارَضاً بما هو أقوى منه، وهي الأدلّة المجوّزة للبيع،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الوارد فيه،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الإبقاء تضييعاً لحقّ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البطون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بحكم العقل والنقل، بل قد يقال بكونه معارضاً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على أموالهم ، والنسبة بينها هو العموم والخصوص من وجه، ومورد افتراق الأول عن الثاني هي الأوقاف العامة كالمساجد والمدارس، وغيرها من التحريرات بناءً على كونها فكّ ملك، أو كونها مملوكةً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ومورد افتراق الثاني عن الوقف من الأموال، ومورد الاجتماع هو ما نحن فيه؛ حيث إنّ مفاد دليل السلطنة هو ثبوت السلطنة للمالك في التصرّف في ماله كيف شاء، غاية الأمر خروج الوقف ما دام كونه باقياً على الانتفاع بالأدلّة المجوّزة، وأمّا مثل ما نحن فيه، فلا دليل على خروجه من تحته، ويكون بلا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ثبوت الانصراف المذكور في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أرجح منه على تقدير عدم الانصراف، وإن كان الآخر أقل أفراداً؛ لاعتضاده بعمل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العموم في دليل السلطنة، بل يكون حكماً وحدانياً،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 وليس له عموم أحوالي ولا أزماني حتّى يتمسّك به حينئذٍ؛ لإثبات السلطنة على الفرد الخارج عن تحته في زمان التمكن من الانتفاع به بالإجماع وغيره، بل لا بُدَّ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حكم المخصّص، أمّا التمسّك بالعام؛ لعدم العموم فيه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والخدشة في الاستصحاب المذكور بأنّ المنع عن البيع إنّما هو في ضمن وجوب العمل بمقتضى الوقف، وهو انتفاع جميع البطون به، وقد ارتفع الآن قطعاً، لعلّها مخدوشةٌ؛ حيث إنّه إن أريد كون وجوب العمل بمقتضى الوقف علّة لذلك لا غير، وقد ارتفع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نمنع كون العلّة منحصرة في ذلك، بل الروايات والإجماع حاكمة بعدم الجواز، ولا يُمكن القول بأنّ مدرك المجمعين في الإجماع هو العمل بمقتضى الوقف؛ إذ لعل المدرك شيء تعبدي غير معلوم لنا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عدم القطع ببقاء الموضوع، أو القطع بارتفاعه؛ بدعوى كون الموضوع هي العين المنتفع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هو ذات العين، لا العين بوصف الانتفاع عرفاً، ويحكمون ببقاء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النسبة هي العموم من وجه، فيترجح دليل السلطنة بفهم الأصحاب وعملهم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مستقيم؛ لأنّ النسبة وإن كانت كذلك، إلا أنّ دليل عدم الجواز في حكم الأخصّ؛ لكونه نصاً في عدم جواز البيع في مورد المعارضة، وذلك ظاهر، والنص مقدَّم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لا يخفى أنَّ نصوصيته إنّما هو بالنسبة إلى الفرد الخاص في حالة خاصة، وهي حالة الانتفاع، لا جميع الحالات، وذلك لا يُوجب انقلاب النسبة، بل النسبة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وجه أيضاً لو فرض عموم أحوالاً أو أزماناً في دليل السلطنة، وقد عرفت أنَّ التحقيق عدمه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الوقوف على حسب ما يوقفها أهلها</w:t>
      </w:r>
      <w:r>
        <w:rPr>
          <w:rFonts w:eastAsia="IRNazanin" w:cs="IRNazanin"/>
          <w:color w:val="111111"/>
          <w:sz w:val="28"/>
          <w:szCs w:val="28"/>
          <w:rtl w:val="true"/>
          <w:lang w:bidi="fa-IR"/>
        </w:rPr>
        <w:t>»</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دلالته على لزوم العمل بما أنشأه الواقف والجري على مقتضاه، والبيع منافٍ لما أنشأه؛ حيث إنّ الواقف أنشأ بقاء العين، وحبس شخص العين الموقوفة على الموقوف عليه، ومعلوم أنَّ البيعَ منافٍ لحبسيّة شخصٍ العينَ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مع أنَّه لا يتم إلا بالقول بكون الحبس من الكيفيات المرسومة في إنشاء الواقف 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الإنشاء إنْ تعلّق بخصوص الشخص،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xml:space="preserve">الواقف من حبس العين على الموقوف عليهم هو انتفاع البطون اللّاحقة به، ومن المعلوم أنّ انتفاعهم به لا يُمكن إلا بالتبديل بشيء آخر يمكن انتفاعهم به، ويكشف عن ذلك حبسه العين على جميع البطون </w:t>
      </w:r>
    </w:p>
    <w:p>
      <w:pPr>
        <w:pStyle w:val="BookText"/>
        <w:rPr/>
      </w:pPr>
      <w:r>
        <w:rPr>
          <w:rFonts w:ascii="IRNazanin" w:hAnsi="IRNazanin" w:eastAsia="IRNazanin"/>
          <w:color w:val="111111"/>
          <w:sz w:val="28"/>
          <w:sz w:val="28"/>
          <w:szCs w:val="28"/>
          <w:rtl w:val="true"/>
          <w:lang w:bidi="fa-IR"/>
        </w:rPr>
        <w:t>مع عدم بقائها إلى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اللّازم اتّباعه هو ما أنشأه الواقف لا أغراضه ودواعيه، ومجرّد كون غرضه ذلك لا يوجب التصرّف فيما أنشأه، وتغيّره عما أثبته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الممنوع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ترى أنَّه لو اشترى دواءً لأجل داعٍ وغرضٍ، وظهر عدم حصول الغرض به لا يوجب ذلك بطلان البيع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الأغراض والدواعي مختلفة، ومجرّد عدم التقيّد في بعض الموارد لا يوجب عدم التقييد بالكليَّة، والفرق واضح بين ما نحن فيه وبين بيع شيء لغرض؛ حيث إنّ المشتري في الفرض المزبور لمَّا لم يمكنه الوصول إلى غرضه لا يتعلّق غرضه ثانياً بشراء مطلق ما يظن حصول الغرض منه ؛ حيث إنّه لا يبيعه أحد بشرط حصول الغرض منه، فيصير لا بُدَّ في شراء كلّ ما يظن، بخلافه فيما نحن فيه؛ حيث إنّ تعلّق غرضه بانتفاع البطون اللاحقة غيرُ منافٍ لتعلّق الإنشاء بالعين، فيدور لزوم الإبقاء مدار إمكان الانتفاع به، بل الأصل في الأغراض ذلك، فخروج البعض محتاج </w:t>
      </w:r>
      <w:r>
        <w:rPr>
          <w:rStyle w:val="FootnoteAnchor"/>
          <w:rtl w:val="true"/>
        </w:rPr>
        <w:footnoteReference w:id="637"/>
      </w:r>
      <w:r>
        <w:rPr>
          <w:rFonts w:ascii="IRNazanin" w:hAnsi="IRNazanin" w:eastAsia="IRNazanin"/>
          <w:color w:val="111111"/>
          <w:sz w:val="28"/>
          <w:sz w:val="28"/>
          <w:szCs w:val="28"/>
          <w:rtl w:val="true"/>
          <w:lang w:bidi="fa-IR"/>
        </w:rPr>
        <w:t xml:space="preserve">، فيصير ذلك قرينة لتعميم ما أنشأه، وكونه أعمَّ من العين وبدلها، فيصير نفس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 على لزوم الإبدال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لا يخفى عليك عدم تماميّة ذلك؛ لأنَّا نقول بعدم كون مطلوبه الشخص بشخصيته، بل مطلوبه أمران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 وقيد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باب تعدد المطلوب مطلوبٌ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حبس مطلق ما ينْتفع به البطون، ومقيدٌ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شخص العين، فالواقف ولو لم يكن ملفتاً إلى ذلك حال الإنشاء، بل لا يتصور الخراب أصلاً ، لكنه مركوز في ذهنه بحيث إذا التفت إليه، أو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بها في حال خرابه؟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إبداله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معلوم بالرجوع إلى العرف والوجدان، فافرض نفسك الواقف بشيء، فهل ترضى بتعطله بعد الخراب؟</w:t>
      </w:r>
    </w:p>
    <w:p>
      <w:pPr>
        <w:pStyle w:val="BookText"/>
        <w:rPr/>
      </w:pPr>
      <w:r>
        <w:rPr>
          <w:rFonts w:ascii="Amiri" w:hAnsi="Amiri" w:eastAsia="Amiri" w:cs="Amiri"/>
          <w:color w:val="111111"/>
          <w:sz w:val="28"/>
          <w:sz w:val="28"/>
          <w:szCs w:val="28"/>
          <w:rtl w:val="true"/>
          <w:lang w:bidi="ar-SA"/>
        </w:rPr>
        <w:t xml:space="preserve">وهنا وجوه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جلّها، أو كلّها عن المنع؛ إذ الأول إلى ما ذكرنا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بأنَّه وإنْ تعلّق الإنشاء بخصوص الشخص ، لكن إبداله في صورة الخراب </w:t>
      </w:r>
    </w:p>
    <w:p>
      <w:pPr>
        <w:pStyle w:val="BookText"/>
        <w:rPr/>
      </w:pPr>
      <w:r>
        <w:rPr>
          <w:rFonts w:ascii="Amiri" w:hAnsi="Amiri" w:eastAsia="Amiri" w:cs="Amiri"/>
          <w:color w:val="111111"/>
          <w:sz w:val="28"/>
          <w:sz w:val="28"/>
          <w:szCs w:val="28"/>
          <w:rtl w:val="true"/>
          <w:lang w:bidi="ar-SA"/>
        </w:rPr>
        <w:t>من الأحكام العرفيّة لوقف العين؛ حيث إنَّ الثابت في أيديهم هو إبدال الوقف بشيء آخر في الصورة المفروضة، ولو لم يعلموا حال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ما فيه؛ حيث إنَّ حكمهم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مورد عدم علمهم بغرض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المنع ، وما يتراءى من حكمهم بذلك في الأوقاف على البطون إنّما هو لعلمهم بغرض الواقف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لزوم محكوميتنا بحكمهم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إنشاء الواقف تعلّق بالماليّة بتعلّقه بالعين؛ حيث إنَّ العين لها خصوصيّة ومقدار من الماليّة والماليّة وإن كانت من الأمور الاعتبارية التي لا وجود لها إلا باعتبار التموّل؛ باعتبار كونه منشأ لانتزاعها، لكنّها ملحوظة عند العقلاء بلحاظ مستقل،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الشيء له ماليّة وشخص، فما دامت العين باقية على الانتفاع، تكون وقفاً، وتتبعه الماليّة، وأمّا إذا خرجت عن القابليّة، فيلزم إبقاء ماليّتها بمقتضى إنشاء الواقف، ولا يُمكن إلا بإبدالها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كالوجه الذي ذكرناه في تعدد المطلوب والمنشأ، لكن الفرق باعتبار كون المطلق فيه الماليّة والبدل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الوقفيّة وإن تعلّقت بخصوص الشخص، لكنَّه باعتبار الماليّة وبلحاظها، فيدور مدارها، فيجوز إبدالها، بل يجب؛ صوناً لخروجها عما هو المناط في وقفيَّة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يخفى عليك أنّه لا يجوز الإبدال؛ لعدم خروجها عن الماليّة بعدُ، وإنْ خرجت عن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وقفيّة العين إنّما هي بلحاظ المنفعة؛ حيث إنّ الوقفَ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العين، وتسبيل المنفعة، فتدور وقفيّة العين مدار إمكان الانتفاع بها ، فإذا لم يُمكن الانتفاع بها لا مانع من إبداله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أمكن تصحيح البيع به، إلا أنَّ ذلك مستلزم لخروج الوقف عن الوقفيَّة، وسقوط حقّ البطون اللاحقة عنها بالمرّة، وجواز بيعها البطون الموجودة لأنفسهم ، ولا يلتزم به أحدٌ منهم؛ إذ هم بين من يقول بكون البدل وقفاً، أو في حكم الوقف، وهو إبقاؤه للبطون </w:t>
      </w:r>
    </w:p>
    <w:p>
      <w:pPr>
        <w:pStyle w:val="BookText"/>
        <w:rPr/>
      </w:pPr>
      <w:r>
        <w:rPr>
          <w:rFonts w:ascii="Amiri" w:hAnsi="Amiri" w:eastAsia="Amiri" w:cs="Amiri"/>
          <w:color w:val="111111"/>
          <w:sz w:val="28"/>
          <w:sz w:val="28"/>
          <w:szCs w:val="28"/>
          <w:rtl w:val="true"/>
          <w:lang w:bidi="ar-SA"/>
        </w:rPr>
        <w:t>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قد يوجّه الاستدلال بالرواية المذكورة؛ لعدم جواز بيع الوقف بأنَّها تدل على لزوم الجري على مقتضى ما أنشأه الواقف، والواقف أنشأ ملكيّة البطون اللّاحقة فيما لو وقف على البطون، أو على كافة المسلمين إلى يوم القيامة، فتكون العين الموقوفة ملكاً للمعدومين، فلا يجوز بيعها، ولا التصرّف فيها؛ بمقتضى أدلّة حرمة التصرّف في مال 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لمّا كان التوجيه المزبور مبنياً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تعقّل تمليك الواقف للبطون اللّاحقة والموجودة بإنشاء واحد، وأنَّه هل يكون معقولاً أم لا؟</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تعقّل الدعوى المذكورة في غاية الإشكال؛ حيث إنّ الملكية ليست قابلة للتجزئة بحسب الأزمان، ولا يكون الزمان من مشخّصاتها بحيث تكون ملكيّة الشيء في اليوم الحاضر مغايرة لملكيته في اليوم الثاني، بل يكون أمراً بسيطاً، يكون الزمان ظرفاً لها لا قيداً لها حتّى يعطي ملكيّته في زمان ببطن، وفي زمان المعدومين بهم </w:t>
      </w:r>
      <w:r>
        <w:rPr>
          <w:rStyle w:val="FootnoteAnchor"/>
          <w:rtl w:val="true"/>
        </w:rPr>
        <w:footnoteReference w:id="638"/>
      </w:r>
      <w:r>
        <w:rPr>
          <w:rFonts w:ascii="Amiri" w:hAnsi="Amiri" w:eastAsia="Amiri" w:cs="Amiri"/>
          <w:color w:val="111111"/>
          <w:sz w:val="28"/>
          <w:sz w:val="28"/>
          <w:szCs w:val="28"/>
          <w:rtl w:val="true"/>
          <w:lang w:bidi="ar-SA"/>
        </w:rPr>
        <w:t>، بل لو مَلَّكَ أحداً مالَه فقد خرج عن ملكه، فيكون حاله بالنسبة إليه كحال الأجنبي بالنسبة</w:t>
      </w:r>
      <w:r>
        <w:rPr>
          <w:rStyle w:val="FootnoteAnchor"/>
          <w:rtl w:val="true"/>
        </w:rPr>
        <w:footnoteReference w:id="639"/>
      </w:r>
      <w:r>
        <w:rPr>
          <w:rFonts w:ascii="Amiri" w:hAnsi="Amiri" w:eastAsia="Amiri" w:cs="Amiri"/>
          <w:color w:val="111111"/>
          <w:sz w:val="28"/>
          <w:sz w:val="28"/>
          <w:szCs w:val="28"/>
          <w:rtl w:val="true"/>
          <w:lang w:bidi="ar-SA"/>
        </w:rPr>
        <w:t>، ومن هنا لا يصح هبة المال لشخص ثم هبته في زمان آخر إلى آخر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القول بثبوت ولاية له من جانب الشرع حين إنشائه، بإخراج العين الموقوفة عن ملك الموجودين إلى المعدومين، فكأنَّ الواقف ينشئ للموجودين الملكيّة التي انقطعت عنهم بموتهم، وتثبت للمعدومين بوجودهم، فالعينُ الموقوفة بالإنشاء صارت ملكاً طلقاً للمعدومين، لا يكون عليها حقّ من المعدومين بوجه، بل حالهم بالنّسبة إليه كالأجانب، لكنّها بموت الموجودين تخرج عن ملكهم وتدخل في ملكهم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لا يخفى عليك وهنه؛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غاية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انتقال العين من البطن الموجود إلى المعدوم، والحال أنَّه لم يقل به أحدٌ، بل يقولون بانتقالها من الواقف إليهم كانتقالها إلى الموجودين، بل الوجه في تعقّل ذلك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الواقف يفرض المعدومين موجودين، فكأنهم موجودون في نظره كالمعدومين، ويملّكهم العين جميعاً بإنشاء واحد، لا بمعنى أنَّه يملّكهم ملكاً فعليّاً مطلقاً، حتّى يكون المعدوم في عرض الموجود في زمان الموجود، ويكون شريكاً لهم في الزمان المذكور حتّى يلتزم بلوازم الشركة، التي لا يُمكن الالتزام بها أصلاً فيما نحن فيه، بل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يملّك الموجودين من أولاده وأولاد أولاده إلى يوم القيامة، فيكون الصادر عنه بالنسبة إلى المعدوم هو صرف المقتضي للملكيّة، الموجب لحصول الملكيّة الشأنيّة الموقوف صيرورتها فعليةً على حصول الشرط الذي شرطه في إنشائه، وهو وجود الأولاد فما لم يوجدوا لا يكون لهم الملْك الفعلي حتّى يقال بلزوم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مالكيّة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 العلقة الفعليّة له، وأمّا الملكيّة الشأنية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حصولها للمعدوم، وبذلك يظهر وجه عدم كون العين طلقاً، وكذلك ظهر أنّ انتقال العين إلى المعدومين من الواقف ومَنْ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الواقف بنفس إنشائه أثبت حقاًّ لجميع البطون إذا وجدوا، فكلٌّ منهم صار ذا حقٍّ على العين من قِبَل الواقف، بحيث لا يجوز للموجودين صرفها في أنفسهم، نظير العين المرهونة التي لا يجوز للراهن التصرّف فيها، وهذا الحقّ يصير ملكاً فعلياً بعد وجودهم الذي هو الشرط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وثبوت مثل الحقّ المزبور للمعدوم أمر شائع عند العقلاء، وليس بعادم النظير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الإجارة، وبيع الثمرة قبل بدوّ صلاحها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بيعها؛ لتعلّق حق البطون به، وهذا الذي ذكرناه وإن كان متجهاً بحسب الظاهر، لكنه مبنيٌّ على كون الوقف بمعنى التمليك، لكنه في محلّ المنع، كيف ولو كان كذلك لصح الوقف بقول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مَلَّكْتهم؟ والحال أنه لا يصح</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اللازم أنْ لا يختلف العلماء في مالك الوقف، هل هو الواقف، أو الله تعالى، أو </w:t>
      </w:r>
    </w:p>
    <w:p>
      <w:pPr>
        <w:pStyle w:val="BookText"/>
        <w:rPr/>
      </w:pPr>
      <w:r>
        <w:rPr>
          <w:rFonts w:ascii="Amiri" w:hAnsi="Amiri" w:eastAsia="Amiri" w:cs="Amiri"/>
          <w:color w:val="111111"/>
          <w:sz w:val="28"/>
          <w:sz w:val="28"/>
          <w:szCs w:val="28"/>
          <w:rtl w:val="true"/>
          <w:lang w:bidi="ar-SA"/>
        </w:rPr>
        <w:t>الموقوف عليه، أو مجرّد فكّ المِلْك؟ وإنْ كان المشهور على كونها ملك الموقوف عليه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والاستشهاد لذلك بصحته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الغير المال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في غير محلّه؛ حيث إنّه لا نسلّم صحة الوقف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القرينة أولاً، وعدم كون معناه ذلك على تقدير صحته به ثانياً، بل الظاهر إنَّ الصدقة من التصادق والصدْق، اللذين بمعنى الإنطباق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يكون هو المراد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معروفٍ صدقةٌ</w:t>
      </w:r>
      <w:r>
        <w:rPr>
          <w:rFonts w:eastAsia="IRNazanin" w:cs="IRNazanin"/>
          <w:color w:val="111111"/>
          <w:sz w:val="28"/>
          <w:szCs w:val="28"/>
          <w:rtl w:val="true"/>
          <w:lang w:bidi="fa-IR"/>
        </w:rPr>
        <w:t xml:space="preserve">» </w:t>
      </w:r>
      <w:r>
        <w:rPr>
          <w:rStyle w:val="FootnoteAnchor"/>
          <w:rtl w:val="true"/>
        </w:rPr>
        <w:footnoteReference w:id="641"/>
      </w:r>
      <w:r>
        <w:rPr>
          <w:rFonts w:ascii="Amiri" w:hAnsi="Amiri" w:eastAsia="Amiri" w:cs="Amiri"/>
          <w:color w:val="111111"/>
          <w:sz w:val="28"/>
          <w:sz w:val="28"/>
          <w:szCs w:val="28"/>
          <w:rtl w:val="true"/>
          <w:lang w:bidi="ar-SA"/>
        </w:rPr>
        <w:t>، فيكون مفيداً في كلّ مورد شيئاً، نظير الصلح</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فصحةُ إنشاء الوقف به لا تدل على كون الوقف معناه التمليك، حتّى يجري ما ذكرنا، لكن منْعُ ما ذُكر لا يضرّنا؛ لأنَّ ثبوت حقّ لهم على العين مما لا شبهة فيه، ويستلزم عدمُ بيعه تضييع حقِّهم، وكذلك يستلزم تضييع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جعلَ الواقف العينَ وقفاً، متقرباً به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وصدقة جارية في سبيله، موجب لإفاضة بَدَلِه من الثواب عليه، فكأنَّ الواقف أنشأ المبادلة بينه وبين ربِّه، فكأنها تصير ملكاً له تعالى، لا على حدِّ ملكه للعالم، بل اختصاصها به ممتازٌ عن غيره، فيكون عدم البيع تضييعاً لحقه، وموجباً لفوات ملكه، وكذلك يستلزم تضييع حقّ الواقف؛ حيث إنّ انتفاع جميع البطون من قبله من جهتها حقّ ثابت له، وكذلك يستلزم تفويت المحلّ الذي ينتفع الواقف من جانب الله تعالى بوجوده ، ومن المعلوم أن تضييع واحد منها محرّم ، فكيف إذا اجتمعت فيصير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جائزاً</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فالدليل المجوّز للبيع حقيقة هو هذا، لكن ما ذكرنا من عدم كون الوقف بمعنى التمليك وإن كان حقّاً؛ حيث إنَّ مفهوم الوقف إمّا الحبس، أو ملزومه، وليس شيء منهما عين التمليك، ولا جزءه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عند الأساطين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الوَقْف في الوقوف الخاصة ملكاً للبطون، وذلك ليس لأمر تعبّدي وصل إليهم؛ لأنَّه بعيد غاية البُعْد، فلا بُدَّ من أخذهم ذلك من إنشاء الواقف، وقد علمت أنّه مدلوله المطابقي أو التضمّني، فلا بُدَّ من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من اللوازم الفرضيّة لوقف العين، نظير دخول مفتاح الدار في بيع الدار، وثياب العبد في بيعه؛ حيث إنّ الإيقاف المطلق المتعلّق بالعين، من دون تقييده بسكناها أو بغيره، يستلزم ذلك، فيصير نظير الصلح الذي يكون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ويختلف مفاده بحسب الموارد، فإذا تعلّق بالعين يفهم منه التمليك ، وإذا تعلّق بالمنفعة تفيد معنى الإجارة، وإذا تعلّق بالحقّ يفيد الإبراء، والوقف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في الخاص يفيد التمليك عرفاً، وإذا استعمل في العام لا يفيده، بل مجرّد الفكّ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 جميع الانتفاعات على شخص إلى الأبد، ينتزع منه الملكية عرفاً، بحيث لا يتخلّف عنه عرفاً، فيكون ذلك إمّا لازم مفهوم الوقف، أو لازم الوجود الخارجي؛ حيث إنّ قصر جميع التصرّفات على شخص لا ينفك عن الملكية عرفاً، فيؤخذ باللّازم من غير ملاحظة كون الواقف قاصداً لذلك، فظهر من جميع ذلك جواز بيعه</w:t>
      </w:r>
      <w:r>
        <w:rPr>
          <w:rFonts w:eastAsia="Amiri" w:cs="Amiri" w:ascii="Amiri" w:hAnsi="Amiri"/>
          <w:color w:val="111111"/>
          <w:sz w:val="28"/>
          <w:szCs w:val="28"/>
          <w:rtl w:val="true"/>
          <w:lang w:bidi="ar-SA"/>
        </w:rPr>
        <w:t xml:space="preserve">. </w:t>
      </w:r>
      <w:bookmarkStart w:id="395" w:name="pg9195_77280"/>
    </w:p>
    <w:p>
      <w:pPr>
        <w:pStyle w:val="BookText"/>
        <w:rPr/>
      </w:pPr>
      <w:bookmarkEnd w:id="395"/>
      <w:r>
        <w:rPr>
          <w:rFonts w:ascii="IRNazanin" w:hAnsi="IRNazanin" w:eastAsia="IRNazanin"/>
          <w:color w:val="111111"/>
          <w:sz w:val="28"/>
          <w:sz w:val="28"/>
          <w:szCs w:val="28"/>
          <w:rtl w:val="true"/>
          <w:lang w:bidi="fa-IR"/>
        </w:rPr>
        <w:t>و</w:t>
      </w:r>
    </w:p>
    <w:p>
      <w:pPr>
        <w:pStyle w:val="Heading3"/>
        <w:numPr>
          <w:ilvl w:val="2"/>
          <w:numId w:val="1"/>
        </w:numPr>
        <w:rPr/>
      </w:pPr>
      <w:bookmarkStart w:id="396" w:name="__RefHeading___Toc3921875_2870459653"/>
      <w:bookmarkStart w:id="397" w:name="_Toc134"/>
      <w:bookmarkEnd w:id="396"/>
      <w:r>
        <w:rPr>
          <w:rtl w:val="true"/>
        </w:rPr>
        <w:t xml:space="preserve">[ </w:t>
      </w:r>
      <w:r>
        <w:rPr>
          <w:rtl w:val="true"/>
        </w:rPr>
        <w:t>الكلام في ثمن الموقوف هل ينحصر بالموجودين أم يتعداهم</w:t>
      </w:r>
      <w:r>
        <w:rPr>
          <w:rtl w:val="true"/>
        </w:rPr>
        <w:t>]</w:t>
      </w:r>
      <w:bookmarkEnd w:id="397"/>
    </w:p>
    <w:p>
      <w:pPr>
        <w:pStyle w:val="BookText"/>
        <w:rPr/>
      </w:pPr>
      <w:r>
        <w:rPr>
          <w:rFonts w:ascii="Amiri" w:hAnsi="Amiri" w:eastAsia="Amiri" w:cs="Amiri"/>
          <w:color w:val="111111"/>
          <w:sz w:val="28"/>
          <w:sz w:val="28"/>
          <w:szCs w:val="28"/>
          <w:rtl w:val="true"/>
          <w:lang w:bidi="ar-SA"/>
        </w:rPr>
        <w:t>وإنّما الكلام هنا في ثمنه، هل يصير ملكاً للموجودين لا غيرهم أم لا؟</w:t>
      </w:r>
    </w:p>
    <w:p>
      <w:pPr>
        <w:pStyle w:val="BookText"/>
        <w:rPr/>
      </w:pPr>
      <w:r>
        <w:rPr>
          <w:rFonts w:ascii="Amiri" w:hAnsi="Amiri" w:eastAsia="Amiri" w:cs="Amiri"/>
          <w:color w:val="111111"/>
          <w:sz w:val="28"/>
          <w:sz w:val="28"/>
          <w:szCs w:val="28"/>
          <w:rtl w:val="true"/>
          <w:lang w:bidi="ar-SA"/>
        </w:rPr>
        <w:t xml:space="preserve">وعلى الثاني، فهل يكون وقفاً كالأصل، أو يكون في حكم الوقف؟ وفي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للبطون جميعاً،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ما ذكرنا اشتراك جميع البطون على نحو اشتراكهم في البيع؛ بمقتضى كونه بدلاً عن مالهم، وعوضاً عنه، ومقتضى البدلية دخول البدل في ملك من خرج عنه المبدل، وإلا لم يكن معاوضةً ومبادلةً، فلا يجوز للموجودين صرفه في أنفسهم، والظاهر أنَّه لا إشكال فيه، كما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 وغيره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ذهب بعض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 وتردد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اختصاص الموجودين بثمنه، وكأنّ نظرهم إلى 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الوقفية إنّما تعلّقت بشخص العين، فحقهّم متعلّق بخصوص الشخص،والثمن بدل لماليّته حقيقةً، وبدل الملك الثابت للموجودين فلا يلزم من وقوع المبادلة على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باعتبار الماليّة والملكيّة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الثمن ملكاً لمن كان حقّه متعلّقاً بالعين باعتبار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الوقفية وإنْ لم نقل بكونها متعلّقة بالماليّة أيضاً، لكن تعلّقت بالعين باعتبار الماليّة، فيلزم كون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لحقّهم ، وإن لم نقل بكونه وقفاً مثلها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الوقفيّة تعلّقت بالعين باعتبار الانتفاع، حيث إنَّ الوقف تحبيس الأصل وتسبيل المنفعة، فتكون وقفيّتها دائرة مدار الانتفاع ، فإذا خرجت عن الانتفاع ينقطع حقّهم </w:t>
      </w:r>
    </w:p>
    <w:p>
      <w:pPr>
        <w:pStyle w:val="BookText"/>
        <w:rPr/>
      </w:pPr>
      <w:r>
        <w:rPr>
          <w:rFonts w:ascii="Amiri" w:hAnsi="Amiri" w:eastAsia="Amiri" w:cs="Amiri"/>
          <w:color w:val="111111"/>
          <w:sz w:val="28"/>
          <w:sz w:val="28"/>
          <w:szCs w:val="28"/>
          <w:rtl w:val="true"/>
          <w:lang w:bidi="ar-SA"/>
        </w:rPr>
        <w:t>عنها، فيكون ملكاً طلقاً للموجودين، فيصرفون ثمنه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كون الانتفاع بالعين عنواناً للوقف حتّى تنتفي الوقفيّة بانتفائه، بل يكون غرض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انتفاعهم بها، فالإنشاء موضوعه نفس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تعلّق الإنشاء بالعين الخاصة، مع أنها لا تصل إلى البطون اللاحقة، قرينة على أنّ ذكر البطون إنّما هو على فرض وصولها إليهم، فثبوت حقّهم على العين إنّما هو بعد الوصول إليهم، وعلى تقديره، فكأنّ الإنشاء مقيّد بقيد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ثبوت الحقّ مقصوراً على صور الوصول لا مطلقاً حتّى يلتزم بالإبدال وإبقاء البدل، فحينئذٍ تكون العين الموقوفة ملكاً طلْقاً للموجودين، كسائر أملاكهم يتصرفون فيها ما شاؤا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ذكرته ليس بأولى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وقفه على جميع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لا تصل إليهم بشخصها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المراد هو تعلّق الوقف بالعين باعتبار الماليّة، بل الثاني أولى؛ لما ذكرناه من كون المُنشأ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وبانتفاء المُقيّد لا ينتفي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أنَّ عدم جواز صرف الثمن للموجودين في أنفسهم مما لا شبهة فيه، وإنّما الإشكال في أنّ البدل هل يكون وقفاً، أو في حكم البدل من كونه ملكاً للمعدومين على نحو ملكيَّة المبدل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مبني على الوجوه السابقة في تصوير جواز البدل، فإن قلنا بالتعدد المطلوبي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كون المطلوب الأولي، والمنشأ الأولي هو وقفيّة العين والمطلوب الثانوي هي وقفيّة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بكون البدل وقفاً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بتعلّق الوقفيّة والإنشاء بنفس العين، غاية الأمر كونه باعتبار الماليّة لا يكون وقفاً؛ حيث إنَّ الوقفية لا تحصل إلا بتعلّق الإنشاء، والمفروض تعلّقه بالعين الخاصة، فلا تسري إلى البدل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لمّا كانت العين مملوكة للجميع ، يكون البدل في حكمها من كونه ملكاً لهم، فلا يجوز التصرّف فيه إلا بملاحظة مصلحتهم ، ولا يكون وقفاً حقيقياً حتّى لا يجوز بيعه، ولو كان البيع صلاحاً لهم</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عدم كونه وقفاً ولو قلنا بالأول؛ حيث إنّه لا يلزم من القول به كون البدل الخاص وقفاً، وإنّما يلزم منه وقفيّة كلية البدل، مع إنك قد عرفت عدم تمامية الأول، بل الوجه هو الثاني، فلا يكون البدل وقفاً، بل له حكم البدل، وهو عدم جواز صرف الموجودين له في أنفسهم، بل يشتري به شيئاً تنتفع به البطون، وتصرف المنفعة عليهم</w:t>
      </w:r>
      <w:r>
        <w:rPr>
          <w:rFonts w:eastAsia="Amiri" w:cs="Amiri" w:ascii="Amiri" w:hAnsi="Amiri"/>
          <w:color w:val="111111"/>
          <w:sz w:val="28"/>
          <w:szCs w:val="28"/>
          <w:rtl w:val="true"/>
          <w:lang w:bidi="ar-SA"/>
        </w:rPr>
        <w:t xml:space="preserve">. </w:t>
      </w:r>
      <w:bookmarkStart w:id="398" w:name="pg9195_77283"/>
    </w:p>
    <w:p>
      <w:pPr>
        <w:pStyle w:val="Heading3"/>
        <w:numPr>
          <w:ilvl w:val="2"/>
          <w:numId w:val="1"/>
        </w:numPr>
        <w:rPr/>
      </w:pPr>
      <w:bookmarkStart w:id="399" w:name="__RefHeading___Toc3921877_2870459653"/>
      <w:bookmarkStart w:id="400" w:name="_Toc135"/>
      <w:bookmarkEnd w:id="398"/>
      <w:bookmarkEnd w:id="399"/>
      <w:r>
        <w:rPr>
          <w:rtl w:val="true"/>
        </w:rPr>
        <w:t xml:space="preserve">[ </w:t>
      </w:r>
      <w:r>
        <w:rPr>
          <w:rtl w:val="true"/>
        </w:rPr>
        <w:t>الكلام في لزوم شراء الأقرب فالأقرب إلى الموقوف</w:t>
      </w:r>
      <w:r>
        <w:rPr>
          <w:rtl w:val="true"/>
        </w:rPr>
        <w:t>].</w:t>
      </w:r>
      <w:bookmarkEnd w:id="400"/>
    </w:p>
    <w:p>
      <w:pPr>
        <w:pStyle w:val="BookText"/>
        <w:rPr/>
      </w:pPr>
      <w:r>
        <w:rPr>
          <w:rFonts w:ascii="Amiri" w:hAnsi="Amiri" w:eastAsia="Amiri" w:cs="Amiri"/>
          <w:color w:val="111111"/>
          <w:sz w:val="28"/>
          <w:sz w:val="28"/>
          <w:szCs w:val="28"/>
          <w:rtl w:val="true"/>
          <w:lang w:bidi="ar-SA"/>
        </w:rPr>
        <w:t>ثم إنّه هل يكون اللازم في شراء البدل، ملاحظة الأقرب فالأقرب إلى الوقف، حتّى لو كان الوقف داراً يُصرف الثمن في دار آخر أم لا؟</w:t>
      </w:r>
    </w:p>
    <w:p>
      <w:pPr>
        <w:pStyle w:val="BookText"/>
        <w:rPr/>
      </w:pPr>
      <w:r>
        <w:rPr>
          <w:rFonts w:ascii="Amiri" w:hAnsi="Amiri" w:eastAsia="Amiri" w:cs="Amiri"/>
          <w:color w:val="111111"/>
          <w:sz w:val="28"/>
          <w:sz w:val="28"/>
          <w:szCs w:val="28"/>
          <w:rtl w:val="true"/>
          <w:lang w:bidi="ar-SA"/>
        </w:rPr>
        <w:t>وجهان، بل قولان، يظهر الأول من العلّامة في التذكرة</w:t>
      </w:r>
      <w:r>
        <w:rPr>
          <w:rStyle w:val="FootnoteAnchor"/>
          <w:rtl w:val="true"/>
        </w:rPr>
        <w:footnoteReference w:id="650"/>
      </w:r>
      <w:r>
        <w:rPr>
          <w:rFonts w:ascii="Amiri" w:hAnsi="Amiri" w:eastAsia="Amiri" w:cs="Amiri"/>
          <w:color w:val="111111"/>
          <w:sz w:val="28"/>
          <w:sz w:val="28"/>
          <w:szCs w:val="28"/>
          <w:rtl w:val="true"/>
          <w:lang w:bidi="ar-SA"/>
        </w:rPr>
        <w:t>، وحكي عن جماعة</w:t>
      </w:r>
      <w:r>
        <w:rPr>
          <w:rStyle w:val="FootnoteAnchor"/>
          <w:rtl w:val="true"/>
        </w:rPr>
        <w:footnoteReference w:id="651"/>
      </w:r>
      <w:r>
        <w:rPr>
          <w:rFonts w:ascii="Amiri" w:hAnsi="Amiri" w:eastAsia="Amiri" w:cs="Amiri"/>
          <w:color w:val="111111"/>
          <w:sz w:val="28"/>
          <w:sz w:val="28"/>
          <w:szCs w:val="28"/>
          <w:rtl w:val="true"/>
          <w:lang w:bidi="ar-SA"/>
        </w:rPr>
        <w:t>،وغاية ما استدل به أو يُمكن أن يستدل للأول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أقرب إلى غرض الواقف، فيكون مراعاته 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فلأنّ كثيراً ما نرى الواقفين في وقف شيء لهم أغراض مرتبة، بعضها عامّ، وبعضها خاصّ بحيث لم تكن الخصوصيّة قيداً تدور الوقفيّة مداره،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الغرض أولاً صرف المال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تحصيل </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xml:space="preserve">العلم ، ثم على صرفه في الكتب، ثم على كتاب الحديث، فصرفه في كتاب الحديث ليس بحيث يكون قيداً موجباً لانتفاء الوقفيّة، فلو لم تكن هذه الجهة يبقى الغرض العام بحاله، وهذا معلوم كثيراً من حالهم، فيكون إنشاؤه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فبمجرد انتفاء الخصوصية لا يجوز الذهاب إلى الأعمّ، بل الأقرب إليه من حيث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صورة الشك، فيمكن حملها على صورة العلم؛ لأنّ الظاهر من حال الواقف في وقف الدار على أولاده، هو كون الغرض هو بقاء المسكن، وانتفاعهم من هذا الوجه لا مطلق ما ينتفعون به، ولو كان حماراً </w:t>
      </w:r>
      <w:r>
        <w:rPr>
          <w:rStyle w:val="FootnoteAnchor"/>
          <w:rtl w:val="true"/>
        </w:rPr>
        <w:footnoteReference w:id="653"/>
      </w:r>
      <w:r>
        <w:rPr>
          <w:rFonts w:ascii="Amiri" w:hAnsi="Amiri" w:eastAsia="Amiri" w:cs="Amiri"/>
          <w:color w:val="111111"/>
          <w:sz w:val="28"/>
          <w:sz w:val="28"/>
          <w:szCs w:val="28"/>
          <w:rtl w:val="true"/>
          <w:lang w:bidi="ar-SA"/>
        </w:rPr>
        <w:t>، فيستكشف من ذلك قرينة نوعية على المراد حين الإنشاء</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الكبرى، فقد يتمسّك في إثباتها بسيرة العلماء في أبواب الفقه؛ حيث إنّهم يتمسكون في كلّ مقام مناسب بالغرض كما في النذور، والوصايا، والأوقاف، حيث إنّهم لا </w:t>
      </w:r>
    </w:p>
    <w:p>
      <w:pPr>
        <w:pStyle w:val="BookText"/>
        <w:rPr/>
      </w:pPr>
      <w:r>
        <w:rPr>
          <w:rFonts w:ascii="Amiri" w:hAnsi="Amiri" w:eastAsia="Amiri" w:cs="Amiri"/>
          <w:color w:val="111111"/>
          <w:sz w:val="28"/>
          <w:sz w:val="28"/>
          <w:szCs w:val="28"/>
          <w:rtl w:val="true"/>
          <w:lang w:bidi="ar-SA"/>
        </w:rPr>
        <w:t>يحكمون بمجرّد انتفاء بعض الخصوصيات بعدم وجوب الوفاء بالنذر، والوصيّة، والوقف، فمراعاة الغرض عندهم أمر لازم لا يتعدون عنه، ويتراءى من حالهم أنّ لزوم مراعاته أمر وصل إليهم من صاحب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حيث إنَّ غرض الواقف مختلف، قد يتعلّق بوقف نفس العين، وقد يتعلّق بمقدار خاص من المنفعة ولو حصل من غير المماثل،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بستاناً على أولاده فخَرَبَ، ودار الأمر بين شراء دار من ثمنه في بلد الأولاد، أو بستاناً في غيره بحيث لا يصل إليهم إلّا أجرتُه، فلا يُعلم تعلّق الغرض بالبستانية، بل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غرض الواقفين بديهيٌّ، فكيف يُمكن قياس صورة الجهل بالعلم؟</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الكبرى؛ حيث إنّ تمسّك جميعهم به غير معلوم، وعلى تقدير تمسكهم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التمسّك به؛ حيث إنّ جهة التمسّك مختلفة، بعضهم من جهة تعدّد المطلوب، وبعضهم من جهة التمسّك بعموم حديث الميسور ، وبعضهم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لا دليل على لزوم متابعة غرض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إحرازه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من عدم إحرازه، واختلافه؟ إلا أن يدخل في الإنشاء بحيث يكون المُنشأ متعدداً، ولا سبيل إليه ؛ حيث إنّ إنشاء الوقف متعلق بالعين لا غير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بعموم حديث الميسور </w:t>
      </w:r>
      <w:r>
        <w:rPr>
          <w:rStyle w:val="FootnoteAnchor"/>
          <w:rtl w:val="true"/>
        </w:rPr>
        <w:footnoteReference w:id="654"/>
      </w:r>
      <w:r>
        <w:rPr>
          <w:rFonts w:ascii="Amiri" w:hAnsi="Amiri" w:eastAsia="Amiri" w:cs="Amiri"/>
          <w:color w:val="111111"/>
          <w:sz w:val="28"/>
          <w:sz w:val="28"/>
          <w:szCs w:val="28"/>
          <w:rtl w:val="true"/>
          <w:lang w:bidi="ar-SA"/>
        </w:rPr>
        <w:t xml:space="preserve">، حيث إنّه يدل على عدم سقوط ما تمكّن من العمل به بمجرّد عدم تمكّن غيره، ويكون أعمّ من المطلوبات الأوليّة للشارع، ومن المطلوبات الثانوية الحاصلة بسبب التزام المكلّف، وبعد إنشاء الواقف وقفيّة العين يجب العمل به بقدر الإمكان، فإن أمكن إبقاء نفس العين يجب، وإلا يجب إبقاء نوعها، وإلا يجب إبقاؤها بجنسها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العين مركبة من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الشخصية، والنوعية، والجنسيّة حقيقة، فتجري قاعدة الميسور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مختصة بالمركبات الخارجيّة، لا المركبات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مختصة بالمطلوبات الأوليّة، لا ما تكون مطلوبيّتها للشارع من جهة مراعاة حال الواقف، أو المولى؛ حيث إنّ الظاهر من القاعدة المذكورة، هو تعذّر الطلب في المطلوبات، وتكون بصدد بيان ذلك، فلا يجري في الطلب التبعي الملحوظ فيه حال الغير؛ حيث إنّ الغير قد يكون غرضه متعلقاً بوقف شيء خاص بوصف الخصوصيّة، بحيث لو لم يحصل ذلك لا يكون غرضه الوقفيّة أصلاً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المولى عبده بصنع سرير له بحيث لو لم يتمكن من تمام السرير لم يكن صنع بعض السرير مطلوباً له، ومحبوباً له، بل يكون مبغوضاً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فمجرّد طلب الشارع إطاعة المولى لا يُمكن التمسّك بقاعدة الميسور لصنع بعض السرير؛ لاستلزامه القهر على المولى، والحال إنّ الأمر بالإطاعة لأجل رعاية حاله، مع أنّ طلب الشارع في هذه الموارد بسيط لا تركيب فيها، لا خارجاً ولا ذهناً؛ لأنّ إطاعة المولى لا يتصور فيها التركيب أصلاً، مع أنَّه ورد 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بمتابعة قول الواقف بمقتضى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الوقوف على حسب ما يوقفها أهلها </w:t>
      </w:r>
      <w:r>
        <w:rPr>
          <w:rFonts w:eastAsia="IRNazanin" w:cs="IRNazanin"/>
          <w:color w:val="111111"/>
          <w:sz w:val="28"/>
          <w:szCs w:val="28"/>
          <w:rtl w:val="true"/>
          <w:lang w:bidi="fa-IR"/>
        </w:rPr>
        <w:t xml:space="preserve">»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إنّ قولَ الواقف ليس إلا وقفيّة العين، فظهر من جميع ذلك عدم جواز التمسّك بقاعدة الميسور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الوقفيّة تعلّقت بالعين، لكن العين مشتملة على أشياء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شخصيّة، وخصوصيّة نوعيّة، وماليّة،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للدار الخاصة مراتب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شخصيّة، وهو ما يكون الشيء به شخصاً خارجياً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وخصوصية نوعيّة، وهي الداريّة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وجنسية، وهي الماليّة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صارت متعلّقةً للوقف، فتصير محبوسةً بتمام مراتبها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Style w:val="FootnoteAnchor"/>
          <w:rtl w:val="true"/>
        </w:rPr>
        <w:footnoteReference w:id="656"/>
      </w:r>
      <w:r>
        <w:rPr>
          <w:rFonts w:ascii="IRNazanin" w:hAnsi="IRNazanin" w:eastAsia="IRNazanin"/>
          <w:color w:val="111111"/>
          <w:sz w:val="28"/>
          <w:sz w:val="28"/>
          <w:szCs w:val="28"/>
          <w:rtl w:val="true"/>
          <w:lang w:bidi="fa-IR"/>
        </w:rPr>
        <w:t xml:space="preserve">إبقاؤها بقدر الإمكان، وإبقاء بعضها مع تعذّر الجميع، فمع تعذّر إبقاء الشخص يلزم إبقاء النوعيّة؛ لعدم تعذّرها، وإذا تعذّرت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إبقاء الماليّة بشراء مطلق البدل بثمنه؛ بمقتضى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الوقوف على حسب ما يوقفها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التقرير يصح التمسك بقاعدة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لوجوب شراء المماثل، ولا مدفع له،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الوقفيّة تعلّقت بالعين باعتبار خصوصيّتها الشخصيّة، دون النوعيّة والجنسيّة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جواز شراء غير المماثل؛ حيث إنّ عمومات البيع والعقود، لا عموم فيها، إلّا باعتبار الأفراد، لا الأحوال والأزمان والمفروض تخصيصها بذلك الفرد، فيكون المقام من قبيل استصحاب حكم المخصّص بالنسبة إلى غير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المجوّزة للبيع في صورة الخراب لا تجوّز مثله؛ إذ العمدة فيها هو لزوم تضييع الحقوق، وذلك يندفع بشراء المماثل، بل يؤكد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بعد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المسألة هو عدم جواز البيع عندهم، فما علم خروجه قطعاً هو هذا القدر، والباقي مشكوك، فيدفع بالأصل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وجوب شراء المماثل أقرب، وإنْ كان ذلك غير مرضيٍّ عند سيدنا الأستاذ دام ظله العالي</w:t>
      </w:r>
      <w:r>
        <w:rPr>
          <w:rFonts w:eastAsia="Amiri" w:cs="Amiri" w:ascii="Amiri" w:hAnsi="Amiri"/>
          <w:color w:val="111111"/>
          <w:sz w:val="28"/>
          <w:szCs w:val="28"/>
          <w:rtl w:val="true"/>
          <w:lang w:bidi="ar-SA"/>
        </w:rPr>
        <w:t xml:space="preserve">). </w:t>
      </w:r>
      <w:bookmarkStart w:id="401" w:name="pg9195_77287"/>
    </w:p>
    <w:p>
      <w:pPr>
        <w:pStyle w:val="Heading3"/>
        <w:numPr>
          <w:ilvl w:val="2"/>
          <w:numId w:val="1"/>
        </w:numPr>
        <w:rPr/>
      </w:pPr>
      <w:bookmarkStart w:id="402" w:name="__RefHeading___Toc3921879_2870459653"/>
      <w:bookmarkStart w:id="403" w:name="_Toc136"/>
      <w:bookmarkEnd w:id="401"/>
      <w:bookmarkEnd w:id="402"/>
      <w:r>
        <w:rPr>
          <w:rtl w:val="true"/>
        </w:rPr>
        <w:t xml:space="preserve">[ </w:t>
      </w:r>
      <w:r>
        <w:rPr>
          <w:rtl w:val="true"/>
        </w:rPr>
        <w:t>الكلام في متولّي بيع الموقوف</w:t>
      </w:r>
      <w:r>
        <w:rPr>
          <w:rtl w:val="true"/>
        </w:rPr>
        <w:t>]</w:t>
      </w:r>
      <w:bookmarkEnd w:id="403"/>
    </w:p>
    <w:p>
      <w:pPr>
        <w:pStyle w:val="BookText"/>
        <w:rPr/>
      </w:pPr>
      <w:r>
        <w:rPr>
          <w:rFonts w:ascii="Amiri" w:hAnsi="Amiri" w:eastAsia="Amiri" w:cs="Amiri"/>
          <w:color w:val="111111"/>
          <w:sz w:val="28"/>
          <w:sz w:val="28"/>
          <w:szCs w:val="28"/>
          <w:rtl w:val="true"/>
          <w:lang w:bidi="ar-SA"/>
        </w:rPr>
        <w:t>ثم إنّه بعدما جاز البيع، فهل المتولي للبيع هو الحاكم القيّم على البطون اللاحقة، أو البطن الموجود، أو هما معاً، أو الناظر للوقف؟</w:t>
      </w:r>
    </w:p>
    <w:p>
      <w:pPr>
        <w:pStyle w:val="BookText"/>
        <w:rPr/>
      </w:pPr>
      <w:r>
        <w:rPr>
          <w:rFonts w:ascii="Amiri" w:hAnsi="Amiri" w:eastAsia="Amiri" w:cs="Amiri"/>
          <w:color w:val="111111"/>
          <w:sz w:val="28"/>
          <w:sz w:val="28"/>
          <w:szCs w:val="28"/>
          <w:rtl w:val="true"/>
          <w:lang w:bidi="ar-SA"/>
        </w:rPr>
        <w:t>إنْ كان الأقرب الموافق للقواعد الأوليّة هو الثالث؛ مراعاةً لحقّ الموجود وللمعدوم، حيث إنّ الحاكم وليُّ من لا وليّ له، والغائب والمعدوم، ولا دليل على جواز تصدي الناظر؛ إذ لا عموم في قول الواقف وجعله، بحيث يشمل مثل التصرّف المزبور، ولا ينصرف إليه، بل ينصرف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البدل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إذ لا دليل عليه، بل قد يعلم من حال الواقف اختصاص نظارته بأصل العين؛ لكونه بصيراً في أمر القرية دون الدار </w:t>
      </w:r>
      <w:r>
        <w:rPr>
          <w:rStyle w:val="FootnoteAnchor"/>
          <w:rtl w:val="true"/>
        </w:rPr>
        <w:footnoteReference w:id="658"/>
      </w:r>
      <w:r>
        <w:rPr>
          <w:rFonts w:ascii="Amiri" w:hAnsi="Amiri" w:eastAsia="Amiri" w:cs="Amiri"/>
          <w:color w:val="111111"/>
          <w:sz w:val="28"/>
          <w:sz w:val="28"/>
          <w:szCs w:val="28"/>
          <w:rtl w:val="true"/>
          <w:lang w:bidi="ar-SA"/>
        </w:rPr>
        <w:t>، ومن هذه الجهة تحصل النظارة إليه، فلا تتعدى النظارة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النظارة له على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كونها حقاً بمقتضى البدليّة؛ حيث إنّه لا يقصر عن حقّ الرهن، خصوصاً لو كان الناظر ذا حقّ على العين، هذا كلّه في خراب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خرب البعض، وبقي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محتاجاً إلى العمارة، فالظاهر وجوب صرفه في عمارته إن لم يُمكن تعميره بأجرته، وإلا بها؛ لأنّ حقّ الواقف مقدّم على حقّ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أمكن شراء البدل عاجلاً يجب، ولو مع الخيار يجب، وإلا يجب إبقاء الثمن حتّى يوجد، فإنْ حصل الربح له فالربح تابع له إن كانت الزيادة بدلاً له بأن تفاوتت القيمة السوقية، وإلا يكون للموجودين فافهم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تخرب العين لكن على حد لا تكون قابلة للانتفاع أصلاً، بل </w:t>
      </w:r>
    </w:p>
    <w:p>
      <w:pPr>
        <w:pStyle w:val="BookText"/>
        <w:rPr/>
      </w:pPr>
      <w:r>
        <w:rPr>
          <w:rFonts w:ascii="Amiri" w:hAnsi="Amiri" w:eastAsia="Amiri" w:cs="Amiri"/>
          <w:color w:val="111111"/>
          <w:sz w:val="28"/>
          <w:sz w:val="28"/>
          <w:szCs w:val="28"/>
          <w:rtl w:val="true"/>
          <w:lang w:bidi="ar-SA"/>
        </w:rPr>
        <w:t>تكون منفعتها قليلة، كدار انهدمت فصارت عرصة، فالظاهر عدم جواز البيع، ولو أمكن شراء شيء بثمنه تساوي منفعته منفعة الدار؛ لعدم قيام دليل صالح لرفع اليد عن مقتضى الأصل الأولي، والثابت بالعمومات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كانت المنفعة قليلة بحيث يكون في حكم المعدوم، فيمكن الحكم بالجواز؛ لما ذكرناه في الصورة السابقة من لزوم التضييع، لا لما ذكره بعض</w:t>
      </w:r>
      <w:r>
        <w:rPr>
          <w:rStyle w:val="FootnoteAnchor"/>
          <w:rtl w:val="true"/>
        </w:rPr>
        <w:footnoteReference w:id="659"/>
      </w:r>
      <w:r>
        <w:rPr>
          <w:rFonts w:ascii="Amiri" w:hAnsi="Amiri" w:eastAsia="Amiri" w:cs="Amiri"/>
          <w:color w:val="111111"/>
          <w:sz w:val="28"/>
          <w:sz w:val="28"/>
          <w:szCs w:val="28"/>
          <w:rtl w:val="true"/>
          <w:lang w:bidi="ar-SA"/>
        </w:rPr>
        <w:t xml:space="preserve">من فوات شرط الوقف المراعى في الاستدامة، وهو كون العين مما ينتفع بها، فيكون الوقف باطلاً حينئذٍ؛ لفوات الشرط، فيجوز البيع ؛ لعدم دليل على كون الشرط شرطاً في الاستدامة، فيجب العمل بمقتضى الوقف؛ عملاً بمقتضى الدليل الدال على لزوم الوفاء بالعقد، إلى أن يحصل المجوّز للبيع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فبطلان الوقفيّة في صورة الخراب وإن كان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بكون معنى الوقف هو الحبس، أو معنى لازمه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من جهة فوات الشرط حتّى يصير الوقف باطلاً أولاً ، ثم يحكم عليه بجواز البيع كما هو ظاهر البعض </w:t>
      </w:r>
      <w:r>
        <w:rPr>
          <w:rStyle w:val="FootnoteAnchor"/>
          <w:rtl w:val="true"/>
        </w:rPr>
        <w:footnoteReference w:id="660"/>
      </w:r>
      <w:r>
        <w:rPr>
          <w:rFonts w:ascii="Amiri" w:hAnsi="Amiri" w:eastAsia="Amiri" w:cs="Amiri"/>
          <w:color w:val="111111"/>
          <w:sz w:val="28"/>
          <w:sz w:val="28"/>
          <w:szCs w:val="28"/>
          <w:rtl w:val="true"/>
          <w:lang w:bidi="ar-SA"/>
        </w:rPr>
        <w:t>، بل من جهة منافاة الجواز للمنع المعتبر في الوقف، فيكون لازم ذلك بطلان الوقفيّة بمجرّد الخراب، لا خروج الوقف عن ملكيَّة البطون؛ حيث إنَّ الملكيَّة إذا ثبتت لا ترتفع إلا بمزيل ورافع، ليست مغيّاة بغاية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بعدم استلزام الجواز لبطلان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معنى الوقف هو الإبقاء لا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فالمنافي للوقفيّة هو نفس بيعه لا جوازه؛ إذ من المعلوم عدم منافاة البقاء والإبقاء؛ لجواز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ذكر البعضُ المتقدّم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حكم الخراب ما لو وقف بستاناً، فزال عنوان البستانيّة؛ حيث إنّ الوقفيَّة تعلّقت بالعنوان، فترتفع بانتفائه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منه في غاية البعد؛ حيث إنّ الوقفيَّة ليست دائرة مدار العنوان؛ لأنّ الشيء </w:t>
      </w:r>
    </w:p>
    <w:p>
      <w:pPr>
        <w:pStyle w:val="BookText"/>
        <w:rPr/>
      </w:pPr>
      <w:r>
        <w:rPr>
          <w:rFonts w:ascii="Amiri" w:hAnsi="Amiri" w:eastAsia="Amiri" w:cs="Amiri"/>
          <w:color w:val="111111"/>
          <w:sz w:val="28"/>
          <w:sz w:val="28"/>
          <w:szCs w:val="28"/>
          <w:rtl w:val="true"/>
          <w:lang w:bidi="ar-SA"/>
        </w:rPr>
        <w:t>بمجرّد تعلّق الوقفيّة به يصير ملكاً للموقوف عليه بجميع أجزائه، فتصير ذوات الأراضي، والأشجار والأحجار ، وغيرها مملوكة له، والملكيّة لا تعود حتّى تصير مورداً لدورانها بين كونها مملوكة للواقف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البيع أنفع وأعود للموقوف عليه الموجود، أو المعدوم، أو هما، ونتكلّم في أخص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حال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بملاحظتها</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الأخيرة،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مقتضی القاعدة عدم الجواز، ولا دليل عليه أصلاً إلا روايتان</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والثانية لعلها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مهزيار،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فلاناً ابتاع ضيعة فوقفها، وجعل لك في الوقف الخمس، ويسأل عن رأيك في بيع حصتك من الأرض، أو يقومها على نفسه بما اشتراها به، أو يدعها موقوفة؟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فلاناً أني آمره ببيع حقي من الضيعة، وإيصال ثمن ذلك إليَّ، وإن ذلك رأيي إن شاء الله، أو يقومها على نفسه إن كان ذلك أوفق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ذكر أنّ بين من وقف بقيّة هذه الضيعة عليهم اختلافاً شديداً، وأنَّه ليس يأمن أن يتفاقم ذلك بينهم بعده، فإن كان ترى أن يبيع هذا الوقف، ويدفع إلى كل إنسان منهم ما كان وقف له من ذلك أمرته؟ فكتب بخطه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وأعلمه أن رأيي له إنْ كان قد علم الاختلاف ما بين أصحاب الوقف، أن يبيع الوقف أمثل، فإنه ربّما جاء في الاختلاف ما فيه تلف الأموال والنفوس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يتخيل دلالتهما على الجواز، وانطباقهما على المدعى، وكلاهما في محلّ المنع ، مضافاً إلى ضعف السند؛ حيث إنّ</w:t>
      </w:r>
    </w:p>
    <w:p>
      <w:pPr>
        <w:pStyle w:val="BookText"/>
        <w:rPr/>
      </w:pPr>
      <w:r>
        <w:rPr>
          <w:rFonts w:ascii="Amiri" w:hAnsi="Amiri" w:eastAsia="Amiri" w:cs="Amiri"/>
          <w:color w:val="111111"/>
          <w:sz w:val="28"/>
          <w:sz w:val="28"/>
          <w:szCs w:val="28"/>
          <w:rtl w:val="true"/>
          <w:lang w:bidi="ar-SA"/>
        </w:rPr>
        <w:t xml:space="preserve">راوي الأولى جعفر بن حبان،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في كتب الرجال عين ولا أثر، وكذلك لو كان الراوي جعفر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التحتيّة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 ضعيف </w:t>
      </w:r>
      <w:r>
        <w:rPr>
          <w:rStyle w:val="FootnoteAnchor"/>
          <w:rtl w:val="true"/>
        </w:rPr>
        <w:footnoteReference w:id="665"/>
      </w:r>
      <w:r>
        <w:rPr>
          <w:rFonts w:ascii="Amiri" w:hAnsi="Amiri" w:eastAsia="Amiri" w:cs="Amiri"/>
          <w:color w:val="111111"/>
          <w:sz w:val="28"/>
          <w:sz w:val="28"/>
          <w:szCs w:val="28"/>
          <w:rtl w:val="true"/>
          <w:lang w:bidi="ar-SA"/>
        </w:rPr>
        <w:t>، والثانية مرسلة أو 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 في ردّهما، إنَّهما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خبر جعفر بن حيان مشتمل على ما لا يقول به أحد؛ بمقتضى ظاهر الجواب،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رضوا وكان البيع خيراً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سَوق الكلام يشهد بأنّ المراد بالخيرية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مجرّد الداعي الذي يبعث الفاعل على العمل، فيكون بياناً للواقع،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الأمر كما ذكرت من رضاهم، ويكون البيع خيراً لهم يجوز البيع،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في تصديق السائل فيما ذكره أقوى قرينة على عدم كون الكلام مسوقاً لبيان الشرط التعبّدي، وإلا لم يكن ذلك تصديقاً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فمقتضى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مجرّد الحاجة في البيع، ولم يقلْ به أحد، فلا بُدَّ من اشتراط شيء آخر ، فلا يكون مطابقاً لمدّعى المفيد على ما نسب إليه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الكلام في رواية الحميري </w:t>
      </w:r>
      <w:r>
        <w:rPr>
          <w:rStyle w:val="FootnoteAnchor"/>
          <w:rtl w:val="true"/>
        </w:rPr>
        <w:footnoteReference w:id="667"/>
      </w:r>
      <w:r>
        <w:rPr>
          <w:rFonts w:ascii="Amiri" w:hAnsi="Amiri" w:eastAsia="Amiri" w:cs="Amiri"/>
          <w:color w:val="111111"/>
          <w:sz w:val="28"/>
          <w:sz w:val="28"/>
          <w:szCs w:val="28"/>
          <w:rtl w:val="true"/>
          <w:lang w:bidi="ar-SA"/>
        </w:rPr>
        <w:t>حيث إنّ ظاهرها، بل صريحها الاكتفاء بمجرّد الأصلحيّة، بل جواز بيع كل من الموقوف عليه، ولا يعلم القائل بها، مع أنّ ظاهرها جواز بيع الموقوف عليهم لأنفسهم لا شراء شيء في مقابله، وهو خلاف القاعدة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يشترط الواقف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الموقوفة عند طروّ الخراب عليها، أو عند جور الظالم عليهم بسببها ، أو عند الاحتياج، وغير ذلك، فهل يصح الشرط المذكور، ويلزم العمل بمقتضاه، أو يكون باطلاً؟ وعلى الأخير، فهل يكون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 أم لا؟ </w:t>
      </w:r>
    </w:p>
    <w:p>
      <w:pPr>
        <w:pStyle w:val="BookText"/>
        <w:rPr/>
      </w:pPr>
      <w:r>
        <w:rPr>
          <w:rFonts w:ascii="Amiri" w:hAnsi="Amiri" w:eastAsia="Amiri" w:cs="Amiri"/>
          <w:color w:val="111111"/>
          <w:sz w:val="28"/>
          <w:sz w:val="28"/>
          <w:szCs w:val="28"/>
          <w:rtl w:val="true"/>
          <w:lang w:bidi="ar-SA"/>
        </w:rPr>
        <w:t>وقد 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رجَّح صحّته </w:t>
      </w:r>
      <w:r>
        <w:rPr>
          <w:rStyle w:val="FootnoteAnchor"/>
          <w:rtl w:val="true"/>
        </w:rPr>
        <w:footnoteReference w:id="668"/>
      </w:r>
      <w:r>
        <w:rPr>
          <w:rFonts w:ascii="IRNazanin" w:hAnsi="IRNazanin" w:eastAsia="IRNazanin"/>
          <w:color w:val="111111"/>
          <w:sz w:val="28"/>
          <w:sz w:val="28"/>
          <w:szCs w:val="28"/>
          <w:rtl w:val="true"/>
          <w:lang w:bidi="fa-IR"/>
        </w:rPr>
        <w:t xml:space="preserve">، وآخر عدمه </w:t>
      </w:r>
      <w:r>
        <w:rPr>
          <w:rStyle w:val="FootnoteAnchor"/>
          <w:rtl w:val="true"/>
        </w:rPr>
        <w:footnoteReference w:id="669"/>
      </w:r>
      <w:r>
        <w:rPr>
          <w:rFonts w:ascii="Amiri" w:hAnsi="Amiri" w:eastAsia="Amiri" w:cs="Amiri"/>
          <w:color w:val="111111"/>
          <w:sz w:val="28"/>
          <w:sz w:val="28"/>
          <w:szCs w:val="28"/>
          <w:rtl w:val="true"/>
          <w:lang w:bidi="ar-SA"/>
        </w:rPr>
        <w:t xml:space="preserve">، وصار محل الإشكال عند آخر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وفهم العلّامة في القواعد على ما حكي عنه </w:t>
      </w:r>
      <w:r>
        <w:rPr>
          <w:rStyle w:val="FootnoteAnchor"/>
          <w:rtl w:val="true"/>
        </w:rPr>
        <w:footnoteReference w:id="6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شرط بيعه عند الضرورة كزيادة خراج وشبهه، وشراء غيره بثمنه، أو عند خرابه وعطلته، أو خروجه عن حدّ الانتفاع، أو قلّة نفعه، ففي صحة الشرط إشكال، ومع البطلان، ففي إبطال الوقف نظرٌ </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المحقق الثاني في أثناء كلماته في شرح العبارة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موضع يجوز فيه بيع الوقف يجوز اشتراط البيع في العقد إذا بلغ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الحالة؛ لأنَّه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شرط مؤكد، وليس بمنافٍ، وما لا ، فلا للمنافاة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مراده غيرُ متّضحٍ ؛ حيث إنّه إنْ كان الشرط منافياً لمقتضى العقد، فالجواز الشرعي لا يرفع المنافاة التي في إنشاء الواقف؛ إذ لا تلازم بين الجواز وعدم المنافاة، وإنْ لم يكن منافياً يجوز في غير صورة جواز البيع أيضاً؛ بمقتضى عموم أدلّة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غرضه ليس رفع الجواز الشرعي للمنافاة، بل عدم المنافاة في هذه الصور من جهة كون الشرط موافقاً لغرض الواقف، وغرضه من حبس العين في الصور الجائز فيها بيع الوقف هو بقاء الوقف نفسه، أو بدله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فشرط البيع واشتراء البدل بثمنه غير مناف لوقفيّة العين، ويرشد إلى ما ذكرنا تمسّكه في الموارد المجوّزة بغرض الواقف، ويرشد إلى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بعد ما حكيناه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يصح حبساً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اشتراط شراء شيء بثمنه منافٍ لذلك؛ حيث إنّه يدل على أنّ الشرط ليس بيعه الموقوف عليهم لأنفسهم، بل الشرط تبديله بشيء آخر ، فلا يكون الشرط المذكور منافياً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وجه تخصيصه صحة الشرط بهذه الصور، من جهة عدم كون مفاد الوقف هو الحبس الدائمي حتّى يكون الشرط منافياً؛ لأنَّ المُنْشأ بعدما علم بجواز البيع شرعاً لا يُنْشئ الحبس الدائمي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الشرعي لا يوجب عدم تحقق الحبس المذكور من الواقف، كيف والحال إنّ موضوع الحكم هو الحبس الدائمي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غفلته، أو جهله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منشأ الإشكال في صحة الشرط المزبور، إمّا منافاته لمقتضى الوقف ومدلوله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مدلوله هو الحبس الدائمي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والمنع عن طروّ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المنافي</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عليه، أو منافاته للأحكام العرفيَّة، أو لأحكامه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يتحقق موضوع دليل إمضاء الوقف،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على حسب ما يوقفها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المُنْشأ بعدما قصد إلى إنشاء المتضادّين، وأنشأهما لم يتحقق عنوان الوقف في الخارج حتّى يتعلّق به الحكم الشرعي كعدم تحقّق البيع في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بعثك بلا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عدم كون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قرينة لإرادة الهبة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يرجع إلى هذا، وإلى ما نذكره في الثالث، وهو كون الشرط مخالفاً للمنشأ، فيكون باطلاً، هذا في صورة العلم بمدلول الوقف</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لم يعلم مدلول الوقف بتمامه، ويكون الدوام والمنع مأخوذاً فيه، إمّا بالمطابقة، أو التضمّن أو الالتزام، فهل يُمكن التمسّك بالعمومات الدالّة على صحة الوقف، والحكم </w:t>
      </w:r>
    </w:p>
    <w:p>
      <w:pPr>
        <w:pStyle w:val="BookText"/>
        <w:rPr/>
      </w:pPr>
      <w:r>
        <w:rPr>
          <w:rFonts w:ascii="Amiri" w:hAnsi="Amiri" w:eastAsia="Amiri" w:cs="Amiri"/>
          <w:color w:val="111111"/>
          <w:sz w:val="28"/>
          <w:sz w:val="28"/>
          <w:szCs w:val="28"/>
          <w:rtl w:val="true"/>
          <w:lang w:bidi="ar-SA"/>
        </w:rPr>
        <w:t>بصحة الوقف المذكور أم لا؟</w:t>
      </w:r>
    </w:p>
    <w:p>
      <w:pPr>
        <w:pStyle w:val="BookText"/>
        <w:rPr/>
      </w:pPr>
      <w:r>
        <w:rPr>
          <w:rFonts w:ascii="IRNazanin" w:hAnsi="IRNazanin" w:eastAsia="IRNazanin"/>
          <w:color w:val="111111"/>
          <w:sz w:val="28"/>
          <w:sz w:val="28"/>
          <w:szCs w:val="28"/>
          <w:rtl w:val="true"/>
          <w:lang w:bidi="fa-IR"/>
        </w:rPr>
        <w:t xml:space="preserve">الأظهر جواز التمسّك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w:t>
      </w:r>
      <w:r>
        <w:rPr>
          <w:rStyle w:val="FootnoteAnchor"/>
          <w:rtl w:val="true"/>
        </w:rPr>
        <w:footnoteReference w:id="676"/>
      </w:r>
      <w:r>
        <w:rPr>
          <w:rFonts w:ascii="Amiri" w:hAnsi="Amiri" w:eastAsia="Amiri" w:cs="Amiri"/>
          <w:color w:val="111111"/>
          <w:sz w:val="28"/>
          <w:sz w:val="28"/>
          <w:szCs w:val="28"/>
          <w:rtl w:val="true"/>
          <w:lang w:bidi="ar-SA"/>
        </w:rPr>
        <w:t>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التمسّك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إشكال؛ حيث إنّ التمسك مبنيٌّ على إحراز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الوقفيّة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التمسك به مع الشك في تحقق الموضوع؛ للزوم التمسّك بالعام في الشبهة المصداقية، فلا بُدَّ من إحراز الوقفيّة وتحققها في الخارج حتّى يتحقق الموضوع، فبعد إنشاء الواقف الوقف المشروط بذلك، لا نعلم إيجاده عقد الوقف في الخارج، فلا يتحقق موضوع الدليل الموقوف تحقّقه على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 قصده إلى ايجاد الوقفيّة في مقام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إنشائه المنافي لذلك بعده، الموجب لعدم تحقق الوقفيّة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تحقّقه في هذه الصورة؛ حيث إنّ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عدم علمه بمعنى الوقف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بصدد إنشاء ما هو المركوز في ذهنه الثابت في أيدي الناس بمقتضى ظاهر لفظه، فيحمل عليه ؛ عملاً بأصالة الحقيقة، وليس الحال فيما نحن فيه كالحال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بلا ثمن حتّى يحتمل كون الثاني قرينة على عدم إرادة البيع من الأول؛ لأنّ الكلام في كون الواقف بصدد إنشاء الوقفيّة والشرط المذكور من جهة عدم علمه بمنافاته لمدلول العقد، والاحتمال المذكور بعيدٌ فيه، فكيف فيما نحن فيه؟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يكفي فيه بمجرّد صدور إنشاء الوقف منه، مع عدم العلم بصدور المنافي منه، بناءً على أنّ الوقفَ وعقدَه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إنشاء الواقف، وقد تحقّق، فيلزم العمل بمقتضاه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Style w:val="FootnoteAnchor"/>
          <w:rtl w:val="true"/>
        </w:rPr>
        <w:footnoteReference w:id="678"/>
      </w:r>
      <w:r>
        <w:rPr>
          <w:rFonts w:ascii="Amiri" w:hAnsi="Amiri" w:eastAsia="Amiri" w:cs="Amiri"/>
          <w:color w:val="111111"/>
          <w:sz w:val="28"/>
          <w:sz w:val="28"/>
          <w:szCs w:val="28"/>
          <w:rtl w:val="true"/>
          <w:lang w:bidi="ar-SA"/>
        </w:rPr>
        <w:t xml:space="preserve">، أو يجب إحراز أصل عدم المنافي؛ لأنَّ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تمام ما أنشأه الواقف،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جزء العقد، </w:t>
      </w:r>
    </w:p>
    <w:p>
      <w:pPr>
        <w:pStyle w:val="BookText"/>
        <w:rPr/>
      </w:pPr>
      <w:r>
        <w:rPr>
          <w:rFonts w:ascii="Amiri" w:hAnsi="Amiri" w:eastAsia="Amiri" w:cs="Amiri"/>
          <w:color w:val="111111"/>
          <w:sz w:val="28"/>
          <w:sz w:val="28"/>
          <w:szCs w:val="28"/>
          <w:rtl w:val="true"/>
          <w:lang w:bidi="ar-SA"/>
        </w:rPr>
        <w:t xml:space="preserve">والممضى هو تمام العقد، أو لا يكفي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 ما احتملناه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بلا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لا إشكال في عدم الاكتفاء بالأول مجرّداً، وإنَّما الإشكال في الثاني حيث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bookmarkStart w:id="404" w:name="pg9195_77295"/>
    </w:p>
    <w:p>
      <w:pPr>
        <w:pStyle w:val="Heading2"/>
        <w:numPr>
          <w:ilvl w:val="1"/>
          <w:numId w:val="1"/>
        </w:numPr>
        <w:rPr/>
      </w:pPr>
      <w:bookmarkStart w:id="405" w:name="__RefHeading___Toc3921881_2870459653"/>
      <w:bookmarkStart w:id="406" w:name="_Toc137"/>
      <w:bookmarkEnd w:id="404"/>
      <w:bookmarkEnd w:id="405"/>
      <w:r>
        <w:rPr>
          <w:rtl w:val="true"/>
        </w:rPr>
        <w:t>قائمة المصادر والمراجع</w:t>
      </w:r>
      <w:bookmarkEnd w:id="406"/>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ابن إدريس أبو عبد الله 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 تحقيق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الموسوي الخرسان،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ابن الأثير ، مجد الدين المبارك بن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 في غريب الحديث والأثر،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الزاوي ومحمود محمد الطنا حی،ط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إسماعيليان للطباعة والنشر والتوزيع بقم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الأردبيلي،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 وإزاحة الاشتباهات عن الطرق والاسناد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الأعرجي، عميد الدين عبد المطلب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في حلّ مشكلات القواعد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المكاسب،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باقري بقم المقدسة،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بمناسبة الذكرى المئوية الثانية لميلاد الشيخ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الخمس تحقيق لجنة تحقيق تراث الشيخ الأعظم،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بقم المقدسة،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بمناسبة الذكرى المئوية الثانية لميلاد الشيخ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 إعداد لجنة تحقيق تراث الشيخ الأعظم،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الأنبياء بقم المقدسة،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 بقم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البيهقي،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نشر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التفرشي، مصطفى بن الحسين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الرجال،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بقم المقدسة،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بقم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الجناجي، جعفر بن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 عن مبهمات الشريعة الغراء،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التبريزيان ومحمد رضا الذاكري وعبد الحليم الحلي،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انتشارات مكتب التبليغات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الرضوي الكشميري،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نشر انتشارات سعید بن جبير توزيع مكتبة الصفا 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ابن أبي جمهور، محمد بن علي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عوالي اللئالي العزيزية في الأحاديث الدينية،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بقم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الحاكم النيسابوري، أبو عبد الله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إشراف يوسف عبد الرحمن المرعشلي، دار المعرفة ببيروت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الحلبي، حمزة بن علي 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غنية النزوع،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البهادري،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بقم المقدسة،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توزيع مكتبة التوحيد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الحلي،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للشرائع،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 الفضلاء،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بقم المقدسة،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الناظر في الجمع بين الأشباه والنظائر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الاشكوري ونور الدين الواعظي ،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ابن حمزة الطوسي،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الوسيلة إلى نيل الفضيلة،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بقم المقدسة، نشر منشورات مكتبة آية الله العظمى المرعشي النجفي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القمي، أبو العباس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لإحياء التراث بقم المقدسة،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ابن حنبل، أبو عبد الله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الخلخالي محمد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الخيارات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 لبحث الميرزا حبيب الله الرشتي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الداوري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الروزدري،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آية الله المجدّد الشيرازي،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بقم المقدسة،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الزمخشري ، أبو القاسم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أساس البلاغة،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ومطابع الشعب بالقاهرة،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السبزواري، محمد باقر بن محمد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الأحكام،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الواعظي الأراكي،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السمرقندي، محمد بن أحمد بن أبي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الفقهاء،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المجاهد محمد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السيد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الانتصار،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w:t>
      </w:r>
    </w:p>
    <w:p>
      <w:pPr>
        <w:pStyle w:val="BookText"/>
        <w:rPr/>
      </w:pP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السيوري جمال الدين مقداد بن عبد الله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التنقيح الرائع لمختصر الشرائع،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الحسيني الكوهكمري،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بقم المقدسة،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النجفي العامة بقم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الشافعي، أبو عبد الله 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الأم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أبو محمد الحسن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الشهيد الأول، أبو عبد الله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ذكرى الشيعة في أحكام الشريعة،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بقم المقدسة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المراد في شرح نكت الإرشاد،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وعلي أكبر زماني نجاد وعلي المختاري وأبو الحسن المطلبي،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الإعلام الإسلامي بقم المقدسة،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الإسلامي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الشرعيّة في فقه الإمامية،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المقدسة،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اللمعة الدمشقية،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بقم المقدسة،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الفكر بقم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والفوائد،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الحكيم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المفيد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الشهيد الثاني محمد بن جمال الدين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البهيّة في شرح اللمعة الدمشقية،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کلانتر،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جامعة النجف الدينية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 الجنان ،تحقيق مركز الأبحاث والدراسات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بوستان كتاب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إلى تنقيح شرائع الإسلام،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بقم المقدسة،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المختصر النافع،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الشهيد الثاني،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إحياء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على التحقيق رضا المختاري،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انتشارات مكتب التبليغات الإسلامي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شرائع الإسلام،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إحياء التراث الإسلامي،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مكتب الإعلام الإسلامي،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تمهيد القواعد تحقيق مكتب الإعلام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 الرضوي،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 مؤسسة بستان كتاب، مركز الطباعة والنشر التابع لمكتب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فوائد القواعد،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المطلبي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قسم إحياء التراث الإسلامي،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مكتب الإعلام الإسلامي،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 بقم المقدسة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أبو الصلاح الحلبي، تقي الدين بن 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في الفقه،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استاذي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أصفهان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تصحيح وتعليق علي أكبر الغفاري،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الهداية، تحقيق ونشر 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تصحيح وتعليق علي أكبر الغفاري،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الصيمري، مفلح بن الحسن بن رشيد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في شرح شرائع الإسلام،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الكوثراني العاملي،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الخلاف وخلاصة الاختلاف،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بقم المقدسة،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 بقم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الطباطبائي، علي بن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المسائل في بيان أحكام الشرع بالدلائل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التبعة لجماعة المدرّسين بقم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الطبرسي، أبو منصور أحمد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تعليق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الخرسان،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 للطباعة والنشر بالنجف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المؤتلف من المختلف بين أئمة السلف،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 الأساتذة،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الإسلامية بمشهد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الطبرسي، 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لإحياء التراث ببيروت،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الطريحي، فخر الدين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جايخانة طراوت، نشر مرتضوي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الطوسي،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 تحقيق وتعليق حسن الموسوي الخرسان، 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نشر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الكتب الإسلامية بطهران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المحققين،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الموسوي الخرسان،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 بطهران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الكشفي ،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آثار 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مجرّد الفقه والفتاوى،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قدس محمدي بقم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الطهراني، آقا بزرك محمد محسن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إلى تصانيف الشيعة،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العاملي، محمد بن علي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مدارك الأحكام،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بمشهد المقدسة،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مهر بقم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العاملي، محمد جواد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 في شرح قواعد العلّامة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الخالصي،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الأذهان،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الحسون ،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تحرير الأحكام تحقيق إبراهيم البهادري،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بقم المقدسة،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الصادق ، توزیع مكتبة التوحيد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الفقهاء،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الطبعة القديمة فهي من منشورات المكتبة المرتضوية لإحياء التراث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الأحكام،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منتهى المطلب،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الفقه في مجمع البحوث الإسلاميّة بمشهد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في الاستانة الرضوية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الإحكام،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الرجائي،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 للطباعة والنشر والتوزيع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المرام في معرفة الأحكام،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القبيسي،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 النضيد في شرح منطق التجريد،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انتشارات بیدار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عصفور حسين بن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سداد العباد ورشاد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محسن آل عصفور،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علمية بقم المقدسة، نشر المحلّاتي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اللوامع،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آل عصفور، مطبعة أمير بقم المقدسة،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علي بن جعفر،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لإحياء التراث بقم المقدسة،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بقم المقدسة،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بمشهد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العياشي،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بطهران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الغزالي، أبو حامد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إحياء علوم الدين، نشر دار الكتاب العربي ببيروت،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الفاضل الآبي، أبو علي الحسن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الرموز في شرح المختصر النافع،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بناه الاشتهاردي وآقا حسين اليزدي،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فخر المحققين، أبو طالب محمد بن الحسن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الفوائد في شرح إشكالات القواعد تعليق حسين الموسوي الكرماني وعلي بناه الاشتهاردي وعبد الرحيم البروجردي،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الفاضل الشيباني، ماجد بن 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الخراج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الفاضل الهندي، بهاء الدين محمد بن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 عن قواعد الأحكام،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ابن فهد الحلي، أبو العباس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 البارع في شرح المختصر النافع،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المقتصر من شرح المختصر،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الرجائي،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المقدسة،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الإسلامية بمشهد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الفيروزآبادي، محمد بن يعقوب بن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مع</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الفيض الكاشاني، محمد محسن 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الشرائع،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الخيام بقم المقدسة، نشر مجمع الذخائر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 تصحيح وتعليق علي أكبر الغفاري،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بقم المقدسة،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النشر الإسلامي التابع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الفيومي، أحمد بن محمد بن علي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القاضي ابن البراج، أبو القاسم عبد العزيز بن تحرير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العلمية،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قدامة، أبو محمد عبد الله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للنشر والتوزيع ببيروت، بعناية جماعة من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أبو الحسين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النجفي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القمي،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الخلاف والوفاق بين الإمامية وبين أئمة الحجاز والعراق،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الحسيني البيرجندي،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مطبعة باسدار اسلام بقم المقدسة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زمینه سازان ظهور إمام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علي بن محمد رضا بن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خيارات اللمعة،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 الساطع في الفقه النافع،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الكاظمي، أسد الله الدزفولي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مقابس الأنوار ونفايس الأسرار في أحكام النبي المختار وآله الأطهار، تصحيح ومقابلة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الشهير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حاجي 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المرحوم محمد الحسيني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الكنتوري، إعجاز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الحجب والأستار عن أسماء الكتب والأسفار ،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بقم المقدسة،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النجفي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الكيدري، قطب الدين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إصباح الشيعة بمصباح الشريعة،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البهادري،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اعتماد بقم المقدسة، نشر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الماوردي، علي بن محمد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السلطانية والولايات الدينية،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مكتبة ومطبعة مصطفى البابي الحلبي وأولاده بمصر عباس ومحمد محمود الحلبي وشركاءهم – خلفاء، نشر توزيع دار التعاون للنشر والتوزيع عباس أحمد الباز بمكة المكرمة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المجلسي الأول، محمد تقي بن مقصود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المتقين في شرح من لا يحضره الفقيه، نمّقه وعلّق عليه وأشرف على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الموسوي الكرماني وعلي بناه الاشتهاردي، نشر بنياد فرهنك اسلامي حاج محمد حسین کوشانيور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الأردبيلي،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الفائدة والبرهان في شرح إرشاد الأذهان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وعلي بناه الاشتهاردي، آقا حسين اليزدي الأصفهاني،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المحقق البحراني، يوسف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أبو القاسم نجم الدين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النافع،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في مؤسسة البعثة بطهران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تحقيق وتصحيح عدد من الأفاضل،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المقدسة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الشيرازي،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بقم المقدسة،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استقلال بطهران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ونكتها،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الطبرية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الرسائل التسع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الأستادي،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النجفي بقم المقدسة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بقم المقدسة،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المهدوية بقم المقدسة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قاطعة اللجاج في تحقيق حلّ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الخيار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رسائل المحقق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الحسون،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بقم المقدسة،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النجفي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الأرض المندرسة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رسائل المحقق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بقم المقدسة،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بقم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المغربي، أبو حنيفة النعمان بن محمد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علي أصغر فيضي،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المدني، علي خان ابن الأمير نظام الدين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السالكين في شرح صحيفة 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الحسيني الأميني،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بقم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المفيد، 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المقدسة،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الميرزا القمي، أبو القاسم بن محمد حسن بن 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غنائم الأيام في مسائل الحلال والحرام،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تبريزيان وعبد الحليم الحلي</w:t>
      </w:r>
    </w:p>
    <w:p>
      <w:pPr>
        <w:pStyle w:val="BookText"/>
        <w:rPr/>
      </w:pPr>
      <w:r>
        <w:rPr>
          <w:rFonts w:ascii="Amiri" w:hAnsi="Amiri" w:eastAsia="Amiri" w:cs="Amiri"/>
          <w:color w:val="111111"/>
          <w:sz w:val="28"/>
          <w:sz w:val="28"/>
          <w:szCs w:val="28"/>
          <w:rtl w:val="true"/>
          <w:lang w:bidi="ar-SA"/>
        </w:rPr>
        <w:t xml:space="preserve">وجواد الحسيني،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ابن منظور، أبو الفضل جمال الدين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الحوزة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النجفي، محمد حسن بن الشيخ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الكلام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القوجاني،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 بطهران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النجاشي، أبو العباس أحمد بن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أسماء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النسائي، أبو عبد الرحمن أحمد بن شعيب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سليمان البنداري، سيد كسروي حسن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النراقي، أحمد بن محمد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الشيعة،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بقم المقدسة،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بقم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النراقي، عبد الصاحب المولى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الأحكام تحقيق حسين الوحدتي الشبيري،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بقم المقدسة،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المولى مهدي النراقي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النراقي، محمد مهدي بن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معتمد الشيعة في أحكام الشريعة،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العلّامة المجدّد الوحيد البهبهاني،</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المولى مهدي النراقي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النعماني، أبو عبد الله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بقم المقدسة،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النووي، أبو زكريا يحيى بن شرف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الطالبين تحقيق عادل أحمد عبد الموجود و علي محمد معوض،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شرح المهذب،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الهندي، علاء الدين علي المتقي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في سنن الأقوال والأفعال، ضبط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حياني، تصحيح وفهرسة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ببيروت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الوحيد البهبهاني محمد باقر بن محمّد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الظلام في شرح مفاتيح الشرائع،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العلّامة المجدّد الوحيد البهبهاني،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مجمع الفائدة،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العلّامة المجدّد الوحيد البهبهاني،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9195_77313"/>
      <w:bookmarkStart w:id="408" w:name="pg9195_77313"/>
      <w:bookmarkEnd w:id="40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9" w:name="pg9195_77313"/>
      <w:bookmarkStart w:id="410" w:name="__RefHeading___Toc3921883_2870459653"/>
      <w:bookmarkStart w:id="411" w:name="_Toc138"/>
      <w:bookmarkEnd w:id="409"/>
      <w:bookmarkEnd w:id="410"/>
      <w:r>
        <w:rPr>
          <w:rtl w:val="true"/>
        </w:rPr>
        <w:t>الفهرس</w:t>
      </w:r>
      <w:bookmarkEnd w:id="41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 الموضوعات</w:t>
      </w:r>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الحقيقية الشرعيّة أو المتشرعيّة للبيع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المعنى الاسمي للبيع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إيرادات على تعريف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البيع عند المصنّف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المال في تعريف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هل يعتبر في البيع صيغة خاصة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عقد الأخرس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 إشارة الأخرس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اعتبار المادة والهيئة ونحوهما في الصيغة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لو وقع العقد بالكناية والمجاز ونحو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لفظ الإيجاب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لفظ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الإيجاب على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الترتيب بين الإيجاب والقبول في العقد الجائز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الموالاة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اعتبار الموالاة في ردِّ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التنجيز في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التعليق على ما يكون مصحّحاً في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التعليق اللّازم من الكلام والتعليق على المشيئة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إيرادات على مانعيّة التعليق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التطابق بين الإيجاب والقبول في العقده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أوصاف المتعاقدين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المتعاقدين في الاجتهاد والتقليد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المصنف من الوجوه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تعقيب الإيجاب بالقبول في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المقبوض بالبيع الفاسد وأدلة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حديث على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عقد يضمن بصحيحه يضمنُ بفاسده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المراد من العقد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لفظ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الباء في بصحيحه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مَدْرَكِ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إيرادات على دليل الإقدام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الاستدلال بحديث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إيرادٌ على دليليّة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دلالة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الاستدلال بالآيات الشريفة على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دلالة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الضمان في أنواع متعلّق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عكس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النقوض على القاعدة وعلى عكسها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تعاقب الأيدي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دخول بعض العقود تحت قاعدة ما يضمن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الأمور المتفرّعة على المقبوض بالبيع الفاسد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تأسيس الأصل في المثلي وضابطه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اللفظيّ في المثلي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شواهد كون الغاية غايةً للعهدة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طريقة العرف وأنها المماثلة من جميع الجهات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 طريقة العرف في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إيرادٌ ودفعٌ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التحقيق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في عدّ المنسوجات والعملات النقديّة من المثليات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البيان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تعذّر المثل في المثلي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معارضة قاعدة الضرر لقاعدة السلطنة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تعذّر المثل</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الانتقال إلى القيمة بمجرد التعذّر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الاحتمالات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المحصل من هذه الاحتمالات 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تعذّر المثل ابتداءً لا بعد وجوده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الآراء في معنى الإعواز والتوفيق بينها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المطالبة بالمثل مع التعدّر ؛ لقاعدة السلطنة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المدرك في كفاية التعذّر العرفي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المدرك على ثبوت القيمة حال تعدّر المثل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الأوجه من الوجوه، والإشكال عليه، وردَّه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الحِيَل للفرار عن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ذكرها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آخران في شرطية عدم الزيادة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بيع الصرف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شرطيّة التقابض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لشيئين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بعض ما يتعلّق ببيع الصرف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مسائل عشرون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تعارض الاسم والإشارة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العيب وأحكامه وفروعه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مسقطات خيار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يسقط به الأرش والردّ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ما يسقط به الردّ دون الأرش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يُسقط الأرش دون الردّ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أصل مسألة خيار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حدث العيب أو التلف عند المشتري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الدرهم بدرهم مع اشتراط الصياغة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بيع الأواني الذهبيّة والفضيّة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مشكلات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أُكره كلٌّ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أُكره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ما لو مات أحدهما في 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خيار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من له الخيار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مبدأ الخيار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مسقطات خيار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ولاية عدول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أصالة الصحة والضابط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شرائط العوضين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الأراضي وأحكامها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الموات وأنها ملكُ الإمام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الموات التي سبق إليها ملْك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أحكام الأرض المفتوحة عنوةً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حكم بقيّة أقسام الأرضين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الخراجية زمن الحضور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الخراجيّة زمان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صحة التصرّف في هذه الأراضي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الوجه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حليّة جوائز السلطان لنفوذ التقبّل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فيما ينفصل من الأراضي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تحديد الأرض الخراجيّة، وما العمل حال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مسألة بيع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بیع الوقف</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ما خَرَجَ عن أصالة منْع بيع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ثمن الموقوف، هل ينحصرُ بالموجودين أم يتعداهم؟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لزوم شراء الأقرب فالأقرب إلى الموقوف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متولّي بيع الموقوف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قائمة المصادر والمراجع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إصدارات مركز تراث سامراء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حدوث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محمد باقر الاصطهباناتي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العبر في استدراك البحار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الذريعة إلى تصانيف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للشيخ آقا بزرك الطهراني ، تحقيق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من إفادات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مسلم الرضائي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أحكام الجبائر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بقلم السيد محمد الساروي، تحقيق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کتاب 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الخلل الواقع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لبحث السيد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الشيخ آقا رضا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مآثر الكبراء في تاريخ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للشيخ ذبيح الله المحلاتي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رجالية وتاريخية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آقا بزرك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القلوب والخواطر في بعض ما تركه الأوائل للأواخر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تاليف الميرزا محمد بن عبد الوهاب الهمداني الملقب بإمام الحرمين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حافل بالجهاد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علي الكوراني، أعده وخرج مصادره مركز تراث سامراء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 في الأرشيف الوثائقي العثماني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 في السالنامات العثمانية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لأول مرة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لغة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مجلة سومر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لأول مرة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قوافي الولاء من الكاظمية إلى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للأستاذ عبد الكريم الدباغ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زيارة أئمة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معرض فاجعة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لأول مرة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أئمة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الأول مرة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نصائح سماحة المرجع الديني الأعلى السيد علي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للشباب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إعداد مركز تراث سامراء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نصائح سماحة المرجع الديني الأعلى السيد علي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للمقاتلين في ساحات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إعداد مركز تراث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قبسات من حياة أئمة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تعريفي بمركز تراث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الزائر لمرقد الإمامين العسكريين في مدينة سامراء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مركز تراث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عصمة الحجج، تأليف السيد علي الحسيني الميبدي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مباحث من كتاب الطهارة، تأليف آية الله السيد إبراهيم الدامغاني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تقريراً لبحث آية الله المجدّد السيد محمد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في تحقيق دليل الإنسداد من إفادات السيّد المجدّد الشيرازي، بقلم المحقق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العسكرية المقدسة في الإرشيف الوثائقي العثماني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المنصوري، تدقيق ومراجعة مركز تراث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آقا بزرك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مركز تراث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منقحة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البيع، تأليف آية الله السيد إبراهيم الدامغاني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تقريراً لبحث آية الله المجدّد السيد محمد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الكتب التي ستصدر قريباً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ببليوغرافيا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 في حوزة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ببليوغرافيا الإمامين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وقائع المؤتمر العلمي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 النبوة وعماد السلم المجتمعي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في مجلة سومر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مركز تراث سامراء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العسكريان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الشعر العربي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مكتبات سامراء الرائدة وتتضمن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المجدّد السيد محمد حسن الشيرازي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الشيخ محمد تقي الشيرازي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المهدي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حسن كبة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منبر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قيد التحقيق والتأليف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مقدمة الواجب، تأليف السيد هاشم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تقريراً لبحث آية الله المجدّد السيد محمد حسن الشيرازي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العلّامة الشيخ ذبيح الله المحلاتي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العلّامة الشيخ ذبيح الله المحلاتي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تأليف العلّامة الشيخ ذبيح الله المحلاتي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العلّامة الشيخ ذبيح الله المحلاتي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العلّامة الشيخ ذبيح الله المحلاتي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العلّامة الشيخ ذبيح الله المحلاتي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الرجال على كتاب منتهى المقال، تأليف آية الله السيد صدر الدين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اللمعتين، تأليف آية الله الشيخ عباس بن حسن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تتلمذوا في سامرّاء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اللوامع الحسنية، تأليف السيد حسن صدر الدين الكاظمي</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المجدّد الشيرازي والشيخ حبيب الله الرشتي ، والشيخ الآقا حسن النجم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البعض أن المراد ببعض الأعاظم هو الميرزا علي آقا نجل المجدّد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الشاهرودي، دراسات في علم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البهسودي، 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عام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الصدر ،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على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البدع والرأي والمقاييس،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تم في هذه الفترة المباركة، تحقيق قسم الطهارة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المجاهد ابن السيد علي الطباطبائي صاحب الرياض، ويشتمل على خمسة أجزاء كبار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مع مشاركة بعض الفضلاء من المحققين، وكذلك تحقيق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شرح حكمة الإشراق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بقسميه الأول والثاني للشيخ عبد الرحمن ابن العتائقي، ولله الحمد والمنة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إصدارات مركز تراث سامراء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قد قابلها فيما بعد، فقد كتب في حاشية المخطوط في أكثر من مورد،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مقابلة مع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بخط السيد حسن صدر الدين الكاظمي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بيان مفهومه وحقيقته، وهو المعبر عنه بالحدّ التام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بالرسم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بالحدّ التام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بالفارسي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التفصيل في هذه الرسالة المباركة، ولعله ذكره في محضر درسه الشريف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ابن إدريس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للتأشير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ببعض الأفاضل هو الشيخ محمد حسن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الجواهر، كما يصرح به في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شيئين ذَكَرَ أولهما بعض الأفاضل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علماً أنَّ صاحب الجواهر لم يذكر هذا التعريف من جملة التعاريف التي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المخطوط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478/12</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204/22</w:t>
      </w:r>
      <w:r>
        <w:rPr>
          <w:rFonts w:ascii="IRNazanin" w:hAnsi="IRNazanin" w:eastAsia="IRNazanin"/>
          <w:b w:val="false"/>
          <w:b w:val="false"/>
          <w:bCs w:val="false"/>
          <w:i w:val="false"/>
          <w:i w:val="false"/>
          <w:iCs w:val="false"/>
          <w:color w:val="333333"/>
          <w:sz w:val="20"/>
          <w:sz w:val="20"/>
          <w:szCs w:val="20"/>
          <w:rtl w:val="true"/>
        </w:rPr>
        <w:t xml:space="preserve">؛ الأنصاري،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الفيومي،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الشهيد الأول،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ابن إدريس الحلي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ابن إدريس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الكركي، رسالة الخيار في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المحقق الكركي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الوحيد البهبهاني، حاشية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النراقي، مشارق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المخطوط بياض بمقدار كلمتين، وفي الهامش توجد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بقلم الناسخ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سقط في الأصل كراسة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المقام 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مكرراً، ولعلها من زيادات القلم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يتقدّم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المعاطاة، ولعله يقصد في مجلس درسه المبارك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يتقدّم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العهد في هذا الكتاب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الثيب ولي نفسها،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يقصد الآية القرآنية، وإلا لم يسبق له أن ذكر شيئاً من الحديث</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ذلك في هذا التقرير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النجفي، جواهر الكلام </w:t>
      </w:r>
      <w:r>
        <w:rPr>
          <w:rFonts w:eastAsia="IRNazanin" w:cs="IRNazanin"/>
          <w:b w:val="false"/>
          <w:bCs w:val="false"/>
          <w:i w:val="false"/>
          <w:iCs w:val="false"/>
          <w:color w:val="333333"/>
          <w:sz w:val="20"/>
          <w:szCs w:val="20"/>
        </w:rPr>
        <w:t>251/22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آل عصفور الأنوار، الأنوار اللوامع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275/11</w:t>
      </w:r>
      <w:r>
        <w:rPr>
          <w:rFonts w:ascii="IRNazanin" w:hAnsi="IRNazanin" w:eastAsia="IRNazanin"/>
          <w:b w:val="false"/>
          <w:b w:val="false"/>
          <w:bCs w:val="false"/>
          <w:i w:val="false"/>
          <w:i w:val="false"/>
          <w:iCs w:val="false"/>
          <w:color w:val="333333"/>
          <w:sz w:val="20"/>
          <w:sz w:val="20"/>
          <w:szCs w:val="20"/>
          <w:rtl w:val="true"/>
        </w:rPr>
        <w:t xml:space="preserve">،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الشهيد الثاني، الفوائد والقواعد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الأخرس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يأخذ مقنعتها ويضعها على رأسها، ثم يعتزلها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الأخرس،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القمي، جامع الخلاف والوفاق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الأعظم في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والمحكي عنه هو العلّامة الحلي في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الشهيد الأول ،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الأنصاري،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ونقله السيد العاملي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عن أستاذه بحر العلوم في مصابيح الأحكام الذي ليس عندنا منه كتاب البيع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الآبي، 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الأردبيلي ،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النراقي، مشارق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الفيض الكاشاني،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البحث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الفوائد والقواعد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المحقق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الكاظمي،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اشتراط العربية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عدم الاشتراط إلا في النكاح؛ للسيرة المستمرة على إجراء الصيغ بسائر اللغات، ولعدم ورود نصّ على عدم كفاية غير العربية، ولعدم ردع المعصوم الناس في معاملاتهم؛ حيث إنّ غير العرب يجرون الصيغ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العربية، فلو كان فاسداً لوجب الردع عن هذا الأمر الجلي، العام البلوى بين غير العرب، ولظاهر المعظم؛ حيث يظهر منهم عدم الاشتراط، ولا أعرف الخلاف إلا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لهما ما يعتمد عليه إلا الأصل المحكوم بعموم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والتأسي بالعقود الصادرة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وليس هو من التأسي بشيء؛ لأنَّه لا يجري في العاديات، والعربيّة فطرية لهم، والتأسي يجب حيث لا يكون الدليل على خلافه كما ههنا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صدر الدين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الأردبيلي،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الفيض الكاشاني،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تعالى في الآيتين الشريفتين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الَّذِينَ يَأْكُلُونَ الرِّبَا لَا يَقُومُونَ إِلَّا كَمَا يَقُومُ الَّذِي يَتَخَبَّطُهُ الشَّيْطَانُ مِنَ الْمَسِّ ذَلِكَ بِأَنَّهُمْ قَالُوا إِنَّمَا الْبَيْعُ مِثْلُ الرِّبَا وَأَحَلَّ اللَّهُ الْبَيْعَ وَحَرَّمَ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تَأْكُلُوا أَمْوَالَكُمْ بَيْنَكُمْ بِالْبَاطِلِ إِلَّا أَنْ تَكُونَ تِجَارَةً عَنْ تَرَاضٍ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سهل بن سعد الساعدي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امرأةً أتت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إنّي قد وهبت نفسي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فقامت قياماً طويلاً، فقام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زوّجنيها إن لم يكن لك فيها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عندك من شيء تصدقها إيّاه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عندي إلا إزاري هذا،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أعطيتها إيّاه جلست ولا إزار لك، فالتمس شيئاً،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أجد شيئاً، فقال له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معك من القرآن شيء؟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سورة كذا، وسورة كذا، وسمّاهما 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زوجتكها بما معك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الكشف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إدريس،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ابن إدريس الحلى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يظهر من الشيخ في المبسوط في باب النكاح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البيع بأن يقول المشتري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قبلتها،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يوهن دعوى العلّامة الإجماع، فلم يظهر مخصص للإطلاق، فافهم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فخر المحققين،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المحقق الثاني،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الحاكي هو الشهيد الأول في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والمحكي عنه هو الشيخ الطوسي في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حاشية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رسائل ومسائل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288/22</w:t>
      </w:r>
      <w:r>
        <w:rPr>
          <w:rFonts w:ascii="IRNazanin" w:hAnsi="IRNazanin" w:eastAsia="IRNazanin"/>
          <w:b w:val="false"/>
          <w:b w:val="false"/>
          <w:bCs w:val="false"/>
          <w:i w:val="false"/>
          <w:i w:val="false"/>
          <w:iCs w:val="false"/>
          <w:color w:val="333333"/>
          <w:sz w:val="20"/>
          <w:sz w:val="20"/>
          <w:szCs w:val="20"/>
          <w:rtl w:val="true"/>
        </w:rPr>
        <w:t>؛ 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الأنصاري،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الأنصاري،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أجوبة مسائل الشيخ أحمد المازحي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الشهيد الثاني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الأنصاري،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العلّامة الحلي، تلخيص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الشهيد الثاني، حاشية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والحاكي عن الشيخ هو السيد العاملي في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العامة هو أبو حنيفة ؛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492/9</w:t>
      </w:r>
      <w:r>
        <w:rPr>
          <w:rFonts w:ascii="IRNazanin" w:hAnsi="IRNazanin" w:eastAsia="IRNazanin"/>
          <w:b w:val="false"/>
          <w:b w:val="false"/>
          <w:bCs w:val="false"/>
          <w:i w:val="false"/>
          <w:i w:val="false"/>
          <w:iCs w:val="false"/>
          <w:color w:val="333333"/>
          <w:sz w:val="20"/>
          <w:sz w:val="20"/>
          <w:szCs w:val="20"/>
          <w:rtl w:val="true"/>
        </w:rPr>
        <w:t xml:space="preserve">؛ المحقق البحراني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وما بين المعقوفتين من المصدر، ففي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ورد عن أبي 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من كان من الفقهاء صائناً لنفسه، حافظاً لدينه، مخالفاً على هواه، مطيعاً لأمر مولاه، فللعوام أن يقلدوه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لأبان ابن تغلب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إجلس في مسجد المدينة وافتِ الناس، فإنَّي أحب أن يرى في شيعتي مثلك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ابن أبي شبية،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 عوالي اللآلئ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المجلسي الأول،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المحقق الحلي المسائل الطبرية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القزويني، قاعدة ما يضمن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 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الأنصاري،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المسألة في عبائر الفقهاء، بأنَّه لو أوقف شخصٌ شيئاً، ثمّ ظهر أنّه مملوكٌ للغير، فالوقف يقع فيما لو أجاز المالك ذلك، وأيضاً لو أوقف ووهب وأوصى بشيء في مرض موته ولم يستوف ثلثه لذلك فيقدّم الأقرب فالأقرب، أمّا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قلنا هو بعيد عن هذين الفرضين، فتوجيهه يحتاج إلى تكلّف؛ لأنَّ شرطيّة الملك في الموقوف مما أجمع عليه عند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جعفر الكبير ،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اقتضاها السياق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والأعمال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الراوندي،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ابن أبي جمهور ، عوالي اللآلئ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تعبير من المقرر السيد إبراهيم الدامغاني عن السيد المجدّد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دغدغةٌ،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 عوالي اللآلئ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ابن حنبل،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روي عن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كانت لأخيه عنده مظلمة في عرض أو مال، فليستحللها منه من قبل أن يأتي يوم ليس هنالك دينار ولا درهم، إنّما يؤخذ من حسناته، فإن لم تكن له حسنة، أخذ من سيئات صاحبه فزيدت على سيئاته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الفيض الكاشاني، المحجّة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 الغزالي، 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الأعرجي،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بالشفعة بين الشركاء في الأرضين والمساكن،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ضرر ولا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ابن البراج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قاعدة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أتلف مال الغير فهو له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المشهورة على ألسنة الفقهاء من الفريقين، ولعلها متصيدةٌ من الآيات الكريمة وكلمات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الشخص</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 ولعل الأنسب حذف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على مؤتمن 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 إسحاق بن عمار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استودع رجلاً ألف درهم فضاعت، 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كانت عليه قرضاً، وقال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كانت وديعة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لازم له، إلا أن يقيم البينة، إنما كانت وديعة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 آل عصفور، الأنوار اللوامع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كاشف الغطاء، شرح خيارات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بن محبوب،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رجل إلى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رجل دفع ثوباً إلى القصّار ليقصره، فدفعه القصّار إلى قصّار غيره ليقصره، فضاع الثوب، هل يجب على القصار أن يردّ ما دفعه إلى غيره إن كان القصار مأموناً؟ فوقّع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ضامن له، إلا أن يكون ثقة مأموناً إن شاء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عن مسعدة بن زياد،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غرم على مستعير عارية إذا هلكت، أو سرقت، أو ضاعت إذا كان المستعير مأموناً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العارية غير مضمونة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استئماناً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الإعطاء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قبل أسطر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فخر المحققين،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حاشية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والحاكي عن المحقق الكركي هو الشيخ الأعظم في مكاسبه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على الحاكي عن صاحب الجواهر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عن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من كتبه خلاف ما ذكره المقرر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الشهيد في جملة من عبائره قال بعدم جواز التصرّف وعدم كفاية العقد، بل يحتاج إلى الإذن كما في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لأحد الشركاء التصرّف إلا بإذن الجميع، ويقتصر من التصرّف على المأذون، فإنْ تعدى ضمن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الشهيد الثاني، حاشية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المحقق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لبقاء العبد تحت ملكه حينئذٍ وعدم معقولية ضمان الشخص مال نفسه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 والأنفال، وتفسير الخمس وحدوده وما يجب فيه،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بين المعقوفتين من المصدر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ولعل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ثلاثة لا عذر لأحد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الأمانة إلى البرّ والفاجر، والوفاء بالعهد للبرّ والفاجر، والبرّ بالوالدين برّين كانا أو فاجرين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هداية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الوديعة والعارية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السرائر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ضمن موسوعة ابن إدريس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المحقق الحلی ،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سعيد الحلي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53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ابن إدريس الحلي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ابن إدريس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لدينا من المصادر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ابن إدريس الحلي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الطوسي،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107/30</w:t>
      </w:r>
      <w:r>
        <w:rPr>
          <w:rFonts w:ascii="IRNazanin" w:hAnsi="IRNazanin" w:eastAsia="IRNazanin"/>
          <w:b w:val="false"/>
          <w:b w:val="false"/>
          <w:bCs w:val="false"/>
          <w:i w:val="false"/>
          <w:i w:val="false"/>
          <w:iCs w:val="false"/>
          <w:color w:val="333333"/>
          <w:sz w:val="20"/>
          <w:sz w:val="20"/>
          <w:szCs w:val="20"/>
          <w:rtl w:val="true"/>
        </w:rPr>
        <w:t>؛ الحاكم النيسابوري،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البيهقي،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الرهون،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ابن إدريس الحلي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ابن إدريس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الحاكي عن الإسكافي هو العلّامة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والحاكي عنه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والحاكي عنه الشيخ الأعظم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ابن إدريس الحلي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xml:space="preserve">؛ العلّامة الحلي،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الأصل اللفظي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السيوري، 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تقرير بحث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يقع على الرجل فيقتله ،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الرجل يقتل الرجلين أو أكثر ، ح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ضمان النفوس وغيرها،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باختلاف يسير في الجميع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ميمون،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دعا الرجل أخاه بليل، فهو له ضامن حتّى يرجع إلى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ضمان النفوس وغيرها،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يونس بن عبد الرحمن إلى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كان لي على رجل عشرة دراهم، وأنّ السلطان أسقط تلك الدراهم، وجاء بدراهم أعلى من تلك الدراهم، وفي تلك الدراهم الأولى اليوم وضيعة، فأيّ شيء لي عليه الدراهم الأولى التي أسقطها السلطان، أو الدراهم التي أجازها السلطان؟ 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الدراهم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التجارة وآدابها وفضلها وفقهها 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ح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الواحد بالاثنين، وأكثر من ذلک ،وما يجوز منه ،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يكون له على غيره الدراهم فتسقط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جعلنا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مصدرية غير زمانية فالمعنى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فاعتدوا عليه بمثل اعتدائه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 جعلناها موصوله فالمعنى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فاعتدوا بمثل الشيء الذي اعتدى به عليكم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أحكامات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المخطوط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تلف بشخص 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المناسب ما أثبتناه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سقوط ما في ذمة أحد الشخصين للآخر لو اتفقا جنساً، أو وصفاً، أو هما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الصيمري، تلخيص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المقداد السيوري، 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تقرير بحث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الطبرسي، المؤتلف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w:t>
      </w:r>
      <w:r>
        <w:rPr>
          <w:rFonts w:ascii="IRNazanin" w:hAnsi="IRNazanin" w:eastAsia="IRNazanin"/>
          <w:b w:val="false"/>
          <w:b w:val="false"/>
          <w:bCs w:val="false"/>
          <w:i w:val="false"/>
          <w:i w:val="false"/>
          <w:iCs w:val="false"/>
          <w:color w:val="333333"/>
          <w:sz w:val="20"/>
          <w:sz w:val="20"/>
          <w:szCs w:val="20"/>
          <w:rtl w:val="true"/>
        </w:rPr>
        <w:t xml:space="preserve">؛ العلّامة الحلي،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الشهيد الأول، 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عن أبي عبد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سفرة وجدت في الطريق مطروحة كثير لحمها، وخبزها، وبيضها، وجبنها، وفيها سكين، 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ما فيها ثم يؤكل؛ لأنَّه يفسد وليس له بقاء، فإن جاء طالبها غرموا له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لا يدرى سفرة مسلم أو سفرة مجوسي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في سعة حتّى يعلموا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يبيعه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 عوالي اللآلئ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أبي طلحة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عبداً صالحاً في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لَامَسْتُمُ النِّسَاءَ فَلَمْ تَجِدُوا مَاءً فَتَيَمَّمُوا صَعِيدًا طَيِّبًا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حدّ ذلك، فإن لم تجدوا بشراء، أو بغير شراء، إن وجد قدر وضوء بمئة ألف، أو بألف وكم بلغ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على قدر 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العلّامة الحلي بوجوب الشراء مع القدرة عليه في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وفي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 بل في المنتهى حكم بالشراء وإن كان الثمن زائداً على المثل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الاشتراء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الحلبي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الطبرسي، المؤتلف من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المحقق الكرکی،جامع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المحقق الكرکی،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ولعل المقصود هو المحقق أسد الله التستري الكاظمي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والحاكي هو الشيخ الأعظم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والحاكي هو الشيخ الأعظم في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المصنف فيما بعد تتمة لمبحث حاكمية نفي الحرج السلطنة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عن الحلبي،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أسلم دراهمه في خمسة مخاتيم من حنطة، أو شعير، إلى أجل مسمّى، وكان الذي عليه الحنطة والشعير لا يقدر على أن يقضيه جميع الذي له إذا حلّ، فسأل صاحب الحق أن يأخذ نصف الطعام، أو ثلثه، أو أقل من ذلك، أو أكثر، ويأخذ رأس مال ما بقي من الطعام دراهم؟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والزعفران يسلم فيه الرجل دراهم في عشرين مثقالاً، أو أقل من ذلك، أو أكثر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إن لم يقدرْ الذي عليه الزعفران أن يعطيه جميع ماله أن يأخذ نصف حقّه، أو ثلثه أو ثلثيه، ويأخذ رأس مال ما بقي من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السلم في الطعام،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 ابن إدريس الحلي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ابن إدريس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الكيدري،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فهد الحلی، المقتصر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الحلبي،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النجفي،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 ولعلها من زيادات قلم الناسخ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كتاب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المحقق الحلي،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الحلي،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الطباطبائي، 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ربا أكله الناس بجهالة ثم تابوا، فإنه يقبل منهم، إذا عرف منهم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الرِّبا،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الطوسي،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المحقق الحلي،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المقداد السيوري، 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الجنيد نقله عنه العلّامة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ابن إدريس،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ابن إدريس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الحاكي عن الشهيد هو المحقق الكركي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العلّامة الحلي ذلك في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المحقق الحلي،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العلّامة الحلي، 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الكيدري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عن محمد بن قيس،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يبتاع رجل فضة بذهب إلا يداً بيد، ولا يبتاع ذهباً بفضة إلا يداً بيد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الصروف،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المبادلة والعينة ح</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والحاكي عن الصدوق هو الفاضل الآبي في كشف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رأي المحقق الأردبيلي أيضاً؛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روضة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ونصُّ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الحلبي سألت أبا عبد الله عن رجل ابتاع من رجل بدينار فأخذ بنصفه بيعاً وبنصفه ورِقاً؟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وسألته هل يصلح أن يأخذ بنصفه ورِقاً أو بيعاً ويترك نصفه حتّى يأتي بعد فيأخذ به ورِقاً أو بيعاً؟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أن أترك منه شيئاً حتّى أخذه جميعاً فلا يفعله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المحقق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363/18</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السيد حسن الصدر الكاظمي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الشرط والخيار في البيع،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النهي عن بيع الذهب بالفضة نسيئة،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النهاية ونكتها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المخطوط بعد هذه الكلمة 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الأشهر بين الأصحاب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ابن إدريس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رواية إسحاق بن عمار،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يبيعني الورق بالدنانير، وأتزن منه، فإن له حتّى أفرغ ، فلا يكون بيني وبينه عمل، إلا أن في ورقه نفاية، وزيوفاً، وما لا يجوز،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انتقدها وردّ نفايتها،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 ولكن لا تؤخر ذلك أكثر من يوم، أو يومين، فإنما هو الصرف،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وجدت في ورقِهِ فضلاً مقدار ما فيها من النفاية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احتياط، هذا أحب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الصروف،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ليس بمضروب من الذهب والفضة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 والصحيح ما أثبتناه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أنْ يُجيب عنه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بيضة، والصحيح ما أثبتناه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المخطوط غير واضحة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 اللَّهُ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تَأْكُلُوا أَمْوَالَكُمْ بَيْنَكُمْ بِالْبَاطِلِ إِلَّا أَنْ تَكُونَ تِجَارَةً عَنْ تَرَاضٍ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المصنف في هذا المحلّ غير أربع مسائل فقط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الأعرج ،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الأنصاري،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كاشف الغطاء، شرح خيارات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للسياق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المخطوط غير واضحة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131/11</w:t>
      </w:r>
      <w:r>
        <w:rPr>
          <w:rFonts w:ascii="IRNazanin" w:hAnsi="IRNazanin" w:eastAsia="IRNazanin"/>
          <w:b w:val="false"/>
          <w:b w:val="false"/>
          <w:bCs w:val="false"/>
          <w:i w:val="false"/>
          <w:i w:val="false"/>
          <w:iCs w:val="false"/>
          <w:color w:val="333333"/>
          <w:sz w:val="20"/>
          <w:sz w:val="20"/>
          <w:szCs w:val="20"/>
          <w:rtl w:val="true"/>
        </w:rPr>
        <w:t>؛ فخر المحققين،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الجوهر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الشهيد الثاني، حاشية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البحراني،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جميل، عن بعض أصحابنا،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الرجل يشتري الثوب أو المتاع، فيجد فيه عيباً؟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الشيء قائماً بعينه، ردَّه عليه وأخذ الثمن، وإن الثوب قد قطع، أو خيط، أو صبغ يرجع بنقصان العيب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يبيع البيع ثم يوجد فيه عيب،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بالأولوية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صاحب الجواهر كما سيأتي في مبحث معاني الأرش لاحقاً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86/11</w:t>
      </w:r>
      <w:r>
        <w:rPr>
          <w:rFonts w:ascii="IRNazanin" w:hAnsi="IRNazanin" w:eastAsia="IRNazanin"/>
          <w:b w:val="false"/>
          <w:b w:val="false"/>
          <w:bCs w:val="false"/>
          <w:i w:val="false"/>
          <w:i w:val="false"/>
          <w:iCs w:val="false"/>
          <w:color w:val="333333"/>
          <w:sz w:val="20"/>
          <w:sz w:val="20"/>
          <w:szCs w:val="20"/>
          <w:rtl w:val="true"/>
        </w:rPr>
        <w:t>؛ 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الخلخالي فقه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الخيارات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المتاع يباع في من يزيد، فينادي عليه المنادي، فإذا نادى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بريء من كل عيب فيه، فإذا اشتراه المشتري ورضيه، ولم يبق إلا نقده الثمن فربما زهد، فإذا زهد فيه ادعى فيه عيوباً، وأنَّه لم يعلم بها، فيقول له المنادي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برئت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له المشتري لم أسمع البراءة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أيصدّق فلا يجب عليه الثمن، أم لا يصدّق فيجب عليه الثمن ؟ فكتب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العيوب الموجبة للرد،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أيّما رجل اشترى شيئاً وبه عيب، أو عوار، ولم يتبرأ إليه، ولم يتبين له، فأحدث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قبضه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ثم علم بذلك العوار، أو بذلك الداء، إنّه يمضي عليه البيع، ويردّ عليه بقدر ما ينقص من ذلك الداء والعيب من ثمن ذلك لو لم يكن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يبيع البيع ثم يوجد فيه عيب،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ابن إدريس الحلي في السرائر إلى بعض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العلّامة الحلي في المختلف إلى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شرح خيارات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عصفور، سداد العباد ورشاد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الخلخالي فقه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الخيارات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إرديس الحلي، السرائر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موسوعة ابن إدريس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لدينا من المصادر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بعض الأعاظم إلى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مشارق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المحقق الحلي، النهاية ونكتها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الطباطبائي،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 الأنصاري، المكاسب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ونسب العلّامة الحلي في مختلف الشيعة هذا الرأي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128/11</w:t>
      </w:r>
      <w:r>
        <w:rPr>
          <w:rFonts w:ascii="IRNazanin" w:hAnsi="IRNazanin" w:eastAsia="IRNazanin"/>
          <w:b w:val="false"/>
          <w:b w:val="false"/>
          <w:bCs w:val="false"/>
          <w:i w:val="false"/>
          <w:i w:val="false"/>
          <w:iCs w:val="false"/>
          <w:color w:val="333333"/>
          <w:sz w:val="20"/>
          <w:sz w:val="20"/>
          <w:szCs w:val="20"/>
          <w:rtl w:val="true"/>
        </w:rPr>
        <w:t>؛ الشهيد الأول، 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xml:space="preserve">؛ آل عصفور، الأنوار اللوامع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لدينا من المصادر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الخبر المتقدّم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البراج،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المحقق الحلي،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يشير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رجل اشترى من رجل عبداً أو دابة، وشرط يوماً أو يومين، فمات العبد، أو نفقت الدابة، أو حدث فيه حدث على من الضمان؟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ضمان على المبتاع حتّى ينقضي الشرط ويصير المبيع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والخيار في البيع ، ح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جميل بن دراج، عن بعض أصحابنا،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الرجل يشتري الثوب من الرجل أو المتاع، فيجد به عيباً،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الثوب قائماً بعينه ردّه على صاحبه وأخذ الثمن، وإن كان خاط الثوب، أو صبغه، أو قطعه رجع بنقصان 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خيار الصفقة، ح</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الأرش</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الشهيد الثاني، حاشية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المحقق البحراني،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89/19</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الطوسي،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المحقق الحلي،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لحكمه لاحقاً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ههنا مسقطين فقط، ولم يذكر ثالثهما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والأنسب كلّياً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والأنسب بكلي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مختلف الشيعة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ابن فهد الحلي، 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 الشهيد الثاني،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قواعد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السمر قندي في تحفة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إلى العامة جميعاً، إلا مالكاً، والشافعي في أحد قوليه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المخطوط بياض بمقدار كلمة، ولعل المقصود ما أثبتناه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فخر المحققين ،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 الأرش غرامة مستقلة جعلها الشارع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الصباح الكناني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الرجل يقول للصائغ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 لي هذا الخاتم، وأبدل لك در هماً طازجاً بدرهم غلة؟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الصروف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الفاضل الآبي في 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 في وسيلة ابن حمزة الطوسي، ولعله لذلك عبّر عنه المقرر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ابن إدريس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ابن إدريس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أبي الصباح المتقدمة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المصوغة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ما بعدها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الأول،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لصنع ماء الورد وغيره من المياه التي يراد تقطيرها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 نهاية الأرب في فنون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الكيدري،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الحلي، 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المسترق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عمرو بن مروان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رفع عن أمتي أربع خصال خطأها، ونسيانها، وما أكرهوا عليه، وما لم يطيقوا؛ وذلك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رَبَّنَا لَا تُؤَاخِذْنَا إِنْ نَسِينَا أَوْ أَخْطَأْنَا رَبَّنَا وَلَا تَحْمِلْ عَلَيْنَا إِصْرًا كَمَا حَمَلْتَهُ عَلَى الَّذِينَ مِنْ قَبْلِنَا رَبَّنَا وَلَا تُحَمِّلْنَا مَا لَا طَاقَةَ لَنَا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مَنْ أُكْرِهَ وَقَلْبُهُ مُطْمَئِنٌّ بِالْإِيمَانِ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رفع عن الأمة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الشرط والخيار في البيع،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وسيأتي ذكره من المصنّف لاحقاً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ولم يذكر المصنف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الخبر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آداب السوق والخيارات ، ح</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أفتى الشيخ الطوسي،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السقوط في هذه المسألة في الجنون والاغماء، وأفتى فخر المحققين في إيضاحه، والمحقق الثاني في جامعه والشهيد الثاني في فوائده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الحكم،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فخر المحققين،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 الشهيد الثاني، 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بياض في المخطوط مقدار كلمتين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حكى عن ثلة كبيرة من الفقهاء الآراء المتقدمة، فليراجع ثمة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فهناك الكثير من الروايات الواردة في باب الشرط والخيار في البيع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ذهب إليه ابن إدريس الحلي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الشيخ المفيد و الشيخ الطوسي، وجلّ الأصحاب، بل الإجماع منعقد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إلى السيد المرتضى ابن إدريس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إلى 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المفقود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الشهيدُ الأول في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المحقق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w:t>
      </w:r>
      <w:r>
        <w:rPr>
          <w:rFonts w:ascii="IRNazanin" w:hAnsi="IRNazanin" w:eastAsia="IRNazanin"/>
          <w:b w:val="false"/>
          <w:b w:val="false"/>
          <w:bCs w:val="false"/>
          <w:i w:val="false"/>
          <w:i w:val="false"/>
          <w:iCs w:val="false"/>
          <w:color w:val="333333"/>
          <w:sz w:val="20"/>
          <w:sz w:val="20"/>
          <w:szCs w:val="20"/>
          <w:rtl w:val="true"/>
        </w:rPr>
        <w:t>؛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392/8</w:t>
      </w:r>
      <w:r>
        <w:rPr>
          <w:rFonts w:ascii="IRNazanin" w:hAnsi="IRNazanin" w:eastAsia="IRNazanin"/>
          <w:b w:val="false"/>
          <w:b w:val="false"/>
          <w:bCs w:val="false"/>
          <w:i w:val="false"/>
          <w:i w:val="false"/>
          <w:iCs w:val="false"/>
          <w:color w:val="333333"/>
          <w:sz w:val="20"/>
          <w:sz w:val="20"/>
          <w:szCs w:val="20"/>
          <w:rtl w:val="true"/>
        </w:rPr>
        <w:t xml:space="preserve">؛ الخلخالي، فقه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الخيارات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بحث الميرزا الرشتي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سيأتي لاحقاً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علي بن أسباط ، عن أبي الحسن الرضا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الخيار في الحيوان ثلاثة أيام للمشتري، وفي غير الحيوان أن يتفرّقا وأحداث السنة ترد بعد السنة،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أحداث السنة؟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الجنون والجذام، والبرص، والقرن، فمن اشترى فحدث فيه هذه الأحداث، فالحكم أن يردّ على صاحبه إلى تمام السنة من يوم اشتراه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من يشتري الرقيق فيظهر به عیب،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عقود البيع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سوى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ابتياع الحيوان،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عقود البيع،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غموض في الكلمة، ولعلها ما عن الحسن بن علي بن فضال،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أبا الحسن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الحيوان المشتري بالخيار ثلاثة أيام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ابتياع الحيوان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المخطوط غير واضحة، ولعل المقصود ما أثبتناه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رئاب،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الشرط في الحيوان ثلاثة أيام للمشتري، اشترط أو لم يشترط، فإن أحدث المشتري فيما اشترى حدثاً قبل الثلاثة أيام، فذلك رضى منه، فلا شرط له،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الحدث؟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لامس أو قبل، أو ينظر منها إلى ما كان يحرم عليه قبل الشراء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عقود البيع،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ابن إدريس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العلّامة الحلي،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المحقق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397/8</w:t>
      </w:r>
      <w:r>
        <w:rPr>
          <w:rFonts w:ascii="IRNazanin" w:hAnsi="IRNazanin" w:eastAsia="IRNazanin"/>
          <w:b w:val="false"/>
          <w:b w:val="false"/>
          <w:bCs w:val="false"/>
          <w:i w:val="false"/>
          <w:i w:val="false"/>
          <w:iCs w:val="false"/>
          <w:color w:val="333333"/>
          <w:sz w:val="20"/>
          <w:sz w:val="20"/>
          <w:szCs w:val="20"/>
          <w:rtl w:val="true"/>
        </w:rPr>
        <w:t xml:space="preserve">؛ الأنصاري،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الشرط والخيار في البيع،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والمناسب ما أثبتناه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الأنصاري،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النراقي، مشارق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والمناسب ما أثبتناه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مشارق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المغيرة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لي ابنة أخ يتيمة، فربما أُهدي لها الشي فآكل منه، ثم أطعمها بعد ذلك الشيء من مالي،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هذا بهذا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يحلّ لقيّم مال اليتيم منه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الإجماع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القول الشيخ الكبير النجفي في جواهره إلى المحقق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والمناسب ما أثبتناه، ولعله من خطأ الناسخ</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ونصُّ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شيء لهم فيه الصلاح</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سابقاً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الأرضَ كلّها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معلّى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أحمد بن محمد بن عبد الله عمن رواه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 وما فيها لله تبارك وتعالى ولرسوله ولنا، فمن غلب على شيء منها فليتق الله، وليؤدِ حق الله تبارك وتعالى وليبر إخوانه، فإن لم يفعل ذلك فالله ورسوله ونحن برآء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الأرض كلّها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زيد بن نفيل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أحيا أرضاً ميتةً فهي له، وليس لعرق ظالم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عوالي اللآلئ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شراء الأرضين من أهل الذّمة؟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بأن يشتري منهم إذا عملوها وأحيوها فهي لهم، وقد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ظهر على خيبر وفيها اليهود، خارجهم على أمر، وترك الأرض في أيديهم يعملونها ويعمرونها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الأرضين،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المحقق الكركي، الخراجيات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الشهيد الثاني،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ظبيان، أو المعلّى بن خنيس،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من هذه الأرض؟ فتبسم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وتعالى بعث جبرئيل ، وأمره أن يخرق بإبهامه ثمانية أنهار في الأرض، منها سيحان، وجيحان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نهر بلخ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والخشوع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نهر الشاش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مصر ودجلة والفرات، فما سقت أو استقت فهو لنا، وما كان لنا فهو لشيعتنا، وليس لعدونا منه شئ، إلا ما غصب عليه، وإن ولينا لفي أوسع فيما بين ذه إلى 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بين السماء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 هذه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هِيَ لِلَّذِينَ آمَنُوا فِي الْحَيَاةِ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المغصوبين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غصب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الأرض كلها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 كتاب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والحاكي الشيخ الطوسي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 عوالي اللألي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فيما يحلّ الشراء والبيع منه وما لا يحلّ،ح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المحقق الكركي، رسالة في الأرض المندرسة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المحقق الكركي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والمناسب ما أثبتناه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والمناسب ما أثبتناه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الأرضين،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مسمعاً بالمدينة، وقد كان حمل إلى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السنة مالاً، فردَّه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ردَّ عليك أبو عبد الله المال الذي حملته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قلت له حين حملت إليه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كنتُ وليتُ البحرين الغوص، فأصبت أربعمائة ألف درهم، وقد جئتك بخمسها بثمانين ألف درهم، وكرهت أن أحبسها عنك، وأن أعرض لها، وهي حقك الذي جعله الله تبارك وتعالى في أموالنا،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لنا من الأرض وما أخرج الله منها إلا الخمس يا أبا سيّار؟ إن الأرض كلّها لنا، فما أخرج الله منها من شيء فهو لنا، فقلت له وأنا أحمل إليك المال كله؟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سيّار، قد طيبناه لك وأحللناك منه، فضمّ إليك مالك، وكلّ ما في أيدي شيعتنا من الأرض فهم فيه محللون حتّى يقوم قائمنا، فيجبيهم طسق ما كان في أيديهم، ويترك الأرض في أيديهم، وأمّا ما كان في أيدي غيرهم، فإن كسبهم من الأرض حرام عليهم حتّى يقوم قائمنا، فيأخذ الأرض من أيديهم ويخرجهم صَغَرَة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بن يزيد فقال لي أبو سيار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أرى أحداً من أصحاب الضياع، ولا ممن يلي الأعمال يأكل حلالاً غيري إلا من طيّبوا له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الأرض كلّها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بياض في المخطوط بمقدار كلمتين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الحرث بن المغيرة النصري،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فجلست عنده، فإذا نجيّة قد استأذن عليه، فأذن له فدخل فجثا على ركبتيه،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إني أريد أن أسألك عن مسألة، والله ما أريد بها إلا فكاك رقبتي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فكأنه رقّ له فاستوى جالساً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نجيّة، سلني فلا تسألني اليوم عن شيء إلا أخبرتك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جعلت فداك، ما تقول في فلان وفلان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نجيّةُ، إنَّ لنا الخمس في كتاب الله، ولنا الأنفال، ولنا صفو الأموال، وهما والله أول من ظلمنا حقنا في كتاب الله وأول من حمل الناس على رقابنا، ودماؤنا في أعناقهما إلى يوم القيامة بظلمنا أهل البيت، وإنَّ الناس ليتقلّبون في حرام إلى يوم القيامة بظلمنا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نجيّة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وإنا إليه راجعون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هلكنا ورب الكعبة، قال فرفع فخذه عن الوسادة فاستقبل القبلة، فدعا بدعاء لم أفهم منه شيئاً إلا إنّا سمعناه في آخر دعائه،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إنّا قد أحللنا ذلك لشيعتنا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إلينا بوجهه،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نجيّة، ما على فطرة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غيرنا وغير 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أسطر قليلة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الشهيد الأول،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رواية عامية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عَادِيُّ الْأَرْضِ للهِ وَلِرَسُولِهِ ثُمَّ هِيَ لَكُمْ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فخر المحققين،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قوانين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الشيخ محمد تقي ، 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على الإمام زكاة؟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أحلت يا أبا محمد، أما علمت أنَّ الدنيا والآخرة للإمام يضعها حيث يشاء، ويدفعها إلى من يشاء، جائز له ذلك من الله، إنَّ الإمام يا أبا محمد لا يبيت ليلة أبداً، والله في عنقه حق يسأله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الارض كلها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والمناسب ما أثبتناه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وحاكي الخلاف عنه هو الأنصاري في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الإجماع في مظانه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الحاكي عنهما هو الشيخ الأنصاري في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 والأنفال وتفسير الخمس،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الخمس إلا في الغنائم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خمس الكنز وما يخرج من الأرض ، 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عن ابن أبي عمير، عن حفص بن البختري،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خذ مال الناصب حيث ما وجدته وادفع إلينا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والغنائم،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الخمس والفيء، 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 والأنفال وتفسير الخمس،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 والأنفال وتفسير الخمس،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 الزيادات،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أحكام الأرضين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المتعارفي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والمناسب ما أثبتناه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مفاتيح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السبزواري،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395/12</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الميرزا القمي،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الأردبيلي،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547/7</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المتعارفي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والمناسب ما أثبتناه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أحكام الأرضين،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المحقق السبزواري،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المتعارفي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والمناسب ما أثبتناه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أبي نصر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لأبي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وما سار به أهل بيته،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 ونصف العشر على من أسلم تطوعاً، تركت أرضه في يده وأخذ منه العشر ونصف العشر فيما عمّر منها ، وما لم يعمّر منها أخذه الوالي فقبّله ممن يعمره، وكان للمسلمين، وليس فيما كان أقل من خمسة أوساق شيء، وما أخذ بالسيف فذلك للإمام يقبّله بالذي يرى، كما صنع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بخيبر، قبّل أرضها ونخلها والناس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تصلح قبالة الأرض والنخل إذا كان البياض أكثر من السواد، وقد قبّل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خيبر، وعليهم في حصصهم العشر ونصف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الخراج وعمارة الأرضين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 وأحمد بن محمد بن أبي نصر،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 له الكوفة، وما وضع عليها من الخراج، وما سار فيها أهل بيته،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أسْلم طوعاً تركت أرضه في يده، وأُخذ منه العشر مما سقت السماء والأنهار، ونصف العشر مما كان بالرشا، فيما عمّروه منها ، وما لم يعمّروه منها أخذه الإمام فقبّله ممن يعمّره، وكان للمسلمين، وعلى المتقبّلين في حصصهم العشر، ونصف العشر، وليس في أقلّ من خمسة أوساق شيء من الزكاة، وما أُخذ بالسيف فذلك إلى الإمام ، يقبّله بالذي يرى، كما صنع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بخيبر، قبل سوادها وبياضها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أرضها ونخلها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يصلح قبالة الأرض والنخل، وقد قبّل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خيبر، وعلى المتقبلين سوى قبالة الأرض العشر ونصف العشر في حصصهم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أهل الطائف أسلموا وجعلوا عليهم العشر ونصف العشر، وإنّ أهل مكة دخلها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عنوةً، فكانوا أسراء في يده فأعتقهم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اذهبوا فأنتم الطلقاء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ما يجب فيه الزكاة من الحرث،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عن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سبق إلى ما لا يسبقه إليه مسلم، فهو أحق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عوالي اللآلئ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خالد الكابلي،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في كتاب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الأرض لله يورثها من يشاء من عباده والعاقبة للمتقين، أنا وأهل بيتى الذين أورثنا الله الأرض، ونحن المتقون والأرض كلّها لنا، فمن أحيا أرضاً من المسلمين فليعمّرها وليؤد خراجها إلى الإمام من أهل بيتي وله ما أكل منها، فإن تركها أو أخربها وأخذها رجل من المسلمين من بعده فعمّرها وأحياها، فهو أحق بها من الذي تركها، يؤدي خراجها إلى الإمام من أهل بيتي وله ما أكل منها، حتّى يظهر القائم من أهل بيتي بالسيف، فيحويها ويمنعها ويخرجهم منها، كما حواها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ومنعها، إلا ما كان في أيدي شيعتنا، فإنه يقاطعهم على ما في أيديهم ويترك الأرض في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الأرض كلها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الأرضين،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الدال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القرية، ومقدّم التناء وأصحاب الزراعة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الدهق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الامتلاء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المخطوط غير واضحة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الحوادث الواقعة فارجعوا فيها إلى رواة حديثنا، فإنهم حجتي عليكم، وأنا حجة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الخراجيات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أحاديثنا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المحقق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261/18</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1710/22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قاطعة اللجاج في تحقيق حِلِّ الخراج، هي للشيخ المحقق علي بن الحسين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زماننا حيث استولى الجهل على أكثر أهل العصر، واندرس بينهم معظم الأحكام، وخفيت مواقع الحلال والحرام ، وهدرت شقائق الجاهلين، وكثرت جرأتهم على أهل الدين، استخرت الله تعالى، وضمّنت في تحقيق هذه المسألة رسالة، ضمّنتها ما نقله فقهاؤنا في ذلك من الأخبار عن الأئمة الأطهار، وأودعتها ما صرّحوا في كتبهم من الفتوى بأن ذلك بلا 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منه في الحادي والعشرين من ربيع الثاني، أو الحادي عشر منه في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رتَّبه على مقدمة في أقسام الأرضين وخمس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إعجاز حسين، كشف الحجب والأستار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الخراجيات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زلنا نسمع من كثير ممن عاصرناهم، لا سيّما شيخنا الأعظم الشيخ علي ابن هلال قدس الله روحه، وغالب ظني أنه بغير واسطة، بل بالمشافهة إنّه لا يجوز لمن عليه الخراج والمقاسمة سرقته، ولا جحوده، ولا منعه، ولا شيئا منه؛ لأن ذلك حقّ واجب عليه، والله سبحانه أعلم بحقائق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الخراجيات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باب المزارعة،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بالنصف، والربع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الربعوالنصف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قبالة أرضي أهل الذّمة،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يستأجر الأرض أو الدار،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جواز بيع اللبن في الضرع إذا ضم إليه شيء معلوم ، ح</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شعيب،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يستأجر الأرض بشيء معلوم، يؤدي خراجها، ويأكل فضلها، ومنها قوته؟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باب المزارعة،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القبالة أن يأتي الرّجل الأرض الخربة، فيتقبّلها من أهلها عشرين سنة، فإن كانت عامرةً فيها علوج، فلا يحل له قبالتها، إلّا أن يتقبّل أرضها فيستأجرها من أهلها، ولا يدخل العلوج في شيء من القبالة، فإنه لا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الرجل يأتي الأرض الخربة الميتة، فيستخرجها ويجري أنهارها، ويعمّرها، ويزرعها ماذا عليه فيها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يعرف صاحبها؟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فليردّ إليه حقّه،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بأن يتقبّل الرجل الأرض وأهلها من السلطان، وعن مزارعة أهل الخراج بالربع، والنصف، والثلث؟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بأس به، قد قبل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خيبر أعطاها اليهود حين فتحت عليه بالخبر، والخبر هو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ما يجب فيه الزكاة من الحرث،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يأخذ السلطان من الخراج ،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 والأنفال، وتفسير الخمس،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الحضرمي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وعنده إسماعيل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 ابن أبي سماك أنْ يخرج شباب الشيعة فيكفونه ما يكفيه الناس، ويعطيهم ما يعطي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لم تركت عطاءك؟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مخافة على ديني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 ابن أبي سماك أن يبعث إليك بعطائك؟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علم أنَّ لك في بيت المال نصيباً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الأرض كلها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الزيادات،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والصحيح ما أثبتناه، ولعله من سهو قلم الناسخ</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الشيباني، رسالة في الخراج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البحراني،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256/18</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 والأنفال، وتفسير الخمس،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نذكرها لطولها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في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المحقق الكركي، الخراجيات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الشهيد الثاني، حاشية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التربة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مشرفها آلاف التحية والثناء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تتخذ للسجود عليها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السيد محمد المجاهد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للسيد الكبير محمد بحر العلوم في بعض مباحثه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العلّامة الحلي،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الشهيد الأول،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الحلبي،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المحقق الحلي،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eastAsia="IRNazanin" w:cs="IRNazanin"/>
          <w:b w:val="false"/>
          <w:bCs w:val="false"/>
          <w:i w:val="false"/>
          <w:iCs w:val="false"/>
          <w:color w:val="333333"/>
          <w:sz w:val="20"/>
          <w:szCs w:val="20"/>
        </w:rPr>
        <w:t>358/22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الحاكي هو السيد المدني في 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28817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جعفر الكبير كما حكاه عنه الشيخ الأعظم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ما يجوز من الوقف، والصدقة، والنحل،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يوقفها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يظهر أن الكلام الثاني هو ما نقله الشيخ الأعظم عن بعض الأساطين لا له، بل هو اعترض عليه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العالم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يجوز بيع الوقف،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يجوز من الوقف والصدقة، والنحل،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ابن إدريس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الصفحة السابقة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والمناسب ما أثبتناه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البطن اللاحق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العبارة لا تؤدي المراد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وهي زائدة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xml:space="preserve">؛ الصيمري،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المعروف،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بياض في المخطوط بمقدار كلمة واحدة، ولعل المقصود ما أثبتناه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ابن البراج،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ابن إدريس،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ابن إدريس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240</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ولم يذكر لها عدلاً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443/18</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والمناسب ما أثبتناه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الحاكي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تحصيص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والمناسب ما أثبتناه؛ لأنَّه أوفق بمراده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عقاراً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يترك الميسور بالمعسور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 عوالي اللآلئ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والمناسب ما أثبتناه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العين الموقوفة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eastAsia="IRNazanin" w:cs="IRNazanin"/>
          <w:b w:val="false"/>
          <w:bCs w:val="false"/>
          <w:i w:val="false"/>
          <w:iCs w:val="false"/>
          <w:color w:val="333333"/>
          <w:sz w:val="20"/>
          <w:szCs w:val="20"/>
        </w:rPr>
        <w:t>358/22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eastAsia="IRNazanin" w:cs="IRNazanin"/>
          <w:b w:val="false"/>
          <w:bCs w:val="false"/>
          <w:i w:val="false"/>
          <w:iCs w:val="false"/>
          <w:color w:val="333333"/>
          <w:sz w:val="20"/>
          <w:szCs w:val="20"/>
        </w:rPr>
        <w:t>358/22</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بملاحظة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والمناسب ما أثبتناه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عن جعفر بن حيّان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وقف غلّة له على قرابة من أبيه، وقرابة من أمّه، وأوصى لرجل ولعقبه من تلك الغلّة ليس بينه وبينه قرابة بثلاثمائة درهم في كل سنة، ويقسم الباقي على قرابته من أبيه وقرابته من أمّه؟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جائز للذي أوصى له بذلك،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إن لم يخرج من غلّة الأرض التي وقعها إلا خمسمائة درهم؟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في وصيّته أن يعطى الذي أوصى له من الغلّة ثلاثمائة درهم، ويقسم الباقي على قرابته من أمّه وقرابته من أبيه؟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لقرابته أن يأخذوا من الغلّة شيئاً حتّى يوفى الموصى له بثلاثمائة درهم، ثم لهم ما يبقى بعد ذلك،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إن مات الذي أوصى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مات كانت الثلاثمائة درهم ،لورثته، يتوارثونها ما بقي أحد، فإذا انقطع ورثته ولم يبق منهم أحد كانت الثلاثمائة درهم لقرابة الميت تردّ إلى ما يخرج من الوقف، ثم يقسم بينهم يتوارثون ذلك ما بقوا وبقيت الغلّة،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فللورثة من قرابة الميت أن يبيعوا الأرض إذا احتاجوا ، ولم يكفهم ما يخرج من الغلّة؟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رضوا كلّهم وكان البيع خيراً لهم باعوا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والهبة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والمناسب ما أثبتناه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يوثق في كتب الرجال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4967</w:t>
      </w:r>
      <w:r>
        <w:rPr>
          <w:rFonts w:ascii="IRNazanin" w:hAnsi="IRNazanin" w:eastAsia="IRNazanin"/>
          <w:b w:val="false"/>
          <w:b w:val="false"/>
          <w:bCs w:val="false"/>
          <w:i w:val="false"/>
          <w:i w:val="false"/>
          <w:iCs w:val="false"/>
          <w:color w:val="333333"/>
          <w:sz w:val="20"/>
          <w:sz w:val="20"/>
          <w:szCs w:val="20"/>
          <w:rtl w:val="true"/>
        </w:rPr>
        <w:t>؛ الأردبيلي،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التفرشي ،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للمفيد الشيخ الأعظم في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البحراني،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xml:space="preserve">؛ الأعرج،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 العلّامة الحلي في قواعد الأحكام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في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التضرر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ملك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بياض في المخطوط بمقدار كلمة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المقصود ما أثبتناه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المؤمنون عند شروطهم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المخطوط، ولم يتم المطلب فيه، حسب النسخة التي بين أيدينا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image" Target="media/image2.jpeg"/><Relationship Id="rId337" Type="http://schemas.openxmlformats.org/officeDocument/2006/relationships/image" Target="media/image2.jpeg"/><Relationship Id="rId338" Type="http://schemas.openxmlformats.org/officeDocument/2006/relationships/footer" Target="footer331.xml"/><Relationship Id="rId339" Type="http://schemas.openxmlformats.org/officeDocument/2006/relationships/footnotes" Target="footnotes.xml"/><Relationship Id="rId340" Type="http://schemas.openxmlformats.org/officeDocument/2006/relationships/numbering" Target="numbering.xml"/><Relationship Id="rId341" Type="http://schemas.openxmlformats.org/officeDocument/2006/relationships/fontTable" Target="fontTable.xml"/><Relationship Id="rId342" Type="http://schemas.openxmlformats.org/officeDocument/2006/relationships/settings" Target="settings.xml"/><Relationship Id="rId3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67373</Words>
  <Characters>294921</Characters>
  <CharactersWithSpaces>359890</CharactersWithSpaces>
  <Paragraphs>2626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2026-08-20T10:54:04Z</dcterms:created>
  <dc:creator>ghaemiyeh.com</dc:creator>
  <dc:description/>
  <dc:language>en-US</dc:language>
  <cp:lastModifiedBy/>
  <dcterms:modified xsi:type="dcterms:W3CDTF">2026-08-20T14:24:15Z</dcterms:modified>
  <cp:revision>1</cp:revision>
  <dc:subject/>
  <dc:title>کتاب البیع تقریراً لبحث السید المجدد الشیرازی قدس سره</dc:title>
</cp:coreProperties>
</file>

<file path=docProps/custom.xml><?xml version="1.0" encoding="utf-8"?>
<Properties xmlns="http://schemas.openxmlformats.org/officeDocument/2006/custom-properties" xmlns:vt="http://schemas.openxmlformats.org/officeDocument/2006/docPropsVTypes"/>
</file>